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header169.xml" ContentType="application/vnd.openxmlformats-officedocument.wordprocessingml.header+xml"/>
  <Override PartName="/word/header170.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71.xml" ContentType="application/vnd.openxmlformats-officedocument.wordprocessingml.header+xml"/>
  <Override PartName="/word/footer171.xml" ContentType="application/vnd.openxmlformats-officedocument.wordprocessingml.footer+xml"/>
  <Override PartName="/word/header172.xml" ContentType="application/vnd.openxmlformats-officedocument.wordprocessingml.header+xml"/>
  <Override PartName="/word/header173.xml" ContentType="application/vnd.openxmlformats-officedocument.wordprocessingml.header+xml"/>
  <Override PartName="/word/footer172.xml" ContentType="application/vnd.openxmlformats-officedocument.wordprocessingml.footer+xml"/>
  <Override PartName="/word/footer173.xml" ContentType="application/vnd.openxmlformats-officedocument.wordprocessingml.footer+xml"/>
  <Override PartName="/word/header174.xml" ContentType="application/vnd.openxmlformats-officedocument.wordprocessingml.header+xml"/>
  <Override PartName="/word/footer174.xml" ContentType="application/vnd.openxmlformats-officedocument.wordprocessingml.footer+xml"/>
  <Override PartName="/word/header175.xml" ContentType="application/vnd.openxmlformats-officedocument.wordprocessingml.header+xml"/>
  <Override PartName="/word/header176.xml" ContentType="application/vnd.openxmlformats-officedocument.wordprocessingml.header+xml"/>
  <Override PartName="/word/footer175.xml" ContentType="application/vnd.openxmlformats-officedocument.wordprocessingml.footer+xml"/>
  <Override PartName="/word/footer176.xml" ContentType="application/vnd.openxmlformats-officedocument.wordprocessingml.footer+xml"/>
  <Override PartName="/word/header177.xml" ContentType="application/vnd.openxmlformats-officedocument.wordprocessingml.header+xml"/>
  <Override PartName="/word/footer177.xml" ContentType="application/vnd.openxmlformats-officedocument.wordprocessingml.footer+xml"/>
  <Override PartName="/word/header178.xml" ContentType="application/vnd.openxmlformats-officedocument.wordprocessingml.header+xml"/>
  <Override PartName="/word/header179.xml" ContentType="application/vnd.openxmlformats-officedocument.wordprocessingml.header+xml"/>
  <Override PartName="/word/footer178.xml" ContentType="application/vnd.openxmlformats-officedocument.wordprocessingml.footer+xml"/>
  <Override PartName="/word/footer179.xml" ContentType="application/vnd.openxmlformats-officedocument.wordprocessingml.footer+xml"/>
  <Override PartName="/word/header180.xml" ContentType="application/vnd.openxmlformats-officedocument.wordprocessingml.header+xml"/>
  <Override PartName="/word/footer180.xml" ContentType="application/vnd.openxmlformats-officedocument.wordprocessingml.footer+xml"/>
  <Override PartName="/word/header181.xml" ContentType="application/vnd.openxmlformats-officedocument.wordprocessingml.header+xml"/>
  <Override PartName="/word/header182.xml" ContentType="application/vnd.openxmlformats-officedocument.wordprocessingml.header+xml"/>
  <Override PartName="/word/footer181.xml" ContentType="application/vnd.openxmlformats-officedocument.wordprocessingml.footer+xml"/>
  <Override PartName="/word/footer182.xml" ContentType="application/vnd.openxmlformats-officedocument.wordprocessingml.footer+xml"/>
  <Override PartName="/word/header183.xml" ContentType="application/vnd.openxmlformats-officedocument.wordprocessingml.header+xml"/>
  <Override PartName="/word/footer183.xml" ContentType="application/vnd.openxmlformats-officedocument.wordprocessingml.footer+xml"/>
  <Override PartName="/word/header184.xml" ContentType="application/vnd.openxmlformats-officedocument.wordprocessingml.header+xml"/>
  <Override PartName="/word/header185.xml" ContentType="application/vnd.openxmlformats-officedocument.wordprocessingml.header+xml"/>
  <Override PartName="/word/footer184.xml" ContentType="application/vnd.openxmlformats-officedocument.wordprocessingml.footer+xml"/>
  <Override PartName="/word/footer185.xml" ContentType="application/vnd.openxmlformats-officedocument.wordprocessingml.footer+xml"/>
  <Override PartName="/word/header186.xml" ContentType="application/vnd.openxmlformats-officedocument.wordprocessingml.header+xml"/>
  <Override PartName="/word/footer186.xml" ContentType="application/vnd.openxmlformats-officedocument.wordprocessingml.footer+xml"/>
  <Override PartName="/word/header187.xml" ContentType="application/vnd.openxmlformats-officedocument.wordprocessingml.header+xml"/>
  <Override PartName="/word/header188.xml" ContentType="application/vnd.openxmlformats-officedocument.wordprocessingml.header+xml"/>
  <Override PartName="/word/footer187.xml" ContentType="application/vnd.openxmlformats-officedocument.wordprocessingml.footer+xml"/>
  <Override PartName="/word/footer188.xml" ContentType="application/vnd.openxmlformats-officedocument.wordprocessingml.footer+xml"/>
  <Override PartName="/word/header189.xml" ContentType="application/vnd.openxmlformats-officedocument.wordprocessingml.header+xml"/>
  <Override PartName="/word/footer189.xml" ContentType="application/vnd.openxmlformats-officedocument.wordprocessingml.footer+xml"/>
  <Override PartName="/word/header190.xml" ContentType="application/vnd.openxmlformats-officedocument.wordprocessingml.header+xml"/>
  <Override PartName="/word/header191.xml" ContentType="application/vnd.openxmlformats-officedocument.wordprocessingml.header+xml"/>
  <Override PartName="/word/footer190.xml" ContentType="application/vnd.openxmlformats-officedocument.wordprocessingml.footer+xml"/>
  <Override PartName="/word/footer191.xml" ContentType="application/vnd.openxmlformats-officedocument.wordprocessingml.footer+xml"/>
  <Override PartName="/word/header192.xml" ContentType="application/vnd.openxmlformats-officedocument.wordprocessingml.header+xml"/>
  <Override PartName="/word/footer192.xml" ContentType="application/vnd.openxmlformats-officedocument.wordprocessingml.footer+xml"/>
  <Override PartName="/word/header193.xml" ContentType="application/vnd.openxmlformats-officedocument.wordprocessingml.header+xml"/>
  <Override PartName="/word/header194.xml" ContentType="application/vnd.openxmlformats-officedocument.wordprocessingml.header+xml"/>
  <Override PartName="/word/footer193.xml" ContentType="application/vnd.openxmlformats-officedocument.wordprocessingml.footer+xml"/>
  <Override PartName="/word/footer194.xml" ContentType="application/vnd.openxmlformats-officedocument.wordprocessingml.footer+xml"/>
  <Override PartName="/word/header195.xml" ContentType="application/vnd.openxmlformats-officedocument.wordprocessingml.header+xml"/>
  <Override PartName="/word/footer195.xml" ContentType="application/vnd.openxmlformats-officedocument.wordprocessingml.footer+xml"/>
  <Override PartName="/word/header196.xml" ContentType="application/vnd.openxmlformats-officedocument.wordprocessingml.header+xml"/>
  <Override PartName="/word/header197.xml" ContentType="application/vnd.openxmlformats-officedocument.wordprocessingml.header+xml"/>
  <Override PartName="/word/footer196.xml" ContentType="application/vnd.openxmlformats-officedocument.wordprocessingml.footer+xml"/>
  <Override PartName="/word/footer197.xml" ContentType="application/vnd.openxmlformats-officedocument.wordprocessingml.footer+xml"/>
  <Override PartName="/word/header198.xml" ContentType="application/vnd.openxmlformats-officedocument.wordprocessingml.header+xml"/>
  <Override PartName="/word/footer198.xml" ContentType="application/vnd.openxmlformats-officedocument.wordprocessingml.footer+xml"/>
  <Override PartName="/word/header199.xml" ContentType="application/vnd.openxmlformats-officedocument.wordprocessingml.header+xml"/>
  <Override PartName="/word/header200.xml" ContentType="application/vnd.openxmlformats-officedocument.wordprocessingml.header+xml"/>
  <Override PartName="/word/footer199.xml" ContentType="application/vnd.openxmlformats-officedocument.wordprocessingml.footer+xml"/>
  <Override PartName="/word/footer200.xml" ContentType="application/vnd.openxmlformats-officedocument.wordprocessingml.footer+xml"/>
  <Override PartName="/word/header201.xml" ContentType="application/vnd.openxmlformats-officedocument.wordprocessingml.header+xml"/>
  <Override PartName="/word/footer201.xml" ContentType="application/vnd.openxmlformats-officedocument.wordprocessingml.footer+xml"/>
  <Override PartName="/word/header202.xml" ContentType="application/vnd.openxmlformats-officedocument.wordprocessingml.header+xml"/>
  <Override PartName="/word/header203.xml" ContentType="application/vnd.openxmlformats-officedocument.wordprocessingml.header+xml"/>
  <Override PartName="/word/footer202.xml" ContentType="application/vnd.openxmlformats-officedocument.wordprocessingml.footer+xml"/>
  <Override PartName="/word/footer203.xml" ContentType="application/vnd.openxmlformats-officedocument.wordprocessingml.footer+xml"/>
  <Override PartName="/word/header204.xml" ContentType="application/vnd.openxmlformats-officedocument.wordprocessingml.header+xml"/>
  <Override PartName="/word/footer204.xml" ContentType="application/vnd.openxmlformats-officedocument.wordprocessingml.footer+xml"/>
  <Override PartName="/word/header205.xml" ContentType="application/vnd.openxmlformats-officedocument.wordprocessingml.header+xml"/>
  <Override PartName="/word/header206.xml" ContentType="application/vnd.openxmlformats-officedocument.wordprocessingml.header+xml"/>
  <Override PartName="/word/footer205.xml" ContentType="application/vnd.openxmlformats-officedocument.wordprocessingml.footer+xml"/>
  <Override PartName="/word/footer206.xml" ContentType="application/vnd.openxmlformats-officedocument.wordprocessingml.footer+xml"/>
  <Override PartName="/word/header207.xml" ContentType="application/vnd.openxmlformats-officedocument.wordprocessingml.header+xml"/>
  <Override PartName="/word/footer207.xml" ContentType="application/vnd.openxmlformats-officedocument.wordprocessingml.footer+xml"/>
  <Override PartName="/word/header208.xml" ContentType="application/vnd.openxmlformats-officedocument.wordprocessingml.header+xml"/>
  <Override PartName="/word/header209.xml" ContentType="application/vnd.openxmlformats-officedocument.wordprocessingml.header+xml"/>
  <Override PartName="/word/footer208.xml" ContentType="application/vnd.openxmlformats-officedocument.wordprocessingml.footer+xml"/>
  <Override PartName="/word/footer209.xml" ContentType="application/vnd.openxmlformats-officedocument.wordprocessingml.footer+xml"/>
  <Override PartName="/word/header210.xml" ContentType="application/vnd.openxmlformats-officedocument.wordprocessingml.header+xml"/>
  <Override PartName="/word/footer210.xml" ContentType="application/vnd.openxmlformats-officedocument.wordprocessingml.footer+xml"/>
  <Override PartName="/word/header211.xml" ContentType="application/vnd.openxmlformats-officedocument.wordprocessingml.header+xml"/>
  <Override PartName="/word/header212.xml" ContentType="application/vnd.openxmlformats-officedocument.wordprocessingml.header+xml"/>
  <Override PartName="/word/footer211.xml" ContentType="application/vnd.openxmlformats-officedocument.wordprocessingml.footer+xml"/>
  <Override PartName="/word/footer212.xml" ContentType="application/vnd.openxmlformats-officedocument.wordprocessingml.footer+xml"/>
  <Override PartName="/word/header213.xml" ContentType="application/vnd.openxmlformats-officedocument.wordprocessingml.header+xml"/>
  <Override PartName="/word/footer2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5FCB5" w14:textId="0BCF736B" w:rsidR="00994F5E" w:rsidRDefault="004F360D" w:rsidP="004F360D">
      <w:pPr>
        <w:pStyle w:val="Pagedecouverture"/>
        <w:rPr>
          <w:noProof/>
        </w:rPr>
      </w:pPr>
      <w:bookmarkStart w:id="0" w:name="LW_BM_COVERPAGE"/>
      <w:r>
        <w:rPr>
          <w:noProof/>
        </w:rPr>
        <w:pict w14:anchorId="734EEE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3A7E4EA3-F515-421A-BB1E-B61D663D2138" style="width:455.25pt;height:438.75pt">
            <v:imagedata r:id="rId11" o:title=""/>
          </v:shape>
        </w:pict>
      </w:r>
    </w:p>
    <w:bookmarkEnd w:id="0"/>
    <w:p w14:paraId="06AA5568" w14:textId="77777777" w:rsidR="00994F5E" w:rsidRDefault="00994F5E" w:rsidP="00994F5E">
      <w:pPr>
        <w:rPr>
          <w:noProof/>
          <w:lang w:val="en-GB"/>
        </w:rPr>
        <w:sectPr w:rsidR="00994F5E" w:rsidSect="004F360D">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33AEEAB9" w14:textId="7EC13F4A" w:rsidR="0084326C" w:rsidRPr="005D68A0" w:rsidRDefault="0084326C" w:rsidP="0084326C">
      <w:pPr>
        <w:pStyle w:val="Heading1"/>
        <w:numPr>
          <w:ilvl w:val="0"/>
          <w:numId w:val="0"/>
        </w:numPr>
        <w:jc w:val="center"/>
        <w:rPr>
          <w:noProof/>
          <w:u w:val="single"/>
        </w:rPr>
      </w:pPr>
      <w:bookmarkStart w:id="1" w:name="_GoBack"/>
      <w:bookmarkEnd w:id="1"/>
      <w:r>
        <w:rPr>
          <w:noProof/>
          <w:u w:val="single"/>
        </w:rPr>
        <w:lastRenderedPageBreak/>
        <w:t>LISA</w:t>
      </w:r>
    </w:p>
    <w:p w14:paraId="586F96FE" w14:textId="77777777" w:rsidR="0084326C" w:rsidRPr="005D68A0" w:rsidRDefault="0084326C" w:rsidP="0084326C">
      <w:pPr>
        <w:pStyle w:val="Heading1"/>
        <w:rPr>
          <w:noProof/>
        </w:rPr>
      </w:pPr>
      <w:r>
        <w:rPr>
          <w:noProof/>
        </w:rPr>
        <w:t xml:space="preserve">Reformide ja investeeringute kirjeldus </w:t>
      </w:r>
    </w:p>
    <w:p w14:paraId="4C007BAB" w14:textId="77777777" w:rsidR="0084326C" w:rsidRPr="005D68A0" w:rsidRDefault="0084326C" w:rsidP="0084326C">
      <w:pPr>
        <w:pStyle w:val="Heading2"/>
        <w:numPr>
          <w:ilvl w:val="0"/>
          <w:numId w:val="104"/>
        </w:numPr>
        <w:rPr>
          <w:noProof/>
        </w:rPr>
      </w:pPr>
      <w:r>
        <w:rPr>
          <w:noProof/>
        </w:rPr>
        <w:t>ÜLESANNE 1 KOMPONENT 1.</w:t>
      </w:r>
    </w:p>
    <w:p w14:paraId="49953074" w14:textId="326E8212" w:rsidR="0084326C" w:rsidRPr="005D68A0" w:rsidRDefault="0084326C" w:rsidP="0084326C">
      <w:pPr>
        <w:pStyle w:val="Descriptiontitle"/>
        <w:ind w:left="0"/>
        <w:rPr>
          <w:rFonts w:eastAsiaTheme="minorEastAsia"/>
          <w:noProof/>
        </w:rPr>
      </w:pPr>
      <w:r>
        <w:rPr>
          <w:b/>
          <w:noProof/>
        </w:rPr>
        <w:t>Telg 1 – Avaliku halduse digiteerimine:</w:t>
      </w:r>
      <w:r>
        <w:rPr>
          <w:noProof/>
        </w:rPr>
        <w:t xml:space="preserve"> Itaalia taaste- ja vastupidavuskava komponendi M1C1 1. telg sisaldab meetmeid, mille eesmärk on edendada Itaalia avaliku halduse digiteerimist, ning hõlmab seitset investeeringut ja kolme reformi. Investeeringute eesmärk on eelkõige: i) ratsionaliseerida ja konsolideerida avaliku halduse olemasolevaid digitaalseid taristuid; ii) soodustada pilvandmetöötluse kasutuselevõttu, iii) pöörates erilist tähelepanu platvormide ja andmeteenuste ühtlustamisele ja koostalitlusvõimele, ühekordsuse põhimõtte rakendamisele ja andmete kättesaadavusele rakendusliideste kataloogi kaudu; iv) kõigi digitaalsete avalike teenuste kättesaadavuse, tõhususe ja juurdepääsetavuse parandamine eesmärgiga suurendada vastuvõtmise taset ja kasutajate rahulolu, v) Itaalia kaitse tugevdamine küberkuritegevusest tulenevate ohtude vastu, vi) suurte keskasutuste digiülemineku edendamine; vii) digitaalse lõhe vähendamine kodanike digioskuste tugevdamise kaudu. Selle tegevussuuna reformide eesmärk on eelkõige i) lihtsustada ja kiirendada info- ja kommunikatsioonitehnoloogia lahenduste hankeprotsessi avalikus halduses; ii) toetada avaliku halduse digiüleminekut ja iii) kõrvaldada tõkked, mis takistavad avalikul haldusel pilve kasutuselevõttu, ning ühtlustada avaliku halduse asutuste vahelisi andmevahetusprotsesse.</w:t>
      </w:r>
    </w:p>
    <w:p w14:paraId="7B70AA1A" w14:textId="2B4B77AF" w:rsidR="0084326C" w:rsidRPr="005D68A0" w:rsidRDefault="0084326C" w:rsidP="0084326C">
      <w:pPr>
        <w:pStyle w:val="Descriptiontitle"/>
        <w:ind w:left="0"/>
        <w:rPr>
          <w:rFonts w:eastAsiaTheme="minorEastAsia"/>
          <w:noProof/>
        </w:rPr>
      </w:pPr>
      <w:r>
        <w:rPr>
          <w:noProof/>
        </w:rPr>
        <w:t>Selle komponendi raames tehtavad investeeringud ja reformid aitavad täita Itaaliale 2019. ja 2020. aastal esitatud riigipõhiseid soovitusi, mis käsitlesid vajadust „parandada avaliku halduse tulemuslikkust, sealhulgas investeerides avaliku sektori töötajate oskustesse, kiirendades digiüleminekut ning suurendades kohalike avalike teenuste tõhusust ja kvaliteeti“ (2019. aasta riigipõhine soovitus nr 3) ja „keskenduda investeeringu puhul üleminekule rohelisele majandusele ja digitaaltehnoloogiale, eelkõige [...] paremale digitaristule, et tagada esmatähtsate teenuste pakkumine“ (2020. aasta riigipõhine soovitus nr 3).</w:t>
      </w:r>
    </w:p>
    <w:p w14:paraId="2C3AB117" w14:textId="77777777" w:rsidR="0084326C" w:rsidRPr="005D68A0" w:rsidRDefault="0084326C" w:rsidP="0084326C">
      <w:pPr>
        <w:pStyle w:val="Descriptiontitle"/>
        <w:ind w:left="0"/>
        <w:rPr>
          <w:rFonts w:eastAsiaTheme="minorEastAsia"/>
          <w:noProof/>
        </w:rPr>
      </w:pPr>
      <w:r>
        <w:rPr>
          <w:b/>
          <w:noProof/>
        </w:rPr>
        <w:t>Telg 2 – Õigusküsimused:</w:t>
      </w:r>
      <w:r>
        <w:rPr>
          <w:noProof/>
        </w:rPr>
        <w:t xml:space="preserve"> Itaalia kohtusüsteemi tulemuslikkus jääb menetluse kestuse poolest teiste liikmesriikide omast kaugele, nagu on märgitud Euroopa Komisjoni viimases aruandes õigusemõistmise tõhususe kohta. Taaste- ja vastupidavuskava komponendi M1C1 2. telg sisaldab meetmeid, mille eesmärk on muuta kohtusüsteem tõhusamaks, lühendades menetluste kestust ja tuues Itaalia lähemale ELi mediaanile. Selles komponendis käsitletakse Itaaliale 2019. ja 2020. aastal esitatud riigipõhiseid soovitusi tsiviilkohtumenetluste kestuse lühendamise ja korruptsioonivastase võitluse tõhustamise kohta (2019. aasta riigipõhine soovitus nr 4 ja 2020. aasta riigipõhine soovitus nr 4). Lisaks on kohtusüsteemi digiteerimine oluline ka digiülemineku seisukohast.</w:t>
      </w:r>
    </w:p>
    <w:p w14:paraId="62A88CC1" w14:textId="77777777" w:rsidR="0084326C" w:rsidRPr="005D68A0" w:rsidRDefault="0084326C" w:rsidP="0084326C">
      <w:pPr>
        <w:pStyle w:val="Descriptiontitle"/>
        <w:ind w:left="0"/>
        <w:rPr>
          <w:rFonts w:eastAsiaTheme="minorEastAsia"/>
          <w:noProof/>
        </w:rPr>
      </w:pPr>
      <w:r>
        <w:rPr>
          <w:b/>
          <w:noProof/>
        </w:rPr>
        <w:t>Telg 3 – Avalik haldus:</w:t>
      </w:r>
      <w:r>
        <w:rPr>
          <w:noProof/>
        </w:rPr>
        <w:t xml:space="preserve"> Taaste- ja vastupidavuskava komponendi M1C1 telg 3 sisaldab meetmeid, mille eesmärk on reformida Itaalia avalikku haldust ja parandada haldussuutlikkust. Itaalia on alla EL 27 keskmise nii valitsuse tõhususe kui ka valitsuse usaldamise poolest. Itaalia avaliku halduse reforme mõjutas tõsine ülevalt alla suunatud reformide rakendamise puudujääk ning väärtuslike alt üles suunatud uuenduste vähene tunnustamine ja levitamine. Haldussuutlikkus on väga madal. Jätkata tuleks jõupingutusi strateegilise planeerimise suutlikkuse, järelevalve- ja hindamismehhanismide ning tõenditel põhinevate poliitikakujundamise vahendite tugevdamiseks. Selle komponendi peamine eesmärk on suurendada Itaalia haldusasutuste haldussuutlikkust kesk- ja kohalikul tasandil nii inimkapitali (valik, pädevus ja karjäär) kui ka haldusmenetluste lihtsustamise osas. Selles osas tutvustatakse üldist struktuurilist personalistrateegiat, mis ulatub valikumenetlustest karjäärivõimalusteni. </w:t>
      </w:r>
      <w:r>
        <w:rPr>
          <w:noProof/>
        </w:rPr>
        <w:lastRenderedPageBreak/>
        <w:t>Reform hõlmab ka meetmeid menetluste lihtsustamiseks. Investeeringud uutesse digitaalsetesse töövahenditesse ja tugevdatud elukestva õppe meetmed sisalduvad 1. missiooni 1. komponendis. Selles komponendis käsitletakse riigipõhiseid soovitusi avaliku halduse tõhususe parandamise kohta (2019. aasta riigipõhine soovitus nr 3 ja 2020. aasta riigipõhine soovitus nr 4).</w:t>
      </w:r>
    </w:p>
    <w:p w14:paraId="772CBA4D" w14:textId="093B4919" w:rsidR="0084326C" w:rsidRPr="005D68A0" w:rsidRDefault="0084326C" w:rsidP="0084326C">
      <w:pPr>
        <w:pStyle w:val="Descriptiontitle"/>
        <w:ind w:left="0"/>
        <w:rPr>
          <w:rFonts w:eastAsiaTheme="minorHAnsi"/>
          <w:noProof/>
          <w:szCs w:val="22"/>
        </w:rPr>
      </w:pPr>
      <w:r>
        <w:rPr>
          <w:b/>
          <w:noProof/>
        </w:rPr>
        <w:t>Telg 4 – Riigihanked ja administratsiooni maksed:</w:t>
      </w:r>
      <w:r>
        <w:rPr>
          <w:noProof/>
        </w:rPr>
        <w:t xml:space="preserve"> Taastumis- ja vastupidavuskava komponendi M1C1 4. telg sisaldab meetmeid, mille eesmärk on reformida Itaalia riigihangete õigusraamistiku teatavaid põhiaspekte ning vähendada kesk-, piirkondlike ja kohalike haldusasutuste ning piirkondlike tervishoiuasutuste hilinenud makseid. Reformi peamine eesmärk on lihtsustada riigihanke-eeskirju, suurendada ettevõtjate õiguskindlust ja kiirendada riigihankelepingute sõlmimist, säilitades samal ajal menetluslikud tagatised läbipaistvuse ja võrdse kohtlemise osas. Need reformid toetavad seega kava alusel rahastatavate taristute ja projektide õigeaegset elluviimist.</w:t>
      </w:r>
    </w:p>
    <w:p w14:paraId="09F41549" w14:textId="426FF35D" w:rsidR="0084326C" w:rsidRPr="005D68A0" w:rsidRDefault="0084326C" w:rsidP="0084326C">
      <w:pPr>
        <w:pStyle w:val="Descriptiontitle"/>
        <w:ind w:left="0"/>
        <w:rPr>
          <w:rFonts w:eastAsiaTheme="minorHAnsi"/>
          <w:noProof/>
        </w:rPr>
      </w:pPr>
      <w:r>
        <w:rPr>
          <w:b/>
          <w:noProof/>
        </w:rPr>
        <w:t>Telg 5 – Eelarve- ja struktuurireformid (maksustamine ja avaliku sektori kulud):</w:t>
      </w:r>
      <w:r>
        <w:rPr>
          <w:noProof/>
        </w:rPr>
        <w:t xml:space="preserve"> Majanduse elavdamise ja vastupanuvõime komponendi M1C1 5. telg hõlmab mitut reformi, mille eesmärk on toetada Itaalia riigi rahanduse jätkusuutlikkust (riigipõhine soovitus 1, 2019). Tulude poolel on reformide eesmärk parandada maksude kogumise protsessi, soodustada maksukuulekust ja võidelda maksudest kõrvalehoidumise vastu, et vähendada nõuete täitmisega seotud kulusid maksumaksjate jaoks ja suurendada valitsemissektori tulusid, aidates parandada riigi rahanduse jätkusuutlikkust. Kulude poolel on reformide eesmärk parandada avaliku sektori kulutuste tõhusust nii kesktasandil, tugevdades olemasolevat iga-aastaste kulutuste läbivaatamise raamistikku, kui ka piirkondlikul tasandil, viies lõpule eri valitsustasandite fiskaalsuhete reformi.</w:t>
      </w:r>
    </w:p>
    <w:p w14:paraId="73E147FD" w14:textId="77777777" w:rsidR="0084326C" w:rsidRPr="005D68A0" w:rsidRDefault="0084326C" w:rsidP="0084326C">
      <w:pPr>
        <w:pStyle w:val="Heading3"/>
        <w:numPr>
          <w:ilvl w:val="0"/>
          <w:numId w:val="0"/>
        </w:numPr>
        <w:ind w:left="850" w:hanging="850"/>
        <w:rPr>
          <w:b/>
          <w:bCs w:val="0"/>
          <w:i w:val="0"/>
          <w:iCs/>
          <w:noProof/>
          <w:u w:val="single"/>
        </w:rPr>
      </w:pPr>
      <w:r>
        <w:rPr>
          <w:b/>
          <w:i w:val="0"/>
          <w:noProof/>
          <w:u w:val="single"/>
        </w:rPr>
        <w:t xml:space="preserve">A.1. </w:t>
      </w:r>
      <w:r>
        <w:rPr>
          <w:noProof/>
        </w:rPr>
        <w:tab/>
      </w:r>
      <w:r>
        <w:rPr>
          <w:b/>
          <w:i w:val="0"/>
          <w:noProof/>
          <w:u w:val="single"/>
        </w:rPr>
        <w:t>Tagastamatu rahalise toetusega seotud reformide ja investeeringute kirjeldus</w:t>
      </w:r>
    </w:p>
    <w:p w14:paraId="2493B723" w14:textId="77777777" w:rsidR="0084326C" w:rsidRPr="005D68A0" w:rsidRDefault="0084326C" w:rsidP="0084326C">
      <w:pPr>
        <w:pStyle w:val="Axistitle"/>
        <w:ind w:left="0"/>
        <w:rPr>
          <w:noProof/>
        </w:rPr>
      </w:pPr>
      <w:r>
        <w:rPr>
          <w:noProof/>
        </w:rPr>
        <w:t>Telg 1 – Avaliku halduse digiteerimine</w:t>
      </w:r>
    </w:p>
    <w:p w14:paraId="51E587DD" w14:textId="77777777" w:rsidR="0084326C" w:rsidRPr="005D68A0" w:rsidRDefault="0084326C" w:rsidP="0084326C">
      <w:pPr>
        <w:spacing w:before="240" w:after="120"/>
        <w:jc w:val="both"/>
        <w:rPr>
          <w:rFonts w:eastAsiaTheme="minorHAnsi"/>
          <w:b/>
          <w:noProof/>
          <w:szCs w:val="22"/>
        </w:rPr>
      </w:pPr>
      <w:r>
        <w:rPr>
          <w:b/>
          <w:noProof/>
        </w:rPr>
        <w:t>Investeering 1.1. Digitaristu</w:t>
      </w:r>
    </w:p>
    <w:p w14:paraId="6D9A146E" w14:textId="77777777" w:rsidR="0084326C" w:rsidRPr="005D68A0" w:rsidRDefault="0084326C" w:rsidP="0084326C">
      <w:pPr>
        <w:pStyle w:val="Descriptiontitle"/>
        <w:ind w:left="0"/>
        <w:rPr>
          <w:noProof/>
        </w:rPr>
      </w:pPr>
      <w:r>
        <w:rPr>
          <w:noProof/>
        </w:rPr>
        <w:t>Selle investeeringu eesmärk on tagada, et avaliku halduse süsteeme, andmekogumeid ja rakendusi majutatakse väga usaldusväärsetes andmekeskustes, kus on kõrged turvalisuse, jõudluse, skaleeritavuse, Euroopa koostalitlusvõime ja energiatõhususe kvaliteedistandardid. Selleks nähakse investeeringuga ette tipptasemel, täielikult rikkaliku riikliku pilvepõhise hübriidtaristu (Polo Strategico Nazionale, PSN) loomine, turvaliste ja laiendamiskõlblike avaliku pilve alternatiivide sertifitseerimine ning avaliku halduse andmekogude ja rakenduste migratsioon pilvekeskkonda.</w:t>
      </w:r>
    </w:p>
    <w:p w14:paraId="4B0EB66C" w14:textId="77777777" w:rsidR="0084326C" w:rsidRPr="005D68A0" w:rsidRDefault="0084326C" w:rsidP="0084326C">
      <w:pPr>
        <w:pStyle w:val="Descriptiontitle"/>
        <w:ind w:left="0"/>
        <w:rPr>
          <w:noProof/>
        </w:rPr>
      </w:pPr>
      <w:r>
        <w:rPr>
          <w:noProof/>
        </w:rPr>
        <w:t>Avaliku võrgu taristut hakkab eeldatavasti haldama Euroopa hankemenetluse kaudu valitud tehnoloogiapakkuja ja see projekteeritakse kooskõlas Euroopa tasandil Gaia-X algatuse raames kindlaks määratud andmete koostalitlusvõime standarditega, et võimaldada isikustamata andmete vaba vahetamist eri liikmesriikide vahel, ühendades omavahel nende riiklikud pilvemudelid. Sarnased nõuded võetakse eeldatavasti kasutusele avalike pilveteenuste osutajate eelkvalifitseerimisel.</w:t>
      </w:r>
    </w:p>
    <w:p w14:paraId="0E792DD2" w14:textId="77777777" w:rsidR="0084326C" w:rsidRPr="005D68A0" w:rsidRDefault="0084326C" w:rsidP="0084326C">
      <w:pPr>
        <w:pStyle w:val="Descriptiontitle"/>
        <w:ind w:left="0"/>
        <w:rPr>
          <w:noProof/>
        </w:rPr>
      </w:pPr>
      <w:r>
        <w:rPr>
          <w:noProof/>
        </w:rPr>
        <w:t>Avaliku halduse andmekogude ja rakenduste migratsioon PSNi või turvalise sertifitseeritud avaliku pilveteenuse osutaja suunas sõltub eeldatavasti eri haldusasutuste määratletud andmete toimivuse, skaleeritavuse ja tundlikkuse nõuetest, millest igaüks peaks säilitama oma sõltumatuse rakenduste väljatöötamisel ja andmete haldamisel.</w:t>
      </w:r>
    </w:p>
    <w:p w14:paraId="59DF89EF" w14:textId="77777777" w:rsidR="0084326C" w:rsidRPr="005D68A0" w:rsidRDefault="0084326C" w:rsidP="0084326C">
      <w:pPr>
        <w:spacing w:before="240" w:after="120"/>
        <w:jc w:val="both"/>
        <w:rPr>
          <w:rFonts w:eastAsiaTheme="minorHAnsi"/>
          <w:b/>
          <w:noProof/>
          <w:szCs w:val="22"/>
        </w:rPr>
      </w:pPr>
      <w:r>
        <w:rPr>
          <w:b/>
          <w:noProof/>
        </w:rPr>
        <w:t>Investeering 1.3. Andmed ja koostalitlusvõime</w:t>
      </w:r>
    </w:p>
    <w:p w14:paraId="6FBB7BF3" w14:textId="77777777" w:rsidR="0084326C" w:rsidRPr="005D68A0" w:rsidRDefault="0084326C" w:rsidP="0084326C">
      <w:pPr>
        <w:pStyle w:val="Descriptiontitle"/>
        <w:ind w:left="0"/>
        <w:rPr>
          <w:noProof/>
        </w:rPr>
      </w:pPr>
      <w:r>
        <w:rPr>
          <w:noProof/>
        </w:rPr>
        <w:t>Selle investeeringu eesmärk on tagada kesksete ja kohalike haldusasutuste peamiste andmestike ja teenuste täielik koostalitlusvõime.</w:t>
      </w:r>
    </w:p>
    <w:p w14:paraId="068F0939" w14:textId="77777777" w:rsidR="0084326C" w:rsidRPr="005D68A0" w:rsidRDefault="0084326C" w:rsidP="0084326C">
      <w:pPr>
        <w:pStyle w:val="Descriptiontitle"/>
        <w:ind w:left="0"/>
        <w:rPr>
          <w:noProof/>
        </w:rPr>
      </w:pPr>
      <w:r>
        <w:rPr>
          <w:noProof/>
        </w:rPr>
        <w:t>Meetmega nähakse ette riikliku digitaalse andmeplatvormi („Piattaforma Digitale Nazionale Dati“) arendamine, mis tagab andmekogumite koostalitlusvõime rakendusliideste kataloogi kaudu, mida jagavad kesk- ja kohalikud haldusasutused (investeering 1.3.1). Kui see platvorm on loodud, peab see tagama andmekogumite koostalitlusvõime rakendusliideste kataloogi kaudu, mida jagatakse kesk- ja kohalike haldusasutuste vahel. Platvorm peab olema täielikult kooskõlas ELi õigusega.</w:t>
      </w:r>
    </w:p>
    <w:p w14:paraId="38619192" w14:textId="77777777" w:rsidR="0084326C" w:rsidRPr="005D68A0" w:rsidRDefault="0084326C" w:rsidP="0084326C">
      <w:pPr>
        <w:pStyle w:val="Descriptiontitle"/>
        <w:ind w:left="0"/>
        <w:rPr>
          <w:noProof/>
        </w:rPr>
      </w:pPr>
      <w:r>
        <w:rPr>
          <w:noProof/>
        </w:rPr>
        <w:t>Lisaks luuakse meetmega ühtne digivärav kooskõlas ELi määrusega 2018/1724, et aidata kesk- ja haldusasutustel prioriteetsed menetlused ümber korraldada ning võimaldada ühekordsuse põhimõtte (investeering 1.3.2) täitmist.</w:t>
      </w:r>
    </w:p>
    <w:p w14:paraId="121A5AEB" w14:textId="77777777" w:rsidR="0084326C" w:rsidRPr="005D68A0" w:rsidRDefault="0084326C" w:rsidP="0084326C">
      <w:pPr>
        <w:spacing w:before="240" w:after="120"/>
        <w:jc w:val="both"/>
        <w:rPr>
          <w:rFonts w:eastAsiaTheme="minorHAnsi"/>
          <w:b/>
          <w:noProof/>
          <w:szCs w:val="22"/>
        </w:rPr>
      </w:pPr>
      <w:r>
        <w:rPr>
          <w:b/>
          <w:noProof/>
        </w:rPr>
        <w:t>Investeering 1.5. Küberturvalisus</w:t>
      </w:r>
    </w:p>
    <w:p w14:paraId="181EAAC9" w14:textId="77777777" w:rsidR="0084326C" w:rsidRPr="005D68A0" w:rsidRDefault="0084326C" w:rsidP="0084326C">
      <w:pPr>
        <w:pStyle w:val="Descriptiontitle"/>
        <w:ind w:left="0"/>
        <w:rPr>
          <w:noProof/>
        </w:rPr>
      </w:pPr>
      <w:r>
        <w:rPr>
          <w:noProof/>
        </w:rPr>
        <w:t>Selle investeeringu eesmärk on tugevdada Itaalia kaitset küberkuritegevusest tulenevate ohtude eest, eelkõige võttes kasutusele riikliku küberjulgeoleku Perimeetri (PSNC) kooskõlas võrgu- ja infosüsteemide turvalisust käsitlevas direktiivis (EL) 2016/1148 (küberturvalisuse direktiiv) sätestatud turvanõuetega ning tugevdades riiklikku küberkaitsevõimet tehnilise kontrolli ja riskiseire alal.</w:t>
      </w:r>
    </w:p>
    <w:p w14:paraId="6B8AAA72" w14:textId="292A76BA" w:rsidR="0084326C" w:rsidRPr="005D68A0" w:rsidRDefault="0084326C" w:rsidP="0084326C">
      <w:pPr>
        <w:pStyle w:val="Descriptiontitle"/>
        <w:ind w:left="0"/>
        <w:rPr>
          <w:noProof/>
        </w:rPr>
      </w:pPr>
      <w:r>
        <w:rPr>
          <w:noProof/>
        </w:rPr>
        <w:t>Meetmega nähakse ette tipptasemel integreeritud süsteemi arendamine, eri üksuste tihe ühendamine kogu riigis ning rahvusvaheliste sidemete loomine partnerite ja usaldusväärsete tehnoloogiapakkujatega. See koosneb neljast sambast: i) tugevdada üldsuse ja ettevõtete/üksuste eesliini suutlikkust hallata hoiatusi ja tegelikke avalikult tunnustatud sündmusi; ii) ehitab/tugevdab/tugevdab riigi suutlikkust kontrollida ja auditeerida riist- ja tarkvara, mida kasutavad isikud, kellel on olulised funktsioonid usaldusväärsuse/ohu ennetamiseks; iii) suurendada õiguskaitse- ja küberüksuste üksusi politseijõududes, kes vastutavad kuritegevuse uurimise eest; iv) Tugevdada märkimisväärselt riikliku julgeoleku ja küberohtudele reageerimise eest vastutavaid kübervarasid ja inimressursse.</w:t>
      </w:r>
    </w:p>
    <w:p w14:paraId="41B9D7EB" w14:textId="77777777" w:rsidR="0084326C" w:rsidRPr="005D68A0" w:rsidRDefault="0084326C" w:rsidP="0084326C">
      <w:pPr>
        <w:spacing w:before="240" w:after="120"/>
        <w:jc w:val="both"/>
        <w:rPr>
          <w:rFonts w:eastAsiaTheme="minorHAnsi"/>
          <w:b/>
          <w:noProof/>
          <w:szCs w:val="22"/>
        </w:rPr>
      </w:pPr>
      <w:r>
        <w:rPr>
          <w:b/>
          <w:noProof/>
        </w:rPr>
        <w:t>Investeering 1.7. Põhilised digioskused</w:t>
      </w:r>
    </w:p>
    <w:p w14:paraId="119D19A2" w14:textId="77777777" w:rsidR="0084326C" w:rsidRPr="005D68A0" w:rsidRDefault="0084326C" w:rsidP="0084326C">
      <w:pPr>
        <w:spacing w:before="120" w:after="120"/>
        <w:jc w:val="both"/>
        <w:rPr>
          <w:noProof/>
        </w:rPr>
      </w:pPr>
      <w:r>
        <w:rPr>
          <w:noProof/>
        </w:rPr>
        <w:t>Selle investeeringu eesmärk on vähendada praeguse digitaalse tõrjutuse ohus oleva elanikkonna osakaalu, käivitades algatuse „Digitaalne kodanikuteenistus“, mis on eri taustaga noorte vabatahtlike võrgustik kogu Itaalias, et pakkuda digitaalse tõrjutuse ohus olevatele inimestele koolitust digioskuste arendamiseks ja parandamiseks (investeering 1.7.1), ning tugevdades olemasolevat digitaalse lihtsustamise keskuste võrgustikku (Investeering 1.7.2).</w:t>
      </w:r>
    </w:p>
    <w:p w14:paraId="52ED055C" w14:textId="3A1557E5" w:rsidR="0084326C" w:rsidRPr="005D68A0" w:rsidRDefault="0084326C" w:rsidP="0084326C">
      <w:pPr>
        <w:spacing w:before="120" w:after="120"/>
        <w:jc w:val="both"/>
        <w:rPr>
          <w:noProof/>
        </w:rPr>
      </w:pPr>
      <w:r>
        <w:rPr>
          <w:noProof/>
        </w:rPr>
        <w:t>Digitaalsed tugikeskused on füüsilised juurdepääsupunktid, mis asuvad tavaliselt raamatukogudes, koolides ja sotsiaalkeskustes, mis pakuvad kodanikele nii personaalset kui ka internetipõhist digioskuste alast koolitust, et toetada tõhusalt nende digitaalset kaasamist. Algatuses kasutatakse ära olemasolevaid edukaid kogemusi ja selle eesmärk on tagada selliste keskuste laialdane areng riiklikul tasandil. Kuigi 600 keskust on juba aktiivsed, tugevdatakse nende kohalolekut sihtotstarbelise koolitustegevuse ja uute seadmetega, mille üldeesmärk on luua Itaalias 2 400 uut juurdepääsupunkti ja koolitada välja üle 2 000 000 digitaalse tõrjutuse ohus oleva kodaniku. 3 000 keskusest vähemalt 1 200 koondatakse Lõuna-Itaaliasse.</w:t>
      </w:r>
      <w:r>
        <w:rPr>
          <w:noProof/>
          <w:color w:val="2B579A"/>
          <w:shd w:val="clear" w:color="auto" w:fill="E6E6E6"/>
        </w:rPr>
        <w:t xml:space="preserve"> </w:t>
      </w:r>
    </w:p>
    <w:p w14:paraId="69F38C63" w14:textId="5FD9BCE3" w:rsidR="0084326C" w:rsidRPr="005D68A0" w:rsidRDefault="0084326C" w:rsidP="0084326C">
      <w:pPr>
        <w:spacing w:before="120" w:after="120"/>
        <w:jc w:val="both"/>
        <w:rPr>
          <w:noProof/>
        </w:rPr>
      </w:pPr>
      <w:r>
        <w:rPr>
          <w:noProof/>
        </w:rPr>
        <w:t>Algatus „Digitaalne kodanikuteenistus“ on jagatud kolmeks aastaks ja järk-järgult on selle eesmärk saavutada järgmised tulemused: i) viia ellu kolm iga-aastast üleskutset digitaalse avaliku teenistuse projektideks, mis on suunatud universaalsete kodanikuteenistuse organisatsioonide riiklikus registris registreeritud mittetulundusühingutele; ii) iga-aastases digitaalse avaliku teenistuse projektikonkursis osalevate mittetulunduslike organisatsioonide suutlikkuse suurendamine ning digilihtsustus- ja digiõppe projektide käivitamine; iii) vähemalt 8 300 vabatahtliku koolitus ja kohapealne kogemus digitaalse avaliku teenistuse projektides; pakutakse 700 000 digilihtsustuse ja/või digiõppe algatust, mis hõlmavad kodanikke, mis on välja töötatud digitaalse avaliku teenistuse projektide raames, milles töötab 8 300 vabatahtlikku.</w:t>
      </w:r>
    </w:p>
    <w:p w14:paraId="3F5D965E" w14:textId="77777777" w:rsidR="0084326C" w:rsidRPr="005D68A0" w:rsidRDefault="0084326C" w:rsidP="0084326C">
      <w:pPr>
        <w:spacing w:before="240" w:after="120"/>
        <w:jc w:val="both"/>
        <w:rPr>
          <w:rFonts w:eastAsiaTheme="minorHAnsi"/>
          <w:b/>
          <w:noProof/>
          <w:szCs w:val="22"/>
        </w:rPr>
      </w:pPr>
      <w:r>
        <w:rPr>
          <w:b/>
          <w:noProof/>
        </w:rPr>
        <w:t>Reform 1.1. Info- ja kommunikatsioonitehnoloogia hanked</w:t>
      </w:r>
    </w:p>
    <w:p w14:paraId="045E7D47" w14:textId="77777777" w:rsidR="0084326C" w:rsidRPr="005D68A0" w:rsidRDefault="0084326C" w:rsidP="0084326C">
      <w:pPr>
        <w:spacing w:before="120" w:after="120"/>
        <w:jc w:val="both"/>
        <w:rPr>
          <w:noProof/>
        </w:rPr>
      </w:pPr>
      <w:r>
        <w:rPr>
          <w:noProof/>
        </w:rPr>
        <w:t>Reformi eesmärk on tagada, et avalik haldus saaks hankida info- ja kommunikatsioonitehnoloogia (IKT) lahendusi kiiremini ja tõhusamalt, ühtlustades ja kiirendades IKT teenuste ja varade hankeprotsessi.</w:t>
      </w:r>
    </w:p>
    <w:p w14:paraId="37F8BA33" w14:textId="77777777" w:rsidR="0084326C" w:rsidRPr="005D68A0" w:rsidRDefault="0084326C" w:rsidP="0084326C">
      <w:pPr>
        <w:spacing w:before="120" w:after="120"/>
        <w:jc w:val="both"/>
        <w:rPr>
          <w:noProof/>
        </w:rPr>
      </w:pPr>
      <w:r>
        <w:rPr>
          <w:noProof/>
        </w:rPr>
        <w:t>Reformi rakendamine koosneb kolmest tegevussuunast. Esiteks luuakse ühtne andmebaas, mis sisaldab nende ettevõtjate valget nimekirja, kellel on lubatud pakkuda kaupu ja teenuseid haldusasutustele, ning tarnijate sertifitseerimiseks luuakse spetsiaalne tehnoloogiataristu. Teiseks võetakse vastu lihtsustatud lähenemisviis (kiirmenetlus) PNRRi projektide IKT-ostude ühtlustamiseks. Kolmandaks luuakse digitaalne hanketeenus, mille eesmärk on i) hõlmata üksnes sertifitseeritud tarnijaid (ettevõtjad võivad igal ajal taotleda sertifitseerimist kooskõlas direktiivi 2014/24/EL artikliga 64); ii) võimaldada kiiresti kindlaks teha tarnijad, kes vastavad konkreetsele vajadusele (nt konfiguraatori kaudu); iii) pakkuda haldusasutustele intuitiivset kasutajakogemust (nt pakutavate teenuste selge kirjeldus, tarnijate võrdlev hindamine). See üldine ülesehitus tugineb Itaalia riigihangetega tegeleva riigiasutuse CONSIP olemasolevale suutlikkusele.</w:t>
      </w:r>
    </w:p>
    <w:p w14:paraId="5C0C1336" w14:textId="77777777" w:rsidR="0084326C" w:rsidRPr="005D68A0" w:rsidRDefault="0084326C" w:rsidP="0084326C">
      <w:pPr>
        <w:spacing w:before="240" w:after="120"/>
        <w:jc w:val="both"/>
        <w:rPr>
          <w:rFonts w:eastAsiaTheme="minorHAnsi"/>
          <w:b/>
          <w:noProof/>
          <w:szCs w:val="22"/>
        </w:rPr>
      </w:pPr>
      <w:r>
        <w:rPr>
          <w:b/>
          <w:noProof/>
        </w:rPr>
        <w:t>Reform 1.2. Digipöörde toetamine</w:t>
      </w:r>
    </w:p>
    <w:p w14:paraId="5649F2E8" w14:textId="77777777" w:rsidR="0084326C" w:rsidRPr="005D68A0" w:rsidRDefault="0084326C" w:rsidP="0084326C">
      <w:pPr>
        <w:spacing w:before="120" w:after="120"/>
        <w:jc w:val="both"/>
        <w:rPr>
          <w:noProof/>
        </w:rPr>
      </w:pPr>
      <w:r>
        <w:rPr>
          <w:noProof/>
        </w:rPr>
        <w:t>Selle reformi eesmärk on toetada kõigi kesk- ja kohalike haldusasutuste üleminekut digitehnoloogiale spetsiaalse digitaalse Palestiina omavalitsuse ümberkujundamise büroo loomise kaudu. Ümberkujundamisbüroo koosneb tehnoloogiaalase pädevusega ajutisest ressursside reservist, mis korraldab ja toetab migratsioonialaseid jõupingutusi ning tsentraliseeritud läbirääkimisi sertifitseeritud välisabi „pakettide“ üle. Lisaks nähakse meetmega ette sellise ettevõtte loomine, mis keskendub tarkvara arendamisele &amp; käitamise juhtimisele, et toetada keskasutuste digitaalset arengut. Ümberkujundamisbüroo toetab eelkõige avalikku haldust käesoleva rahastamisvahendi alla kuuluvate investeeringute 1.1-1.7 rakendamisel ning toetab ka 6. missiooni alla kuuluvate tervishoiu digiteerimisega seotud investeeringute ja reformide rakendamist.</w:t>
      </w:r>
    </w:p>
    <w:p w14:paraId="6DF88485" w14:textId="77777777" w:rsidR="0084326C" w:rsidRPr="005D68A0" w:rsidRDefault="0084326C" w:rsidP="0084326C">
      <w:pPr>
        <w:spacing w:before="240" w:after="120"/>
        <w:jc w:val="both"/>
        <w:rPr>
          <w:rFonts w:eastAsiaTheme="minorHAnsi"/>
          <w:b/>
          <w:noProof/>
          <w:szCs w:val="22"/>
        </w:rPr>
      </w:pPr>
      <w:r>
        <w:rPr>
          <w:b/>
          <w:noProof/>
        </w:rPr>
        <w:t>Reform 1.3. Kõigepealt pilv ja koostalitlusvõime</w:t>
      </w:r>
    </w:p>
    <w:p w14:paraId="7200E523" w14:textId="77777777" w:rsidR="0084326C" w:rsidRPr="005D68A0" w:rsidRDefault="0084326C" w:rsidP="0084326C">
      <w:pPr>
        <w:spacing w:before="120" w:after="120"/>
        <w:jc w:val="both"/>
        <w:rPr>
          <w:noProof/>
        </w:rPr>
      </w:pPr>
      <w:r>
        <w:rPr>
          <w:noProof/>
        </w:rPr>
        <w:t>Selle reformi eesmärk on kõrvaldada tõkked pilveteenuste kasutuselevõtult ja ühtlustada bürokraatiat, mis aeglustab andmevahetusprotsesse haldusasutuste vahel, kehtestades stiimulid ja kohustused, mille eesmärk on hõlbustada üleminekut pilveteenuste kasutamisele ja kõrvaldada menetluslikud piirangud digiteenuste laialdasele kasutuselevõtule.</w:t>
      </w:r>
    </w:p>
    <w:p w14:paraId="2763759D" w14:textId="77777777" w:rsidR="0084326C" w:rsidRPr="005D68A0" w:rsidRDefault="0084326C" w:rsidP="0084326C">
      <w:pPr>
        <w:spacing w:before="120" w:after="120"/>
        <w:jc w:val="both"/>
        <w:rPr>
          <w:noProof/>
        </w:rPr>
      </w:pPr>
      <w:r>
        <w:rPr>
          <w:noProof/>
        </w:rPr>
        <w:t xml:space="preserve">Reform hõlmab kolme tegevussuunda. Esiteks, kuna pilvelahendused suurendavad kulutasuvust info- ja kommunikatsioonitehnoloogia (IKT) valdkonna kulutustes pärast eelnevalt kindlaks määratud ajapikendust (nt kolm aastat pärast ümberkujundamise alustamist), näevad ametiasutused, kes ei järginud pilvandmetöötluse ümberkujundamist, oma IKT-kulueelarves piiranguid. </w:t>
      </w:r>
    </w:p>
    <w:p w14:paraId="2DA3D24A" w14:textId="77777777" w:rsidR="0084326C" w:rsidRPr="005D68A0" w:rsidRDefault="0084326C" w:rsidP="0084326C">
      <w:pPr>
        <w:spacing w:before="120" w:after="120"/>
        <w:jc w:val="both"/>
        <w:rPr>
          <w:noProof/>
        </w:rPr>
      </w:pPr>
      <w:r>
        <w:rPr>
          <w:noProof/>
        </w:rPr>
        <w:t>Teiseks, osana pilvandmetöötlusele ülemineku stiimulitest vaadatakse läbi praegused avaliku sektori raamatupidamisarvestuse eeskirjad pilveteenustega seotud kulude kohta. Võttes arvesse, et pilvandmetöötlusele üleminek hõlmab praegu eelarvete ülekandmist kapitalikuludest tegevuskuludesse, tuleb pilveteenustega seotud kulude avaliku sektori raamatupidamiseeskirjad läbi vaadata, et mitte pärssida avaliku halduse asutuste motivatsiooni pilvandmetöötlusele üleminekuks.</w:t>
      </w:r>
    </w:p>
    <w:p w14:paraId="00C73AF3" w14:textId="77777777" w:rsidR="0084326C" w:rsidRPr="005D68A0" w:rsidRDefault="0084326C" w:rsidP="0084326C">
      <w:pPr>
        <w:spacing w:before="120" w:after="120"/>
        <w:jc w:val="both"/>
        <w:rPr>
          <w:noProof/>
        </w:rPr>
      </w:pPr>
      <w:r>
        <w:rPr>
          <w:noProof/>
        </w:rPr>
        <w:t>Kolmandaks vaadatakse läbi andmete koostalitlusvõime eeskirjadega seotud normid kooskõlas avatud andmeid ja isikuandmete töötlemist käsitlevate sätetega ning lihtsustatakse praeguseid haldusasutustevahelise andmevahetuse menetlusi, et ühtlustada menetluslikke aspekte ja kiirendada haldusasutuste andmebaaside koostalitlusvõime rakendamist. Lisaks vaadatakse läbi digitaalne elu- või asukoht ja integreeritakse see riiklikusse elanikeregistrisse (ANPR), et võimaldada kodanike ja haldusasutuste vahel teatavat ja turvalist digitaalset kirjavahetust.</w:t>
      </w:r>
    </w:p>
    <w:p w14:paraId="762D3C7D" w14:textId="77777777" w:rsidR="0084326C" w:rsidRPr="005D68A0" w:rsidRDefault="0084326C" w:rsidP="0084326C">
      <w:pPr>
        <w:pStyle w:val="Axistitle"/>
        <w:ind w:left="0"/>
        <w:rPr>
          <w:noProof/>
        </w:rPr>
      </w:pPr>
      <w:r>
        <w:rPr>
          <w:noProof/>
        </w:rPr>
        <w:t>Telg 2 – Õigusküsimused</w:t>
      </w:r>
    </w:p>
    <w:p w14:paraId="40767ACD" w14:textId="77777777" w:rsidR="0084326C" w:rsidRPr="005D68A0" w:rsidRDefault="0084326C" w:rsidP="0084326C">
      <w:pPr>
        <w:spacing w:before="240" w:after="120"/>
        <w:jc w:val="both"/>
        <w:rPr>
          <w:rFonts w:eastAsiaTheme="minorHAnsi"/>
          <w:b/>
          <w:noProof/>
          <w:szCs w:val="22"/>
        </w:rPr>
      </w:pPr>
      <w:r>
        <w:rPr>
          <w:b/>
          <w:noProof/>
        </w:rPr>
        <w:t>Reform 1.4. Tsiviilõigus</w:t>
      </w:r>
    </w:p>
    <w:p w14:paraId="1C51E55D" w14:textId="77777777" w:rsidR="0084326C" w:rsidRPr="005D68A0" w:rsidRDefault="0084326C" w:rsidP="0084326C">
      <w:pPr>
        <w:spacing w:before="120" w:after="120"/>
        <w:jc w:val="both"/>
        <w:rPr>
          <w:noProof/>
        </w:rPr>
      </w:pPr>
      <w:r>
        <w:rPr>
          <w:noProof/>
        </w:rPr>
        <w:t>Reformi eesmärk on keskenduda peamiselt tsiviilkohtumenetluste kestuse lühendamisele, määrates kindlaks hulgaliselt hagisid, et vähendada sissetulevate kohtuasjade arvu kohtutes, lihtsustades olemasolevaid menetlusi, vähendades kohtuasjade kuhjumist ja suurendades kohtute tootlikkust. Sissetulevate kohtuasjade arvu vähenemine kohtutes saavutatakse vahendusmenetluse, vaidluste kohtuvälise lahendamise ja vahekohtumenetluse tugevdamisega ning kehtiva kohtulõivude kvantifitseerimise ja sissenõutavuse süsteemi läbivaatamisega. Lihtsustamise poole püüeldakse, tugevdades filtreerimismenetlusi apellatsiooni tasandil, laiendades juhtumeid, kus otsuse tegemine on ainukohtuniku pädevuses, tagades menetluste siduvate tähtaegade tegeliku rakendamise. Kohtute suurem tootlikkus saavutatakse järelevalvesüsteemi ja stiimulite abil, et saavutada kohtutes standardne tulemuslikkus. Reformi eesmärk on ka vähendada kohtuasjade kuhjumist tsiviilkohtutes ajutiste värbamismeetmete ja sihipäraste meetmete, sealhulgas pooleliolevate kohtuasjade arvu vähendamiseks mõeldud stimuleerimiskavade abil.</w:t>
      </w:r>
    </w:p>
    <w:p w14:paraId="0CD8E0ED" w14:textId="77777777" w:rsidR="0084326C" w:rsidRPr="005D68A0" w:rsidRDefault="0084326C" w:rsidP="0084326C">
      <w:pPr>
        <w:spacing w:before="240" w:after="120"/>
        <w:jc w:val="both"/>
        <w:rPr>
          <w:rFonts w:eastAsiaTheme="minorHAnsi"/>
          <w:b/>
          <w:noProof/>
          <w:szCs w:val="22"/>
        </w:rPr>
      </w:pPr>
      <w:r>
        <w:rPr>
          <w:b/>
          <w:noProof/>
        </w:rPr>
        <w:t>Reform 1.5. Kriminaalõigus</w:t>
      </w:r>
    </w:p>
    <w:p w14:paraId="7739AA27" w14:textId="77777777" w:rsidR="0084326C" w:rsidRPr="005D68A0" w:rsidRDefault="0084326C" w:rsidP="0084326C">
      <w:pPr>
        <w:spacing w:before="120" w:after="120"/>
        <w:jc w:val="both"/>
        <w:rPr>
          <w:noProof/>
        </w:rPr>
      </w:pPr>
      <w:r>
        <w:rPr>
          <w:noProof/>
        </w:rPr>
        <w:t xml:space="preserve">Reformi peamine eesmärk on vähendada kriminaalmenetluste kestust, tehes olemasolevate menetluste lihtsustamise ja kohtute tööviljakuse suurendamise abil kindlaks arvukad meetmed. Lihtsustamise eesmärk on laiendada lihtsustatud menetluste kohaldamist, laiendada digitehnoloogia kasutamist, määrata kindlaks tähtajad eeluurimise ajaks, vaadata läbi teavitussüsteem, et muuta see tõhusamaks. Kohtute suurem tootlikkus saavutatakse järelevalvesüsteemi ja stiimulite abil, et saavutada kohtutes standardne tulemuslikkus. </w:t>
      </w:r>
    </w:p>
    <w:p w14:paraId="7A419400" w14:textId="77777777" w:rsidR="0084326C" w:rsidRPr="005D68A0" w:rsidRDefault="0084326C" w:rsidP="0084326C">
      <w:pPr>
        <w:spacing w:before="240" w:after="120"/>
        <w:jc w:val="both"/>
        <w:rPr>
          <w:rFonts w:eastAsiaTheme="minorHAnsi"/>
          <w:b/>
          <w:noProof/>
          <w:szCs w:val="22"/>
        </w:rPr>
      </w:pPr>
      <w:r>
        <w:rPr>
          <w:b/>
          <w:noProof/>
        </w:rPr>
        <w:t>Reform 1.6. Maksejõuetus</w:t>
      </w:r>
    </w:p>
    <w:p w14:paraId="40D7AB54" w14:textId="77777777" w:rsidR="0084326C" w:rsidRPr="005D68A0" w:rsidRDefault="0084326C" w:rsidP="0084326C">
      <w:pPr>
        <w:spacing w:before="120" w:after="120"/>
        <w:jc w:val="both"/>
        <w:rPr>
          <w:noProof/>
        </w:rPr>
      </w:pPr>
      <w:r>
        <w:rPr>
          <w:noProof/>
        </w:rPr>
        <w:t xml:space="preserve">Reformi eesmärk on digiteerida ja tõhustada maksejõuetusmenetlusi, kehtestades enne maksejõuetust varajase hoiatamise mehhanismid, spetsialiseerudes kohtutele ja kohtueelsetele asutustele, et juhtida maksejõuetusmenetluse kõiki etappe tulemuslikumalt, sealhulgas kohtu- ja haldusasutuste liikmete koolitamise ja spetsialiseerumise kaudu. </w:t>
      </w:r>
    </w:p>
    <w:p w14:paraId="2CD47B93" w14:textId="77777777" w:rsidR="0084326C" w:rsidRPr="005D68A0" w:rsidRDefault="0084326C" w:rsidP="0084326C">
      <w:pPr>
        <w:spacing w:before="240" w:after="120"/>
        <w:jc w:val="both"/>
        <w:rPr>
          <w:rFonts w:eastAsiaTheme="minorHAnsi"/>
          <w:b/>
          <w:noProof/>
          <w:szCs w:val="22"/>
        </w:rPr>
      </w:pPr>
      <w:r>
        <w:rPr>
          <w:b/>
          <w:noProof/>
        </w:rPr>
        <w:t>Reform 1.7. Maksukohtud</w:t>
      </w:r>
    </w:p>
    <w:p w14:paraId="6E9589DF" w14:textId="77777777" w:rsidR="0084326C" w:rsidRPr="005D68A0" w:rsidRDefault="0084326C" w:rsidP="0084326C">
      <w:pPr>
        <w:spacing w:before="120" w:after="120"/>
        <w:jc w:val="both"/>
        <w:rPr>
          <w:noProof/>
        </w:rPr>
      </w:pPr>
      <w:r>
        <w:rPr>
          <w:noProof/>
        </w:rPr>
        <w:t xml:space="preserve">Reformi eesmärk on muuta maksuõiguse jõustamine tõhusamaks ja vähendada kassatsioonikohtule esitatavate kaebuste suurt hulka. </w:t>
      </w:r>
    </w:p>
    <w:p w14:paraId="79D7172F" w14:textId="77777777" w:rsidR="0084326C" w:rsidRPr="005D68A0" w:rsidRDefault="0084326C" w:rsidP="0084326C">
      <w:pPr>
        <w:spacing w:before="240" w:after="120"/>
        <w:jc w:val="both"/>
        <w:rPr>
          <w:rFonts w:eastAsiaTheme="minorHAnsi"/>
          <w:b/>
          <w:noProof/>
          <w:szCs w:val="22"/>
        </w:rPr>
      </w:pPr>
      <w:r>
        <w:rPr>
          <w:b/>
          <w:noProof/>
        </w:rPr>
        <w:t>Reform 1.8. Õigussüsteemi digiteerimine</w:t>
      </w:r>
    </w:p>
    <w:p w14:paraId="4BA16AEC" w14:textId="1C7E250B" w:rsidR="0084326C" w:rsidRPr="005D68A0" w:rsidRDefault="0084326C" w:rsidP="2FE7CD0A">
      <w:pPr>
        <w:spacing w:before="120" w:after="120"/>
        <w:jc w:val="both"/>
        <w:rPr>
          <w:noProof/>
        </w:rPr>
      </w:pPr>
      <w:r>
        <w:rPr>
          <w:noProof/>
        </w:rPr>
        <w:t>Reformiga nähakse ette kõigi dokumentide kohustuslik elektrooniline esitamine ja täielik elektrooniline töövoog tsiviilmenetluste jaoks. Samuti on selle eesmärk võtta kasutusele tasuta, täielikult ligipääsetav ja otsitav andmebaas tsiviilõiguslikest otsustest vastavalt õigusaktidele. Lõpuks on see suunatud esimese astme kriminaalmenetluste digiteerimisele.</w:t>
      </w:r>
    </w:p>
    <w:p w14:paraId="0A8FBB86" w14:textId="77777777" w:rsidR="0084326C" w:rsidRPr="005D68A0" w:rsidRDefault="0084326C" w:rsidP="0084326C">
      <w:pPr>
        <w:spacing w:before="240" w:after="120"/>
        <w:jc w:val="both"/>
        <w:rPr>
          <w:rFonts w:eastAsiaTheme="minorHAnsi"/>
          <w:b/>
          <w:noProof/>
          <w:szCs w:val="22"/>
        </w:rPr>
      </w:pPr>
      <w:r>
        <w:rPr>
          <w:b/>
          <w:noProof/>
        </w:rPr>
        <w:t>Investeering 1.8. Tsiviil-, kriminaal- ja halduskohtute värbamismenetlused</w:t>
      </w:r>
    </w:p>
    <w:p w14:paraId="4719CAB6" w14:textId="77777777" w:rsidR="0084326C" w:rsidRPr="005D68A0" w:rsidRDefault="0084326C" w:rsidP="0084326C">
      <w:pPr>
        <w:spacing w:before="120" w:after="120"/>
        <w:jc w:val="both"/>
        <w:rPr>
          <w:noProof/>
        </w:rPr>
      </w:pPr>
      <w:r>
        <w:rPr>
          <w:noProof/>
        </w:rPr>
        <w:t xml:space="preserve">Investeeringute eesmärk on lähiajal tegeleda organisatoorsete teguritega, et väljatöötatavad reformid saaksid kiiremini tulemusi saavutada, maksimeerides koostoimet ja saavutades samal ajal ümberkujundava muutuse kava raames antavate erakorraliste vahendite abil. </w:t>
      </w:r>
    </w:p>
    <w:p w14:paraId="43828973" w14:textId="5E5E2104" w:rsidR="0084326C" w:rsidRPr="005D68A0" w:rsidRDefault="0084326C" w:rsidP="0084326C">
      <w:pPr>
        <w:spacing w:before="120" w:after="120"/>
        <w:jc w:val="both"/>
        <w:rPr>
          <w:noProof/>
        </w:rPr>
      </w:pPr>
      <w:r>
        <w:rPr>
          <w:noProof/>
        </w:rPr>
        <w:t xml:space="preserve">Organisatoorne vahend nimetusega „kohtumenetluse kantselei“ seisneb kohtunike tugirühmade loomises (või nende tugevdamises, kui see on juba olemas) (ajutise töölevõtmise kaudu), eesmärgiga vähendada Itaalias mahajäämust ja korralduse tegemise aega. </w:t>
      </w:r>
    </w:p>
    <w:p w14:paraId="01DFD8BF" w14:textId="77777777" w:rsidR="0084326C" w:rsidRPr="005D68A0" w:rsidRDefault="0084326C" w:rsidP="0084326C">
      <w:pPr>
        <w:spacing w:before="120" w:after="120"/>
        <w:jc w:val="both"/>
        <w:rPr>
          <w:noProof/>
        </w:rPr>
      </w:pPr>
      <w:r>
        <w:rPr>
          <w:noProof/>
        </w:rPr>
        <w:t xml:space="preserve">Selle meetme eesmärk on parandada õigusemõistmise kvaliteeti, toetades kohtunikke tavapärastes uuringutes, õigusalastes uuringutes, õigusaktide koostamisel ja toimikute koostamisel ning võimaldades kohtunikel keskenduda keerukamatele ülesannetele. </w:t>
      </w:r>
    </w:p>
    <w:p w14:paraId="038AD44F" w14:textId="7585B3B1" w:rsidR="0084326C" w:rsidRPr="00F33804" w:rsidRDefault="0084326C" w:rsidP="0084326C">
      <w:pPr>
        <w:spacing w:before="120" w:after="120"/>
        <w:jc w:val="both"/>
        <w:rPr>
          <w:noProof/>
        </w:rPr>
      </w:pPr>
    </w:p>
    <w:p w14:paraId="7FFF81A9" w14:textId="044F5F81" w:rsidR="0084326C" w:rsidRPr="005D68A0" w:rsidRDefault="0084326C" w:rsidP="0084326C">
      <w:pPr>
        <w:spacing w:before="120" w:after="120"/>
        <w:jc w:val="both"/>
        <w:rPr>
          <w:noProof/>
        </w:rPr>
      </w:pPr>
      <w:r>
        <w:rPr>
          <w:noProof/>
        </w:rPr>
        <w:t>Investeeringud hõlmavad ka taaste- ja vastupidavuskava eesmärkide rakendamist toetavate tehniliste ja haldustöötajate palkamist. Kohtumenetluse osakonna töötajad ja tehniline halduspersonal toetavad haldus-, tsiviil- ja kriminaalkohtuid ning justiitsministeeriumi territoriaalseid ja kesktalitusi, kes vastutavad taaste- ja vastupidavuskava rakendamise eest. Personaliüksuse lepingute kestus on kuni kolm aastat, mida võib pikendada kuni 30. juunini 2026.</w:t>
      </w:r>
    </w:p>
    <w:p w14:paraId="081E329D" w14:textId="4C628DE7" w:rsidR="0084326C" w:rsidRPr="005D68A0" w:rsidRDefault="0084326C" w:rsidP="0084326C">
      <w:pPr>
        <w:spacing w:before="120" w:after="120"/>
        <w:jc w:val="both"/>
        <w:rPr>
          <w:noProof/>
        </w:rPr>
      </w:pPr>
      <w:r>
        <w:rPr>
          <w:noProof/>
        </w:rPr>
        <w:t xml:space="preserve">Investeeringud hõlmavad ka koolitust, et toetada kohtusüsteemis digiüleminekut. </w:t>
      </w:r>
    </w:p>
    <w:p w14:paraId="09886FE7" w14:textId="77777777" w:rsidR="0084326C" w:rsidRPr="005D68A0" w:rsidRDefault="0084326C" w:rsidP="0084326C">
      <w:pPr>
        <w:pStyle w:val="Axistitle"/>
        <w:ind w:left="0"/>
        <w:rPr>
          <w:noProof/>
        </w:rPr>
      </w:pPr>
      <w:r>
        <w:rPr>
          <w:noProof/>
        </w:rPr>
        <w:t>Telg 3 – Avalik haldus</w:t>
      </w:r>
    </w:p>
    <w:p w14:paraId="5239B39A" w14:textId="77777777" w:rsidR="0084326C" w:rsidRPr="005D68A0" w:rsidRDefault="0084326C" w:rsidP="0084326C">
      <w:pPr>
        <w:spacing w:before="240" w:after="120"/>
        <w:jc w:val="both"/>
        <w:rPr>
          <w:rFonts w:eastAsiaTheme="minorHAnsi"/>
          <w:b/>
          <w:noProof/>
          <w:szCs w:val="22"/>
        </w:rPr>
      </w:pPr>
      <w:r>
        <w:rPr>
          <w:b/>
          <w:noProof/>
        </w:rPr>
        <w:t>Reform 1.9. Avaliku sektori tööhõive reform ja lihtsustamise reform</w:t>
      </w:r>
    </w:p>
    <w:p w14:paraId="0AAC0E1D" w14:textId="77777777" w:rsidR="0084326C" w:rsidRPr="005D68A0" w:rsidRDefault="0084326C" w:rsidP="0084326C">
      <w:pPr>
        <w:keepNext/>
        <w:spacing w:before="120" w:after="120"/>
        <w:jc w:val="both"/>
        <w:rPr>
          <w:rFonts w:eastAsiaTheme="minorHAnsi"/>
          <w:noProof/>
        </w:rPr>
      </w:pPr>
      <w:r>
        <w:rPr>
          <w:noProof/>
        </w:rPr>
        <w:t>Avaliku sektori tööhõivereformid järgivad kaheastmelist lähenemisviisi. Lühiajalises perspektiivis võetakse kiireloomulisi meetmeid taaste- ja vastupidavusrahastu vahendite parimaks ärakasutamiseks seoses kava juhtimise ja haldusasutustele antava viivitamatu abiga, kuna haldussuutlikkus on puudulik. See strateegia on täienduseks organisatsioonireformidele ja inimressursside strateegiale, mille eesmärk on pöördeline muutus avalikus halduses tervikuna. Inimressursside strateegiliste kavade koostamisel on kindlaks määratud terviklik meetmete kogum, mille eesmärk on: ametikirjelduste ajakohastamine (pidades silmas ka topeltüleminekut); värbamismenetluste ümberkorraldamine, et need oleksid sihipärasemad ja tõhusamad; reformida kõrgemat avalikku teenistust, et ühtlustada ametisse nimetamise menetlusi avalikus halduses; elukestva õppe ja premeerimismehhanismide või konkreetsete karjäärivõimaluste vahelise seose tugevdamine; avaliku halduse eetikapõhimõtete määratlemine või ajakohastamine; soolisele tasakaalule pühendumise tugevdamine; ning töötajate horisontaalse ja vertikaalse liikuvuse reform. Reform hõlmab kiireloomulisi meetmeid haldusmenetluste lihtsustamiseks ettevõtjate ja kodanike hüvanguks, tagades samal ajal ka piirkondliku reformikava sujuva rakendamise.</w:t>
      </w:r>
    </w:p>
    <w:p w14:paraId="05A628FC" w14:textId="77777777" w:rsidR="0084326C" w:rsidRPr="005D68A0" w:rsidRDefault="0084326C" w:rsidP="0084326C">
      <w:pPr>
        <w:keepNext/>
        <w:spacing w:before="120" w:after="120"/>
        <w:jc w:val="both"/>
        <w:rPr>
          <w:noProof/>
        </w:rPr>
      </w:pPr>
      <w:r>
        <w:rPr>
          <w:noProof/>
        </w:rPr>
        <w:t xml:space="preserve">Lihtsustamise reformiga kõrvaldatakse load, mis ei ole põhjendatud üldiste huvide seisukohast eriti mõjuvate põhjustega, ning kaotatakse tarbetud või uusi tehnoloogiaid mittekasutavad kohustused. Lisaks võtab komisjon kasutusele vaikiva nõusoleku mehhanismi, lihtsa teabevahetuse ning piirkondade ja omavalitsustega ühise ühtse korra. </w:t>
      </w:r>
    </w:p>
    <w:p w14:paraId="527EF2BC" w14:textId="77777777" w:rsidR="0084326C" w:rsidRPr="005D68A0" w:rsidRDefault="0084326C" w:rsidP="0084326C">
      <w:pPr>
        <w:spacing w:before="120" w:after="120"/>
        <w:jc w:val="both"/>
        <w:rPr>
          <w:noProof/>
        </w:rPr>
      </w:pPr>
      <w:r>
        <w:rPr>
          <w:noProof/>
        </w:rPr>
        <w:t>Lihtsustamisreform hõlmab järgmisi elemente: äri- ja ehitusprotseduuride koostalitlusvõime (SUAP &amp; SUE); ühiste tulemustele suunatud tulemusnäitajate rakendamine; ning võtmetähtsusega tulemuslikkuse põhinäitajate kogumi määratlemine, et juhtida organisatsioonilisi muutusi haldusasutustes. Esimese peamiste tulemusnäitajate aruande avaldamisele järgneb järgmiste aruannete avaldamine iga kuue kuu järel.</w:t>
      </w:r>
    </w:p>
    <w:p w14:paraId="6B32F00F" w14:textId="77777777" w:rsidR="0084326C" w:rsidRPr="005D68A0" w:rsidRDefault="0084326C" w:rsidP="0084326C">
      <w:pPr>
        <w:spacing w:before="120" w:after="120"/>
        <w:jc w:val="both"/>
        <w:rPr>
          <w:noProof/>
        </w:rPr>
      </w:pPr>
      <w:r>
        <w:rPr>
          <w:noProof/>
        </w:rPr>
        <w:t xml:space="preserve">Esimese maksetaotluse esitamise ajaks peab olema sisse seatud ja töökorras teabehoidla süsteem, mille abil teostatakse järelevalvet riskikapitalifondi rakendamise üle. </w:t>
      </w:r>
    </w:p>
    <w:p w14:paraId="1C306085" w14:textId="254B78AC" w:rsidR="0084326C" w:rsidRPr="005D68A0" w:rsidRDefault="0084326C" w:rsidP="0084326C">
      <w:pPr>
        <w:spacing w:before="120" w:after="120"/>
        <w:jc w:val="both"/>
        <w:rPr>
          <w:b/>
          <w:noProof/>
        </w:rPr>
      </w:pPr>
      <w:r>
        <w:rPr>
          <w:b/>
          <w:noProof/>
        </w:rPr>
        <w:t>Reform 1.9bis. Reform ühtekuuluvuspoliitika rakendamise kiirendamiseks</w:t>
      </w:r>
    </w:p>
    <w:p w14:paraId="06F3858B" w14:textId="2F70CCE4" w:rsidR="0084326C" w:rsidRPr="005D68A0" w:rsidRDefault="0084326C" w:rsidP="0084326C">
      <w:pPr>
        <w:spacing w:before="120" w:after="120"/>
        <w:jc w:val="both"/>
        <w:rPr>
          <w:noProof/>
        </w:rPr>
      </w:pPr>
      <w:r>
        <w:rPr>
          <w:noProof/>
        </w:rPr>
        <w:t>Reformi eesmärk on kiirendada ühtekuuluvuspoliitika rakendamist ja tõhusust, täiendades seda riiklike taaste- ja vastupidavuskavadega. Selles nähakse ette ühtse erimajandustsooni strateegilise kava heakskiitmise kuupäev.</w:t>
      </w:r>
    </w:p>
    <w:p w14:paraId="4756D3F4" w14:textId="77777777" w:rsidR="0084326C" w:rsidRPr="005D68A0" w:rsidRDefault="0084326C" w:rsidP="0084326C">
      <w:pPr>
        <w:spacing w:before="120" w:after="120"/>
        <w:jc w:val="both"/>
        <w:rPr>
          <w:noProof/>
        </w:rPr>
      </w:pPr>
      <w:r>
        <w:rPr>
          <w:noProof/>
        </w:rPr>
        <w:t>Siseriiklikes õigusaktides nõutakse ühtse konverentsi arvamust enne selle seaduseks muutmist, nagu on ette nähtud seadusandlikus dekreedis nr 281/1997.</w:t>
      </w:r>
      <w:r>
        <w:rPr>
          <w:rStyle w:val="s10"/>
          <w:noProof/>
          <w:color w:val="000000" w:themeColor="text1"/>
        </w:rPr>
        <w:t xml:space="preserve"> </w:t>
      </w:r>
    </w:p>
    <w:p w14:paraId="690E02CB" w14:textId="77777777" w:rsidR="0084326C" w:rsidRPr="005D68A0" w:rsidRDefault="0084326C" w:rsidP="0084326C">
      <w:pPr>
        <w:spacing w:before="120" w:after="120"/>
        <w:jc w:val="both"/>
        <w:rPr>
          <w:noProof/>
        </w:rPr>
      </w:pPr>
      <w:r>
        <w:rPr>
          <w:noProof/>
        </w:rPr>
        <w:t>Vastavalt määruse (EL) 2021/241 artiklile 9 võib reform saada toetust muudest liidu programmidest ja vahenditest, tingimusel et selline toetus ei kata samu kulusid. Taaste- ja vastupidavusrahastust ei kaeta reformiga seotud kulusid.</w:t>
      </w:r>
    </w:p>
    <w:p w14:paraId="598E06B4" w14:textId="77777777" w:rsidR="0084326C" w:rsidRPr="005D68A0" w:rsidRDefault="0084326C" w:rsidP="0084326C">
      <w:pPr>
        <w:spacing w:before="240" w:after="120"/>
        <w:jc w:val="both"/>
        <w:rPr>
          <w:rFonts w:eastAsiaTheme="minorHAnsi"/>
          <w:b/>
          <w:noProof/>
          <w:szCs w:val="22"/>
        </w:rPr>
      </w:pPr>
      <w:r>
        <w:rPr>
          <w:b/>
          <w:noProof/>
        </w:rPr>
        <w:t>Investeering 1.9. Tehnilise abi andmine ja suutlikkuse suurendamine Itaalia taaste- ja vastupidavuskava rakendamiseks</w:t>
      </w:r>
    </w:p>
    <w:p w14:paraId="38A402E1" w14:textId="77777777" w:rsidR="0084326C" w:rsidRPr="005D68A0" w:rsidRDefault="0084326C" w:rsidP="0084326C">
      <w:pPr>
        <w:spacing w:before="120" w:after="120"/>
        <w:jc w:val="both"/>
        <w:rPr>
          <w:noProof/>
        </w:rPr>
      </w:pPr>
      <w:r>
        <w:rPr>
          <w:noProof/>
        </w:rPr>
        <w:t xml:space="preserve">Investeering seisneb ekspertide reservi ajutises värbamises, et pakkuda ametiasutustele tehnilist abi ja tugevdada haldussuutlikkust, eelkõige kohalikul tasandil, konkreetsete piirkondliku reformikava projektide rakendamiseks, mida kasutatakse vastavalt vajadusele. See investeering hõlmab ka avaliku sektori töötajate koolitusprogramme suutlikkuse suurendamise raames. </w:t>
      </w:r>
    </w:p>
    <w:p w14:paraId="070F4344" w14:textId="77777777" w:rsidR="0084326C" w:rsidRPr="005D68A0" w:rsidRDefault="0084326C" w:rsidP="0084326C">
      <w:pPr>
        <w:pStyle w:val="Axistitle"/>
        <w:ind w:left="0"/>
        <w:rPr>
          <w:noProof/>
        </w:rPr>
      </w:pPr>
      <w:r>
        <w:rPr>
          <w:noProof/>
        </w:rPr>
        <w:t>Telg 4 – Riigihanked ja riigiasutuste maksed</w:t>
      </w:r>
    </w:p>
    <w:p w14:paraId="6F942CCA" w14:textId="77777777" w:rsidR="0084326C" w:rsidRPr="005D68A0" w:rsidRDefault="0084326C" w:rsidP="0084326C">
      <w:pPr>
        <w:spacing w:before="240" w:after="120"/>
        <w:jc w:val="both"/>
        <w:rPr>
          <w:rFonts w:eastAsiaTheme="minorHAnsi"/>
          <w:b/>
          <w:noProof/>
          <w:szCs w:val="22"/>
        </w:rPr>
      </w:pPr>
      <w:r>
        <w:rPr>
          <w:b/>
          <w:noProof/>
        </w:rPr>
        <w:t>Reform 1.10. Riigihangete õigusraamistiku reform</w:t>
      </w:r>
    </w:p>
    <w:p w14:paraId="22873E37" w14:textId="77777777" w:rsidR="0084326C" w:rsidRPr="005D68A0" w:rsidRDefault="0084326C" w:rsidP="0084326C">
      <w:pPr>
        <w:spacing w:before="120" w:after="120"/>
        <w:jc w:val="both"/>
        <w:rPr>
          <w:noProof/>
        </w:rPr>
      </w:pPr>
      <w:r>
        <w:rPr>
          <w:noProof/>
        </w:rPr>
        <w:t>Reformi esimene samm on võtta 2021. aasta maiks vastu esimesed kiireloomulised lihtsustamismeetmed koos dekreetseadusega, et: lihtsustada ja digiteerida kesksete hankijate menetlusi; lepingute registreerimine riikliku korruptsioonivastase võitluse ameti (ANAC) korruptsioonivastase võitluse andmebaasis; luua ministeeriumides, piirkondades ja suurlinnades riigihankemenetluste eest vastutavad bürood; seada eesmärk vähendada avaldamise ja lepingu sõlmimise vahelist ning lepingu sõlmimise ja taristu valmimise vahelist aega; ning stimuleerib vaidluste kohtuvälise lahendamise mehhanisme lepingute täitmise etapis. Enne 2021. aasta lõppu on riigihankepoliitika ühtsel koordineerimisasutusel piisaval arvul töötajaid ja ta võtab vastu professionaalsuse suurendamise strateegia, pakkudes koolitusi eri tasanditel; dünaamilised hankesüsteemid tehakse kättesaadavaks kooskõlas riigihankedirektiividega; ANAC viib lõpule avaliku sektori hankijate kvalifitseerimise.</w:t>
      </w:r>
    </w:p>
    <w:p w14:paraId="396A8F22" w14:textId="77777777" w:rsidR="0084326C" w:rsidRPr="005D68A0" w:rsidRDefault="0084326C" w:rsidP="0084326C">
      <w:pPr>
        <w:spacing w:before="120" w:after="120"/>
        <w:jc w:val="both"/>
        <w:rPr>
          <w:noProof/>
        </w:rPr>
      </w:pPr>
      <w:r>
        <w:rPr>
          <w:noProof/>
        </w:rPr>
        <w:t>Reformi teine etapp koosneb riigihankeseadustiku muudatustest, mis tuleb rakendada 2023. aasta teises kvartalis ja mille eesmärk on: vähendada avaliku sektori hankijate killustatust; nõuda e-platvormi loomist põhinõudena, et osaleda hankesuutlikkuse üleriigilises hindamises; ning anda riiklikule korruptsioonivastasele asutusele volitused vaadata läbi hankijate kvalifikatsioonid. Reformi eesmärk on ka kesksete hankijate menetluste edasine lihtsustamine ja digiteerimine ning koostalitlusvõime ja omavahelise ühendatuse nõuete määratlemine. Reformiga vähendatakse ka allhangete võimaluse piiranguid, mis praegu sisalduvad riigihangete seadustikus.</w:t>
      </w:r>
    </w:p>
    <w:p w14:paraId="4801EC4F" w14:textId="77777777" w:rsidR="0084326C" w:rsidRPr="005D68A0" w:rsidRDefault="0084326C" w:rsidP="0084326C">
      <w:pPr>
        <w:spacing w:before="120" w:after="120"/>
        <w:jc w:val="both"/>
        <w:rPr>
          <w:noProof/>
        </w:rPr>
      </w:pPr>
      <w:r>
        <w:rPr>
          <w:noProof/>
        </w:rPr>
        <w:t>See reform hõlmab ka riikliku e-riigihangete süsteemi kasutuselevõttu 2023. aasta lõpuks ja sihipäraste meetmete kehtestamist, sealhulgas esmaste ja/või teiseste õigusaktide vastuvõtmise kaudu, et veelgi parandada avaliku sektori hankijate kvalifitseerimist ja kutseliseks muutmist ning suurendada konkurentsi (nt muutes projektide rahastamise suhtes kohaldatavaid eeskirju).</w:t>
      </w:r>
    </w:p>
    <w:p w14:paraId="0CD36E31" w14:textId="77777777" w:rsidR="0084326C" w:rsidRPr="005D68A0" w:rsidRDefault="0084326C" w:rsidP="0084326C">
      <w:pPr>
        <w:spacing w:before="240" w:after="120"/>
        <w:jc w:val="both"/>
        <w:rPr>
          <w:rFonts w:eastAsiaTheme="minorEastAsia"/>
          <w:b/>
          <w:noProof/>
        </w:rPr>
      </w:pPr>
      <w:r>
        <w:rPr>
          <w:b/>
          <w:noProof/>
        </w:rPr>
        <w:t>Reform 1.11. Haldus- ja tervishoiuasutuste hilinenud maksete vähendamine</w:t>
      </w:r>
    </w:p>
    <w:p w14:paraId="2636F8F6" w14:textId="77777777" w:rsidR="0084326C" w:rsidRPr="005D68A0" w:rsidRDefault="0084326C" w:rsidP="0084326C">
      <w:pPr>
        <w:spacing w:before="240" w:after="120"/>
        <w:jc w:val="both"/>
        <w:rPr>
          <w:rFonts w:eastAsiaTheme="minorEastAsia"/>
          <w:b/>
          <w:noProof/>
        </w:rPr>
      </w:pPr>
      <w:r>
        <w:rPr>
          <w:noProof/>
        </w:rPr>
        <w:t>Reformi eesmärk on vähendada hilinenud makseid ja vältida viivitusi maksete tegemisel alates avalikust haldusest kuni ettevõteteni. Reform hõlmab alates 2024. aastast struktuuripaketi vastuvõtmist, mis hõlmab nii kesk- kui ka kohaliku tasandi meetmeid, sealhulgas õigusaktide jõustumist.</w:t>
      </w:r>
    </w:p>
    <w:p w14:paraId="25F9C0D2" w14:textId="77777777" w:rsidR="0084326C" w:rsidRPr="005D68A0" w:rsidRDefault="0084326C" w:rsidP="0084326C">
      <w:pPr>
        <w:ind w:firstLine="11"/>
        <w:jc w:val="both"/>
        <w:rPr>
          <w:noProof/>
        </w:rPr>
      </w:pPr>
      <w:r>
        <w:rPr>
          <w:noProof/>
        </w:rPr>
        <w:t>Reformi eesmärk on tagada, et 2025. aastaks i) keskvalitsuse, piirkondliku ja kohaliku tasandi haldusasutused maksaksid 30 päeva jooksul ja ii) piirkondlikud tervishoiuasutused maksaksid 60 päeva jooksul. Selleks et tagada hilinenud maksete probleemi struktuurne lahendamine, hõlmab reform ka seda, et 2026. aastal i) jätkavad keskvalitsuse, piirkondliku ja kohaliku tasandi haldusasutused maksete tegemist 30 päeva jooksul ning ii) piirkondlikud tervishoiuasutused jätkavad maksete tegemist 60 päeva jooksul.</w:t>
      </w:r>
    </w:p>
    <w:p w14:paraId="79670EC1" w14:textId="46A75C90" w:rsidR="0084326C" w:rsidRPr="005D68A0" w:rsidRDefault="0084326C" w:rsidP="0084326C">
      <w:pPr>
        <w:pStyle w:val="Axistitle"/>
        <w:ind w:left="0"/>
        <w:rPr>
          <w:noProof/>
        </w:rPr>
      </w:pPr>
      <w:r>
        <w:rPr>
          <w:noProof/>
        </w:rPr>
        <w:t>Telg 5</w:t>
      </w:r>
      <w:r w:rsidR="00F33804">
        <w:rPr>
          <w:noProof/>
        </w:rPr>
        <w:t xml:space="preserve"> –</w:t>
      </w:r>
      <w:r>
        <w:rPr>
          <w:noProof/>
        </w:rPr>
        <w:t xml:space="preserve"> Eelarve- ja struktuurireformid (maksustamine ja avaliku sektori kulud)</w:t>
      </w:r>
    </w:p>
    <w:p w14:paraId="01ADF37C" w14:textId="77777777" w:rsidR="0084326C" w:rsidRPr="005D68A0" w:rsidRDefault="0084326C" w:rsidP="0084326C">
      <w:pPr>
        <w:spacing w:before="240" w:after="120"/>
        <w:jc w:val="both"/>
        <w:rPr>
          <w:rFonts w:eastAsiaTheme="minorHAnsi"/>
          <w:b/>
          <w:noProof/>
          <w:szCs w:val="22"/>
        </w:rPr>
      </w:pPr>
      <w:r>
        <w:rPr>
          <w:b/>
          <w:noProof/>
        </w:rPr>
        <w:t>Reform 1.12. Maksukorralduse reform</w:t>
      </w:r>
    </w:p>
    <w:p w14:paraId="096288C8" w14:textId="7EAA4DF9" w:rsidR="0084326C" w:rsidRPr="005D68A0" w:rsidRDefault="0084326C" w:rsidP="0084326C">
      <w:pPr>
        <w:jc w:val="both"/>
        <w:rPr>
          <w:noProof/>
        </w:rPr>
      </w:pPr>
      <w:r>
        <w:rPr>
          <w:noProof/>
        </w:rPr>
        <w:t>Võetakse vastu mitu meedet, et edendada maksukuulekust ning parandada auditite ja kontrollide suunamise tõhusust, sealhulgas: i) andmebaasi ja spetsiaalse IT-taristu loomine eelnevalt koostatud käibedeklaratsiooni avaldamiseks; ii) parandada vastavuskirjade jaoks kasutatava andmebaasi kvaliteeti, muu hulgas eesmärgiga vähendada valepositiivsete teadete esinemist, suurendades järk-järgult maksumaksjatele edastatavate teadete arvu; iii) kehtivate õigusaktide reformimine, et tagada tõhusad halduskaristused juhul, kui erasektori teenusepakkujad keelduvad elektroonilisi makseid vastu võtmast; iv) andmete pseudonüümimise ja suurandmete analüüsi protsessi lõpuleviimine, et suurendada auditite valikuprotsessi aluseks oleva riskianalüüsi tõhusust. Nende reformide rakendamiseks ja maksuameti tegevussuutlikkuse suurendamiseks suurendatakse ameti töötajate arvu 4 113 üksuse võrra kooskõlas ameti tulemuslikkuse kavaga aastateks 2021-2023. Lisaks vaatab valitsus läbi võimalikud meetmed, et vähendada arvete esitamata jätmisest tingitud maksudest kõrvalehoidumist kõige haavatavamates sektorites, sealhulgas tarbijatele suunatud stiimulite kaudu, ning võtab läbivaatamise tulemuste põhjal tõhusaid meetmeid, võttes ambitsioonika kohustuse vähendada maksudest kõrvalehoidumise kalduvust.</w:t>
      </w:r>
    </w:p>
    <w:p w14:paraId="242624FF" w14:textId="77777777" w:rsidR="0084326C" w:rsidRPr="005D68A0" w:rsidRDefault="0084326C" w:rsidP="0084326C">
      <w:pPr>
        <w:spacing w:before="240" w:after="120"/>
        <w:jc w:val="both"/>
        <w:rPr>
          <w:rFonts w:eastAsiaTheme="minorHAnsi"/>
          <w:b/>
          <w:noProof/>
          <w:szCs w:val="22"/>
        </w:rPr>
      </w:pPr>
      <w:r>
        <w:rPr>
          <w:b/>
          <w:noProof/>
        </w:rPr>
        <w:t>Reform 1.13. Kulude läbivaatamise raamistiku reform</w:t>
      </w:r>
    </w:p>
    <w:p w14:paraId="666607EB" w14:textId="77777777" w:rsidR="0084326C" w:rsidRPr="005D68A0" w:rsidRDefault="0084326C" w:rsidP="0084326C">
      <w:pPr>
        <w:jc w:val="both"/>
        <w:rPr>
          <w:noProof/>
        </w:rPr>
      </w:pPr>
      <w:r>
        <w:rPr>
          <w:noProof/>
        </w:rPr>
        <w:t>Kava hõlmab kulude läbivaatamise raamistiku reformi, mille eesmärk on parandada selle tõhusust, sealhulgas tugevdades rahandusministeeriumi rolli ja järelhindamise protsessi ning parandades keskkonnahoidliku ja sooteadliku eelarvestamise tava. Kava sisaldab ka kohustust teha kehtiva õigusraamistiku alusel iga-aastane kulutuste läbivaatamine ajavahemikul 2023-2025, et saavutada eelarvekokkuhoid, et toetada riigi jätkusuutlikku rahandust ja/või rahastada majanduskasvu soodustavaid reforme maksude või avaliku sektori kulutuste valdkonnas.</w:t>
      </w:r>
    </w:p>
    <w:p w14:paraId="734AA34A" w14:textId="77777777" w:rsidR="0084326C" w:rsidRPr="005D68A0" w:rsidRDefault="0084326C" w:rsidP="0084326C">
      <w:pPr>
        <w:spacing w:before="240" w:after="120"/>
        <w:jc w:val="both"/>
        <w:rPr>
          <w:rFonts w:eastAsiaTheme="minorEastAsia"/>
          <w:b/>
          <w:noProof/>
        </w:rPr>
      </w:pPr>
      <w:r>
        <w:rPr>
          <w:b/>
          <w:noProof/>
        </w:rPr>
        <w:t>Reform 1.14. Piirkondliku eelarveraamistiku reform</w:t>
      </w:r>
    </w:p>
    <w:p w14:paraId="11673909" w14:textId="3684D5D5" w:rsidR="0084326C" w:rsidRPr="005D68A0" w:rsidRDefault="0084326C" w:rsidP="0084326C">
      <w:pPr>
        <w:jc w:val="both"/>
        <w:rPr>
          <w:noProof/>
        </w:rPr>
      </w:pPr>
      <w:r>
        <w:rPr>
          <w:noProof/>
        </w:rPr>
        <w:t>Reform seisneb eelarve föderalismi lõpuleviimises, nagu on sätestatud delegeerimisseaduses nr 42/2009, eesmärgiga parandada fiskaalsuhete läbipaistvust eri valitsustasanditel, eraldada vahendeid riigi tasandist madalama tasandi valitsustele objektiivsete kriteeriumide alusel ja soodustada kulutuste tõhusust riigi tasandist madalamal tasandil. Eelkõige määratakse reformiga kindlaks asjakohased parameetrid fiskaalföderalismi rakendamiseks tavastaatusega piirkondade, provintside ja suurlinnade puhul.</w:t>
      </w:r>
    </w:p>
    <w:p w14:paraId="4003B828" w14:textId="77777777" w:rsidR="0084326C" w:rsidRPr="005D68A0" w:rsidRDefault="0084326C" w:rsidP="0084326C">
      <w:pPr>
        <w:spacing w:before="240" w:after="120"/>
        <w:jc w:val="both"/>
        <w:rPr>
          <w:rFonts w:eastAsiaTheme="minorHAnsi"/>
          <w:b/>
          <w:noProof/>
          <w:szCs w:val="22"/>
        </w:rPr>
      </w:pPr>
      <w:r>
        <w:rPr>
          <w:b/>
          <w:noProof/>
        </w:rPr>
        <w:t>Reform 1.15. Avaliku sektori raamatupidamisarvestuse eeskirjade reform</w:t>
      </w:r>
    </w:p>
    <w:p w14:paraId="69BC9E9C" w14:textId="27D65491" w:rsidR="0084326C" w:rsidRPr="005D68A0" w:rsidRDefault="0084326C" w:rsidP="72D320C3">
      <w:pPr>
        <w:jc w:val="both"/>
        <w:rPr>
          <w:rFonts w:eastAsiaTheme="minorEastAsia"/>
          <w:noProof/>
        </w:rPr>
      </w:pPr>
      <w:r>
        <w:rPr>
          <w:noProof/>
        </w:rPr>
        <w:t>Reformi eesmärk on kaotada lõhe Euroopa raamatupidamisstandarditega, rakendades avaliku sektori jaoks ühtset tekkepõhist raamatupidamissüsteemi. Reformiga viiakse lõpule tekkepõhise raamatupidamissüsteemi kontseptuaalse raamistiku väljatöötamine vastavalt Eurostati määratletud kvalitatiivsetele omadustele, tekkepõhise raamatupidamisarvestuse standarditele ja mitmemõõtmelisele kontoplaanile. Reformi täiendab esimene koolitusvoor, et minna üle uuele tekkepõhisele raamatupidamissüsteemile avaliku sektori asutuste esindajatele, kes katavad vähemalt 90 % kogu avaliku sektori esmastest kuludest.</w:t>
      </w:r>
    </w:p>
    <w:p w14:paraId="041DBCD6" w14:textId="77777777" w:rsidR="0084326C" w:rsidRPr="005D68A0" w:rsidRDefault="0084326C" w:rsidP="0084326C">
      <w:pPr>
        <w:spacing w:before="120" w:after="120"/>
        <w:jc w:val="both"/>
        <w:rPr>
          <w:rFonts w:eastAsiaTheme="minorEastAsia"/>
          <w:b/>
          <w:bCs/>
          <w:noProof/>
        </w:rPr>
      </w:pPr>
      <w:r>
        <w:rPr>
          <w:b/>
          <w:noProof/>
        </w:rPr>
        <w:t xml:space="preserve">Investeering 1.10. Kvalifikatsioonitoetus ja e-hanked </w:t>
      </w:r>
    </w:p>
    <w:p w14:paraId="03E22261" w14:textId="77777777" w:rsidR="0084326C" w:rsidRPr="005D68A0" w:rsidRDefault="0084326C" w:rsidP="0084326C">
      <w:pPr>
        <w:spacing w:before="120" w:after="120"/>
        <w:jc w:val="both"/>
        <w:rPr>
          <w:noProof/>
        </w:rPr>
      </w:pPr>
      <w:r>
        <w:rPr>
          <w:noProof/>
        </w:rPr>
        <w:t>Selle investeeringuga luuakse avaliku sektori hankijate professionaalsuse strateegia raames hangete tugifunktsioon, mis on ette nähtud avaliku sektori hankijatele, et täita riigihankeseadustiku II lisa punkti 4 nõudeid ja toetada neid e-riigihangete protsessis, toetades digioskuste omandamist ja pakkudes tehnilist tuge riigihangete digitaliseerimisel, sealhulgas dünaamiliste hankesüsteemide kasutamisel.</w:t>
      </w:r>
    </w:p>
    <w:p w14:paraId="154DA567" w14:textId="77777777" w:rsidR="0084326C" w:rsidRPr="00F33804" w:rsidRDefault="0084326C" w:rsidP="0084326C">
      <w:pPr>
        <w:spacing w:before="120" w:after="120"/>
        <w:jc w:val="both"/>
        <w:rPr>
          <w:rFonts w:eastAsiaTheme="minorHAnsi"/>
          <w:noProof/>
          <w:szCs w:val="22"/>
          <w:lang w:eastAsia="en-US"/>
        </w:rPr>
        <w:sectPr w:rsidR="0084326C" w:rsidRPr="00F33804" w:rsidSect="00994F5E">
          <w:headerReference w:type="even" r:id="rId18"/>
          <w:headerReference w:type="default" r:id="rId19"/>
          <w:footerReference w:type="even" r:id="rId20"/>
          <w:footerReference w:type="default" r:id="rId21"/>
          <w:headerReference w:type="first" r:id="rId22"/>
          <w:footerReference w:type="first" r:id="rId23"/>
          <w:pgSz w:w="11907" w:h="16839"/>
          <w:pgMar w:top="1440" w:right="1440" w:bottom="1440" w:left="1440" w:header="567" w:footer="567" w:gutter="0"/>
          <w:cols w:space="720"/>
          <w:docGrid w:linePitch="360"/>
        </w:sectPr>
      </w:pPr>
    </w:p>
    <w:p w14:paraId="5ECF22CE" w14:textId="77777777" w:rsidR="0084326C" w:rsidRPr="005D68A0" w:rsidRDefault="0084326C" w:rsidP="0084326C">
      <w:pPr>
        <w:pStyle w:val="Heading3"/>
        <w:numPr>
          <w:ilvl w:val="0"/>
          <w:numId w:val="0"/>
        </w:numPr>
        <w:ind w:left="850" w:hanging="850"/>
        <w:rPr>
          <w:b/>
          <w:bCs w:val="0"/>
          <w:i w:val="0"/>
          <w:iCs/>
          <w:noProof/>
          <w:u w:val="single"/>
        </w:rPr>
      </w:pPr>
      <w:r>
        <w:rPr>
          <w:b/>
          <w:i w:val="0"/>
          <w:noProof/>
          <w:u w:val="single"/>
        </w:rPr>
        <w:t xml:space="preserve">A.2. </w:t>
      </w:r>
      <w:r>
        <w:rPr>
          <w:noProof/>
        </w:rPr>
        <w:tab/>
      </w:r>
      <w:r>
        <w:rPr>
          <w:b/>
          <w:i w:val="0"/>
          <w:noProof/>
          <w:u w:val="single"/>
        </w:rPr>
        <w:t>Tagastamatu rahalise toetuse eesmärgid, sihid, näitajad ning seire ja rakendamise ajakava</w:t>
      </w:r>
    </w:p>
    <w:tbl>
      <w:tblPr>
        <w:tblW w:w="15503"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253"/>
        <w:gridCol w:w="1568"/>
        <w:gridCol w:w="1148"/>
        <w:gridCol w:w="1470"/>
        <w:gridCol w:w="1701"/>
        <w:gridCol w:w="1134"/>
        <w:gridCol w:w="1417"/>
        <w:gridCol w:w="1425"/>
        <w:gridCol w:w="843"/>
        <w:gridCol w:w="567"/>
        <w:gridCol w:w="2977"/>
      </w:tblGrid>
      <w:tr w:rsidR="00512838" w:rsidRPr="00150B7E" w14:paraId="4B570E73" w14:textId="77777777" w:rsidTr="0183CD37">
        <w:trPr>
          <w:trHeight w:val="765"/>
          <w:tblHeader/>
        </w:trPr>
        <w:tc>
          <w:tcPr>
            <w:tcW w:w="1253" w:type="dxa"/>
            <w:vMerge w:val="restart"/>
            <w:shd w:val="clear" w:color="auto" w:fill="BDD7EE"/>
            <w:vAlign w:val="center"/>
            <w:hideMark/>
          </w:tcPr>
          <w:p w14:paraId="4B771021" w14:textId="77777777" w:rsidR="0084326C" w:rsidRPr="005D68A0" w:rsidRDefault="0084326C">
            <w:pPr>
              <w:jc w:val="center"/>
              <w:rPr>
                <w:rFonts w:ascii="Arial Narrow" w:hAnsi="Arial Narrow" w:cs="Arial"/>
                <w:b/>
                <w:bCs/>
                <w:noProof/>
                <w:sz w:val="20"/>
                <w:szCs w:val="20"/>
              </w:rPr>
            </w:pPr>
            <w:r>
              <w:rPr>
                <w:rFonts w:ascii="Arial Narrow" w:hAnsi="Arial Narrow"/>
                <w:b/>
                <w:noProof/>
                <w:sz w:val="20"/>
              </w:rPr>
              <w:t>Järjekorranumber</w:t>
            </w:r>
          </w:p>
        </w:tc>
        <w:tc>
          <w:tcPr>
            <w:tcW w:w="1568" w:type="dxa"/>
            <w:vMerge w:val="restart"/>
            <w:shd w:val="clear" w:color="auto" w:fill="BDD7EE"/>
            <w:vAlign w:val="center"/>
            <w:hideMark/>
          </w:tcPr>
          <w:p w14:paraId="31B28CEB" w14:textId="77777777" w:rsidR="0084326C" w:rsidRPr="005D68A0" w:rsidRDefault="0084326C">
            <w:pPr>
              <w:jc w:val="center"/>
              <w:rPr>
                <w:rFonts w:ascii="Arial Narrow" w:hAnsi="Arial Narrow" w:cs="Arial"/>
                <w:b/>
                <w:bCs/>
                <w:noProof/>
                <w:sz w:val="20"/>
                <w:szCs w:val="20"/>
              </w:rPr>
            </w:pPr>
            <w:r>
              <w:rPr>
                <w:rFonts w:ascii="Arial Narrow" w:hAnsi="Arial Narrow"/>
                <w:b/>
                <w:noProof/>
                <w:sz w:val="20"/>
              </w:rPr>
              <w:t>Seotud meede (reform või investeering)</w:t>
            </w:r>
          </w:p>
        </w:tc>
        <w:tc>
          <w:tcPr>
            <w:tcW w:w="1148" w:type="dxa"/>
            <w:vMerge w:val="restart"/>
            <w:shd w:val="clear" w:color="auto" w:fill="BDD7EE"/>
            <w:vAlign w:val="center"/>
            <w:hideMark/>
          </w:tcPr>
          <w:p w14:paraId="29D4DF6D" w14:textId="77777777" w:rsidR="0084326C" w:rsidRPr="005D68A0" w:rsidRDefault="0084326C">
            <w:pPr>
              <w:jc w:val="center"/>
              <w:rPr>
                <w:rFonts w:ascii="Arial Narrow" w:hAnsi="Arial Narrow" w:cs="Arial"/>
                <w:b/>
                <w:bCs/>
                <w:noProof/>
                <w:sz w:val="20"/>
                <w:szCs w:val="20"/>
              </w:rPr>
            </w:pPr>
            <w:r>
              <w:rPr>
                <w:rFonts w:ascii="Arial Narrow" w:hAnsi="Arial Narrow"/>
                <w:b/>
                <w:noProof/>
                <w:sz w:val="20"/>
              </w:rPr>
              <w:t>Eesmärk</w:t>
            </w:r>
          </w:p>
          <w:p w14:paraId="668C1A15" w14:textId="77777777" w:rsidR="0084326C" w:rsidRPr="005D68A0" w:rsidRDefault="0084326C">
            <w:pPr>
              <w:jc w:val="center"/>
              <w:rPr>
                <w:rFonts w:ascii="Arial Narrow" w:hAnsi="Arial Narrow" w:cs="Arial"/>
                <w:b/>
                <w:bCs/>
                <w:noProof/>
                <w:sz w:val="20"/>
                <w:szCs w:val="20"/>
              </w:rPr>
            </w:pPr>
            <w:r>
              <w:rPr>
                <w:rFonts w:ascii="Arial Narrow" w:hAnsi="Arial Narrow"/>
                <w:b/>
                <w:noProof/>
                <w:sz w:val="20"/>
              </w:rPr>
              <w:t>/ Siht</w:t>
            </w:r>
          </w:p>
        </w:tc>
        <w:tc>
          <w:tcPr>
            <w:tcW w:w="1470" w:type="dxa"/>
            <w:vMerge w:val="restart"/>
            <w:shd w:val="clear" w:color="auto" w:fill="BDD7EE"/>
            <w:vAlign w:val="center"/>
            <w:hideMark/>
          </w:tcPr>
          <w:p w14:paraId="27D18E64" w14:textId="77777777" w:rsidR="0084326C" w:rsidRPr="005D68A0" w:rsidRDefault="0084326C">
            <w:pPr>
              <w:jc w:val="center"/>
              <w:rPr>
                <w:rFonts w:ascii="Arial Narrow" w:hAnsi="Arial Narrow" w:cs="Arial"/>
                <w:b/>
                <w:bCs/>
                <w:noProof/>
                <w:sz w:val="20"/>
                <w:szCs w:val="20"/>
              </w:rPr>
            </w:pPr>
            <w:r>
              <w:rPr>
                <w:rFonts w:ascii="Arial Narrow" w:hAnsi="Arial Narrow"/>
                <w:b/>
                <w:noProof/>
                <w:sz w:val="20"/>
              </w:rPr>
              <w:t>Nimi</w:t>
            </w:r>
          </w:p>
        </w:tc>
        <w:tc>
          <w:tcPr>
            <w:tcW w:w="1701" w:type="dxa"/>
            <w:vMerge w:val="restart"/>
            <w:shd w:val="clear" w:color="auto" w:fill="BDD7EE"/>
            <w:vAlign w:val="center"/>
            <w:hideMark/>
          </w:tcPr>
          <w:p w14:paraId="2D506859" w14:textId="77777777" w:rsidR="0084326C" w:rsidRPr="005D68A0" w:rsidRDefault="0084326C">
            <w:pPr>
              <w:jc w:val="center"/>
              <w:rPr>
                <w:rFonts w:ascii="Arial Narrow" w:hAnsi="Arial Narrow" w:cs="Arial"/>
                <w:b/>
                <w:bCs/>
                <w:noProof/>
                <w:sz w:val="20"/>
                <w:szCs w:val="20"/>
              </w:rPr>
            </w:pPr>
            <w:r>
              <w:rPr>
                <w:rFonts w:ascii="Arial Narrow" w:hAnsi="Arial Narrow"/>
                <w:b/>
                <w:noProof/>
                <w:sz w:val="20"/>
              </w:rPr>
              <w:t>Kvalitatiivsed näitajad</w:t>
            </w:r>
            <w:r>
              <w:rPr>
                <w:noProof/>
              </w:rPr>
              <w:t xml:space="preserve"> </w:t>
            </w:r>
            <w:r>
              <w:rPr>
                <w:noProof/>
              </w:rPr>
              <w:br/>
            </w:r>
            <w:r>
              <w:rPr>
                <w:rFonts w:ascii="Arial Narrow" w:hAnsi="Arial Narrow"/>
                <w:b/>
                <w:noProof/>
                <w:sz w:val="20"/>
              </w:rPr>
              <w:t>(eesmärkide puhul)</w:t>
            </w:r>
          </w:p>
        </w:tc>
        <w:tc>
          <w:tcPr>
            <w:tcW w:w="3976" w:type="dxa"/>
            <w:gridSpan w:val="3"/>
            <w:shd w:val="clear" w:color="auto" w:fill="BDD7EE"/>
            <w:vAlign w:val="center"/>
            <w:hideMark/>
          </w:tcPr>
          <w:p w14:paraId="00BFE5E5" w14:textId="77777777" w:rsidR="0084326C" w:rsidRPr="005D68A0" w:rsidRDefault="0084326C">
            <w:pPr>
              <w:jc w:val="center"/>
              <w:rPr>
                <w:rFonts w:ascii="Arial Narrow" w:hAnsi="Arial Narrow" w:cs="Arial"/>
                <w:b/>
                <w:bCs/>
                <w:noProof/>
                <w:sz w:val="20"/>
                <w:szCs w:val="20"/>
              </w:rPr>
            </w:pPr>
            <w:r>
              <w:rPr>
                <w:rFonts w:ascii="Arial Narrow" w:hAnsi="Arial Narrow"/>
                <w:b/>
                <w:noProof/>
                <w:sz w:val="20"/>
              </w:rPr>
              <w:t xml:space="preserve">Kvantitatiivsed näitajad </w:t>
            </w:r>
            <w:r>
              <w:rPr>
                <w:noProof/>
              </w:rPr>
              <w:br/>
            </w:r>
            <w:r>
              <w:rPr>
                <w:rFonts w:ascii="Arial Narrow" w:hAnsi="Arial Narrow"/>
                <w:b/>
                <w:noProof/>
                <w:sz w:val="20"/>
              </w:rPr>
              <w:t>(sihtide puhul)</w:t>
            </w:r>
          </w:p>
        </w:tc>
        <w:tc>
          <w:tcPr>
            <w:tcW w:w="1410" w:type="dxa"/>
            <w:gridSpan w:val="2"/>
            <w:shd w:val="clear" w:color="auto" w:fill="BDD7EE"/>
            <w:vAlign w:val="center"/>
            <w:hideMark/>
          </w:tcPr>
          <w:p w14:paraId="5CE32136" w14:textId="77777777" w:rsidR="0084326C" w:rsidRPr="005D68A0" w:rsidRDefault="0084326C">
            <w:pPr>
              <w:jc w:val="center"/>
              <w:rPr>
                <w:rFonts w:ascii="Arial Narrow" w:hAnsi="Arial Narrow" w:cs="Arial"/>
                <w:b/>
                <w:bCs/>
                <w:noProof/>
                <w:sz w:val="20"/>
                <w:szCs w:val="20"/>
              </w:rPr>
            </w:pPr>
            <w:r>
              <w:rPr>
                <w:rFonts w:ascii="Arial Narrow" w:hAnsi="Arial Narrow"/>
                <w:b/>
                <w:noProof/>
                <w:sz w:val="20"/>
              </w:rPr>
              <w:t>Lõpuleviimise soovituslik ajakava</w:t>
            </w:r>
          </w:p>
        </w:tc>
        <w:tc>
          <w:tcPr>
            <w:tcW w:w="2977" w:type="dxa"/>
            <w:vMerge w:val="restart"/>
            <w:shd w:val="clear" w:color="auto" w:fill="BDD7EE"/>
            <w:vAlign w:val="center"/>
            <w:hideMark/>
          </w:tcPr>
          <w:p w14:paraId="107DF61A" w14:textId="77777777" w:rsidR="0084326C" w:rsidRPr="005D68A0" w:rsidRDefault="0084326C">
            <w:pPr>
              <w:jc w:val="center"/>
              <w:rPr>
                <w:rFonts w:ascii="Arial Narrow" w:hAnsi="Arial Narrow" w:cs="Arial"/>
                <w:b/>
                <w:bCs/>
                <w:noProof/>
                <w:sz w:val="20"/>
                <w:szCs w:val="20"/>
              </w:rPr>
            </w:pPr>
            <w:r>
              <w:rPr>
                <w:rFonts w:ascii="Arial Narrow" w:hAnsi="Arial Narrow"/>
                <w:b/>
                <w:noProof/>
                <w:sz w:val="20"/>
              </w:rPr>
              <w:t>Iga eesmärgi ja sihi kirjeldus</w:t>
            </w:r>
          </w:p>
        </w:tc>
      </w:tr>
      <w:tr w:rsidR="00512838" w:rsidRPr="005D68A0" w14:paraId="18A54E24" w14:textId="77777777" w:rsidTr="0183CD37">
        <w:trPr>
          <w:trHeight w:val="691"/>
          <w:tblHeader/>
        </w:trPr>
        <w:tc>
          <w:tcPr>
            <w:tcW w:w="1253" w:type="dxa"/>
            <w:vMerge/>
            <w:vAlign w:val="center"/>
            <w:hideMark/>
          </w:tcPr>
          <w:p w14:paraId="65D224CC" w14:textId="77777777" w:rsidR="0084326C" w:rsidRPr="00F33804" w:rsidRDefault="0084326C">
            <w:pPr>
              <w:jc w:val="center"/>
              <w:rPr>
                <w:rFonts w:ascii="Arial Narrow" w:hAnsi="Arial Narrow" w:cs="Arial"/>
                <w:b/>
                <w:bCs/>
                <w:noProof/>
                <w:sz w:val="20"/>
                <w:szCs w:val="20"/>
              </w:rPr>
            </w:pPr>
          </w:p>
        </w:tc>
        <w:tc>
          <w:tcPr>
            <w:tcW w:w="1568" w:type="dxa"/>
            <w:vMerge/>
            <w:vAlign w:val="center"/>
            <w:hideMark/>
          </w:tcPr>
          <w:p w14:paraId="49DA89D7" w14:textId="77777777" w:rsidR="0084326C" w:rsidRPr="00F33804" w:rsidRDefault="0084326C">
            <w:pPr>
              <w:jc w:val="center"/>
              <w:rPr>
                <w:rFonts w:ascii="Arial Narrow" w:hAnsi="Arial Narrow" w:cs="Arial"/>
                <w:b/>
                <w:bCs/>
                <w:noProof/>
                <w:sz w:val="20"/>
                <w:szCs w:val="20"/>
              </w:rPr>
            </w:pPr>
          </w:p>
        </w:tc>
        <w:tc>
          <w:tcPr>
            <w:tcW w:w="1148" w:type="dxa"/>
            <w:vMerge/>
            <w:vAlign w:val="center"/>
            <w:hideMark/>
          </w:tcPr>
          <w:p w14:paraId="5FE6CDE0" w14:textId="77777777" w:rsidR="0084326C" w:rsidRPr="00F33804" w:rsidRDefault="0084326C">
            <w:pPr>
              <w:jc w:val="center"/>
              <w:rPr>
                <w:rFonts w:ascii="Arial Narrow" w:hAnsi="Arial Narrow" w:cs="Arial"/>
                <w:b/>
                <w:bCs/>
                <w:noProof/>
                <w:sz w:val="20"/>
                <w:szCs w:val="20"/>
              </w:rPr>
            </w:pPr>
          </w:p>
        </w:tc>
        <w:tc>
          <w:tcPr>
            <w:tcW w:w="1470" w:type="dxa"/>
            <w:vMerge/>
            <w:vAlign w:val="center"/>
            <w:hideMark/>
          </w:tcPr>
          <w:p w14:paraId="3475033C" w14:textId="77777777" w:rsidR="0084326C" w:rsidRPr="00F33804" w:rsidRDefault="0084326C">
            <w:pPr>
              <w:jc w:val="center"/>
              <w:rPr>
                <w:rFonts w:ascii="Arial Narrow" w:hAnsi="Arial Narrow" w:cs="Arial"/>
                <w:b/>
                <w:bCs/>
                <w:noProof/>
                <w:sz w:val="20"/>
                <w:szCs w:val="20"/>
              </w:rPr>
            </w:pPr>
          </w:p>
        </w:tc>
        <w:tc>
          <w:tcPr>
            <w:tcW w:w="1701" w:type="dxa"/>
            <w:vMerge/>
            <w:vAlign w:val="center"/>
            <w:hideMark/>
          </w:tcPr>
          <w:p w14:paraId="0809EE1D" w14:textId="77777777" w:rsidR="0084326C" w:rsidRPr="00F33804" w:rsidRDefault="0084326C">
            <w:pPr>
              <w:jc w:val="center"/>
              <w:rPr>
                <w:rFonts w:ascii="Arial Narrow" w:hAnsi="Arial Narrow" w:cs="Arial"/>
                <w:b/>
                <w:bCs/>
                <w:noProof/>
                <w:sz w:val="20"/>
                <w:szCs w:val="20"/>
              </w:rPr>
            </w:pPr>
          </w:p>
        </w:tc>
        <w:tc>
          <w:tcPr>
            <w:tcW w:w="1134" w:type="dxa"/>
            <w:shd w:val="clear" w:color="auto" w:fill="BDD7EE"/>
            <w:vAlign w:val="center"/>
            <w:hideMark/>
          </w:tcPr>
          <w:p w14:paraId="000095CC" w14:textId="77777777" w:rsidR="0084326C" w:rsidRPr="005D68A0" w:rsidRDefault="0084326C">
            <w:pPr>
              <w:jc w:val="center"/>
              <w:rPr>
                <w:rFonts w:ascii="Arial Narrow" w:hAnsi="Arial Narrow" w:cs="Arial"/>
                <w:b/>
                <w:bCs/>
                <w:noProof/>
                <w:sz w:val="20"/>
                <w:szCs w:val="20"/>
              </w:rPr>
            </w:pPr>
            <w:r>
              <w:rPr>
                <w:rFonts w:ascii="Arial Narrow" w:hAnsi="Arial Narrow"/>
                <w:b/>
                <w:noProof/>
                <w:sz w:val="20"/>
              </w:rPr>
              <w:t>Mõõtühik</w:t>
            </w:r>
          </w:p>
          <w:p w14:paraId="317F5C9F" w14:textId="77777777" w:rsidR="0084326C" w:rsidRPr="005D68A0" w:rsidRDefault="0084326C">
            <w:pPr>
              <w:jc w:val="center"/>
              <w:rPr>
                <w:rFonts w:ascii="Arial Narrow" w:hAnsi="Arial Narrow" w:cs="Arial"/>
                <w:b/>
                <w:bCs/>
                <w:noProof/>
                <w:sz w:val="20"/>
                <w:szCs w:val="20"/>
              </w:rPr>
            </w:pPr>
          </w:p>
        </w:tc>
        <w:tc>
          <w:tcPr>
            <w:tcW w:w="1417" w:type="dxa"/>
            <w:shd w:val="clear" w:color="auto" w:fill="BDD7EE"/>
            <w:vAlign w:val="center"/>
            <w:hideMark/>
          </w:tcPr>
          <w:p w14:paraId="7E110B5D" w14:textId="77777777" w:rsidR="0084326C" w:rsidRPr="005D68A0" w:rsidRDefault="0084326C">
            <w:pPr>
              <w:jc w:val="center"/>
              <w:rPr>
                <w:rFonts w:ascii="Arial Narrow" w:hAnsi="Arial Narrow" w:cs="Arial"/>
                <w:b/>
                <w:bCs/>
                <w:noProof/>
                <w:sz w:val="20"/>
                <w:szCs w:val="20"/>
              </w:rPr>
            </w:pPr>
            <w:r>
              <w:rPr>
                <w:rFonts w:ascii="Arial Narrow" w:hAnsi="Arial Narrow"/>
                <w:b/>
                <w:noProof/>
                <w:sz w:val="20"/>
              </w:rPr>
              <w:t>Lähtetase</w:t>
            </w:r>
          </w:p>
        </w:tc>
        <w:tc>
          <w:tcPr>
            <w:tcW w:w="1425" w:type="dxa"/>
            <w:shd w:val="clear" w:color="auto" w:fill="BDD7EE"/>
            <w:vAlign w:val="center"/>
            <w:hideMark/>
          </w:tcPr>
          <w:p w14:paraId="6EEDE0F9" w14:textId="77777777" w:rsidR="0084326C" w:rsidRPr="005D68A0" w:rsidRDefault="0084326C">
            <w:pPr>
              <w:jc w:val="center"/>
              <w:rPr>
                <w:rFonts w:ascii="Arial Narrow" w:hAnsi="Arial Narrow" w:cs="Arial"/>
                <w:b/>
                <w:bCs/>
                <w:noProof/>
                <w:sz w:val="20"/>
                <w:szCs w:val="20"/>
              </w:rPr>
            </w:pPr>
            <w:r>
              <w:rPr>
                <w:rFonts w:ascii="Arial Narrow" w:hAnsi="Arial Narrow"/>
                <w:b/>
                <w:noProof/>
                <w:sz w:val="20"/>
              </w:rPr>
              <w:t>Eesmärk</w:t>
            </w:r>
          </w:p>
        </w:tc>
        <w:tc>
          <w:tcPr>
            <w:tcW w:w="843" w:type="dxa"/>
            <w:shd w:val="clear" w:color="auto" w:fill="BDD7EE"/>
            <w:vAlign w:val="center"/>
            <w:hideMark/>
          </w:tcPr>
          <w:p w14:paraId="36DCA9C4" w14:textId="77777777" w:rsidR="0084326C" w:rsidRPr="005D68A0" w:rsidRDefault="0084326C">
            <w:pPr>
              <w:jc w:val="center"/>
              <w:rPr>
                <w:rFonts w:ascii="Arial Narrow" w:hAnsi="Arial Narrow" w:cs="Arial"/>
                <w:b/>
                <w:bCs/>
                <w:noProof/>
                <w:sz w:val="20"/>
                <w:szCs w:val="20"/>
              </w:rPr>
            </w:pPr>
            <w:r>
              <w:rPr>
                <w:rFonts w:ascii="Arial Narrow" w:hAnsi="Arial Narrow"/>
                <w:b/>
                <w:noProof/>
                <w:sz w:val="20"/>
              </w:rPr>
              <w:t>Kvartal</w:t>
            </w:r>
          </w:p>
        </w:tc>
        <w:tc>
          <w:tcPr>
            <w:tcW w:w="567" w:type="dxa"/>
            <w:shd w:val="clear" w:color="auto" w:fill="BDD7EE"/>
            <w:vAlign w:val="center"/>
            <w:hideMark/>
          </w:tcPr>
          <w:p w14:paraId="4A69A10A" w14:textId="77777777" w:rsidR="0084326C" w:rsidRPr="005D68A0" w:rsidRDefault="0084326C">
            <w:pPr>
              <w:jc w:val="center"/>
              <w:rPr>
                <w:rFonts w:ascii="Arial Narrow" w:hAnsi="Arial Narrow" w:cs="Arial"/>
                <w:b/>
                <w:bCs/>
                <w:noProof/>
                <w:sz w:val="20"/>
                <w:szCs w:val="20"/>
              </w:rPr>
            </w:pPr>
            <w:r>
              <w:rPr>
                <w:rFonts w:ascii="Arial Narrow" w:hAnsi="Arial Narrow"/>
                <w:b/>
                <w:noProof/>
                <w:sz w:val="20"/>
              </w:rPr>
              <w:t>Aasta</w:t>
            </w:r>
          </w:p>
        </w:tc>
        <w:tc>
          <w:tcPr>
            <w:tcW w:w="2977" w:type="dxa"/>
            <w:vMerge/>
            <w:vAlign w:val="center"/>
            <w:hideMark/>
          </w:tcPr>
          <w:p w14:paraId="5153D87F" w14:textId="77777777" w:rsidR="0084326C" w:rsidRPr="005D68A0" w:rsidRDefault="0084326C">
            <w:pPr>
              <w:jc w:val="center"/>
              <w:rPr>
                <w:rFonts w:ascii="Arial Narrow" w:hAnsi="Arial Narrow" w:cs="Arial"/>
                <w:b/>
                <w:bCs/>
                <w:noProof/>
                <w:sz w:val="20"/>
                <w:szCs w:val="20"/>
                <w:lang w:val="en-GB"/>
              </w:rPr>
            </w:pPr>
          </w:p>
        </w:tc>
      </w:tr>
      <w:tr w:rsidR="00512838" w:rsidRPr="00150B7E" w14:paraId="1C392169" w14:textId="77777777" w:rsidTr="0183CD37">
        <w:trPr>
          <w:trHeight w:val="309"/>
        </w:trPr>
        <w:tc>
          <w:tcPr>
            <w:tcW w:w="1253" w:type="dxa"/>
            <w:shd w:val="clear" w:color="auto" w:fill="C6EFCE"/>
            <w:noWrap/>
            <w:vAlign w:val="center"/>
          </w:tcPr>
          <w:p w14:paraId="18B371EE"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M1C1-1</w:t>
            </w:r>
          </w:p>
        </w:tc>
        <w:tc>
          <w:tcPr>
            <w:tcW w:w="1568" w:type="dxa"/>
            <w:shd w:val="clear" w:color="auto" w:fill="C6EFCE"/>
            <w:noWrap/>
            <w:vAlign w:val="center"/>
          </w:tcPr>
          <w:p w14:paraId="37266970"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Reform 1.1. IKT hanked</w:t>
            </w:r>
          </w:p>
        </w:tc>
        <w:tc>
          <w:tcPr>
            <w:tcW w:w="1148" w:type="dxa"/>
            <w:shd w:val="clear" w:color="auto" w:fill="C6EFCE"/>
            <w:noWrap/>
            <w:vAlign w:val="center"/>
          </w:tcPr>
          <w:p w14:paraId="57A7CD72"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shd w:val="clear" w:color="auto" w:fill="C6EFCE"/>
            <w:noWrap/>
            <w:vAlign w:val="center"/>
          </w:tcPr>
          <w:p w14:paraId="5B816D7F"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Reformi käsitlevate dekreetide 1.1 „IKT hanked“ jõustumine</w:t>
            </w:r>
          </w:p>
        </w:tc>
        <w:tc>
          <w:tcPr>
            <w:tcW w:w="1701" w:type="dxa"/>
            <w:shd w:val="clear" w:color="auto" w:fill="C6EFCE"/>
            <w:noWrap/>
            <w:vAlign w:val="center"/>
          </w:tcPr>
          <w:p w14:paraId="0F528E3C"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Seaduse säte, mis viitab info- ja sidetehnoloogia riigihangete reformi käsitleva dekreetseaduse jõustumisele</w:t>
            </w:r>
          </w:p>
        </w:tc>
        <w:tc>
          <w:tcPr>
            <w:tcW w:w="1134" w:type="dxa"/>
            <w:shd w:val="clear" w:color="auto" w:fill="C6EFCE"/>
            <w:noWrap/>
            <w:vAlign w:val="center"/>
          </w:tcPr>
          <w:p w14:paraId="6D275941"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shd w:val="clear" w:color="auto" w:fill="C6EFCE"/>
            <w:noWrap/>
            <w:vAlign w:val="center"/>
          </w:tcPr>
          <w:p w14:paraId="1997FB11"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shd w:val="clear" w:color="auto" w:fill="C6EFCE"/>
            <w:noWrap/>
            <w:vAlign w:val="center"/>
          </w:tcPr>
          <w:p w14:paraId="768776BE"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shd w:val="clear" w:color="auto" w:fill="C6EFCE"/>
            <w:noWrap/>
            <w:vAlign w:val="center"/>
          </w:tcPr>
          <w:p w14:paraId="45E3405F"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shd w:val="clear" w:color="auto" w:fill="C6EFCE"/>
            <w:noWrap/>
            <w:vAlign w:val="center"/>
          </w:tcPr>
          <w:p w14:paraId="3A296556"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2021</w:t>
            </w:r>
          </w:p>
        </w:tc>
        <w:tc>
          <w:tcPr>
            <w:tcW w:w="2977" w:type="dxa"/>
            <w:shd w:val="clear" w:color="auto" w:fill="C6EFCE"/>
            <w:noWrap/>
            <w:vAlign w:val="center"/>
          </w:tcPr>
          <w:p w14:paraId="3C3EE3E9" w14:textId="57C9E259"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Vajalikud õigusaktid hõlmavad seadusandlikke sekkumisi lihtsustamisseaduses (Decreto Legge Semplificazioni). Nendes sätestatakse:</w:t>
            </w:r>
          </w:p>
          <w:p w14:paraId="53BA45F9" w14:textId="77777777" w:rsidR="0084326C" w:rsidRPr="005D68A0" w:rsidRDefault="0084326C">
            <w:pPr>
              <w:pStyle w:val="ListParagraph"/>
              <w:spacing w:before="0"/>
              <w:ind w:left="0"/>
              <w:contextualSpacing w:val="0"/>
              <w:jc w:val="left"/>
              <w:rPr>
                <w:rFonts w:ascii="Arial Narrow" w:hAnsi="Arial Narrow" w:cs="Arial"/>
                <w:noProof/>
                <w:color w:val="006100"/>
                <w:sz w:val="20"/>
                <w:szCs w:val="20"/>
              </w:rPr>
            </w:pPr>
            <w:r>
              <w:rPr>
                <w:rFonts w:ascii="Arial Narrow" w:hAnsi="Arial Narrow"/>
                <w:noProof/>
                <w:color w:val="006100"/>
                <w:sz w:val="20"/>
              </w:rPr>
              <w:t>i) Võimalus kasutada riigihangete seadustiku artikli 48 lõikes 3 osutatud menetlust ka riigihangete seadustiku artiklis 35 osutatud piirmäärasid ületavate lepingute puhul arvutikaupade ja -teenuste, eelkõige pilvetehnoloogial põhinevate ostude puhul, samuti ühenduvusteenuste puhul, mida rahastatakse täielikult või osaliselt broneeringuinfo projektide rakendamiseks ette nähtud vahenditest;</w:t>
            </w:r>
          </w:p>
          <w:p w14:paraId="2C1B439D" w14:textId="77777777" w:rsidR="0084326C" w:rsidRPr="005D68A0" w:rsidRDefault="0084326C">
            <w:pPr>
              <w:pStyle w:val="ListParagraph"/>
              <w:spacing w:before="0"/>
              <w:ind w:left="0"/>
              <w:contextualSpacing w:val="0"/>
              <w:jc w:val="left"/>
              <w:rPr>
                <w:rFonts w:ascii="Arial Narrow" w:hAnsi="Arial Narrow" w:cs="Arial"/>
                <w:noProof/>
                <w:color w:val="006100"/>
                <w:sz w:val="20"/>
                <w:szCs w:val="20"/>
              </w:rPr>
            </w:pPr>
            <w:r>
              <w:rPr>
                <w:rFonts w:ascii="Arial Narrow" w:hAnsi="Arial Narrow"/>
                <w:noProof/>
                <w:color w:val="006100"/>
                <w:sz w:val="20"/>
              </w:rPr>
              <w:t>ii) Riigihankelepingute seadustiku artiklis 80 osutatud nõuete kontrollimise protsessi kaasatud sertifitseerimisasutuste hallatavate eri andmebaaside koostalitlusvõime;</w:t>
            </w:r>
          </w:p>
          <w:p w14:paraId="2CFDB5ED" w14:textId="77777777" w:rsidR="0084326C" w:rsidRPr="005D68A0" w:rsidRDefault="0084326C">
            <w:pPr>
              <w:pStyle w:val="ListParagraph"/>
              <w:spacing w:before="0"/>
              <w:ind w:left="0"/>
              <w:jc w:val="left"/>
              <w:rPr>
                <w:rFonts w:ascii="Arial Narrow" w:hAnsi="Arial Narrow" w:cs="Arial"/>
                <w:noProof/>
                <w:color w:val="006100"/>
                <w:sz w:val="20"/>
                <w:szCs w:val="20"/>
              </w:rPr>
            </w:pPr>
            <w:r>
              <w:rPr>
                <w:rFonts w:ascii="Arial Narrow" w:hAnsi="Arial Narrow"/>
                <w:noProof/>
                <w:color w:val="006100"/>
                <w:sz w:val="20"/>
              </w:rPr>
              <w:t>iii) Ettevõtjate virtuaalfaili loomine, milles on esitatud andmed artiklis 80 osutatud kõrvaldamise põhjuste puudumise kontrollimiseks, mis võimaldab kindlaks määrata nende ettevõtjate valge nimekirja, kelle puhul kontrollimine on juba läbi viidud.</w:t>
            </w:r>
          </w:p>
        </w:tc>
      </w:tr>
      <w:tr w:rsidR="00512838" w:rsidRPr="00150B7E" w14:paraId="2F959CA0" w14:textId="77777777" w:rsidTr="0183CD37">
        <w:trPr>
          <w:trHeight w:val="789"/>
        </w:trPr>
        <w:tc>
          <w:tcPr>
            <w:tcW w:w="1253" w:type="dxa"/>
            <w:shd w:val="clear" w:color="auto" w:fill="C6EFCE"/>
            <w:noWrap/>
            <w:vAlign w:val="center"/>
          </w:tcPr>
          <w:p w14:paraId="56C38A97"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M1C1-2</w:t>
            </w:r>
          </w:p>
        </w:tc>
        <w:tc>
          <w:tcPr>
            <w:tcW w:w="1568" w:type="dxa"/>
            <w:shd w:val="clear" w:color="auto" w:fill="C6EFCE"/>
            <w:noWrap/>
            <w:vAlign w:val="center"/>
          </w:tcPr>
          <w:p w14:paraId="26A8ADB5"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Reform 1.3. Pilvandmetöötlus kõigepealt ja koostalitlusvõime</w:t>
            </w:r>
          </w:p>
        </w:tc>
        <w:tc>
          <w:tcPr>
            <w:tcW w:w="1148" w:type="dxa"/>
            <w:shd w:val="clear" w:color="auto" w:fill="C6EFCE"/>
            <w:noWrap/>
            <w:vAlign w:val="center"/>
          </w:tcPr>
          <w:p w14:paraId="301CACFB"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shd w:val="clear" w:color="auto" w:fill="C6EFCE"/>
            <w:noWrap/>
            <w:vAlign w:val="center"/>
          </w:tcPr>
          <w:p w14:paraId="5724E3D0"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Reformi käsitlevate dekreetide 1.3 „Pilvandmetöötluse ja koostalitlusvõime“ jõustumine</w:t>
            </w:r>
          </w:p>
        </w:tc>
        <w:tc>
          <w:tcPr>
            <w:tcW w:w="1701" w:type="dxa"/>
            <w:shd w:val="clear" w:color="auto" w:fill="C6EFCE"/>
            <w:noWrap/>
            <w:vAlign w:val="center"/>
          </w:tcPr>
          <w:p w14:paraId="3D44791B"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Seaduse säte, mis viitab esimese pilvandmetöötlust ja koostalitlusvõime reformi käsitleva dekreetseaduse jõustumisele</w:t>
            </w:r>
          </w:p>
        </w:tc>
        <w:tc>
          <w:tcPr>
            <w:tcW w:w="1134" w:type="dxa"/>
            <w:shd w:val="clear" w:color="auto" w:fill="C6EFCE"/>
            <w:noWrap/>
            <w:vAlign w:val="center"/>
          </w:tcPr>
          <w:p w14:paraId="06E6D2C9"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shd w:val="clear" w:color="auto" w:fill="C6EFCE"/>
            <w:noWrap/>
            <w:vAlign w:val="center"/>
          </w:tcPr>
          <w:p w14:paraId="6031118E"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shd w:val="clear" w:color="auto" w:fill="C6EFCE"/>
            <w:noWrap/>
            <w:vAlign w:val="center"/>
          </w:tcPr>
          <w:p w14:paraId="557B58B0"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shd w:val="clear" w:color="auto" w:fill="C6EFCE"/>
            <w:noWrap/>
            <w:vAlign w:val="center"/>
          </w:tcPr>
          <w:p w14:paraId="78064B8C"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shd w:val="clear" w:color="auto" w:fill="C6EFCE"/>
            <w:noWrap/>
            <w:vAlign w:val="center"/>
          </w:tcPr>
          <w:p w14:paraId="248D447B"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2021</w:t>
            </w:r>
          </w:p>
        </w:tc>
        <w:tc>
          <w:tcPr>
            <w:tcW w:w="2977" w:type="dxa"/>
            <w:shd w:val="clear" w:color="auto" w:fill="C6EFCE"/>
            <w:noWrap/>
            <w:vAlign w:val="center"/>
          </w:tcPr>
          <w:p w14:paraId="5A88D7A8"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Vajalikud õigusaktid hõlmavad järgmist:</w:t>
            </w:r>
          </w:p>
          <w:p w14:paraId="4EC631FB"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Rakendusaktid, mis käsitlevad eelkõige i) Agenzia per l’Italia digitale (AgID) määrust Polo Strategico Nazionale (PSN) kohta (sätestatud dekreetseaduse 179/212 artiklites 33-septies) ja ii) AgID suuniseid koostalitlusvõime kohta (sätestatud Codice dell’Amministrazione Digitale (CAD) artiklites 50 ja 50ter).</w:t>
            </w:r>
          </w:p>
          <w:p w14:paraId="24783DE1"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CAD artikli 50 muudatused:</w:t>
            </w:r>
          </w:p>
          <w:p w14:paraId="33EAB675"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i) kaotada kohustus sõlmida raamlepingud haldusasutuste jaoks, kellel on juurdepääs riiklikule digitaalsele andmeplatvormile;</w:t>
            </w:r>
          </w:p>
          <w:p w14:paraId="4E66788D"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ii) selgitused eraelu puutumatuse kohta: andmete edastamine ühest infosüsteemist teise ei muuda andmete omandiõigust ega töötlemist, ilma et see piiraks andmeid vastu võtvate ja töötlevate haldusasutuste kui autonoomsete vastutavate töötlejate kohustusi.</w:t>
            </w:r>
          </w:p>
          <w:p w14:paraId="4C2B8F17" w14:textId="77777777" w:rsidR="0084326C" w:rsidRPr="00994F5E" w:rsidRDefault="0084326C">
            <w:pPr>
              <w:spacing w:after="120"/>
              <w:rPr>
                <w:rFonts w:ascii="Arial Narrow" w:hAnsi="Arial Narrow" w:cs="Arial"/>
                <w:noProof/>
                <w:color w:val="006100"/>
                <w:sz w:val="20"/>
                <w:szCs w:val="20"/>
              </w:rPr>
            </w:pPr>
            <w:r>
              <w:rPr>
                <w:rFonts w:ascii="Arial Narrow" w:hAnsi="Arial Narrow"/>
                <w:noProof/>
                <w:color w:val="006100"/>
                <w:sz w:val="20"/>
              </w:rPr>
              <w:t>Decreto del Presidente della Repubblica (DPR) 445/2000 muudatused seoses andmetele juurdepääsuga:</w:t>
            </w:r>
          </w:p>
          <w:p w14:paraId="3E1D4557"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i) andmetele otseseks juurdepääsuks vajaliku loa kehtetuks tunnistamine;</w:t>
            </w:r>
          </w:p>
          <w:p w14:paraId="03F9E83C"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ii) artiklis 72 jäetakse välja viide raamlepingutele.</w:t>
            </w:r>
          </w:p>
          <w:p w14:paraId="254F002B"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Dekreetseaduse 179/2012 artikli 33-septies muudatused:</w:t>
            </w:r>
          </w:p>
          <w:p w14:paraId="62C63834"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i) näha AgID-le ette võimalus reguleerida Centri Elaborazione Dati (CED) ja Cloud Regulations’iga tingimusi ja meetodeid, millega haldusasutused peavad CED-migratsioone läbi viima;</w:t>
            </w:r>
          </w:p>
          <w:p w14:paraId="696700C6"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ii) kehtestada sanktsioonid pilvele ülemineku kohustuse täitmata jätmise eest.</w:t>
            </w:r>
          </w:p>
        </w:tc>
      </w:tr>
      <w:tr w:rsidR="00512838" w:rsidRPr="00150B7E" w14:paraId="3B2A7040" w14:textId="77777777" w:rsidTr="0183CD37">
        <w:trPr>
          <w:trHeight w:val="309"/>
        </w:trPr>
        <w:tc>
          <w:tcPr>
            <w:tcW w:w="1253" w:type="dxa"/>
            <w:shd w:val="clear" w:color="auto" w:fill="C6EFCE"/>
            <w:noWrap/>
            <w:vAlign w:val="center"/>
            <w:hideMark/>
          </w:tcPr>
          <w:p w14:paraId="19A660CC"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M1C1-3</w:t>
            </w:r>
          </w:p>
        </w:tc>
        <w:tc>
          <w:tcPr>
            <w:tcW w:w="1568" w:type="dxa"/>
            <w:shd w:val="clear" w:color="auto" w:fill="C6EFCE"/>
            <w:noWrap/>
            <w:vAlign w:val="center"/>
            <w:hideMark/>
          </w:tcPr>
          <w:p w14:paraId="1EDC2E34"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Investeering 1.1. Digitaristu</w:t>
            </w:r>
          </w:p>
        </w:tc>
        <w:tc>
          <w:tcPr>
            <w:tcW w:w="1148" w:type="dxa"/>
            <w:shd w:val="clear" w:color="auto" w:fill="C6EFCE"/>
            <w:noWrap/>
            <w:vAlign w:val="center"/>
            <w:hideMark/>
          </w:tcPr>
          <w:p w14:paraId="7FE54E4A"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shd w:val="clear" w:color="auto" w:fill="C6EFCE"/>
            <w:noWrap/>
            <w:vAlign w:val="center"/>
            <w:hideMark/>
          </w:tcPr>
          <w:p w14:paraId="1AF95F13" w14:textId="77777777" w:rsidR="0084326C" w:rsidRPr="00994F5E" w:rsidRDefault="0084326C">
            <w:pPr>
              <w:jc w:val="center"/>
              <w:rPr>
                <w:rFonts w:ascii="Arial Narrow" w:hAnsi="Arial Narrow" w:cs="Arial"/>
                <w:noProof/>
                <w:color w:val="006100"/>
                <w:sz w:val="20"/>
                <w:szCs w:val="20"/>
              </w:rPr>
            </w:pPr>
            <w:r>
              <w:rPr>
                <w:rFonts w:ascii="Arial Narrow" w:hAnsi="Arial Narrow"/>
                <w:noProof/>
                <w:color w:val="006100"/>
                <w:sz w:val="20"/>
              </w:rPr>
              <w:t>Programmi „Polo Strategico Nazionale“ (PSN) lõpuleviimine</w:t>
            </w:r>
          </w:p>
        </w:tc>
        <w:tc>
          <w:tcPr>
            <w:tcW w:w="1701" w:type="dxa"/>
            <w:shd w:val="clear" w:color="auto" w:fill="C6EFCE"/>
            <w:noWrap/>
            <w:vAlign w:val="center"/>
            <w:hideMark/>
          </w:tcPr>
          <w:p w14:paraId="6BC12ED8"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„Pilve kasutuselevõtu aruanne“, tehnoloogiliste uuenduste ja digiülemineku ministeerium (MITD)</w:t>
            </w:r>
          </w:p>
        </w:tc>
        <w:tc>
          <w:tcPr>
            <w:tcW w:w="1134" w:type="dxa"/>
            <w:shd w:val="clear" w:color="auto" w:fill="C6EFCE"/>
            <w:noWrap/>
            <w:vAlign w:val="center"/>
          </w:tcPr>
          <w:p w14:paraId="6D2F1797"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shd w:val="clear" w:color="auto" w:fill="C6EFCE"/>
            <w:noWrap/>
            <w:vAlign w:val="center"/>
          </w:tcPr>
          <w:p w14:paraId="42A8F743"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shd w:val="clear" w:color="auto" w:fill="C6EFCE"/>
            <w:noWrap/>
            <w:vAlign w:val="center"/>
          </w:tcPr>
          <w:p w14:paraId="6722A579"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shd w:val="clear" w:color="auto" w:fill="C6EFCE"/>
            <w:noWrap/>
            <w:vAlign w:val="center"/>
            <w:hideMark/>
          </w:tcPr>
          <w:p w14:paraId="3732EE85"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shd w:val="clear" w:color="auto" w:fill="C6EFCE"/>
            <w:noWrap/>
            <w:vAlign w:val="center"/>
            <w:hideMark/>
          </w:tcPr>
          <w:p w14:paraId="37F53CCF"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2022</w:t>
            </w:r>
          </w:p>
        </w:tc>
        <w:tc>
          <w:tcPr>
            <w:tcW w:w="2977" w:type="dxa"/>
            <w:shd w:val="clear" w:color="auto" w:fill="C6EFCE"/>
            <w:noWrap/>
            <w:vAlign w:val="center"/>
            <w:hideMark/>
          </w:tcPr>
          <w:p w14:paraId="562A9888" w14:textId="64518BBD"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Kogu projekt viiakse täielikult lõpule, kui kõik sihtmärgiks olevad haldusasutused on lõpule viinud kindlaksmääratud baaside liikumise Polo Strategico Nazionale (PSN) suunas ning edukalt on lõpule viidud nelja andmekeskuse testimine, mis võimaldab alustada sihtmärgiks olevate haldusasutuste andmekogumite ja rakenduste migreerumisprotsessi riikliku kontaktpunkti suunas.</w:t>
            </w:r>
          </w:p>
        </w:tc>
      </w:tr>
      <w:tr w:rsidR="00512838" w:rsidRPr="00150B7E" w14:paraId="7370DA46" w14:textId="77777777" w:rsidTr="0183CD37">
        <w:trPr>
          <w:trHeight w:val="309"/>
        </w:trPr>
        <w:tc>
          <w:tcPr>
            <w:tcW w:w="1253" w:type="dxa"/>
            <w:shd w:val="clear" w:color="auto" w:fill="C6EFCE"/>
            <w:noWrap/>
            <w:vAlign w:val="center"/>
          </w:tcPr>
          <w:p w14:paraId="66210EBB"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M1C1-4</w:t>
            </w:r>
          </w:p>
        </w:tc>
        <w:tc>
          <w:tcPr>
            <w:tcW w:w="1568" w:type="dxa"/>
            <w:shd w:val="clear" w:color="auto" w:fill="C6EFCE"/>
            <w:noWrap/>
            <w:vAlign w:val="center"/>
          </w:tcPr>
          <w:p w14:paraId="1D3F00B7"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Investeering 1.3.1. Riiklik digitaalsete andmete platvorm</w:t>
            </w:r>
          </w:p>
        </w:tc>
        <w:tc>
          <w:tcPr>
            <w:tcW w:w="1148" w:type="dxa"/>
            <w:shd w:val="clear" w:color="auto" w:fill="C6EFCE"/>
            <w:noWrap/>
            <w:vAlign w:val="center"/>
          </w:tcPr>
          <w:p w14:paraId="150B2BB9"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shd w:val="clear" w:color="auto" w:fill="C6EFCE"/>
            <w:noWrap/>
            <w:vAlign w:val="center"/>
          </w:tcPr>
          <w:p w14:paraId="6899175F"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Riiklik digitaalne andmeplatvorm toimib</w:t>
            </w:r>
          </w:p>
        </w:tc>
        <w:tc>
          <w:tcPr>
            <w:tcW w:w="1701" w:type="dxa"/>
            <w:shd w:val="clear" w:color="auto" w:fill="C6EFCE"/>
            <w:noWrap/>
            <w:vAlign w:val="center"/>
          </w:tcPr>
          <w:p w14:paraId="54227612"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Tehnoloogiliste uuenduste ja digiülemineku ministeeriumi aruanne riikliku digiandmete platvormi käivitamise kohta</w:t>
            </w:r>
          </w:p>
        </w:tc>
        <w:tc>
          <w:tcPr>
            <w:tcW w:w="1134" w:type="dxa"/>
            <w:shd w:val="clear" w:color="auto" w:fill="C6EFCE"/>
            <w:noWrap/>
            <w:vAlign w:val="center"/>
          </w:tcPr>
          <w:p w14:paraId="49187338"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shd w:val="clear" w:color="auto" w:fill="C6EFCE"/>
            <w:noWrap/>
            <w:vAlign w:val="center"/>
          </w:tcPr>
          <w:p w14:paraId="4A090DA6"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shd w:val="clear" w:color="auto" w:fill="C6EFCE"/>
            <w:noWrap/>
            <w:vAlign w:val="center"/>
          </w:tcPr>
          <w:p w14:paraId="585D7F22"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shd w:val="clear" w:color="auto" w:fill="C6EFCE"/>
            <w:noWrap/>
            <w:vAlign w:val="center"/>
          </w:tcPr>
          <w:p w14:paraId="15E30F6D"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shd w:val="clear" w:color="auto" w:fill="C6EFCE"/>
            <w:noWrap/>
            <w:vAlign w:val="center"/>
          </w:tcPr>
          <w:p w14:paraId="42D3746E"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2022</w:t>
            </w:r>
          </w:p>
        </w:tc>
        <w:tc>
          <w:tcPr>
            <w:tcW w:w="2977" w:type="dxa"/>
            <w:shd w:val="clear" w:color="auto" w:fill="C6EFCE"/>
            <w:noWrap/>
            <w:vAlign w:val="center"/>
          </w:tcPr>
          <w:p w14:paraId="452683C4"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Platvorm võimaldab asutustel:</w:t>
            </w:r>
          </w:p>
          <w:p w14:paraId="7199CDF1"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 avaldama oma rakendusliidesed platvormi rakendusliideste kataloogis;</w:t>
            </w:r>
          </w:p>
          <w:p w14:paraId="347E8B4A"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 loob platvormi kaudu digitaalse koostalitlusvõime lepingud ja allkirjastab need;</w:t>
            </w:r>
          </w:p>
          <w:p w14:paraId="75B26FB8"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 autentida ja lubada rakendusliideste juurdepääsu, kasutades platvormi funktsioone;</w:t>
            </w:r>
          </w:p>
          <w:p w14:paraId="5974DDE1"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 valideerida ja hinnata vastavust riiklikule koostalitlusvõime raamistikule.</w:t>
            </w:r>
          </w:p>
        </w:tc>
      </w:tr>
      <w:tr w:rsidR="00512838" w:rsidRPr="00150B7E" w14:paraId="76FC66C2" w14:textId="77777777" w:rsidTr="0183CD37">
        <w:trPr>
          <w:trHeight w:val="309"/>
        </w:trPr>
        <w:tc>
          <w:tcPr>
            <w:tcW w:w="1253" w:type="dxa"/>
            <w:shd w:val="clear" w:color="auto" w:fill="C6EFCE"/>
            <w:noWrap/>
            <w:vAlign w:val="center"/>
          </w:tcPr>
          <w:p w14:paraId="4B72B1F4"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M1C1-5</w:t>
            </w:r>
          </w:p>
        </w:tc>
        <w:tc>
          <w:tcPr>
            <w:tcW w:w="1568" w:type="dxa"/>
            <w:shd w:val="clear" w:color="auto" w:fill="C6EFCE"/>
            <w:noWrap/>
            <w:vAlign w:val="center"/>
          </w:tcPr>
          <w:p w14:paraId="0A21C7AB"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Investeering 1.5. Küberturvalisus</w:t>
            </w:r>
          </w:p>
        </w:tc>
        <w:tc>
          <w:tcPr>
            <w:tcW w:w="1148" w:type="dxa"/>
            <w:shd w:val="clear" w:color="auto" w:fill="C6EFCE"/>
            <w:noWrap/>
            <w:vAlign w:val="center"/>
          </w:tcPr>
          <w:p w14:paraId="4CF59F6C"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shd w:val="clear" w:color="auto" w:fill="C6EFCE"/>
            <w:noWrap/>
            <w:vAlign w:val="center"/>
          </w:tcPr>
          <w:p w14:paraId="05F1C3D6"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Uue riikliku küberjulgeoleku ameti loomine</w:t>
            </w:r>
          </w:p>
        </w:tc>
        <w:tc>
          <w:tcPr>
            <w:tcW w:w="1701" w:type="dxa"/>
            <w:shd w:val="clear" w:color="auto" w:fill="C6EFCE"/>
            <w:noWrap/>
            <w:vAlign w:val="center"/>
          </w:tcPr>
          <w:p w14:paraId="26F294CD"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 xml:space="preserve">Asutamisdokument </w:t>
            </w:r>
          </w:p>
        </w:tc>
        <w:tc>
          <w:tcPr>
            <w:tcW w:w="1134" w:type="dxa"/>
            <w:shd w:val="clear" w:color="auto" w:fill="C6EFCE"/>
            <w:noWrap/>
            <w:vAlign w:val="center"/>
          </w:tcPr>
          <w:p w14:paraId="43434ED2"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shd w:val="clear" w:color="auto" w:fill="C6EFCE"/>
            <w:noWrap/>
            <w:vAlign w:val="center"/>
          </w:tcPr>
          <w:p w14:paraId="083399AC"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shd w:val="clear" w:color="auto" w:fill="C6EFCE"/>
            <w:noWrap/>
            <w:vAlign w:val="center"/>
          </w:tcPr>
          <w:p w14:paraId="3E9B049F"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shd w:val="clear" w:color="auto" w:fill="C6EFCE"/>
            <w:noWrap/>
            <w:vAlign w:val="center"/>
          </w:tcPr>
          <w:p w14:paraId="5C0D16E2"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shd w:val="clear" w:color="auto" w:fill="C6EFCE"/>
            <w:noWrap/>
            <w:vAlign w:val="center"/>
          </w:tcPr>
          <w:p w14:paraId="7D33D51B"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2022</w:t>
            </w:r>
          </w:p>
        </w:tc>
        <w:tc>
          <w:tcPr>
            <w:tcW w:w="2977" w:type="dxa"/>
            <w:shd w:val="clear" w:color="auto" w:fill="C6EFCE"/>
            <w:noWrap/>
            <w:vAlign w:val="center"/>
          </w:tcPr>
          <w:p w14:paraId="48837A6C"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Eesmärk saavutatakse 1) praegu viimistletava riikliku küberjulgeoleku ameti moodustava dekreetseaduse muutmisega seaduseks; 2) peaministri dekreedi (Decreto del Presidente del Consiglio dei Ministri, DPCM) avaldamine ametlikus väljaandes, mis sisaldab riikliku küberjulgeoleku ameti sise-eeskirju.</w:t>
            </w:r>
          </w:p>
        </w:tc>
      </w:tr>
      <w:tr w:rsidR="00512838" w:rsidRPr="00150B7E" w14:paraId="2EA6170A" w14:textId="77777777" w:rsidTr="0183CD37">
        <w:trPr>
          <w:trHeight w:val="309"/>
        </w:trPr>
        <w:tc>
          <w:tcPr>
            <w:tcW w:w="1253" w:type="dxa"/>
            <w:shd w:val="clear" w:color="auto" w:fill="C6EFCE"/>
            <w:noWrap/>
            <w:vAlign w:val="center"/>
          </w:tcPr>
          <w:p w14:paraId="4BFF2566"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M1C1-6</w:t>
            </w:r>
          </w:p>
        </w:tc>
        <w:tc>
          <w:tcPr>
            <w:tcW w:w="1568" w:type="dxa"/>
            <w:shd w:val="clear" w:color="auto" w:fill="C6EFCE"/>
            <w:noWrap/>
            <w:vAlign w:val="center"/>
          </w:tcPr>
          <w:p w14:paraId="164A9CE3"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Investeering 1.5. Küberturvalisus</w:t>
            </w:r>
          </w:p>
        </w:tc>
        <w:tc>
          <w:tcPr>
            <w:tcW w:w="1148" w:type="dxa"/>
            <w:shd w:val="clear" w:color="auto" w:fill="C6EFCE"/>
            <w:noWrap/>
            <w:vAlign w:val="center"/>
          </w:tcPr>
          <w:p w14:paraId="47717A58"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shd w:val="clear" w:color="auto" w:fill="C6EFCE"/>
            <w:noWrap/>
            <w:vAlign w:val="center"/>
          </w:tcPr>
          <w:p w14:paraId="676F5F8D"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Riiklike küberturvalisuse teenuste esialgne kasutuselevõtt</w:t>
            </w:r>
          </w:p>
        </w:tc>
        <w:tc>
          <w:tcPr>
            <w:tcW w:w="1701" w:type="dxa"/>
            <w:shd w:val="clear" w:color="auto" w:fill="C6EFCE"/>
            <w:noWrap/>
            <w:vAlign w:val="center"/>
          </w:tcPr>
          <w:p w14:paraId="36B19F68"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Aruanne riiklike küberturvalisuse teenuste täieliku ülesehituse kohta</w:t>
            </w:r>
          </w:p>
        </w:tc>
        <w:tc>
          <w:tcPr>
            <w:tcW w:w="1134" w:type="dxa"/>
            <w:shd w:val="clear" w:color="auto" w:fill="C6EFCE"/>
            <w:noWrap/>
            <w:vAlign w:val="center"/>
          </w:tcPr>
          <w:p w14:paraId="573D23EF"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shd w:val="clear" w:color="auto" w:fill="C6EFCE"/>
            <w:noWrap/>
            <w:vAlign w:val="center"/>
          </w:tcPr>
          <w:p w14:paraId="5F9868C8"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shd w:val="clear" w:color="auto" w:fill="C6EFCE"/>
            <w:noWrap/>
            <w:vAlign w:val="center"/>
          </w:tcPr>
          <w:p w14:paraId="74F89C24"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shd w:val="clear" w:color="auto" w:fill="C6EFCE"/>
            <w:noWrap/>
            <w:vAlign w:val="center"/>
          </w:tcPr>
          <w:p w14:paraId="008B08F8"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shd w:val="clear" w:color="auto" w:fill="C6EFCE"/>
            <w:noWrap/>
            <w:vAlign w:val="center"/>
          </w:tcPr>
          <w:p w14:paraId="70E3B72E"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2022</w:t>
            </w:r>
          </w:p>
        </w:tc>
        <w:tc>
          <w:tcPr>
            <w:tcW w:w="2977" w:type="dxa"/>
            <w:shd w:val="clear" w:color="auto" w:fill="C6EFCE"/>
            <w:noWrap/>
            <w:vAlign w:val="center"/>
          </w:tcPr>
          <w:p w14:paraId="6AF75C8A"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Eesmärk saavutatakse riikliku küberturvalisuse arhitektuuri kogu ökosüsteemi üksikasjaliku ülesehituse määratlemisega (st riiklik teabejagamis- ja analüüsikeskus (ISAC), infoturbeintsidentidega tegelevate rühmade (CERTid), riiklik HyperSOC, tehisintellekti/masinõppe (AI/ML) vahenditega integreeritud kõrgjõudlusega andmetöötlus, et analüüsida riigi tasandi küberintsidente).</w:t>
            </w:r>
          </w:p>
        </w:tc>
      </w:tr>
      <w:tr w:rsidR="00512838" w:rsidRPr="00150B7E" w14:paraId="35612547" w14:textId="77777777" w:rsidTr="0183CD37">
        <w:trPr>
          <w:trHeight w:val="309"/>
        </w:trPr>
        <w:tc>
          <w:tcPr>
            <w:tcW w:w="1253" w:type="dxa"/>
            <w:shd w:val="clear" w:color="auto" w:fill="C6EFCE"/>
            <w:noWrap/>
            <w:vAlign w:val="center"/>
          </w:tcPr>
          <w:p w14:paraId="34CEACAE"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M1C1-7</w:t>
            </w:r>
          </w:p>
        </w:tc>
        <w:tc>
          <w:tcPr>
            <w:tcW w:w="1568" w:type="dxa"/>
            <w:shd w:val="clear" w:color="auto" w:fill="C6EFCE"/>
            <w:noWrap/>
            <w:vAlign w:val="center"/>
          </w:tcPr>
          <w:p w14:paraId="77C36513"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Investeering 1.5. Küberturvalisus</w:t>
            </w:r>
          </w:p>
        </w:tc>
        <w:tc>
          <w:tcPr>
            <w:tcW w:w="1148" w:type="dxa"/>
            <w:shd w:val="clear" w:color="auto" w:fill="C6EFCE"/>
            <w:noWrap/>
            <w:vAlign w:val="center"/>
          </w:tcPr>
          <w:p w14:paraId="1E099040"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shd w:val="clear" w:color="auto" w:fill="C6EFCE"/>
            <w:noWrap/>
            <w:vAlign w:val="center"/>
          </w:tcPr>
          <w:p w14:paraId="6FEFB4F3"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Küberturvalisuse skriining- ja sertifitseerimislaborite võrgustiku käivitamine</w:t>
            </w:r>
          </w:p>
        </w:tc>
        <w:tc>
          <w:tcPr>
            <w:tcW w:w="1701" w:type="dxa"/>
            <w:shd w:val="clear" w:color="auto" w:fill="C6EFCE"/>
            <w:noWrap/>
            <w:vAlign w:val="center"/>
          </w:tcPr>
          <w:p w14:paraId="59FDB5FA"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Esitatud dokumendid, mis tõendavad kindlaksmääratud protsesse ja menetlusi, mida laborid omavahel jagavad, ning esitatud aruanded, mis tõendavad vähemalt ühe labori aktiveerimist.</w:t>
            </w:r>
          </w:p>
        </w:tc>
        <w:tc>
          <w:tcPr>
            <w:tcW w:w="1134" w:type="dxa"/>
            <w:shd w:val="clear" w:color="auto" w:fill="C6EFCE"/>
            <w:noWrap/>
            <w:vAlign w:val="center"/>
          </w:tcPr>
          <w:p w14:paraId="753B20A4"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shd w:val="clear" w:color="auto" w:fill="C6EFCE"/>
            <w:noWrap/>
            <w:vAlign w:val="center"/>
          </w:tcPr>
          <w:p w14:paraId="78603833"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shd w:val="clear" w:color="auto" w:fill="C6EFCE"/>
            <w:noWrap/>
            <w:vAlign w:val="center"/>
          </w:tcPr>
          <w:p w14:paraId="1E58E9DA"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shd w:val="clear" w:color="auto" w:fill="C6EFCE"/>
            <w:noWrap/>
            <w:vAlign w:val="center"/>
          </w:tcPr>
          <w:p w14:paraId="54100445"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shd w:val="clear" w:color="auto" w:fill="C6EFCE"/>
            <w:noWrap/>
            <w:vAlign w:val="center"/>
          </w:tcPr>
          <w:p w14:paraId="0580AE20"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2022</w:t>
            </w:r>
          </w:p>
        </w:tc>
        <w:tc>
          <w:tcPr>
            <w:tcW w:w="2977" w:type="dxa"/>
            <w:shd w:val="clear" w:color="auto" w:fill="C6EFCE"/>
            <w:noWrap/>
            <w:vAlign w:val="center"/>
          </w:tcPr>
          <w:p w14:paraId="34A4BA0C"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Eesmärk saavutatakse:</w:t>
            </w:r>
          </w:p>
          <w:p w14:paraId="2E822F95" w14:textId="77777777" w:rsidR="0084326C" w:rsidRPr="005D68A0" w:rsidRDefault="0084326C">
            <w:pPr>
              <w:rPr>
                <w:rFonts w:ascii="Arial Narrow" w:hAnsi="Arial Narrow" w:cs="Arial"/>
                <w:noProof/>
                <w:color w:val="006100"/>
                <w:sz w:val="20"/>
                <w:szCs w:val="20"/>
              </w:rPr>
            </w:pPr>
            <w:r>
              <w:rPr>
                <w:rFonts w:ascii="Arial Narrow" w:hAnsi="Arial Narrow"/>
                <w:noProof/>
                <w:color w:val="006100"/>
                <w:sz w:val="20"/>
              </w:rPr>
              <w:t>i) Riiklik küberturvalisuse amet teeb kindlaks, kus sõeluuringu- ja sertifitseerimislaborid ja -keskused luuakse, millised ekspertide profiilid värvatakse, ning määrab täielikult kindlaks protsessid ja menetlused, mida laborid omavahel jagavad.</w:t>
            </w:r>
          </w:p>
          <w:p w14:paraId="53683D12" w14:textId="77777777" w:rsidR="0084326C" w:rsidRPr="005D68A0" w:rsidRDefault="0084326C">
            <w:pPr>
              <w:spacing w:before="120" w:after="120"/>
              <w:rPr>
                <w:rFonts w:ascii="Arial Narrow" w:hAnsi="Arial Narrow" w:cs="Arial"/>
                <w:noProof/>
                <w:color w:val="006100"/>
                <w:sz w:val="20"/>
                <w:szCs w:val="20"/>
              </w:rPr>
            </w:pPr>
            <w:r>
              <w:rPr>
                <w:rFonts w:ascii="Arial Narrow" w:hAnsi="Arial Narrow"/>
                <w:noProof/>
                <w:color w:val="006100"/>
                <w:sz w:val="20"/>
              </w:rPr>
              <w:t>ii) Ühe labori aktiveerimine.</w:t>
            </w:r>
          </w:p>
          <w:p w14:paraId="60FBC27D" w14:textId="276AAB6D" w:rsidR="0084326C" w:rsidRPr="005D68A0" w:rsidRDefault="0084326C">
            <w:pPr>
              <w:spacing w:after="120"/>
              <w:rPr>
                <w:rFonts w:ascii="Arial Narrow" w:hAnsi="Arial Narrow" w:cs="Arial"/>
                <w:noProof/>
                <w:color w:val="FF0000"/>
                <w:sz w:val="20"/>
                <w:szCs w:val="20"/>
              </w:rPr>
            </w:pPr>
            <w:r>
              <w:rPr>
                <w:rFonts w:ascii="Arial Narrow" w:hAnsi="Arial Narrow"/>
                <w:noProof/>
                <w:color w:val="006100"/>
                <w:sz w:val="20"/>
              </w:rPr>
              <w:t>Kontrollilaborite moodustamiseks ja aktiveerimiseks loodud tegevuste üle teostab järelevalvet Ministero dello Sviluppo Economico (MISE) koos küberturvalisuse riikliku kontrolli- ja sertifitseerimislaboriga (CVCN) ning need integreerivad hindamiskeskusesse siseministeerium ja kaitseministeerium.</w:t>
            </w:r>
          </w:p>
        </w:tc>
      </w:tr>
      <w:tr w:rsidR="00512838" w:rsidRPr="00150B7E" w14:paraId="6F0DC140" w14:textId="77777777" w:rsidTr="0183CD37">
        <w:trPr>
          <w:trHeight w:val="309"/>
        </w:trPr>
        <w:tc>
          <w:tcPr>
            <w:tcW w:w="1253" w:type="dxa"/>
            <w:shd w:val="clear" w:color="auto" w:fill="C6EFCE"/>
            <w:noWrap/>
            <w:vAlign w:val="center"/>
          </w:tcPr>
          <w:p w14:paraId="6ADFF5E6"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M1C1-8</w:t>
            </w:r>
          </w:p>
        </w:tc>
        <w:tc>
          <w:tcPr>
            <w:tcW w:w="1568" w:type="dxa"/>
            <w:shd w:val="clear" w:color="auto" w:fill="C6EFCE"/>
            <w:noWrap/>
            <w:vAlign w:val="center"/>
          </w:tcPr>
          <w:p w14:paraId="2CE961FB"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Investeering 1.5. Küberturvalisus</w:t>
            </w:r>
          </w:p>
        </w:tc>
        <w:tc>
          <w:tcPr>
            <w:tcW w:w="1148" w:type="dxa"/>
            <w:shd w:val="clear" w:color="auto" w:fill="C6EFCE"/>
            <w:noWrap/>
            <w:vAlign w:val="center"/>
          </w:tcPr>
          <w:p w14:paraId="1060A38B"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shd w:val="clear" w:color="auto" w:fill="C6EFCE"/>
            <w:noWrap/>
            <w:vAlign w:val="center"/>
          </w:tcPr>
          <w:p w14:paraId="666EB84D"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Tsentraalse auditiüksuse aktiveerimine PSNC &amp; NISi turvameetmete jaoks</w:t>
            </w:r>
          </w:p>
        </w:tc>
        <w:tc>
          <w:tcPr>
            <w:tcW w:w="1701" w:type="dxa"/>
            <w:shd w:val="clear" w:color="auto" w:fill="C6EFCE"/>
            <w:noWrap/>
            <w:vAlign w:val="center"/>
          </w:tcPr>
          <w:p w14:paraId="40A153A4"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Esitatud aruanded, mis näitavad auditi kesküksuse käivitamist</w:t>
            </w:r>
          </w:p>
        </w:tc>
        <w:tc>
          <w:tcPr>
            <w:tcW w:w="1134" w:type="dxa"/>
            <w:shd w:val="clear" w:color="auto" w:fill="C6EFCE"/>
            <w:noWrap/>
            <w:vAlign w:val="center"/>
          </w:tcPr>
          <w:p w14:paraId="0812831D"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shd w:val="clear" w:color="auto" w:fill="C6EFCE"/>
            <w:noWrap/>
            <w:vAlign w:val="center"/>
          </w:tcPr>
          <w:p w14:paraId="493C9C6B"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shd w:val="clear" w:color="auto" w:fill="C6EFCE"/>
            <w:noWrap/>
            <w:vAlign w:val="center"/>
          </w:tcPr>
          <w:p w14:paraId="35498725"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shd w:val="clear" w:color="auto" w:fill="C6EFCE"/>
            <w:noWrap/>
            <w:vAlign w:val="center"/>
          </w:tcPr>
          <w:p w14:paraId="60D25AD9"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shd w:val="clear" w:color="auto" w:fill="C6EFCE"/>
            <w:noWrap/>
            <w:vAlign w:val="center"/>
          </w:tcPr>
          <w:p w14:paraId="00F430D2"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2022</w:t>
            </w:r>
          </w:p>
        </w:tc>
        <w:tc>
          <w:tcPr>
            <w:tcW w:w="2977" w:type="dxa"/>
            <w:shd w:val="clear" w:color="auto" w:fill="C6EFCE"/>
            <w:noWrap/>
            <w:vAlign w:val="center"/>
          </w:tcPr>
          <w:p w14:paraId="330190AD"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Riiklikus küberturvalisuse ametis nimetatakse ametisse siseüksus, mille ülesanne on täita PSNC ja NISi aruandva keskse auditiüksuse ülesandeid; võrgu- ja infoturbemeetmed.</w:t>
            </w:r>
          </w:p>
          <w:p w14:paraId="5E181304"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Protsessid, logistika ja käitamiskord vormistatakse asjakohasteks dokumentideks, pöörates erilist tähelepanu tööprotsessidele, st töövõtu-, auditeerimis- ja aruandluskorrale.</w:t>
            </w:r>
          </w:p>
          <w:p w14:paraId="5C9E6172"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IT-vahendid koguvad, haldavad ja analüüsivad auditiandmeid ning need töötab välja ja neid kasutab auditiüksus.</w:t>
            </w:r>
          </w:p>
          <w:p w14:paraId="430D449B"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Esitatakse dokumendid vahendite väljatöötamise lõpuleviimise kohta.</w:t>
            </w:r>
          </w:p>
        </w:tc>
      </w:tr>
      <w:tr w:rsidR="00512838" w:rsidRPr="00150B7E" w14:paraId="13170098" w14:textId="77777777" w:rsidTr="0183CD37">
        <w:trPr>
          <w:trHeight w:val="309"/>
        </w:trPr>
        <w:tc>
          <w:tcPr>
            <w:tcW w:w="1253" w:type="dxa"/>
            <w:shd w:val="clear" w:color="auto" w:fill="C6EFCE"/>
            <w:noWrap/>
            <w:vAlign w:val="center"/>
          </w:tcPr>
          <w:p w14:paraId="7DBBB75F"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M1C1-9</w:t>
            </w:r>
          </w:p>
        </w:tc>
        <w:tc>
          <w:tcPr>
            <w:tcW w:w="1568" w:type="dxa"/>
            <w:shd w:val="clear" w:color="auto" w:fill="C6EFCE"/>
            <w:noWrap/>
            <w:vAlign w:val="center"/>
          </w:tcPr>
          <w:p w14:paraId="2576B2EC"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Investeering 1.5. Küberturvalisus</w:t>
            </w:r>
          </w:p>
        </w:tc>
        <w:tc>
          <w:tcPr>
            <w:tcW w:w="1148" w:type="dxa"/>
            <w:shd w:val="clear" w:color="auto" w:fill="C6EFCE"/>
            <w:noWrap/>
            <w:vAlign w:val="center"/>
          </w:tcPr>
          <w:p w14:paraId="55BAC181"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shd w:val="clear" w:color="auto" w:fill="C6EFCE"/>
            <w:noWrap/>
            <w:vAlign w:val="center"/>
          </w:tcPr>
          <w:p w14:paraId="789E4D6C"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Toetus turvastruktuuride ajakohastamisele T1</w:t>
            </w:r>
          </w:p>
        </w:tc>
        <w:tc>
          <w:tcPr>
            <w:tcW w:w="1701" w:type="dxa"/>
            <w:shd w:val="clear" w:color="auto" w:fill="C6EFCE"/>
            <w:noWrap/>
            <w:vAlign w:val="center"/>
          </w:tcPr>
          <w:p w14:paraId="6C0D2716"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4FA164C3"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Arv</w:t>
            </w:r>
          </w:p>
        </w:tc>
        <w:tc>
          <w:tcPr>
            <w:tcW w:w="1417" w:type="dxa"/>
            <w:shd w:val="clear" w:color="auto" w:fill="C6EFCE"/>
            <w:noWrap/>
            <w:vAlign w:val="center"/>
          </w:tcPr>
          <w:p w14:paraId="7DA36AB9"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0</w:t>
            </w:r>
          </w:p>
        </w:tc>
        <w:tc>
          <w:tcPr>
            <w:tcW w:w="1425" w:type="dxa"/>
            <w:shd w:val="clear" w:color="auto" w:fill="C6EFCE"/>
            <w:noWrap/>
            <w:vAlign w:val="center"/>
          </w:tcPr>
          <w:p w14:paraId="01422BE7"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5</w:t>
            </w:r>
          </w:p>
        </w:tc>
        <w:tc>
          <w:tcPr>
            <w:tcW w:w="843" w:type="dxa"/>
            <w:shd w:val="clear" w:color="auto" w:fill="C6EFCE"/>
            <w:noWrap/>
            <w:vAlign w:val="center"/>
          </w:tcPr>
          <w:p w14:paraId="629AF796"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shd w:val="clear" w:color="auto" w:fill="C6EFCE"/>
            <w:noWrap/>
            <w:vAlign w:val="center"/>
          </w:tcPr>
          <w:p w14:paraId="6E1917F2"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2022</w:t>
            </w:r>
          </w:p>
        </w:tc>
        <w:tc>
          <w:tcPr>
            <w:tcW w:w="2977" w:type="dxa"/>
            <w:shd w:val="clear" w:color="auto" w:fill="C6EFCE"/>
            <w:noWrap/>
            <w:vAlign w:val="center"/>
          </w:tcPr>
          <w:p w14:paraId="53B89E24"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Vähemalt viis tugevdatud sekkumist, millega ajakohastatakse julgeolekustruktuure riikliku küberjulgeoleku programmi (PSNC) ning võrgu- ja infosüsteemide (NIS) sektorites.</w:t>
            </w:r>
          </w:p>
          <w:p w14:paraId="6C97B566" w14:textId="423F3F4D"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Sekkumisliikide hulka kuuluvad turvaoperatsioonide keskuste ajakohastamine, küberpiiride kaitse parandamine ning siseseire ja -kontrolli võimekus. Sekkumised keskenduvad tervishoiu-, energeetika- ja keskkonnasektorile (joogiveevarustus).</w:t>
            </w:r>
          </w:p>
        </w:tc>
      </w:tr>
      <w:tr w:rsidR="00512838" w:rsidRPr="00150B7E" w14:paraId="20DE60FC" w14:textId="77777777" w:rsidTr="0183CD37">
        <w:trPr>
          <w:trHeight w:val="309"/>
        </w:trPr>
        <w:tc>
          <w:tcPr>
            <w:tcW w:w="1253" w:type="dxa"/>
            <w:shd w:val="clear" w:color="auto" w:fill="C6EFCE"/>
            <w:noWrap/>
            <w:vAlign w:val="center"/>
          </w:tcPr>
          <w:p w14:paraId="747E887A"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M1C1-10</w:t>
            </w:r>
          </w:p>
        </w:tc>
        <w:tc>
          <w:tcPr>
            <w:tcW w:w="1568" w:type="dxa"/>
            <w:shd w:val="clear" w:color="auto" w:fill="C6EFCE"/>
            <w:noWrap/>
            <w:vAlign w:val="center"/>
          </w:tcPr>
          <w:p w14:paraId="3546B88A"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Reform 1.2. Ümberkujundamise toetamine</w:t>
            </w:r>
          </w:p>
        </w:tc>
        <w:tc>
          <w:tcPr>
            <w:tcW w:w="1148" w:type="dxa"/>
            <w:shd w:val="clear" w:color="auto" w:fill="C6EFCE"/>
            <w:noWrap/>
            <w:vAlign w:val="center"/>
          </w:tcPr>
          <w:p w14:paraId="752268A9"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shd w:val="clear" w:color="auto" w:fill="C6EFCE"/>
            <w:noWrap/>
            <w:vAlign w:val="center"/>
          </w:tcPr>
          <w:p w14:paraId="44161621"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Transformeerimisrühma ja NewCo loomise jõustumine</w:t>
            </w:r>
          </w:p>
        </w:tc>
        <w:tc>
          <w:tcPr>
            <w:tcW w:w="1701" w:type="dxa"/>
            <w:shd w:val="clear" w:color="auto" w:fill="C6EFCE"/>
            <w:noWrap/>
            <w:vAlign w:val="center"/>
          </w:tcPr>
          <w:p w14:paraId="1E5BB7D9"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Õigusakti säte, milles osutatakse ümberkujundamisameti loomist käsitleva õigusakti jõustumisele ja uue tolliseadustiku loomist käsitleva õigusakti jõustumisele</w:t>
            </w:r>
          </w:p>
        </w:tc>
        <w:tc>
          <w:tcPr>
            <w:tcW w:w="1134" w:type="dxa"/>
            <w:shd w:val="clear" w:color="auto" w:fill="C6EFCE"/>
            <w:noWrap/>
            <w:vAlign w:val="center"/>
          </w:tcPr>
          <w:p w14:paraId="3FA8BABA"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shd w:val="clear" w:color="auto" w:fill="C6EFCE"/>
            <w:noWrap/>
            <w:vAlign w:val="center"/>
          </w:tcPr>
          <w:p w14:paraId="47104291"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shd w:val="clear" w:color="auto" w:fill="C6EFCE"/>
            <w:noWrap/>
            <w:vAlign w:val="center"/>
          </w:tcPr>
          <w:p w14:paraId="55D69C13"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shd w:val="clear" w:color="auto" w:fill="C6EFCE"/>
            <w:noWrap/>
            <w:vAlign w:val="center"/>
          </w:tcPr>
          <w:p w14:paraId="252E7838"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shd w:val="clear" w:color="auto" w:fill="C6EFCE"/>
            <w:noWrap/>
            <w:vAlign w:val="center"/>
          </w:tcPr>
          <w:p w14:paraId="02C6C4BB"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2022</w:t>
            </w:r>
          </w:p>
        </w:tc>
        <w:tc>
          <w:tcPr>
            <w:tcW w:w="2977" w:type="dxa"/>
            <w:shd w:val="clear" w:color="auto" w:fill="C6EFCE"/>
            <w:noWrap/>
            <w:vAlign w:val="center"/>
          </w:tcPr>
          <w:p w14:paraId="1E75D8E2"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Ümberkujundamisbüroo loomiseks vajalikud õigusaktid hõlmavad järgmist:</w:t>
            </w:r>
          </w:p>
          <w:p w14:paraId="2A0E0A41" w14:textId="77777777" w:rsidR="0084326C" w:rsidRPr="005D68A0" w:rsidRDefault="0084326C">
            <w:pPr>
              <w:pStyle w:val="ListParagraph"/>
              <w:numPr>
                <w:ilvl w:val="0"/>
                <w:numId w:val="85"/>
              </w:numPr>
              <w:ind w:left="314" w:hanging="232"/>
              <w:jc w:val="left"/>
              <w:rPr>
                <w:rFonts w:ascii="Arial Narrow" w:hAnsi="Arial Narrow" w:cs="Arial"/>
                <w:noProof/>
                <w:color w:val="006100"/>
                <w:sz w:val="20"/>
                <w:szCs w:val="20"/>
              </w:rPr>
            </w:pPr>
            <w:r>
              <w:rPr>
                <w:rFonts w:ascii="Arial Narrow" w:hAnsi="Arial Narrow"/>
                <w:noProof/>
                <w:color w:val="006100"/>
                <w:sz w:val="20"/>
              </w:rPr>
              <w:t>Dekreetseaduse „reclutamento“ avaldamine (mis on juba heaks kiidetud ministrite nõukogu 4. juuni 2021. aasta otsusega nr 22 ja avaldatud Euroopa Liidu Teatajas („Gazzetta Ufficiale“) 10. juunil 2021) ;</w:t>
            </w:r>
          </w:p>
          <w:p w14:paraId="77AC3A46" w14:textId="77777777" w:rsidR="0084326C" w:rsidRPr="005D68A0" w:rsidRDefault="0084326C">
            <w:pPr>
              <w:pStyle w:val="ListParagraph"/>
              <w:numPr>
                <w:ilvl w:val="0"/>
                <w:numId w:val="85"/>
              </w:numPr>
              <w:ind w:left="314" w:hanging="232"/>
              <w:jc w:val="left"/>
              <w:rPr>
                <w:rFonts w:ascii="Arial Narrow" w:hAnsi="Arial Narrow" w:cs="Arial"/>
                <w:noProof/>
                <w:color w:val="006100"/>
                <w:sz w:val="20"/>
                <w:szCs w:val="20"/>
              </w:rPr>
            </w:pPr>
            <w:r>
              <w:rPr>
                <w:rFonts w:ascii="Arial Narrow" w:hAnsi="Arial Narrow"/>
                <w:noProof/>
                <w:color w:val="006100"/>
                <w:sz w:val="20"/>
              </w:rPr>
              <w:t>Osalemiskutse avaldamine;</w:t>
            </w:r>
          </w:p>
          <w:p w14:paraId="25448764" w14:textId="77777777" w:rsidR="0084326C" w:rsidRPr="005D68A0" w:rsidRDefault="0084326C">
            <w:pPr>
              <w:pStyle w:val="ListParagraph"/>
              <w:numPr>
                <w:ilvl w:val="0"/>
                <w:numId w:val="85"/>
              </w:numPr>
              <w:ind w:left="314" w:hanging="232"/>
              <w:jc w:val="left"/>
              <w:rPr>
                <w:rFonts w:ascii="Arial Narrow" w:hAnsi="Arial Narrow" w:cs="Arial"/>
                <w:noProof/>
                <w:color w:val="006100"/>
                <w:sz w:val="20"/>
                <w:szCs w:val="20"/>
              </w:rPr>
            </w:pPr>
            <w:r>
              <w:rPr>
                <w:rFonts w:ascii="Arial Narrow" w:hAnsi="Arial Narrow"/>
                <w:noProof/>
                <w:color w:val="006100"/>
                <w:sz w:val="20"/>
              </w:rPr>
              <w:t>Ekspertidele ülesannete valimine ja määramine (ajutiselt taaste- ja vastupidavusrahastu kestuse ajaks).</w:t>
            </w:r>
          </w:p>
          <w:p w14:paraId="510AD9D3"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NewCo puhul on vajalikud järgmised põhietapid:</w:t>
            </w:r>
          </w:p>
          <w:p w14:paraId="28534CF8" w14:textId="77777777" w:rsidR="0084326C" w:rsidRPr="005D68A0" w:rsidRDefault="0084326C">
            <w:pPr>
              <w:pStyle w:val="ListParagraph"/>
              <w:numPr>
                <w:ilvl w:val="0"/>
                <w:numId w:val="85"/>
              </w:numPr>
              <w:ind w:left="314" w:hanging="232"/>
              <w:jc w:val="left"/>
              <w:rPr>
                <w:rFonts w:ascii="Arial Narrow" w:hAnsi="Arial Narrow" w:cs="Arial"/>
                <w:noProof/>
                <w:color w:val="006100"/>
                <w:sz w:val="20"/>
                <w:szCs w:val="20"/>
              </w:rPr>
            </w:pPr>
            <w:r>
              <w:rPr>
                <w:rFonts w:ascii="Arial Narrow" w:hAnsi="Arial Narrow"/>
                <w:noProof/>
                <w:color w:val="006100"/>
                <w:sz w:val="20"/>
              </w:rPr>
              <w:t>Seadusandlik luba;</w:t>
            </w:r>
          </w:p>
          <w:p w14:paraId="1EBC8D5A" w14:textId="77777777" w:rsidR="0084326C" w:rsidRPr="005D68A0" w:rsidRDefault="0084326C">
            <w:pPr>
              <w:pStyle w:val="ListParagraph"/>
              <w:numPr>
                <w:ilvl w:val="0"/>
                <w:numId w:val="85"/>
              </w:numPr>
              <w:ind w:left="314" w:hanging="232"/>
              <w:jc w:val="left"/>
              <w:rPr>
                <w:rFonts w:ascii="Arial Narrow" w:hAnsi="Arial Narrow" w:cs="Arial"/>
                <w:noProof/>
                <w:color w:val="006100"/>
                <w:sz w:val="20"/>
                <w:szCs w:val="20"/>
              </w:rPr>
            </w:pPr>
            <w:r>
              <w:rPr>
                <w:rFonts w:ascii="Arial Narrow" w:hAnsi="Arial Narrow"/>
                <w:noProof/>
                <w:color w:val="006100"/>
                <w:sz w:val="20"/>
              </w:rPr>
              <w:t>Decreto del Presidente del Consiglio dei Ministri (DPCM), kes annab loa äriühingu asutamiseks ning määrab kindlaks äriühingu eesmärgid, aktsiakapitali, kestuse ja juhatuse liikmed;</w:t>
            </w:r>
          </w:p>
          <w:p w14:paraId="42878592" w14:textId="77777777" w:rsidR="0084326C" w:rsidRPr="005D68A0" w:rsidRDefault="0084326C">
            <w:pPr>
              <w:pStyle w:val="ListParagraph"/>
              <w:numPr>
                <w:ilvl w:val="0"/>
                <w:numId w:val="85"/>
              </w:numPr>
              <w:ind w:left="314" w:hanging="232"/>
              <w:jc w:val="left"/>
              <w:rPr>
                <w:rFonts w:ascii="Arial Narrow" w:hAnsi="Arial Narrow" w:cs="Arial"/>
                <w:noProof/>
                <w:color w:val="006100"/>
                <w:sz w:val="20"/>
                <w:szCs w:val="20"/>
              </w:rPr>
            </w:pPr>
            <w:r>
              <w:rPr>
                <w:rFonts w:ascii="Arial Narrow" w:hAnsi="Arial Narrow"/>
                <w:noProof/>
                <w:color w:val="006100"/>
                <w:sz w:val="20"/>
              </w:rPr>
              <w:t>Notariaalaktiga äriühingu asutus;</w:t>
            </w:r>
          </w:p>
          <w:p w14:paraId="641BFDA4" w14:textId="77777777" w:rsidR="0084326C" w:rsidRPr="005D68A0" w:rsidRDefault="0084326C">
            <w:pPr>
              <w:pStyle w:val="ListParagraph"/>
              <w:numPr>
                <w:ilvl w:val="0"/>
                <w:numId w:val="85"/>
              </w:numPr>
              <w:ind w:left="314" w:hanging="232"/>
              <w:jc w:val="left"/>
              <w:rPr>
                <w:rFonts w:ascii="Arial Narrow" w:hAnsi="Arial Narrow" w:cs="Arial"/>
                <w:noProof/>
                <w:color w:val="006100"/>
                <w:sz w:val="20"/>
                <w:szCs w:val="20"/>
              </w:rPr>
            </w:pPr>
            <w:r>
              <w:rPr>
                <w:rFonts w:ascii="Arial Narrow" w:hAnsi="Arial Narrow"/>
                <w:noProof/>
                <w:color w:val="006100"/>
                <w:sz w:val="20"/>
              </w:rPr>
              <w:t>Äriühingu toimimiseks vajalikud toimingud – põhikiri ja mitmesugused eeskirjad.</w:t>
            </w:r>
          </w:p>
        </w:tc>
      </w:tr>
      <w:tr w:rsidR="00512838" w:rsidRPr="00150B7E" w14:paraId="2D701D50" w14:textId="77777777" w:rsidTr="0183CD37">
        <w:trPr>
          <w:trHeight w:val="309"/>
        </w:trPr>
        <w:tc>
          <w:tcPr>
            <w:tcW w:w="1253" w:type="dxa"/>
            <w:shd w:val="clear" w:color="auto" w:fill="C6EFCE"/>
            <w:noWrap/>
            <w:vAlign w:val="center"/>
          </w:tcPr>
          <w:p w14:paraId="0E3B6650"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M1C1-11</w:t>
            </w:r>
          </w:p>
        </w:tc>
        <w:tc>
          <w:tcPr>
            <w:tcW w:w="1568" w:type="dxa"/>
            <w:shd w:val="clear" w:color="auto" w:fill="C6EFCE"/>
            <w:noWrap/>
            <w:vAlign w:val="center"/>
          </w:tcPr>
          <w:p w14:paraId="17D0B879"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Investeering 1.6.6. Finantspolitsei digiteerimine</w:t>
            </w:r>
          </w:p>
        </w:tc>
        <w:tc>
          <w:tcPr>
            <w:tcW w:w="1148" w:type="dxa"/>
            <w:shd w:val="clear" w:color="auto" w:fill="C6EFCE"/>
            <w:noWrap/>
            <w:vAlign w:val="center"/>
          </w:tcPr>
          <w:p w14:paraId="3D41B048"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shd w:val="clear" w:color="auto" w:fill="C6EFCE"/>
            <w:noWrap/>
            <w:vAlign w:val="center"/>
          </w:tcPr>
          <w:p w14:paraId="1C148816"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Finantspolitsei – professionaalsete andmeteadusteenuste ostmine T1</w:t>
            </w:r>
          </w:p>
        </w:tc>
        <w:tc>
          <w:tcPr>
            <w:tcW w:w="1701" w:type="dxa"/>
            <w:shd w:val="clear" w:color="auto" w:fill="C6EFCE"/>
            <w:noWrap/>
            <w:vAlign w:val="center"/>
          </w:tcPr>
          <w:p w14:paraId="5AB563DF"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7BC53E78"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Arv</w:t>
            </w:r>
          </w:p>
        </w:tc>
        <w:tc>
          <w:tcPr>
            <w:tcW w:w="1417" w:type="dxa"/>
            <w:shd w:val="clear" w:color="auto" w:fill="C6EFCE"/>
            <w:noWrap/>
            <w:vAlign w:val="center"/>
          </w:tcPr>
          <w:p w14:paraId="58FA8757"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0</w:t>
            </w:r>
          </w:p>
        </w:tc>
        <w:tc>
          <w:tcPr>
            <w:tcW w:w="1425" w:type="dxa"/>
            <w:shd w:val="clear" w:color="auto" w:fill="C6EFCE"/>
            <w:noWrap/>
            <w:vAlign w:val="center"/>
          </w:tcPr>
          <w:p w14:paraId="1E26F74A"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5</w:t>
            </w:r>
          </w:p>
        </w:tc>
        <w:tc>
          <w:tcPr>
            <w:tcW w:w="843" w:type="dxa"/>
            <w:shd w:val="clear" w:color="auto" w:fill="C6EFCE"/>
            <w:noWrap/>
            <w:vAlign w:val="center"/>
          </w:tcPr>
          <w:p w14:paraId="57E98DD3"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1. kv</w:t>
            </w:r>
          </w:p>
        </w:tc>
        <w:tc>
          <w:tcPr>
            <w:tcW w:w="567" w:type="dxa"/>
            <w:shd w:val="clear" w:color="auto" w:fill="C6EFCE"/>
            <w:noWrap/>
            <w:vAlign w:val="center"/>
          </w:tcPr>
          <w:p w14:paraId="35F2BD7B"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2023</w:t>
            </w:r>
          </w:p>
        </w:tc>
        <w:tc>
          <w:tcPr>
            <w:tcW w:w="2977" w:type="dxa"/>
            <w:shd w:val="clear" w:color="auto" w:fill="C6EFCE"/>
            <w:noWrap/>
            <w:vAlign w:val="center"/>
          </w:tcPr>
          <w:p w14:paraId="3C5BEBC1"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Professionaalsete andmeteaduse teenuste ostmine, sõlmides lepingu konsultatsiooniteenuse osutajaga, mis hõlmab kokku viit töötajat, kes vastutavad nii andmearhitektuuri kavandamise kui ka suurandmete analüüsi üksuse algoritmide kirjutamise eest. Andmeteaduse teenuste ostmiseks sõlmitud lepingu avaldamine kooskõlas tehnilise juhendiga „Mitte tekitada olulist kahju“ (2021/C58/01), kasutades kõrvalejätmise loetelu ning asjaomaste ELi ja riiklike keskkonnaalaste õigusaktide järgimise nõuet, ning uute vahendite avaldamine kogu riigis esimese analüüsimooduli (IT-tugi) raames.</w:t>
            </w:r>
          </w:p>
        </w:tc>
      </w:tr>
      <w:tr w:rsidR="00512838" w:rsidRPr="00150B7E" w14:paraId="47F734B3" w14:textId="77777777" w:rsidTr="0183CD37">
        <w:trPr>
          <w:trHeight w:val="309"/>
        </w:trPr>
        <w:tc>
          <w:tcPr>
            <w:tcW w:w="1253" w:type="dxa"/>
            <w:shd w:val="clear" w:color="auto" w:fill="C6EFCE"/>
            <w:noWrap/>
            <w:vAlign w:val="center"/>
          </w:tcPr>
          <w:p w14:paraId="41214381"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M1C1-12</w:t>
            </w:r>
          </w:p>
        </w:tc>
        <w:tc>
          <w:tcPr>
            <w:tcW w:w="1568" w:type="dxa"/>
            <w:shd w:val="clear" w:color="auto" w:fill="C6EFCE"/>
            <w:noWrap/>
            <w:vAlign w:val="center"/>
          </w:tcPr>
          <w:p w14:paraId="3427839B"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Investeering 1.3.2. Ühtne digivärav</w:t>
            </w:r>
          </w:p>
        </w:tc>
        <w:tc>
          <w:tcPr>
            <w:tcW w:w="1148" w:type="dxa"/>
            <w:shd w:val="clear" w:color="auto" w:fill="C6EFCE"/>
            <w:noWrap/>
            <w:vAlign w:val="center"/>
          </w:tcPr>
          <w:p w14:paraId="6AF09FAE"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shd w:val="clear" w:color="auto" w:fill="C6EFCE"/>
            <w:noWrap/>
            <w:vAlign w:val="center"/>
          </w:tcPr>
          <w:p w14:paraId="2C2AD644"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Ühtne digivärav</w:t>
            </w:r>
          </w:p>
        </w:tc>
        <w:tc>
          <w:tcPr>
            <w:tcW w:w="1701" w:type="dxa"/>
            <w:shd w:val="clear" w:color="auto" w:fill="C6EFCE"/>
            <w:noWrap/>
            <w:vAlign w:val="center"/>
          </w:tcPr>
          <w:p w14:paraId="026AB284"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524F3430"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Arv</w:t>
            </w:r>
          </w:p>
        </w:tc>
        <w:tc>
          <w:tcPr>
            <w:tcW w:w="1417" w:type="dxa"/>
            <w:shd w:val="clear" w:color="auto" w:fill="C6EFCE"/>
            <w:noWrap/>
            <w:vAlign w:val="center"/>
          </w:tcPr>
          <w:p w14:paraId="43920528"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0</w:t>
            </w:r>
          </w:p>
        </w:tc>
        <w:tc>
          <w:tcPr>
            <w:tcW w:w="1425" w:type="dxa"/>
            <w:shd w:val="clear" w:color="auto" w:fill="C6EFCE"/>
            <w:noWrap/>
            <w:vAlign w:val="center"/>
          </w:tcPr>
          <w:p w14:paraId="53DCB9B4"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19</w:t>
            </w:r>
          </w:p>
        </w:tc>
        <w:tc>
          <w:tcPr>
            <w:tcW w:w="843" w:type="dxa"/>
            <w:shd w:val="clear" w:color="auto" w:fill="C6EFCE"/>
            <w:noWrap/>
            <w:vAlign w:val="center"/>
          </w:tcPr>
          <w:p w14:paraId="55CD16FD"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shd w:val="clear" w:color="auto" w:fill="C6EFCE"/>
            <w:noWrap/>
            <w:vAlign w:val="center"/>
          </w:tcPr>
          <w:p w14:paraId="37F7D7A1"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2023</w:t>
            </w:r>
          </w:p>
        </w:tc>
        <w:tc>
          <w:tcPr>
            <w:tcW w:w="2977" w:type="dxa"/>
            <w:shd w:val="clear" w:color="auto" w:fill="C6EFCE"/>
            <w:noWrap/>
            <w:vAlign w:val="center"/>
          </w:tcPr>
          <w:p w14:paraId="3A180EA9"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19 prioriteetset haldusmenetlust, mida kohaldatakse Itaalias ELi määruses (EL) 2018/1724 sätestatud 21-st, on täielikult kooskõlas ELi määruse (EL) 2018/1724 artiklis 6 sätestatud nõuetega. Täpsemalt: a) kasutajate tuvastamine, teabe ja tõendavate dokumentide esitamine, allkirjastamine ja lõplik esitamine toimub elektrooniliselt vahemaa tagant teenuskanali kaudu, mis võimaldab kasutajatel täita menetlusega seotud nõudeid kasutajasõbralikul ja struktureeritud viisil; b) kasutajatele antakse automaatne vastuvõtuteatis, välja arvatud juhul, kui menetluse tulemus edastatakse viivitamata; c) menetluse tulemused edastatakse elektrooniliselt või, kui see on vajalik kohaldatava liidu või siseriikliku õiguse järgimiseks, füüsilisel teel; d) kasutajatele antakse elektrooniline teade menetluse lõpuleviimise kohta.</w:t>
            </w:r>
          </w:p>
        </w:tc>
      </w:tr>
      <w:tr w:rsidR="00512838" w:rsidRPr="00150B7E" w14:paraId="6A41E438" w14:textId="77777777" w:rsidTr="0183CD37">
        <w:trPr>
          <w:trHeight w:val="309"/>
        </w:trPr>
        <w:tc>
          <w:tcPr>
            <w:tcW w:w="1253" w:type="dxa"/>
            <w:shd w:val="clear" w:color="auto" w:fill="C6EFCE"/>
            <w:noWrap/>
            <w:vAlign w:val="center"/>
          </w:tcPr>
          <w:p w14:paraId="71AD7F8E"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M1C1-13</w:t>
            </w:r>
          </w:p>
        </w:tc>
        <w:tc>
          <w:tcPr>
            <w:tcW w:w="1568" w:type="dxa"/>
            <w:shd w:val="clear" w:color="auto" w:fill="C6EFCE"/>
            <w:noWrap/>
            <w:vAlign w:val="center"/>
          </w:tcPr>
          <w:p w14:paraId="28036432"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Investeering 1.4.6.</w:t>
            </w:r>
          </w:p>
          <w:p w14:paraId="2527A483"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Liikuvus kui teenus Itaalia jaoks</w:t>
            </w:r>
          </w:p>
        </w:tc>
        <w:tc>
          <w:tcPr>
            <w:tcW w:w="1148" w:type="dxa"/>
            <w:shd w:val="clear" w:color="auto" w:fill="C6EFCE"/>
            <w:noWrap/>
            <w:vAlign w:val="center"/>
          </w:tcPr>
          <w:p w14:paraId="7CDF00F7"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shd w:val="clear" w:color="auto" w:fill="C6EFCE"/>
            <w:noWrap/>
            <w:vAlign w:val="center"/>
          </w:tcPr>
          <w:p w14:paraId="1234F999"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Liikuvus kui teenuselahendus M1</w:t>
            </w:r>
          </w:p>
        </w:tc>
        <w:tc>
          <w:tcPr>
            <w:tcW w:w="1701" w:type="dxa"/>
            <w:shd w:val="clear" w:color="auto" w:fill="C6EFCE"/>
            <w:noWrap/>
            <w:vAlign w:val="center"/>
          </w:tcPr>
          <w:p w14:paraId="15580B6C"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Ministero delle Infrastrutture e della Mobilità Sostenibili (MIMS) aruanne koostöös ülikoolidega, milles kirjeldatakse kolme katseprojekti rakendamist ja hinnatakse nende tulemusi.</w:t>
            </w:r>
          </w:p>
        </w:tc>
        <w:tc>
          <w:tcPr>
            <w:tcW w:w="1134" w:type="dxa"/>
            <w:shd w:val="clear" w:color="auto" w:fill="C6EFCE"/>
            <w:noWrap/>
            <w:vAlign w:val="center"/>
          </w:tcPr>
          <w:p w14:paraId="6DBAE17C"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shd w:val="clear" w:color="auto" w:fill="C6EFCE"/>
            <w:noWrap/>
            <w:vAlign w:val="center"/>
          </w:tcPr>
          <w:p w14:paraId="3569352E"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shd w:val="clear" w:color="auto" w:fill="C6EFCE"/>
            <w:noWrap/>
            <w:vAlign w:val="center"/>
          </w:tcPr>
          <w:p w14:paraId="2029E52D"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shd w:val="clear" w:color="auto" w:fill="C6EFCE"/>
            <w:noWrap/>
            <w:vAlign w:val="center"/>
          </w:tcPr>
          <w:p w14:paraId="0249C36C"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shd w:val="clear" w:color="auto" w:fill="C6EFCE"/>
            <w:noWrap/>
            <w:vAlign w:val="center"/>
          </w:tcPr>
          <w:p w14:paraId="62DAB211"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2023</w:t>
            </w:r>
          </w:p>
        </w:tc>
        <w:tc>
          <w:tcPr>
            <w:tcW w:w="2977" w:type="dxa"/>
            <w:shd w:val="clear" w:color="auto" w:fill="C6EFCE"/>
            <w:noWrap/>
            <w:vAlign w:val="center"/>
          </w:tcPr>
          <w:p w14:paraId="7AEE19FB"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Ellu on viidud kolm katseprojekti, mille eesmärk on katsetada liikuvust kui teenuselahendust tehnoloogiliselt arenenud suurlinnades.</w:t>
            </w:r>
          </w:p>
          <w:p w14:paraId="1B67A0EE"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Katseperioodil on iga lahust kasutanud vähemalt 1 000 kasutajat.</w:t>
            </w:r>
          </w:p>
          <w:p w14:paraId="71958FEB" w14:textId="667E4FBA"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Iga katseprojekt on avatud vähemalt 1 000 kasutajale, kes saavad sellele juurde pääseda vabatahtlikkuse alusel ja omal kulul ning anda individuaalse hinnangu, võimalusega valida ja osta liikuvusteenuseid platvormil pakutavate teenuste hulgast.</w:t>
            </w:r>
          </w:p>
          <w:p w14:paraId="11BF12D3"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MaaS-teenus pakub ühtse tehnoloogilise platvormi kaudu kodaniku-kasutajale tema vajadustest lähtuvat parimat reisilahendust, kasutades ära erinevate olemasolevate liikuvusvõimaluste (kohalik ühistransport, ühistransport, kabiin, autorent) vahelist integratsiooni, et optimeerida reisikogemust nii planeerimise (mitmeliigiline marsruudiplaneerija ning reaalajas teave aegade ja vahemaade kohta) kui ka kasutamise (teenuste broneerimine ja maksmine) seisukohast.</w:t>
            </w:r>
          </w:p>
        </w:tc>
      </w:tr>
      <w:tr w:rsidR="00512838" w:rsidRPr="00150B7E" w14:paraId="6DFC7753"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CDD21B1" w14:textId="77777777" w:rsidR="0084326C" w:rsidRPr="005D68A0" w:rsidRDefault="0084326C">
            <w:pPr>
              <w:jc w:val="center"/>
              <w:rPr>
                <w:rFonts w:ascii="Arial Narrow" w:hAnsi="Arial Narrow" w:cs="Arial"/>
                <w:noProof/>
                <w:color w:val="006100"/>
                <w:sz w:val="20"/>
              </w:rPr>
            </w:pPr>
            <w:r>
              <w:rPr>
                <w:rFonts w:ascii="Arial Narrow" w:hAnsi="Arial Narrow"/>
                <w:noProof/>
                <w:color w:val="006100"/>
                <w:sz w:val="20"/>
              </w:rPr>
              <w:t>M1C1–14a</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626BFA" w14:textId="6797B0AE" w:rsidR="0084326C" w:rsidRPr="005D68A0" w:rsidRDefault="0084326C">
            <w:pPr>
              <w:jc w:val="center"/>
              <w:rPr>
                <w:rFonts w:ascii="Arial Narrow" w:hAnsi="Arial Narrow" w:cs="Arial"/>
                <w:noProof/>
                <w:color w:val="006100"/>
                <w:sz w:val="20"/>
              </w:rPr>
            </w:pPr>
            <w:r>
              <w:rPr>
                <w:rFonts w:ascii="Arial Narrow" w:hAnsi="Arial Narrow"/>
                <w:noProof/>
                <w:color w:val="006100"/>
                <w:sz w:val="20"/>
              </w:rPr>
              <w:t>Reform 1.9bis. Reform ühtekuuluvuspoliitika rakendamise kiirendamiseks</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CD52638" w14:textId="77777777" w:rsidR="0084326C" w:rsidRPr="005D68A0" w:rsidRDefault="0084326C">
            <w:pPr>
              <w:jc w:val="center"/>
              <w:rPr>
                <w:rFonts w:ascii="Arial Narrow" w:hAnsi="Arial Narrow" w:cs="Arial"/>
                <w:noProof/>
                <w:color w:val="006100"/>
                <w:sz w:val="20"/>
              </w:rPr>
            </w:pPr>
            <w:r>
              <w:rPr>
                <w:rFonts w:ascii="Arial Narrow" w:hAnsi="Arial Narrow"/>
                <w:noProof/>
                <w:color w:val="006100"/>
                <w:sz w:val="20"/>
              </w:rPr>
              <w:t xml:space="preserve">Eesmärk </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28085C" w14:textId="77777777" w:rsidR="0084326C" w:rsidRPr="005D68A0" w:rsidRDefault="0084326C">
            <w:pPr>
              <w:jc w:val="center"/>
              <w:rPr>
                <w:rFonts w:ascii="Arial Narrow" w:hAnsi="Arial Narrow" w:cs="Arial"/>
                <w:noProof/>
                <w:color w:val="006100"/>
                <w:sz w:val="20"/>
              </w:rPr>
            </w:pPr>
            <w:r>
              <w:rPr>
                <w:rFonts w:ascii="Arial Narrow" w:hAnsi="Arial Narrow"/>
                <w:noProof/>
                <w:color w:val="006100"/>
                <w:sz w:val="20"/>
              </w:rPr>
              <w:t>Riiklike õigusaktide jõustumine ühtekuuluvuspoliitika rakendamise kiirendamiseks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2D59F58" w14:textId="77777777" w:rsidR="0084326C" w:rsidRPr="005D68A0" w:rsidRDefault="0084326C">
            <w:pPr>
              <w:jc w:val="center"/>
              <w:rPr>
                <w:rFonts w:ascii="Arial Narrow" w:hAnsi="Arial Narrow" w:cs="Arial"/>
                <w:noProof/>
                <w:color w:val="006100"/>
                <w:sz w:val="20"/>
              </w:rPr>
            </w:pPr>
            <w:r>
              <w:rPr>
                <w:rFonts w:ascii="Arial Narrow" w:hAnsi="Arial Narrow"/>
                <w:noProof/>
                <w:color w:val="006100"/>
                <w:sz w:val="20"/>
              </w:rPr>
              <w:t xml:space="preserve">Õigusakti säte, mis viitab siseriiklike õigusaktide jõustumisele ühtekuuluvuspoliitika rakendamise kiirendamiseks </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4EB85B" w14:textId="77777777" w:rsidR="0084326C" w:rsidRPr="005D68A0" w:rsidRDefault="0084326C">
            <w:pPr>
              <w:jc w:val="center"/>
              <w:rPr>
                <w:rFonts w:ascii="Arial Narrow" w:hAnsi="Arial Narrow" w:cs="Arial"/>
                <w:noProof/>
                <w:color w:val="006100"/>
                <w:sz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F03362D" w14:textId="77777777" w:rsidR="0084326C" w:rsidRPr="005D68A0" w:rsidRDefault="0084326C">
            <w:pPr>
              <w:jc w:val="center"/>
              <w:rPr>
                <w:rFonts w:ascii="Arial Narrow" w:hAnsi="Arial Narrow" w:cs="Arial"/>
                <w:noProof/>
                <w:color w:val="006100"/>
                <w:sz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42423F" w14:textId="77777777" w:rsidR="0084326C" w:rsidRPr="005D68A0" w:rsidRDefault="0084326C">
            <w:pPr>
              <w:jc w:val="center"/>
              <w:rPr>
                <w:rFonts w:ascii="Arial Narrow" w:hAnsi="Arial Narrow" w:cs="Arial"/>
                <w:noProof/>
                <w:color w:val="006100"/>
                <w:sz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DF46C4A" w14:textId="77777777" w:rsidR="0084326C" w:rsidRPr="005D68A0" w:rsidRDefault="0084326C">
            <w:pPr>
              <w:jc w:val="center"/>
              <w:rPr>
                <w:rFonts w:ascii="Arial Narrow" w:hAnsi="Arial Narrow" w:cs="Arial"/>
                <w:noProof/>
                <w:color w:val="006100"/>
                <w:sz w:val="20"/>
              </w:rPr>
            </w:pPr>
            <w:r>
              <w:rPr>
                <w:rFonts w:ascii="Arial Narrow" w:hAnsi="Arial Narrow"/>
                <w:noProof/>
                <w:color w:val="006100"/>
                <w:sz w:val="20"/>
              </w:rPr>
              <w:t>1.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4EB20F6" w14:textId="77777777" w:rsidR="0084326C" w:rsidRPr="005D68A0" w:rsidRDefault="0084326C">
            <w:pPr>
              <w:jc w:val="center"/>
              <w:rPr>
                <w:rFonts w:ascii="Arial Narrow" w:hAnsi="Arial Narrow" w:cs="Arial"/>
                <w:noProof/>
                <w:color w:val="006100"/>
                <w:sz w:val="20"/>
              </w:rPr>
            </w:pPr>
            <w:r>
              <w:rPr>
                <w:rFonts w:ascii="Arial Narrow" w:hAnsi="Arial Narrow"/>
                <w:noProof/>
                <w:color w:val="006100"/>
                <w:sz w:val="20"/>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B5C3B30" w14:textId="77777777" w:rsidR="0084326C" w:rsidRPr="005D68A0" w:rsidRDefault="0084326C">
            <w:pPr>
              <w:spacing w:after="120"/>
              <w:rPr>
                <w:rFonts w:ascii="Arial Narrow" w:hAnsi="Arial Narrow" w:cs="Arial"/>
                <w:noProof/>
                <w:color w:val="006100"/>
                <w:sz w:val="20"/>
              </w:rPr>
            </w:pPr>
            <w:r>
              <w:rPr>
                <w:rFonts w:ascii="Arial Narrow" w:hAnsi="Arial Narrow"/>
                <w:noProof/>
                <w:color w:val="006100"/>
                <w:sz w:val="20"/>
              </w:rPr>
              <w:t xml:space="preserve">Selliste siseriiklike õigusaktide jõustumine, millega määratakse partnerluslepingu raames ja kõigi praeguste programmide jaoks kindlaks ühtekuuluvuspoliitika rakendamise kiirendamiseks ja parandamiseks vajalik kord. </w:t>
            </w:r>
          </w:p>
          <w:p w14:paraId="3C574E4B" w14:textId="77777777" w:rsidR="0084326C" w:rsidRPr="005D68A0" w:rsidRDefault="0084326C">
            <w:pPr>
              <w:spacing w:after="120"/>
              <w:rPr>
                <w:rFonts w:ascii="Arial Narrow" w:hAnsi="Arial Narrow" w:cs="Arial"/>
                <w:noProof/>
                <w:color w:val="006100"/>
                <w:sz w:val="20"/>
              </w:rPr>
            </w:pPr>
            <w:r>
              <w:rPr>
                <w:rFonts w:ascii="Arial Narrow" w:hAnsi="Arial Narrow"/>
                <w:noProof/>
                <w:color w:val="006100"/>
                <w:sz w:val="20"/>
              </w:rPr>
              <w:t>Selleks et tagada institutsiooniline dialoog ja koostöö ning ühine arusaam vajalikest meetmetest, moodustab valitsus 31. detsembriks 2023 koos kõigi Cabina di regia PNRRi piirkondlike ja riiklike programmide korraldusasutustega tehnilise töörühma, ilma et see piiraks ühtset konverentsi käsitlevate siseriiklike õigusaktide kohaldamist.</w:t>
            </w:r>
          </w:p>
          <w:p w14:paraId="7C637360" w14:textId="77777777" w:rsidR="0084326C" w:rsidRPr="005D68A0" w:rsidRDefault="0084326C">
            <w:pPr>
              <w:spacing w:after="120"/>
              <w:rPr>
                <w:rFonts w:ascii="Arial Narrow" w:hAnsi="Arial Narrow" w:cs="Arial"/>
                <w:noProof/>
                <w:color w:val="006100"/>
                <w:sz w:val="20"/>
              </w:rPr>
            </w:pPr>
            <w:r>
              <w:rPr>
                <w:rFonts w:ascii="Arial Narrow" w:hAnsi="Arial Narrow"/>
                <w:noProof/>
                <w:color w:val="006100"/>
                <w:sz w:val="20"/>
              </w:rPr>
              <w:t>Õigusaktides sätestatakse kord, mis on vajalik sekkumiste prioriseerimiseks järgmistes strateegilistes sektorites, ranges kooskõlas asjakohaste eeltingimuste jaoks kindlaks määratud kavandamisdokumentidega, ning nende konkreetseks rakendamiseks, sealhulgas konkreetselt haldussuutlikkuse suurendamiseks neis sektorites:</w:t>
            </w:r>
          </w:p>
          <w:p w14:paraId="0E4E2BCE" w14:textId="77777777" w:rsidR="0084326C" w:rsidRPr="005D68A0" w:rsidRDefault="0084326C">
            <w:pPr>
              <w:spacing w:after="120"/>
              <w:rPr>
                <w:rFonts w:ascii="Arial Narrow" w:hAnsi="Arial Narrow" w:cs="Arial"/>
                <w:noProof/>
                <w:color w:val="006100"/>
                <w:sz w:val="20"/>
              </w:rPr>
            </w:pPr>
            <w:r>
              <w:rPr>
                <w:rFonts w:ascii="Arial Narrow" w:hAnsi="Arial Narrow"/>
                <w:noProof/>
                <w:color w:val="006100"/>
                <w:sz w:val="20"/>
              </w:rPr>
              <w:t>–</w:t>
            </w:r>
            <w:r>
              <w:rPr>
                <w:noProof/>
              </w:rPr>
              <w:tab/>
            </w:r>
            <w:r>
              <w:rPr>
                <w:rFonts w:ascii="Arial Narrow" w:hAnsi="Arial Narrow"/>
                <w:noProof/>
                <w:color w:val="006100"/>
                <w:sz w:val="20"/>
              </w:rPr>
              <w:t>vesi;</w:t>
            </w:r>
          </w:p>
          <w:p w14:paraId="67F3301C" w14:textId="77777777" w:rsidR="0084326C" w:rsidRPr="005D68A0" w:rsidRDefault="0084326C">
            <w:pPr>
              <w:spacing w:after="120"/>
              <w:rPr>
                <w:rFonts w:ascii="Arial Narrow" w:hAnsi="Arial Narrow" w:cs="Arial"/>
                <w:noProof/>
                <w:color w:val="006100"/>
                <w:sz w:val="20"/>
              </w:rPr>
            </w:pPr>
            <w:r>
              <w:rPr>
                <w:rFonts w:ascii="Arial Narrow" w:hAnsi="Arial Narrow"/>
                <w:noProof/>
                <w:color w:val="006100"/>
                <w:sz w:val="20"/>
              </w:rPr>
              <w:t>–</w:t>
            </w:r>
            <w:r>
              <w:rPr>
                <w:noProof/>
              </w:rPr>
              <w:tab/>
            </w:r>
            <w:r>
              <w:rPr>
                <w:rFonts w:ascii="Arial Narrow" w:hAnsi="Arial Narrow"/>
                <w:noProof/>
                <w:color w:val="006100"/>
                <w:sz w:val="20"/>
              </w:rPr>
              <w:t>hüdrogeoloogiliste riskide ja keskkonnakaitse infrastruktuurid;</w:t>
            </w:r>
          </w:p>
          <w:p w14:paraId="77899DCD" w14:textId="77777777" w:rsidR="0084326C" w:rsidRPr="005D68A0" w:rsidRDefault="0084326C">
            <w:pPr>
              <w:spacing w:after="120"/>
              <w:rPr>
                <w:rFonts w:ascii="Arial Narrow" w:hAnsi="Arial Narrow" w:cs="Arial"/>
                <w:noProof/>
                <w:color w:val="006100"/>
                <w:sz w:val="20"/>
              </w:rPr>
            </w:pPr>
            <w:r>
              <w:rPr>
                <w:rFonts w:ascii="Arial Narrow" w:hAnsi="Arial Narrow"/>
                <w:noProof/>
                <w:color w:val="006100"/>
                <w:sz w:val="20"/>
              </w:rPr>
              <w:t>–</w:t>
            </w:r>
            <w:r>
              <w:rPr>
                <w:noProof/>
              </w:rPr>
              <w:tab/>
            </w:r>
            <w:r>
              <w:rPr>
                <w:rFonts w:ascii="Arial Narrow" w:hAnsi="Arial Narrow"/>
                <w:noProof/>
                <w:color w:val="006100"/>
                <w:sz w:val="20"/>
              </w:rPr>
              <w:t>jäätmed,</w:t>
            </w:r>
          </w:p>
          <w:p w14:paraId="7577B66F" w14:textId="77777777" w:rsidR="0084326C" w:rsidRPr="005D68A0" w:rsidRDefault="0084326C">
            <w:pPr>
              <w:spacing w:after="120"/>
              <w:rPr>
                <w:rFonts w:ascii="Arial Narrow" w:hAnsi="Arial Narrow" w:cs="Arial"/>
                <w:noProof/>
                <w:color w:val="006100"/>
                <w:sz w:val="20"/>
              </w:rPr>
            </w:pPr>
            <w:r>
              <w:rPr>
                <w:rFonts w:ascii="Arial Narrow" w:hAnsi="Arial Narrow"/>
                <w:noProof/>
                <w:color w:val="006100"/>
                <w:sz w:val="20"/>
              </w:rPr>
              <w:t>–</w:t>
            </w:r>
            <w:r>
              <w:rPr>
                <w:noProof/>
              </w:rPr>
              <w:tab/>
            </w:r>
            <w:r>
              <w:rPr>
                <w:rFonts w:ascii="Arial Narrow" w:hAnsi="Arial Narrow"/>
                <w:noProof/>
                <w:color w:val="006100"/>
                <w:sz w:val="20"/>
              </w:rPr>
              <w:t>transport ja säästev liikuvus;</w:t>
            </w:r>
          </w:p>
          <w:p w14:paraId="0C9EAEFF" w14:textId="77777777" w:rsidR="0084326C" w:rsidRPr="005D68A0" w:rsidRDefault="0084326C">
            <w:pPr>
              <w:spacing w:after="120"/>
              <w:rPr>
                <w:rFonts w:ascii="Arial Narrow" w:hAnsi="Arial Narrow" w:cs="Arial"/>
                <w:noProof/>
                <w:color w:val="006100"/>
                <w:sz w:val="20"/>
              </w:rPr>
            </w:pPr>
            <w:r>
              <w:rPr>
                <w:rFonts w:ascii="Arial Narrow" w:hAnsi="Arial Narrow"/>
                <w:noProof/>
                <w:color w:val="006100"/>
                <w:sz w:val="20"/>
              </w:rPr>
              <w:t>–</w:t>
            </w:r>
            <w:r>
              <w:rPr>
                <w:noProof/>
              </w:rPr>
              <w:tab/>
            </w:r>
            <w:r>
              <w:rPr>
                <w:rFonts w:ascii="Arial Narrow" w:hAnsi="Arial Narrow"/>
                <w:noProof/>
                <w:color w:val="006100"/>
                <w:sz w:val="20"/>
              </w:rPr>
              <w:t>energia,</w:t>
            </w:r>
          </w:p>
          <w:p w14:paraId="3EAC2B0D" w14:textId="77777777" w:rsidR="0084326C" w:rsidRPr="005D68A0" w:rsidRDefault="0084326C">
            <w:pPr>
              <w:spacing w:after="120"/>
              <w:rPr>
                <w:rFonts w:ascii="Arial Narrow" w:hAnsi="Arial Narrow" w:cs="Arial"/>
                <w:noProof/>
                <w:color w:val="006100"/>
                <w:sz w:val="20"/>
              </w:rPr>
            </w:pPr>
            <w:r>
              <w:rPr>
                <w:rFonts w:ascii="Arial Narrow" w:hAnsi="Arial Narrow"/>
                <w:noProof/>
                <w:color w:val="006100"/>
                <w:sz w:val="20"/>
              </w:rPr>
              <w:t>–</w:t>
            </w:r>
            <w:r>
              <w:rPr>
                <w:noProof/>
              </w:rPr>
              <w:tab/>
            </w:r>
            <w:r>
              <w:rPr>
                <w:rFonts w:ascii="Arial Narrow" w:hAnsi="Arial Narrow"/>
                <w:noProof/>
                <w:color w:val="006100"/>
                <w:sz w:val="20"/>
              </w:rPr>
              <w:t>Ettevõtluse arendamise ja atraktiivsuse toetamine, sealhulgas digi- ja rohepöörde jaoks.</w:t>
            </w:r>
          </w:p>
        </w:tc>
      </w:tr>
      <w:tr w:rsidR="00512838" w:rsidRPr="00150B7E" w14:paraId="3BDF3CC4" w14:textId="77777777" w:rsidTr="0183CD37">
        <w:trPr>
          <w:trHeight w:val="309"/>
        </w:trPr>
        <w:tc>
          <w:tcPr>
            <w:tcW w:w="1253" w:type="dxa"/>
            <w:shd w:val="clear" w:color="auto" w:fill="C6EFCE"/>
            <w:noWrap/>
            <w:vAlign w:val="center"/>
          </w:tcPr>
          <w:p w14:paraId="097A90AF"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M1C1-15</w:t>
            </w:r>
          </w:p>
        </w:tc>
        <w:tc>
          <w:tcPr>
            <w:tcW w:w="1568" w:type="dxa"/>
            <w:shd w:val="clear" w:color="auto" w:fill="C6EFCE"/>
            <w:noWrap/>
            <w:vAlign w:val="center"/>
          </w:tcPr>
          <w:p w14:paraId="3E0D41D9"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Investeering 1.6.6. Finantspolitsei digiteerimine</w:t>
            </w:r>
          </w:p>
        </w:tc>
        <w:tc>
          <w:tcPr>
            <w:tcW w:w="1148" w:type="dxa"/>
            <w:shd w:val="clear" w:color="auto" w:fill="C6EFCE"/>
            <w:noWrap/>
            <w:vAlign w:val="center"/>
          </w:tcPr>
          <w:p w14:paraId="1DA3E51F"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shd w:val="clear" w:color="auto" w:fill="C6EFCE"/>
            <w:noWrap/>
            <w:vAlign w:val="center"/>
          </w:tcPr>
          <w:p w14:paraId="33998E16"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Finantspolitsei – professionaalsete andmeteadusteenuste ostmine T2</w:t>
            </w:r>
          </w:p>
        </w:tc>
        <w:tc>
          <w:tcPr>
            <w:tcW w:w="1701" w:type="dxa"/>
            <w:shd w:val="clear" w:color="auto" w:fill="C6EFCE"/>
            <w:noWrap/>
            <w:vAlign w:val="center"/>
          </w:tcPr>
          <w:p w14:paraId="24ECA1D5"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250938EE"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Arv</w:t>
            </w:r>
          </w:p>
        </w:tc>
        <w:tc>
          <w:tcPr>
            <w:tcW w:w="1417" w:type="dxa"/>
            <w:shd w:val="clear" w:color="auto" w:fill="C6EFCE"/>
            <w:noWrap/>
            <w:vAlign w:val="center"/>
          </w:tcPr>
          <w:p w14:paraId="6DD9C00D"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5</w:t>
            </w:r>
          </w:p>
        </w:tc>
        <w:tc>
          <w:tcPr>
            <w:tcW w:w="1425" w:type="dxa"/>
            <w:shd w:val="clear" w:color="auto" w:fill="C6EFCE"/>
            <w:noWrap/>
            <w:vAlign w:val="center"/>
          </w:tcPr>
          <w:p w14:paraId="55A99866"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10</w:t>
            </w:r>
          </w:p>
        </w:tc>
        <w:tc>
          <w:tcPr>
            <w:tcW w:w="843" w:type="dxa"/>
            <w:shd w:val="clear" w:color="auto" w:fill="C6EFCE"/>
            <w:noWrap/>
            <w:vAlign w:val="center"/>
          </w:tcPr>
          <w:p w14:paraId="66486DA0"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1. kv</w:t>
            </w:r>
          </w:p>
        </w:tc>
        <w:tc>
          <w:tcPr>
            <w:tcW w:w="567" w:type="dxa"/>
            <w:shd w:val="clear" w:color="auto" w:fill="C6EFCE"/>
            <w:noWrap/>
            <w:vAlign w:val="center"/>
          </w:tcPr>
          <w:p w14:paraId="03A27489"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2024</w:t>
            </w:r>
          </w:p>
        </w:tc>
        <w:tc>
          <w:tcPr>
            <w:tcW w:w="2977" w:type="dxa"/>
            <w:shd w:val="clear" w:color="auto" w:fill="C6EFCE"/>
            <w:noWrap/>
            <w:vAlign w:val="center"/>
          </w:tcPr>
          <w:p w14:paraId="0A5D6458"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Professionaalsete andmeteadusteenuste ostmine vastavalt tehnilisele juhendile „Mitte tekitada olulist kahju“ (2021/C58/01), kasutades kõrvalejätmise loetelu ning asjaomaste ELi ja riiklike keskkonnaalaste õigusaktide järgimise nõuet, sõlmides lepingu konsultatsiooniteenuse osutajaga, kellel on viis täiendavat töötajat (kümme kokku), kes vastutavad nii andmearhitektuuri kavandamise kui ka suurandmete analüüsi üksuse algoritmide koostamise eest. Andmeteaduse teenuste ostmiseks sõlmitud lepingu avaldamine kooskõlas tehnilise juhendiga „Mitte tekitada olulist kahju“ (2021/C58/01), kasutades kõrvalejätmise loetelu ning asjaomaste ELi ja riiklike keskkonnaalaste õigusaktide järgimise nõuet, ning uute vahendite avaldamine kogu riigis esimese analüüsimooduli (IT-tugi) raames.</w:t>
            </w:r>
          </w:p>
        </w:tc>
      </w:tr>
      <w:tr w:rsidR="00512838" w:rsidRPr="00150B7E" w14:paraId="38FC23DD" w14:textId="77777777" w:rsidTr="0183CD37">
        <w:trPr>
          <w:trHeight w:val="309"/>
        </w:trPr>
        <w:tc>
          <w:tcPr>
            <w:tcW w:w="1253" w:type="dxa"/>
            <w:shd w:val="clear" w:color="auto" w:fill="C6EFCE"/>
            <w:noWrap/>
            <w:vAlign w:val="center"/>
            <w:hideMark/>
          </w:tcPr>
          <w:p w14:paraId="7E2AF8E6"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M1C1-17</w:t>
            </w:r>
          </w:p>
        </w:tc>
        <w:tc>
          <w:tcPr>
            <w:tcW w:w="1568" w:type="dxa"/>
            <w:shd w:val="clear" w:color="auto" w:fill="C6EFCE"/>
            <w:noWrap/>
            <w:vAlign w:val="center"/>
            <w:hideMark/>
          </w:tcPr>
          <w:p w14:paraId="519B9D9E"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Investeering 1.1. Digitaristu</w:t>
            </w:r>
          </w:p>
        </w:tc>
        <w:tc>
          <w:tcPr>
            <w:tcW w:w="1148" w:type="dxa"/>
            <w:shd w:val="clear" w:color="auto" w:fill="C6EFCE"/>
            <w:noWrap/>
            <w:vAlign w:val="center"/>
            <w:hideMark/>
          </w:tcPr>
          <w:p w14:paraId="59FA9F39"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shd w:val="clear" w:color="auto" w:fill="C6EFCE"/>
            <w:noWrap/>
            <w:vAlign w:val="center"/>
            <w:hideMark/>
          </w:tcPr>
          <w:p w14:paraId="7EBB2BF7" w14:textId="77777777" w:rsidR="0084326C" w:rsidRPr="00994F5E" w:rsidRDefault="0084326C">
            <w:pPr>
              <w:jc w:val="center"/>
              <w:rPr>
                <w:rFonts w:ascii="Arial Narrow" w:hAnsi="Arial Narrow" w:cs="Arial"/>
                <w:noProof/>
                <w:color w:val="006100"/>
                <w:sz w:val="20"/>
                <w:szCs w:val="20"/>
              </w:rPr>
            </w:pPr>
            <w:r>
              <w:rPr>
                <w:rFonts w:ascii="Arial Narrow" w:hAnsi="Arial Narrow"/>
                <w:noProof/>
                <w:color w:val="006100"/>
                <w:sz w:val="20"/>
              </w:rPr>
              <w:t>Migratsioon Polo Strategico Nazionale T1-le</w:t>
            </w:r>
          </w:p>
        </w:tc>
        <w:tc>
          <w:tcPr>
            <w:tcW w:w="1701" w:type="dxa"/>
            <w:shd w:val="clear" w:color="auto" w:fill="C6EFCE"/>
            <w:noWrap/>
            <w:vAlign w:val="center"/>
          </w:tcPr>
          <w:p w14:paraId="6D928FE6"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hideMark/>
          </w:tcPr>
          <w:p w14:paraId="2AA75D6C"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Arv</w:t>
            </w:r>
          </w:p>
        </w:tc>
        <w:tc>
          <w:tcPr>
            <w:tcW w:w="1417" w:type="dxa"/>
            <w:shd w:val="clear" w:color="auto" w:fill="C6EFCE"/>
            <w:noWrap/>
            <w:vAlign w:val="center"/>
            <w:hideMark/>
          </w:tcPr>
          <w:p w14:paraId="71B7BD3E"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0</w:t>
            </w:r>
          </w:p>
        </w:tc>
        <w:tc>
          <w:tcPr>
            <w:tcW w:w="1425" w:type="dxa"/>
            <w:shd w:val="clear" w:color="auto" w:fill="C6EFCE"/>
            <w:noWrap/>
            <w:vAlign w:val="center"/>
            <w:hideMark/>
          </w:tcPr>
          <w:p w14:paraId="30E3D887"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100</w:t>
            </w:r>
          </w:p>
        </w:tc>
        <w:tc>
          <w:tcPr>
            <w:tcW w:w="843" w:type="dxa"/>
            <w:shd w:val="clear" w:color="auto" w:fill="C6EFCE"/>
            <w:noWrap/>
            <w:vAlign w:val="center"/>
            <w:hideMark/>
          </w:tcPr>
          <w:p w14:paraId="2FF68730"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3. kv</w:t>
            </w:r>
          </w:p>
        </w:tc>
        <w:tc>
          <w:tcPr>
            <w:tcW w:w="567" w:type="dxa"/>
            <w:shd w:val="clear" w:color="auto" w:fill="C6EFCE"/>
            <w:noWrap/>
            <w:vAlign w:val="center"/>
            <w:hideMark/>
          </w:tcPr>
          <w:p w14:paraId="1FAD159B"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2024</w:t>
            </w:r>
          </w:p>
        </w:tc>
        <w:tc>
          <w:tcPr>
            <w:tcW w:w="2977" w:type="dxa"/>
            <w:shd w:val="clear" w:color="auto" w:fill="C6EFCE"/>
            <w:noWrap/>
            <w:vAlign w:val="center"/>
            <w:hideMark/>
          </w:tcPr>
          <w:p w14:paraId="4E2294A1" w14:textId="4161FCF8"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Vähemalt 100 keskset riigiasutust ja kohalikku tervishoiuasutust (Aziende Sanitarie Locali/Aziende ospedaliere) viivad täielikult üle vähemalt ühe haldustalituse (sh süsteemid, andmekogum ja rakendused) infrastruktuuri (Polo Strategico Nazionale). Täielikult üleviimine võib tähendada, et iga institutsioon koosneb järgmistest osadest: ei ole pelgaks hostimiseks valmis, lifti- ja nihkevahetuseks, infrastruktuuri ajakohastamiseks teenusena (IaaS), platvormina teenusena (Paas) või tarkvarana teenusena (SaaS). Üleminekut Polo Strategico Nazionalele’le on võimalik teostada erineval viisil vastavalt sellele, milline on iga üleviiva avaliku sektori asutuse valduses oleva kohapealse tarkvara IT-arhitektuur. Need strateegiad võivad varieeruda alates puht hostimisest ja tõstuki- ja nihkevahetusest mittepilvevalmidusega tarkvara puhul kuni migreerumiseni IaaS-i, PaaS-i või SaaS-i pilvevalmidusega tarkvara puhul. Riiklik tugivõrgustik pakub igale rändavale avalikule haldusele kõiki rändestrateegiaid, mis on abikõlblikud, et lugeda eesmärgiks „migreerumine Polo Strategico Nazionalesse“ saavutatuks.</w:t>
            </w:r>
          </w:p>
          <w:p w14:paraId="1FACBC9B" w14:textId="77777777" w:rsidR="0084326C" w:rsidRPr="005D68A0" w:rsidRDefault="0084326C">
            <w:pPr>
              <w:rPr>
                <w:rFonts w:ascii="Arial Narrow" w:hAnsi="Arial Narrow" w:cs="Arial"/>
                <w:noProof/>
                <w:color w:val="006100"/>
                <w:sz w:val="20"/>
                <w:szCs w:val="20"/>
              </w:rPr>
            </w:pPr>
            <w:r>
              <w:rPr>
                <w:rFonts w:ascii="Arial Narrow" w:hAnsi="Arial Narrow"/>
                <w:noProof/>
                <w:color w:val="006100"/>
                <w:sz w:val="20"/>
              </w:rPr>
              <w:t>„Kohaldamisalasse“ kuuluvad järgmised haldusasutused kokku:</w:t>
            </w:r>
          </w:p>
          <w:p w14:paraId="40CC512A" w14:textId="77777777" w:rsidR="0084326C" w:rsidRPr="005D68A0" w:rsidRDefault="0084326C">
            <w:pPr>
              <w:rPr>
                <w:rFonts w:ascii="Arial Narrow" w:hAnsi="Arial Narrow" w:cs="Arial"/>
                <w:noProof/>
                <w:color w:val="006100"/>
                <w:sz w:val="20"/>
                <w:szCs w:val="20"/>
              </w:rPr>
            </w:pPr>
            <w:r>
              <w:rPr>
                <w:rFonts w:ascii="Arial Narrow" w:hAnsi="Arial Narrow"/>
                <w:noProof/>
                <w:color w:val="006100"/>
                <w:sz w:val="20"/>
              </w:rPr>
              <w:t>• Kesksed avaliku halduse asutused, kelle arvele langeb suurim osa info- ja kommunikatsioonitehnoloogia (IKT) kulutustest (nt riiklik sotsiaalkindlustusamet ja justiitsministeerium);</w:t>
            </w:r>
          </w:p>
          <w:p w14:paraId="79527D57" w14:textId="77777777" w:rsidR="0084326C" w:rsidRPr="005D68A0" w:rsidRDefault="0084326C">
            <w:pPr>
              <w:rPr>
                <w:rFonts w:ascii="Arial Narrow" w:hAnsi="Arial Narrow" w:cs="Arial"/>
                <w:noProof/>
                <w:color w:val="006100"/>
                <w:sz w:val="20"/>
                <w:szCs w:val="20"/>
              </w:rPr>
            </w:pPr>
            <w:r>
              <w:rPr>
                <w:rFonts w:ascii="Arial Narrow" w:hAnsi="Arial Narrow"/>
                <w:noProof/>
                <w:color w:val="006100"/>
                <w:sz w:val="20"/>
              </w:rPr>
              <w:t>• Keskvalitsuste valduses olevad andmed vananenud andmekeskustes vastavalt hiljuti läbi viidud uuringule „Pilvandmetöötluseks valmisolek“;</w:t>
            </w:r>
          </w:p>
          <w:p w14:paraId="6C9F5E93" w14:textId="5556A84A" w:rsidR="0084326C" w:rsidRPr="005D68A0" w:rsidRDefault="0084326C">
            <w:pPr>
              <w:rPr>
                <w:rFonts w:ascii="Arial Narrow" w:hAnsi="Arial Narrow" w:cs="Arial"/>
                <w:noProof/>
                <w:color w:val="006100"/>
                <w:sz w:val="20"/>
                <w:szCs w:val="20"/>
              </w:rPr>
            </w:pPr>
            <w:r>
              <w:rPr>
                <w:rFonts w:ascii="Arial Narrow" w:hAnsi="Arial Narrow"/>
                <w:noProof/>
                <w:color w:val="006100"/>
                <w:sz w:val="20"/>
              </w:rPr>
              <w:t>• Peamiselt Kesk- ja Lõuna-Itaalias asuvatel kohalikel tervishoiuasutustel (Aziende Sanitarie Locali/Aziende Ospedaliere) puudub andmeturbe tagamiseks piisav taristu.</w:t>
            </w:r>
          </w:p>
        </w:tc>
      </w:tr>
      <w:tr w:rsidR="00512838" w:rsidRPr="00150B7E" w14:paraId="3722A1AD" w14:textId="77777777" w:rsidTr="0183CD37">
        <w:trPr>
          <w:trHeight w:val="309"/>
        </w:trPr>
        <w:tc>
          <w:tcPr>
            <w:tcW w:w="1253" w:type="dxa"/>
            <w:shd w:val="clear" w:color="auto" w:fill="C6EFCE"/>
            <w:noWrap/>
            <w:vAlign w:val="center"/>
          </w:tcPr>
          <w:p w14:paraId="3BF8B5DE"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M1C1-18</w:t>
            </w:r>
          </w:p>
        </w:tc>
        <w:tc>
          <w:tcPr>
            <w:tcW w:w="1568" w:type="dxa"/>
            <w:shd w:val="clear" w:color="auto" w:fill="C6EFCE"/>
            <w:noWrap/>
            <w:vAlign w:val="center"/>
          </w:tcPr>
          <w:p w14:paraId="4F65E4A8"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Investeering 1.3.1. Riiklik digitaalsete andmete platvorm</w:t>
            </w:r>
          </w:p>
        </w:tc>
        <w:tc>
          <w:tcPr>
            <w:tcW w:w="1148" w:type="dxa"/>
            <w:shd w:val="clear" w:color="auto" w:fill="C6EFCE"/>
            <w:noWrap/>
            <w:vAlign w:val="center"/>
          </w:tcPr>
          <w:p w14:paraId="1301E729"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shd w:val="clear" w:color="auto" w:fill="C6EFCE"/>
            <w:noWrap/>
            <w:vAlign w:val="center"/>
          </w:tcPr>
          <w:p w14:paraId="4B0DD979"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Rakendusliidesed riiklikus digitaalse andmeplatvormis T1</w:t>
            </w:r>
          </w:p>
        </w:tc>
        <w:tc>
          <w:tcPr>
            <w:tcW w:w="1701" w:type="dxa"/>
            <w:shd w:val="clear" w:color="auto" w:fill="C6EFCE"/>
            <w:noWrap/>
            <w:vAlign w:val="center"/>
          </w:tcPr>
          <w:p w14:paraId="6D5CDF08"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1EE51B36"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Arv</w:t>
            </w:r>
          </w:p>
        </w:tc>
        <w:tc>
          <w:tcPr>
            <w:tcW w:w="1417" w:type="dxa"/>
            <w:shd w:val="clear" w:color="auto" w:fill="C6EFCE"/>
            <w:noWrap/>
            <w:vAlign w:val="center"/>
          </w:tcPr>
          <w:p w14:paraId="5651B045"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0</w:t>
            </w:r>
          </w:p>
        </w:tc>
        <w:tc>
          <w:tcPr>
            <w:tcW w:w="1425" w:type="dxa"/>
            <w:shd w:val="clear" w:color="auto" w:fill="C6EFCE"/>
            <w:noWrap/>
            <w:vAlign w:val="center"/>
          </w:tcPr>
          <w:p w14:paraId="16E4361D"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400</w:t>
            </w:r>
          </w:p>
        </w:tc>
        <w:tc>
          <w:tcPr>
            <w:tcW w:w="843" w:type="dxa"/>
            <w:shd w:val="clear" w:color="auto" w:fill="C6EFCE"/>
            <w:noWrap/>
            <w:vAlign w:val="center"/>
          </w:tcPr>
          <w:p w14:paraId="4BFCB15A"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shd w:val="clear" w:color="auto" w:fill="C6EFCE"/>
            <w:noWrap/>
            <w:vAlign w:val="center"/>
          </w:tcPr>
          <w:p w14:paraId="382CBA17"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2024</w:t>
            </w:r>
          </w:p>
        </w:tc>
        <w:tc>
          <w:tcPr>
            <w:tcW w:w="2977" w:type="dxa"/>
            <w:shd w:val="clear" w:color="auto" w:fill="C6EFCE"/>
            <w:noWrap/>
            <w:vAlign w:val="center"/>
          </w:tcPr>
          <w:p w14:paraId="26EBC984"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Eesmärk on jõuda vähemalt 400 rakendusliideseni, mida asutused rakendavad ja mis avaldatakse rakendusliideste kataloogis ning mis on integreeritud riikliku digitaalse andmeplatvormiga. Reguleerimisalasse kuuluvad rakendusliidesed on juba kaardistatud. Avaldatud rakendusliidesed mõjutavad järgmisi valdkondi:</w:t>
            </w:r>
          </w:p>
          <w:p w14:paraId="3E9E9988"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i) 31. detsembri 2023. aasta lõpu seisuga: prioriteetsed sotsiaalkindlustusteenused ja maksukuulekus, sealhulgas põhilised riiklikud registrid (nt rahvastikuregister ja avaliku halduse register);</w:t>
            </w:r>
          </w:p>
          <w:p w14:paraId="6574C24F"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ii) 31. detsembri 2024. aasta lõpu seisuga: ülejäänud sotsiaalkindlustusteenused ja maksukuulekus.</w:t>
            </w:r>
          </w:p>
          <w:p w14:paraId="4B4F2A9D"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Iga rakendusliidese rakendamine ja dokumentatsioon peab vastama riiklikele koostalitlusvõime standarditele ja toetama riikliku digitaalse andmeplatvormi raamistikku; eespool nimetatud platvorm pakub funktsioone, mis võimaldavad vastavust hinnata.</w:t>
            </w:r>
          </w:p>
        </w:tc>
      </w:tr>
      <w:tr w:rsidR="00512838" w:rsidRPr="00150B7E" w14:paraId="06CAFD4A" w14:textId="77777777" w:rsidTr="0183CD37">
        <w:trPr>
          <w:trHeight w:val="309"/>
        </w:trPr>
        <w:tc>
          <w:tcPr>
            <w:tcW w:w="1253" w:type="dxa"/>
            <w:shd w:val="clear" w:color="auto" w:fill="C6EFCE"/>
            <w:noWrap/>
            <w:vAlign w:val="center"/>
          </w:tcPr>
          <w:p w14:paraId="46A13F1E"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M1C1-19</w:t>
            </w:r>
          </w:p>
        </w:tc>
        <w:tc>
          <w:tcPr>
            <w:tcW w:w="1568" w:type="dxa"/>
            <w:shd w:val="clear" w:color="auto" w:fill="C6EFCE"/>
            <w:noWrap/>
            <w:vAlign w:val="center"/>
          </w:tcPr>
          <w:p w14:paraId="32FF3080"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Investeering 1.5. Küberturvalisus</w:t>
            </w:r>
          </w:p>
        </w:tc>
        <w:tc>
          <w:tcPr>
            <w:tcW w:w="1148" w:type="dxa"/>
            <w:shd w:val="clear" w:color="auto" w:fill="C6EFCE"/>
            <w:noWrap/>
            <w:vAlign w:val="center"/>
          </w:tcPr>
          <w:p w14:paraId="02F466BC"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shd w:val="clear" w:color="auto" w:fill="C6EFCE"/>
            <w:noWrap/>
            <w:vAlign w:val="center"/>
          </w:tcPr>
          <w:p w14:paraId="7515F1AA"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Toetus turvastruktuuride ajakohastamisele T2</w:t>
            </w:r>
          </w:p>
        </w:tc>
        <w:tc>
          <w:tcPr>
            <w:tcW w:w="1701" w:type="dxa"/>
            <w:shd w:val="clear" w:color="auto" w:fill="C6EFCE"/>
            <w:noWrap/>
            <w:vAlign w:val="center"/>
          </w:tcPr>
          <w:p w14:paraId="65E50FE0"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1F9F04BB"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Arv</w:t>
            </w:r>
          </w:p>
        </w:tc>
        <w:tc>
          <w:tcPr>
            <w:tcW w:w="1417" w:type="dxa"/>
            <w:shd w:val="clear" w:color="auto" w:fill="C6EFCE"/>
            <w:noWrap/>
            <w:vAlign w:val="center"/>
          </w:tcPr>
          <w:p w14:paraId="3285332E"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5</w:t>
            </w:r>
          </w:p>
        </w:tc>
        <w:tc>
          <w:tcPr>
            <w:tcW w:w="1425" w:type="dxa"/>
            <w:shd w:val="clear" w:color="auto" w:fill="C6EFCE"/>
            <w:noWrap/>
            <w:vAlign w:val="center"/>
          </w:tcPr>
          <w:p w14:paraId="3B093CDC"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50</w:t>
            </w:r>
          </w:p>
        </w:tc>
        <w:tc>
          <w:tcPr>
            <w:tcW w:w="843" w:type="dxa"/>
            <w:shd w:val="clear" w:color="auto" w:fill="C6EFCE"/>
            <w:noWrap/>
            <w:vAlign w:val="center"/>
          </w:tcPr>
          <w:p w14:paraId="6C7092E5"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shd w:val="clear" w:color="auto" w:fill="C6EFCE"/>
            <w:noWrap/>
            <w:vAlign w:val="center"/>
          </w:tcPr>
          <w:p w14:paraId="35C04644"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2024</w:t>
            </w:r>
          </w:p>
        </w:tc>
        <w:tc>
          <w:tcPr>
            <w:tcW w:w="2977" w:type="dxa"/>
            <w:shd w:val="clear" w:color="auto" w:fill="C6EFCE"/>
            <w:noWrap/>
            <w:vAlign w:val="center"/>
          </w:tcPr>
          <w:p w14:paraId="2C5467E9"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Vähemalt 50 sekkumismeedet on lõpule viidud riikliku küberjulgeoleku programmi (PSNC) ning võrgu- ja infosüsteemide (NIS) sektoris.</w:t>
            </w:r>
          </w:p>
          <w:p w14:paraId="3D231AE1"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Sekkumisliikide hulka kuuluvad näiteks turvaoperatsioonide keskused, küberpiiride kaitse parandamine ning võrgu- ja infoturbe nõuetele vastav siseseire ja -kontrolli suutlikkus. Võrgu- ja infoturbe sektori sekkumistes pööratakse erilist tähelepanu tervishoiu-, energeetika- ja keskkonnasektorile (joogiveevarustus ja jäätmekäitlus).</w:t>
            </w:r>
          </w:p>
        </w:tc>
      </w:tr>
      <w:tr w:rsidR="00512838" w:rsidRPr="00150B7E" w14:paraId="76CC08E8" w14:textId="77777777" w:rsidTr="0183CD37">
        <w:trPr>
          <w:trHeight w:val="309"/>
        </w:trPr>
        <w:tc>
          <w:tcPr>
            <w:tcW w:w="1253" w:type="dxa"/>
            <w:shd w:val="clear" w:color="auto" w:fill="C6EFCE"/>
            <w:noWrap/>
            <w:vAlign w:val="center"/>
          </w:tcPr>
          <w:p w14:paraId="3463A14D"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M1C1-20</w:t>
            </w:r>
          </w:p>
        </w:tc>
        <w:tc>
          <w:tcPr>
            <w:tcW w:w="1568" w:type="dxa"/>
            <w:shd w:val="clear" w:color="auto" w:fill="C6EFCE"/>
            <w:noWrap/>
            <w:vAlign w:val="center"/>
          </w:tcPr>
          <w:p w14:paraId="6D2FE142"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Investeering 1.5. Küberturvalisus</w:t>
            </w:r>
          </w:p>
        </w:tc>
        <w:tc>
          <w:tcPr>
            <w:tcW w:w="1148" w:type="dxa"/>
            <w:shd w:val="clear" w:color="auto" w:fill="C6EFCE"/>
            <w:noWrap/>
            <w:vAlign w:val="center"/>
          </w:tcPr>
          <w:p w14:paraId="60E19C75"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shd w:val="clear" w:color="auto" w:fill="C6EFCE"/>
            <w:noWrap/>
            <w:vAlign w:val="center"/>
          </w:tcPr>
          <w:p w14:paraId="4A3C1B88"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Riiklike küberturvalisuse teenuste täielik kasutuselevõtt</w:t>
            </w:r>
          </w:p>
        </w:tc>
        <w:tc>
          <w:tcPr>
            <w:tcW w:w="1701" w:type="dxa"/>
            <w:shd w:val="clear" w:color="auto" w:fill="C6EFCE"/>
            <w:noWrap/>
            <w:vAlign w:val="center"/>
          </w:tcPr>
          <w:p w14:paraId="7EF900E0"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Aruanne riiklike küberturvalisuse teenuste täieliku aktiveerimise kohta</w:t>
            </w:r>
          </w:p>
        </w:tc>
        <w:tc>
          <w:tcPr>
            <w:tcW w:w="1134" w:type="dxa"/>
            <w:shd w:val="clear" w:color="auto" w:fill="C6EFCE"/>
            <w:noWrap/>
            <w:vAlign w:val="center"/>
          </w:tcPr>
          <w:p w14:paraId="31A394BA"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shd w:val="clear" w:color="auto" w:fill="C6EFCE"/>
            <w:noWrap/>
            <w:vAlign w:val="center"/>
          </w:tcPr>
          <w:p w14:paraId="6B8D6714"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shd w:val="clear" w:color="auto" w:fill="C6EFCE"/>
            <w:noWrap/>
            <w:vAlign w:val="center"/>
          </w:tcPr>
          <w:p w14:paraId="2AB85D5B"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shd w:val="clear" w:color="auto" w:fill="C6EFCE"/>
            <w:noWrap/>
            <w:vAlign w:val="center"/>
          </w:tcPr>
          <w:p w14:paraId="7DE245E5"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shd w:val="clear" w:color="auto" w:fill="C6EFCE"/>
            <w:noWrap/>
            <w:vAlign w:val="center"/>
          </w:tcPr>
          <w:p w14:paraId="6CA05A39"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2024</w:t>
            </w:r>
          </w:p>
        </w:tc>
        <w:tc>
          <w:tcPr>
            <w:tcW w:w="2977" w:type="dxa"/>
            <w:shd w:val="clear" w:color="auto" w:fill="C6EFCE"/>
            <w:noWrap/>
            <w:vAlign w:val="center"/>
          </w:tcPr>
          <w:p w14:paraId="5EB23C9C"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See eesmärk täidetakse sektoripõhiste infoturbeintsidentidega tegelevate rühmade (CERTid) aktiveerimisega, nende ühendamisega Itaalia küberturbe intsidentide lahendamise üksuse (CSIRT) ning teabe jagamise ja analüüsimise keskusega (ISAC), vähemalt 5 turvaoperatsioonikeskuse integreerimisega riiklikusse HyperSOCi, küberturvalisuse riskijuhtimisteenuste, sealhulgas tarneahela analüüsi ja küberriski kindlustamise teenuste täieliku toimimisega.</w:t>
            </w:r>
          </w:p>
        </w:tc>
      </w:tr>
      <w:tr w:rsidR="00512838" w:rsidRPr="00150B7E" w14:paraId="0BDCF178" w14:textId="77777777" w:rsidTr="0183CD37">
        <w:trPr>
          <w:trHeight w:val="309"/>
        </w:trPr>
        <w:tc>
          <w:tcPr>
            <w:tcW w:w="1253" w:type="dxa"/>
            <w:shd w:val="clear" w:color="auto" w:fill="C6EFCE"/>
            <w:noWrap/>
            <w:vAlign w:val="center"/>
          </w:tcPr>
          <w:p w14:paraId="0C7E9D20"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M1C1-21</w:t>
            </w:r>
          </w:p>
        </w:tc>
        <w:tc>
          <w:tcPr>
            <w:tcW w:w="1568" w:type="dxa"/>
            <w:shd w:val="clear" w:color="auto" w:fill="C6EFCE"/>
            <w:noWrap/>
            <w:vAlign w:val="center"/>
          </w:tcPr>
          <w:p w14:paraId="705E9D61"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Investeering 1.5. Küberturvalisus</w:t>
            </w:r>
          </w:p>
        </w:tc>
        <w:tc>
          <w:tcPr>
            <w:tcW w:w="1148" w:type="dxa"/>
            <w:shd w:val="clear" w:color="auto" w:fill="C6EFCE"/>
            <w:noWrap/>
            <w:vAlign w:val="center"/>
          </w:tcPr>
          <w:p w14:paraId="78C87A63"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shd w:val="clear" w:color="auto" w:fill="C6EFCE"/>
            <w:noWrap/>
            <w:vAlign w:val="center"/>
          </w:tcPr>
          <w:p w14:paraId="3E0C1463"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Küberturvalisuse skriining- ja sertifitseerimislaborite ning hindamiskeskuste võrgustiku lõpuleviimine</w:t>
            </w:r>
          </w:p>
        </w:tc>
        <w:tc>
          <w:tcPr>
            <w:tcW w:w="1701" w:type="dxa"/>
            <w:shd w:val="clear" w:color="auto" w:fill="C6EFCE"/>
            <w:noWrap/>
            <w:vAlign w:val="center"/>
          </w:tcPr>
          <w:p w14:paraId="7076ED82"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Esitatud aruanded, mis tõendavad vähemalt 10 labori ja kahe hindamiskeskuse (CV) täielikku aktiveerimist</w:t>
            </w:r>
          </w:p>
        </w:tc>
        <w:tc>
          <w:tcPr>
            <w:tcW w:w="1134" w:type="dxa"/>
            <w:shd w:val="clear" w:color="auto" w:fill="C6EFCE"/>
            <w:noWrap/>
            <w:vAlign w:val="center"/>
          </w:tcPr>
          <w:p w14:paraId="1D828260"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shd w:val="clear" w:color="auto" w:fill="C6EFCE"/>
            <w:noWrap/>
            <w:vAlign w:val="center"/>
          </w:tcPr>
          <w:p w14:paraId="32D050F4"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shd w:val="clear" w:color="auto" w:fill="C6EFCE"/>
            <w:noWrap/>
            <w:vAlign w:val="center"/>
          </w:tcPr>
          <w:p w14:paraId="7CBE5D54"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shd w:val="clear" w:color="auto" w:fill="C6EFCE"/>
            <w:noWrap/>
            <w:vAlign w:val="center"/>
          </w:tcPr>
          <w:p w14:paraId="2E0F64AA"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shd w:val="clear" w:color="auto" w:fill="C6EFCE"/>
            <w:noWrap/>
            <w:vAlign w:val="center"/>
          </w:tcPr>
          <w:p w14:paraId="1F959F0F"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2024</w:t>
            </w:r>
          </w:p>
        </w:tc>
        <w:tc>
          <w:tcPr>
            <w:tcW w:w="2977" w:type="dxa"/>
            <w:shd w:val="clear" w:color="auto" w:fill="C6EFCE"/>
            <w:noWrap/>
            <w:vAlign w:val="center"/>
          </w:tcPr>
          <w:p w14:paraId="4A03B8FF"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Vähemalt 10 läbivaatus- ja sertifitseerimislaboratooriumi ning kahe hindamiskeskuse (CV) aktiveerimine.</w:t>
            </w:r>
          </w:p>
        </w:tc>
      </w:tr>
      <w:tr w:rsidR="00512838" w:rsidRPr="00150B7E" w14:paraId="79E54E8C" w14:textId="77777777" w:rsidTr="0183CD37">
        <w:trPr>
          <w:trHeight w:val="309"/>
        </w:trPr>
        <w:tc>
          <w:tcPr>
            <w:tcW w:w="1253" w:type="dxa"/>
            <w:shd w:val="clear" w:color="auto" w:fill="C6EFCE"/>
            <w:noWrap/>
            <w:vAlign w:val="center"/>
          </w:tcPr>
          <w:p w14:paraId="36285279"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M1C1-22</w:t>
            </w:r>
          </w:p>
        </w:tc>
        <w:tc>
          <w:tcPr>
            <w:tcW w:w="1568" w:type="dxa"/>
            <w:shd w:val="clear" w:color="auto" w:fill="C6EFCE"/>
            <w:noWrap/>
            <w:vAlign w:val="center"/>
          </w:tcPr>
          <w:p w14:paraId="43F0C98B"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Investeering 1.5. Küberturvalisus</w:t>
            </w:r>
          </w:p>
        </w:tc>
        <w:tc>
          <w:tcPr>
            <w:tcW w:w="1148" w:type="dxa"/>
            <w:shd w:val="clear" w:color="auto" w:fill="C6EFCE"/>
            <w:noWrap/>
            <w:vAlign w:val="center"/>
          </w:tcPr>
          <w:p w14:paraId="0770AE52"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shd w:val="clear" w:color="auto" w:fill="C6EFCE"/>
            <w:noWrap/>
            <w:vAlign w:val="center"/>
          </w:tcPr>
          <w:p w14:paraId="08DC2495"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võrgu- ja infoturbemeetmed, mille puhul on lõpule viidud vähemalt 30 kontrolli</w:t>
            </w:r>
          </w:p>
        </w:tc>
        <w:tc>
          <w:tcPr>
            <w:tcW w:w="1701" w:type="dxa"/>
            <w:shd w:val="clear" w:color="auto" w:fill="C6EFCE"/>
            <w:noWrap/>
            <w:vAlign w:val="center"/>
          </w:tcPr>
          <w:p w14:paraId="007422BA" w14:textId="7BEAA66A"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Esitatud aruanded, inspekteerimisaruanded</w:t>
            </w:r>
          </w:p>
        </w:tc>
        <w:tc>
          <w:tcPr>
            <w:tcW w:w="1134" w:type="dxa"/>
            <w:shd w:val="clear" w:color="auto" w:fill="C6EFCE"/>
            <w:noWrap/>
            <w:vAlign w:val="center"/>
          </w:tcPr>
          <w:p w14:paraId="0264EEB3"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shd w:val="clear" w:color="auto" w:fill="C6EFCE"/>
            <w:noWrap/>
            <w:vAlign w:val="center"/>
          </w:tcPr>
          <w:p w14:paraId="7525F42F"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shd w:val="clear" w:color="auto" w:fill="C6EFCE"/>
            <w:noWrap/>
            <w:vAlign w:val="center"/>
          </w:tcPr>
          <w:p w14:paraId="4C15AC64"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shd w:val="clear" w:color="auto" w:fill="C6EFCE"/>
            <w:noWrap/>
            <w:vAlign w:val="center"/>
          </w:tcPr>
          <w:p w14:paraId="7683467A"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shd w:val="clear" w:color="auto" w:fill="C6EFCE"/>
            <w:noWrap/>
            <w:vAlign w:val="center"/>
          </w:tcPr>
          <w:p w14:paraId="2533A178"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2024</w:t>
            </w:r>
          </w:p>
        </w:tc>
        <w:tc>
          <w:tcPr>
            <w:tcW w:w="2977" w:type="dxa"/>
            <w:shd w:val="clear" w:color="auto" w:fill="C6EFCE"/>
            <w:noWrap/>
            <w:vAlign w:val="center"/>
          </w:tcPr>
          <w:p w14:paraId="48C648D7"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Keskauditi üksuse täielik tegevus koos vähemalt 30 kontrolli lõpuleviimisega.</w:t>
            </w:r>
          </w:p>
        </w:tc>
      </w:tr>
      <w:tr w:rsidR="00512838" w:rsidRPr="005D68A0" w14:paraId="6A401364" w14:textId="77777777" w:rsidTr="0183CD37">
        <w:trPr>
          <w:trHeight w:val="309"/>
        </w:trPr>
        <w:tc>
          <w:tcPr>
            <w:tcW w:w="1253" w:type="dxa"/>
            <w:shd w:val="clear" w:color="auto" w:fill="C6EFCE"/>
            <w:noWrap/>
            <w:vAlign w:val="center"/>
          </w:tcPr>
          <w:p w14:paraId="6D034705"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M1C1-23</w:t>
            </w:r>
          </w:p>
        </w:tc>
        <w:tc>
          <w:tcPr>
            <w:tcW w:w="1568" w:type="dxa"/>
            <w:shd w:val="clear" w:color="auto" w:fill="C6EFCE"/>
            <w:noWrap/>
            <w:vAlign w:val="center"/>
          </w:tcPr>
          <w:p w14:paraId="31C875E4"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Investeering 1.4.6. Liikuvus kui teenus Itaalia jaoks</w:t>
            </w:r>
          </w:p>
        </w:tc>
        <w:tc>
          <w:tcPr>
            <w:tcW w:w="1148" w:type="dxa"/>
            <w:shd w:val="clear" w:color="auto" w:fill="C6EFCE"/>
            <w:noWrap/>
            <w:vAlign w:val="center"/>
          </w:tcPr>
          <w:p w14:paraId="725F7508"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shd w:val="clear" w:color="auto" w:fill="C6EFCE"/>
            <w:noWrap/>
            <w:vAlign w:val="center"/>
          </w:tcPr>
          <w:p w14:paraId="53199F81"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Liikuvus kui teenuselahendus M2</w:t>
            </w:r>
          </w:p>
        </w:tc>
        <w:tc>
          <w:tcPr>
            <w:tcW w:w="1701" w:type="dxa"/>
            <w:shd w:val="clear" w:color="auto" w:fill="C6EFCE"/>
            <w:noWrap/>
            <w:vAlign w:val="center"/>
          </w:tcPr>
          <w:p w14:paraId="1908EB69" w14:textId="77777777" w:rsidR="0084326C" w:rsidRPr="00994F5E" w:rsidRDefault="0084326C">
            <w:pPr>
              <w:jc w:val="center"/>
              <w:rPr>
                <w:rFonts w:ascii="Arial Narrow" w:hAnsi="Arial Narrow" w:cs="Arial"/>
                <w:noProof/>
                <w:color w:val="006100"/>
                <w:sz w:val="20"/>
                <w:szCs w:val="20"/>
              </w:rPr>
            </w:pPr>
            <w:r>
              <w:rPr>
                <w:rFonts w:ascii="Arial Narrow" w:hAnsi="Arial Narrow"/>
                <w:noProof/>
                <w:color w:val="006100"/>
                <w:sz w:val="20"/>
              </w:rPr>
              <w:t>Katseprojekti tulemusi hindas Ministero delle Infrastrutture e della Mobilità Sostenibili (MIMS) koostöös ülikoolidega</w:t>
            </w:r>
          </w:p>
        </w:tc>
        <w:tc>
          <w:tcPr>
            <w:tcW w:w="1134" w:type="dxa"/>
            <w:shd w:val="clear" w:color="auto" w:fill="C6EFCE"/>
            <w:noWrap/>
            <w:vAlign w:val="center"/>
          </w:tcPr>
          <w:p w14:paraId="063BE2EE"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shd w:val="clear" w:color="auto" w:fill="C6EFCE"/>
            <w:noWrap/>
            <w:vAlign w:val="center"/>
          </w:tcPr>
          <w:p w14:paraId="427D7863"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shd w:val="clear" w:color="auto" w:fill="C6EFCE"/>
            <w:noWrap/>
            <w:vAlign w:val="center"/>
          </w:tcPr>
          <w:p w14:paraId="62804315"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shd w:val="clear" w:color="auto" w:fill="C6EFCE"/>
            <w:noWrap/>
            <w:vAlign w:val="center"/>
          </w:tcPr>
          <w:p w14:paraId="6D9A63A7"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1. kv</w:t>
            </w:r>
          </w:p>
        </w:tc>
        <w:tc>
          <w:tcPr>
            <w:tcW w:w="567" w:type="dxa"/>
            <w:shd w:val="clear" w:color="auto" w:fill="C6EFCE"/>
            <w:noWrap/>
            <w:vAlign w:val="center"/>
          </w:tcPr>
          <w:p w14:paraId="56EDF481"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2025</w:t>
            </w:r>
          </w:p>
        </w:tc>
        <w:tc>
          <w:tcPr>
            <w:tcW w:w="2977" w:type="dxa"/>
            <w:shd w:val="clear" w:color="auto" w:fill="C6EFCE"/>
            <w:noWrap/>
            <w:vAlign w:val="center"/>
          </w:tcPr>
          <w:p w14:paraId="01C9D601"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Eesmärgiks on seitsmest katseprojektist koosneva teise etapi rakendamine, mille eesmärk on katsetada liikuvust kui teenuselahendust „järgmistes“ valdkondades.</w:t>
            </w:r>
          </w:p>
          <w:p w14:paraId="37238F5F"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Omavalitsused peaksid kasutama ära esimese laine raames välja valitud digitaalselt valmis suurlinnade kogemusi. 40 % katseprojektidest peab asuma lõunas.</w:t>
            </w:r>
          </w:p>
        </w:tc>
      </w:tr>
      <w:tr w:rsidR="00512838" w:rsidRPr="00150B7E" w14:paraId="10900EB3" w14:textId="77777777" w:rsidTr="0183CD37">
        <w:trPr>
          <w:trHeight w:val="309"/>
        </w:trPr>
        <w:tc>
          <w:tcPr>
            <w:tcW w:w="1253" w:type="dxa"/>
            <w:shd w:val="clear" w:color="auto" w:fill="C6EFCE"/>
            <w:noWrap/>
            <w:vAlign w:val="center"/>
          </w:tcPr>
          <w:p w14:paraId="3734D90B"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M1C1-24</w:t>
            </w:r>
          </w:p>
        </w:tc>
        <w:tc>
          <w:tcPr>
            <w:tcW w:w="1568" w:type="dxa"/>
            <w:shd w:val="clear" w:color="auto" w:fill="C6EFCE"/>
            <w:noWrap/>
            <w:vAlign w:val="center"/>
          </w:tcPr>
          <w:p w14:paraId="01773C30"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Investeering 1.7.1. Digitaalne avalik teenistus</w:t>
            </w:r>
          </w:p>
        </w:tc>
        <w:tc>
          <w:tcPr>
            <w:tcW w:w="1148" w:type="dxa"/>
            <w:shd w:val="clear" w:color="auto" w:fill="C6EFCE"/>
            <w:noWrap/>
            <w:vAlign w:val="center"/>
          </w:tcPr>
          <w:p w14:paraId="564CB1F6"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shd w:val="clear" w:color="auto" w:fill="C6EFCE"/>
            <w:noWrap/>
            <w:vAlign w:val="center"/>
          </w:tcPr>
          <w:p w14:paraId="575410DF"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 xml:space="preserve">Kodanikud, kes osalevad universaalsete avaliku teenistuse organisatsioonide riiklikus registris registreeritud organisatsioonide pakutavates digiõppe- ja/või hõlbustamisalgatustes </w:t>
            </w:r>
          </w:p>
        </w:tc>
        <w:tc>
          <w:tcPr>
            <w:tcW w:w="1701" w:type="dxa"/>
            <w:shd w:val="clear" w:color="auto" w:fill="C6EFCE"/>
            <w:noWrap/>
            <w:vAlign w:val="center"/>
          </w:tcPr>
          <w:p w14:paraId="4F180C88"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68A5AF38"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Arv</w:t>
            </w:r>
          </w:p>
        </w:tc>
        <w:tc>
          <w:tcPr>
            <w:tcW w:w="1417" w:type="dxa"/>
            <w:shd w:val="clear" w:color="auto" w:fill="C6EFCE"/>
            <w:noWrap/>
            <w:vAlign w:val="center"/>
          </w:tcPr>
          <w:p w14:paraId="373FF42D"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0</w:t>
            </w:r>
          </w:p>
        </w:tc>
        <w:tc>
          <w:tcPr>
            <w:tcW w:w="1425" w:type="dxa"/>
            <w:shd w:val="clear" w:color="auto" w:fill="C6EFCE"/>
            <w:noWrap/>
            <w:vAlign w:val="center"/>
          </w:tcPr>
          <w:p w14:paraId="2B872D5A"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700 000</w:t>
            </w:r>
          </w:p>
        </w:tc>
        <w:tc>
          <w:tcPr>
            <w:tcW w:w="843" w:type="dxa"/>
            <w:shd w:val="clear" w:color="auto" w:fill="C6EFCE"/>
            <w:noWrap/>
            <w:vAlign w:val="center"/>
          </w:tcPr>
          <w:p w14:paraId="7BE3A8B6"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shd w:val="clear" w:color="auto" w:fill="C6EFCE"/>
            <w:noWrap/>
            <w:vAlign w:val="center"/>
          </w:tcPr>
          <w:p w14:paraId="67CC5835"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2025</w:t>
            </w:r>
          </w:p>
        </w:tc>
        <w:tc>
          <w:tcPr>
            <w:tcW w:w="2977" w:type="dxa"/>
            <w:shd w:val="clear" w:color="auto" w:fill="C6EFCE"/>
            <w:noWrap/>
            <w:vAlign w:val="center"/>
          </w:tcPr>
          <w:p w14:paraId="2560E077" w14:textId="77777777" w:rsidR="0084326C" w:rsidRPr="005D68A0" w:rsidRDefault="0084326C">
            <w:pPr>
              <w:rPr>
                <w:rFonts w:ascii="Arial Narrow" w:hAnsi="Arial Narrow" w:cs="Arial"/>
                <w:noProof/>
                <w:color w:val="006100"/>
                <w:sz w:val="20"/>
                <w:szCs w:val="20"/>
              </w:rPr>
            </w:pPr>
            <w:r>
              <w:rPr>
                <w:rFonts w:ascii="Arial Narrow" w:hAnsi="Arial Narrow"/>
                <w:noProof/>
                <w:color w:val="006100"/>
                <w:sz w:val="20"/>
              </w:rPr>
              <w:t>Vähemalt 700 000 kodanikele suunatud digiõppe- ja/või hõlbustamisalgatust, mida pakuvad universaalsete avaliku teenistuse organisatsioonide riiklikus registris registreeritud organisatsioonid.</w:t>
            </w:r>
          </w:p>
        </w:tc>
      </w:tr>
      <w:tr w:rsidR="00512838" w:rsidRPr="00150B7E" w14:paraId="5B6E96B3" w14:textId="77777777" w:rsidTr="0183CD37">
        <w:trPr>
          <w:trHeight w:val="309"/>
        </w:trPr>
        <w:tc>
          <w:tcPr>
            <w:tcW w:w="1253" w:type="dxa"/>
            <w:shd w:val="clear" w:color="auto" w:fill="C6EFCE"/>
            <w:noWrap/>
            <w:vAlign w:val="center"/>
          </w:tcPr>
          <w:p w14:paraId="019097DD"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M1C1-25</w:t>
            </w:r>
          </w:p>
        </w:tc>
        <w:tc>
          <w:tcPr>
            <w:tcW w:w="1568" w:type="dxa"/>
            <w:shd w:val="clear" w:color="auto" w:fill="C6EFCE"/>
            <w:noWrap/>
            <w:vAlign w:val="center"/>
          </w:tcPr>
          <w:p w14:paraId="231E9A8E"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Investeering 1.6.6. Finantspolitsei digiteerimine</w:t>
            </w:r>
          </w:p>
        </w:tc>
        <w:tc>
          <w:tcPr>
            <w:tcW w:w="1148" w:type="dxa"/>
            <w:shd w:val="clear" w:color="auto" w:fill="C6EFCE"/>
            <w:noWrap/>
            <w:vAlign w:val="center"/>
          </w:tcPr>
          <w:p w14:paraId="681C05F0"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shd w:val="clear" w:color="auto" w:fill="C6EFCE"/>
            <w:noWrap/>
            <w:vAlign w:val="center"/>
          </w:tcPr>
          <w:p w14:paraId="161CB10D"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Arendada toimivaid infosüsteeme, mida kasutatakse majanduskuritegevuse vastu võitlemiseks</w:t>
            </w:r>
          </w:p>
        </w:tc>
        <w:tc>
          <w:tcPr>
            <w:tcW w:w="1701" w:type="dxa"/>
            <w:shd w:val="clear" w:color="auto" w:fill="C6EFCE"/>
            <w:noWrap/>
            <w:vAlign w:val="center"/>
          </w:tcPr>
          <w:p w14:paraId="65C10E3F"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IT-süsteemide täiustamine uute funktsioonide, toimivuse ja kasutajakogemuse osas</w:t>
            </w:r>
          </w:p>
        </w:tc>
        <w:tc>
          <w:tcPr>
            <w:tcW w:w="1134" w:type="dxa"/>
            <w:shd w:val="clear" w:color="auto" w:fill="C6EFCE"/>
            <w:noWrap/>
            <w:vAlign w:val="center"/>
          </w:tcPr>
          <w:p w14:paraId="3A4C6E83"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shd w:val="clear" w:color="auto" w:fill="C6EFCE"/>
            <w:noWrap/>
            <w:vAlign w:val="center"/>
          </w:tcPr>
          <w:p w14:paraId="21387973"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shd w:val="clear" w:color="auto" w:fill="C6EFCE"/>
            <w:noWrap/>
            <w:vAlign w:val="center"/>
          </w:tcPr>
          <w:p w14:paraId="0E97ECCC"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shd w:val="clear" w:color="auto" w:fill="C6EFCE"/>
            <w:noWrap/>
            <w:vAlign w:val="center"/>
          </w:tcPr>
          <w:p w14:paraId="7564148A"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shd w:val="clear" w:color="auto" w:fill="C6EFCE"/>
            <w:noWrap/>
            <w:vAlign w:val="center"/>
          </w:tcPr>
          <w:p w14:paraId="1B74E872"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2025</w:t>
            </w:r>
          </w:p>
        </w:tc>
        <w:tc>
          <w:tcPr>
            <w:tcW w:w="2977" w:type="dxa"/>
            <w:shd w:val="clear" w:color="auto" w:fill="C6EFCE"/>
            <w:noWrap/>
            <w:vAlign w:val="center"/>
          </w:tcPr>
          <w:p w14:paraId="6F06300F" w14:textId="77777777" w:rsidR="0084326C" w:rsidRPr="005D68A0" w:rsidRDefault="0084326C">
            <w:pPr>
              <w:rPr>
                <w:rFonts w:ascii="Arial Narrow" w:hAnsi="Arial Narrow" w:cs="Arial"/>
                <w:noProof/>
                <w:color w:val="006100"/>
                <w:sz w:val="20"/>
                <w:szCs w:val="20"/>
              </w:rPr>
            </w:pPr>
            <w:r>
              <w:rPr>
                <w:rFonts w:ascii="Arial Narrow" w:hAnsi="Arial Narrow"/>
                <w:noProof/>
                <w:color w:val="006100"/>
                <w:sz w:val="20"/>
              </w:rPr>
              <w:t>Operatiivsete infosüsteemide uute funktsioonide järkjärguline (iga-aastane) avaldamine, et tagada nende päevakajalisus vastavalt kiiresti muutuvatele õigusstsenaariumidele, mis on seotud ka pandeemiaolukorraga.</w:t>
            </w:r>
          </w:p>
        </w:tc>
      </w:tr>
      <w:tr w:rsidR="00512838" w:rsidRPr="00150B7E" w14:paraId="60709B00" w14:textId="77777777" w:rsidTr="0183CD37">
        <w:trPr>
          <w:trHeight w:val="309"/>
        </w:trPr>
        <w:tc>
          <w:tcPr>
            <w:tcW w:w="1253" w:type="dxa"/>
            <w:shd w:val="clear" w:color="auto" w:fill="C6EFCE"/>
            <w:noWrap/>
            <w:vAlign w:val="center"/>
            <w:hideMark/>
          </w:tcPr>
          <w:p w14:paraId="3C98368E"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M1C1-26</w:t>
            </w:r>
          </w:p>
        </w:tc>
        <w:tc>
          <w:tcPr>
            <w:tcW w:w="1568" w:type="dxa"/>
            <w:shd w:val="clear" w:color="auto" w:fill="C6EFCE"/>
            <w:noWrap/>
            <w:vAlign w:val="center"/>
            <w:hideMark/>
          </w:tcPr>
          <w:p w14:paraId="3671C425"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Investeering 1.1. Digitaristu</w:t>
            </w:r>
          </w:p>
        </w:tc>
        <w:tc>
          <w:tcPr>
            <w:tcW w:w="1148" w:type="dxa"/>
            <w:shd w:val="clear" w:color="auto" w:fill="C6EFCE"/>
            <w:noWrap/>
            <w:vAlign w:val="center"/>
            <w:hideMark/>
          </w:tcPr>
          <w:p w14:paraId="457EA21F"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shd w:val="clear" w:color="auto" w:fill="C6EFCE"/>
            <w:noWrap/>
            <w:vAlign w:val="center"/>
            <w:hideMark/>
          </w:tcPr>
          <w:p w14:paraId="261E6192" w14:textId="77777777" w:rsidR="0084326C" w:rsidRPr="00994F5E" w:rsidRDefault="0084326C">
            <w:pPr>
              <w:jc w:val="center"/>
              <w:rPr>
                <w:rFonts w:ascii="Arial Narrow" w:hAnsi="Arial Narrow" w:cs="Arial"/>
                <w:noProof/>
                <w:color w:val="006100"/>
                <w:sz w:val="20"/>
                <w:szCs w:val="20"/>
              </w:rPr>
            </w:pPr>
            <w:r>
              <w:rPr>
                <w:rFonts w:ascii="Arial Narrow" w:hAnsi="Arial Narrow"/>
                <w:noProof/>
                <w:color w:val="006100"/>
                <w:sz w:val="20"/>
              </w:rPr>
              <w:t>Migratsioon Polo Strategico Nazionale T2-le</w:t>
            </w:r>
          </w:p>
        </w:tc>
        <w:tc>
          <w:tcPr>
            <w:tcW w:w="1701" w:type="dxa"/>
            <w:shd w:val="clear" w:color="auto" w:fill="C6EFCE"/>
            <w:noWrap/>
            <w:vAlign w:val="center"/>
            <w:hideMark/>
          </w:tcPr>
          <w:p w14:paraId="7691DD80"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hideMark/>
          </w:tcPr>
          <w:p w14:paraId="54EB71EF"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Arv</w:t>
            </w:r>
          </w:p>
        </w:tc>
        <w:tc>
          <w:tcPr>
            <w:tcW w:w="1417" w:type="dxa"/>
            <w:shd w:val="clear" w:color="auto" w:fill="C6EFCE"/>
            <w:noWrap/>
            <w:vAlign w:val="center"/>
            <w:hideMark/>
          </w:tcPr>
          <w:p w14:paraId="677EB02B"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100</w:t>
            </w:r>
          </w:p>
        </w:tc>
        <w:tc>
          <w:tcPr>
            <w:tcW w:w="1425" w:type="dxa"/>
            <w:shd w:val="clear" w:color="auto" w:fill="C6EFCE"/>
            <w:noWrap/>
            <w:vAlign w:val="center"/>
            <w:hideMark/>
          </w:tcPr>
          <w:p w14:paraId="0239535E"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280</w:t>
            </w:r>
          </w:p>
        </w:tc>
        <w:tc>
          <w:tcPr>
            <w:tcW w:w="843" w:type="dxa"/>
            <w:shd w:val="clear" w:color="auto" w:fill="C6EFCE"/>
            <w:noWrap/>
            <w:vAlign w:val="center"/>
            <w:hideMark/>
          </w:tcPr>
          <w:p w14:paraId="6C3FE648"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shd w:val="clear" w:color="auto" w:fill="C6EFCE"/>
            <w:noWrap/>
            <w:vAlign w:val="center"/>
            <w:hideMark/>
          </w:tcPr>
          <w:p w14:paraId="6A724DA5"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2026</w:t>
            </w:r>
          </w:p>
        </w:tc>
        <w:tc>
          <w:tcPr>
            <w:tcW w:w="2977" w:type="dxa"/>
            <w:shd w:val="clear" w:color="auto" w:fill="C6EFCE"/>
            <w:noWrap/>
            <w:vAlign w:val="center"/>
            <w:hideMark/>
          </w:tcPr>
          <w:p w14:paraId="3E199CAA" w14:textId="5C7D2B3B" w:rsidR="0084326C" w:rsidRPr="005D68A0" w:rsidRDefault="0084326C">
            <w:pPr>
              <w:spacing w:after="120"/>
              <w:rPr>
                <w:rFonts w:ascii="Arial Narrow" w:hAnsi="Arial Narrow" w:cs="Arial"/>
                <w:noProof/>
                <w:color w:val="006100"/>
                <w:sz w:val="20"/>
              </w:rPr>
            </w:pPr>
            <w:r>
              <w:rPr>
                <w:rFonts w:ascii="Arial Narrow" w:hAnsi="Arial Narrow"/>
                <w:noProof/>
                <w:color w:val="006100"/>
                <w:sz w:val="20"/>
              </w:rPr>
              <w:t xml:space="preserve">Vähemalt 280 keskset riigiasutust ja kohalikku tervishoiuasutust (Aziende Sanitarie Locali/Aziende Ospedaliere) läksid üle „Polo Strategico Nazionale“ vastavalt digiülemineku osakonna heakskiidetud rändekavale. </w:t>
            </w:r>
          </w:p>
          <w:p w14:paraId="779C0AE8" w14:textId="77777777" w:rsidR="0084326C" w:rsidRPr="005D68A0" w:rsidRDefault="0084326C">
            <w:pPr>
              <w:spacing w:after="120"/>
              <w:rPr>
                <w:rFonts w:ascii="Arial Narrow" w:hAnsi="Arial Narrow" w:cs="Arial"/>
                <w:noProof/>
                <w:color w:val="006100"/>
                <w:sz w:val="20"/>
              </w:rPr>
            </w:pPr>
            <w:r>
              <w:rPr>
                <w:rFonts w:ascii="Arial Narrow" w:hAnsi="Arial Narrow"/>
                <w:noProof/>
                <w:color w:val="006100"/>
                <w:sz w:val="20"/>
              </w:rPr>
              <w:t xml:space="preserve">Üleminekut Polo Strategico Nazionalele’le on võimalik teostada erineval viisil vastavalt sellele, milline on iga üleviiva avaliku sektori asutuse valduses oleva kohapealse tarkvara IT-arhitektuur. </w:t>
            </w:r>
          </w:p>
          <w:p w14:paraId="385B6EBA"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 xml:space="preserve">Need strateegiad võivad varieeruda alates pelgast hostimis- ja tõste- ja vahetusrändest pilvandmetöötluseta tarkvarale üleminekuni teenusena (IaaS), platvormi teenusena (PaaS) või tarkvara teenusena (SaaS) pilvevalmis tarkvarale. </w:t>
            </w:r>
          </w:p>
          <w:p w14:paraId="26B3A692"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Vähemalt 40 % üleviidud teenustest rakendatakse kas IaaSi, PaaSi või SaaSi lahenduste kaudu.</w:t>
            </w:r>
          </w:p>
          <w:p w14:paraId="5509F013"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Riiklik tugivõrgustik pakub igale rändavale avalikule haldusele kõiki rändestrateegiaid, mis on abikõlblikud, et lugeda eesmärgiks „migreerumine Polo Strategico Nazionalesse“ saavutatuks.</w:t>
            </w:r>
          </w:p>
          <w:p w14:paraId="794BFC37"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„Kohaldamisalasse“ kuuluvad järgmised haldusasutused kokku:</w:t>
            </w:r>
          </w:p>
          <w:p w14:paraId="7317B8B9"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 Kesksed avaliku halduse asutused, kelle arvele langeb suurim osa info- ja kommunikatsioonitehnoloogia (IKT) kulutustest (näiteks riiklik sotsiaalkindlustusamet, justiitsministeerium);</w:t>
            </w:r>
          </w:p>
          <w:p w14:paraId="70167D07"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 Kesksed avaliku halduse asutused, kes võtavad andmeid vastu aegunud andmekeskustes, vastavalt hiljutisele „pilvvalmiduse“ uuringule;</w:t>
            </w:r>
          </w:p>
          <w:p w14:paraId="29C75E12" w14:textId="5AACC628"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 Peamiselt Kesk- ja Lõuna-Itaalias asuvatel kohalikel tervishoiuasutustel (Aziende Sanitarie Locali/Aziende Ospedaliere) puudub andmeturbe tagamiseks piisav taristu.</w:t>
            </w:r>
          </w:p>
        </w:tc>
      </w:tr>
      <w:tr w:rsidR="00512838" w:rsidRPr="00150B7E" w14:paraId="510F19E7" w14:textId="77777777" w:rsidTr="0183CD37">
        <w:trPr>
          <w:trHeight w:val="309"/>
        </w:trPr>
        <w:tc>
          <w:tcPr>
            <w:tcW w:w="1253" w:type="dxa"/>
            <w:shd w:val="clear" w:color="auto" w:fill="C6EFCE"/>
            <w:noWrap/>
            <w:vAlign w:val="center"/>
          </w:tcPr>
          <w:p w14:paraId="5AF72D42"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M1C1-27</w:t>
            </w:r>
          </w:p>
        </w:tc>
        <w:tc>
          <w:tcPr>
            <w:tcW w:w="1568" w:type="dxa"/>
            <w:shd w:val="clear" w:color="auto" w:fill="C6EFCE"/>
            <w:noWrap/>
            <w:vAlign w:val="center"/>
          </w:tcPr>
          <w:p w14:paraId="57902A25"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Investeering 1.3.1. Riiklik digitaalsete andmete platvorm</w:t>
            </w:r>
          </w:p>
        </w:tc>
        <w:tc>
          <w:tcPr>
            <w:tcW w:w="1148" w:type="dxa"/>
            <w:shd w:val="clear" w:color="auto" w:fill="C6EFCE"/>
            <w:noWrap/>
            <w:vAlign w:val="center"/>
          </w:tcPr>
          <w:p w14:paraId="50ADC03B"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shd w:val="clear" w:color="auto" w:fill="C6EFCE"/>
            <w:noWrap/>
            <w:vAlign w:val="center"/>
          </w:tcPr>
          <w:p w14:paraId="34B47BC3"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Rakendusliidesed riiklikus digitaalse andmeplatvormis T2</w:t>
            </w:r>
          </w:p>
        </w:tc>
        <w:tc>
          <w:tcPr>
            <w:tcW w:w="1701" w:type="dxa"/>
            <w:shd w:val="clear" w:color="auto" w:fill="C6EFCE"/>
            <w:noWrap/>
            <w:vAlign w:val="center"/>
          </w:tcPr>
          <w:p w14:paraId="0AFCCA00"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1EDE1388"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Arv</w:t>
            </w:r>
          </w:p>
        </w:tc>
        <w:tc>
          <w:tcPr>
            <w:tcW w:w="1417" w:type="dxa"/>
            <w:shd w:val="clear" w:color="auto" w:fill="C6EFCE"/>
            <w:noWrap/>
            <w:vAlign w:val="center"/>
          </w:tcPr>
          <w:p w14:paraId="489FFE5B"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400</w:t>
            </w:r>
          </w:p>
        </w:tc>
        <w:tc>
          <w:tcPr>
            <w:tcW w:w="1425" w:type="dxa"/>
            <w:shd w:val="clear" w:color="auto" w:fill="C6EFCE"/>
            <w:noWrap/>
            <w:vAlign w:val="center"/>
          </w:tcPr>
          <w:p w14:paraId="3CEDBA82"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1 000</w:t>
            </w:r>
          </w:p>
        </w:tc>
        <w:tc>
          <w:tcPr>
            <w:tcW w:w="843" w:type="dxa"/>
            <w:shd w:val="clear" w:color="auto" w:fill="C6EFCE"/>
            <w:noWrap/>
            <w:vAlign w:val="center"/>
          </w:tcPr>
          <w:p w14:paraId="0718D1B7"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shd w:val="clear" w:color="auto" w:fill="C6EFCE"/>
            <w:noWrap/>
            <w:vAlign w:val="center"/>
          </w:tcPr>
          <w:p w14:paraId="5E320DB4"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2026</w:t>
            </w:r>
          </w:p>
        </w:tc>
        <w:tc>
          <w:tcPr>
            <w:tcW w:w="2977" w:type="dxa"/>
            <w:shd w:val="clear" w:color="auto" w:fill="C6EFCE"/>
            <w:noWrap/>
            <w:vAlign w:val="center"/>
          </w:tcPr>
          <w:p w14:paraId="4144A362"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See eesmärk seisneb selles, et kataloogis avaldatakse veel vähemalt 600 rakendusliidest (kokku 1 000).</w:t>
            </w:r>
          </w:p>
          <w:p w14:paraId="013CBD26"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Avaldatud rakendusliidesed mõjutavad järgmisi valdkondi:</w:t>
            </w:r>
          </w:p>
          <w:p w14:paraId="1231066B" w14:textId="77777777" w:rsidR="0084326C" w:rsidRPr="005D68A0" w:rsidRDefault="0084326C">
            <w:pPr>
              <w:spacing w:after="120"/>
              <w:ind w:right="-62"/>
              <w:rPr>
                <w:rFonts w:ascii="Arial Narrow" w:hAnsi="Arial Narrow" w:cs="Arial"/>
                <w:noProof/>
                <w:color w:val="006100"/>
                <w:sz w:val="20"/>
                <w:szCs w:val="20"/>
              </w:rPr>
            </w:pPr>
            <w:r>
              <w:rPr>
                <w:rFonts w:ascii="Arial Narrow" w:hAnsi="Arial Narrow"/>
                <w:noProof/>
                <w:color w:val="006100"/>
                <w:sz w:val="20"/>
              </w:rPr>
              <w:t>i) 31. detsembriks 2025: avalikud menetlused, nagu värbamine, pensionile jäämine, koolidesse ja ülikoolidesse registreerimine (nt riiklik üliõpilasregister ja autolubade register);</w:t>
            </w:r>
          </w:p>
          <w:p w14:paraId="7DCFDF68" w14:textId="77777777" w:rsidR="0084326C" w:rsidRPr="005D68A0" w:rsidRDefault="0084326C">
            <w:pPr>
              <w:spacing w:after="120"/>
              <w:ind w:right="-62"/>
              <w:rPr>
                <w:rFonts w:ascii="Arial Narrow" w:hAnsi="Arial Narrow" w:cs="Arial"/>
                <w:noProof/>
                <w:color w:val="006100"/>
                <w:sz w:val="20"/>
                <w:szCs w:val="20"/>
              </w:rPr>
            </w:pPr>
            <w:r>
              <w:rPr>
                <w:rFonts w:ascii="Arial Narrow" w:hAnsi="Arial Narrow"/>
                <w:noProof/>
                <w:color w:val="006100"/>
                <w:sz w:val="20"/>
              </w:rPr>
              <w:t>ii) 30. juuniks 2026: heaolu, hanketeenuste haldamine, riiklik infosüsteem meditsiiniliste andmete ja sanitaarhädaolukordade jaoks, nagu patsiendid ja arstide registrid.</w:t>
            </w:r>
          </w:p>
          <w:p w14:paraId="2ABA8863" w14:textId="77777777" w:rsidR="0084326C" w:rsidRPr="005D68A0" w:rsidRDefault="0084326C">
            <w:pPr>
              <w:spacing w:after="120"/>
              <w:ind w:right="-62"/>
              <w:rPr>
                <w:rFonts w:ascii="Arial Narrow" w:hAnsi="Arial Narrow" w:cs="Arial"/>
                <w:noProof/>
                <w:color w:val="006100"/>
                <w:sz w:val="20"/>
                <w:szCs w:val="20"/>
              </w:rPr>
            </w:pPr>
            <w:r>
              <w:rPr>
                <w:rFonts w:ascii="Arial Narrow" w:hAnsi="Arial Narrow"/>
                <w:noProof/>
                <w:color w:val="006100"/>
                <w:sz w:val="20"/>
              </w:rPr>
              <w:t>Iga rakendusliidese rakendamine ja dokumentatsioon peab vastama riiklikele koostalitlusvõime standarditele ja toetama riikliku digitaalse andmeplatvormi raamistikku; eespool nimetatud platvorm pakub funktsioone, mis võimaldavad vastavust hinnata.</w:t>
            </w:r>
          </w:p>
        </w:tc>
      </w:tr>
      <w:tr w:rsidR="00512838" w:rsidRPr="00150B7E" w14:paraId="53E7E817" w14:textId="77777777" w:rsidTr="0183CD37">
        <w:trPr>
          <w:trHeight w:val="309"/>
        </w:trPr>
        <w:tc>
          <w:tcPr>
            <w:tcW w:w="1253" w:type="dxa"/>
            <w:shd w:val="clear" w:color="auto" w:fill="C6EFCE"/>
            <w:noWrap/>
            <w:vAlign w:val="center"/>
          </w:tcPr>
          <w:p w14:paraId="4B6187E3"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M1C1-28</w:t>
            </w:r>
          </w:p>
        </w:tc>
        <w:tc>
          <w:tcPr>
            <w:tcW w:w="1568" w:type="dxa"/>
            <w:shd w:val="clear" w:color="auto" w:fill="C6EFCE"/>
            <w:noWrap/>
            <w:vAlign w:val="center"/>
          </w:tcPr>
          <w:p w14:paraId="77A6E88D"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Investeering 1.7.2. Digitaalsete hõlbustusteenuste võrgustik</w:t>
            </w:r>
          </w:p>
        </w:tc>
        <w:tc>
          <w:tcPr>
            <w:tcW w:w="1148" w:type="dxa"/>
            <w:shd w:val="clear" w:color="auto" w:fill="C6EFCE"/>
            <w:noWrap/>
            <w:vAlign w:val="center"/>
          </w:tcPr>
          <w:p w14:paraId="5934684D"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shd w:val="clear" w:color="auto" w:fill="C6EFCE"/>
            <w:noWrap/>
            <w:vAlign w:val="center"/>
          </w:tcPr>
          <w:p w14:paraId="4A922E36"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Digilihtsustuskeskuste pakutavates uutes digiõppe- ja/või hõlbustamisalgatustes osalevate kodanike arv</w:t>
            </w:r>
          </w:p>
        </w:tc>
        <w:tc>
          <w:tcPr>
            <w:tcW w:w="1701" w:type="dxa"/>
            <w:shd w:val="clear" w:color="auto" w:fill="C6EFCE"/>
            <w:noWrap/>
            <w:vAlign w:val="center"/>
          </w:tcPr>
          <w:p w14:paraId="65039818"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55EEBFB0"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Arv</w:t>
            </w:r>
          </w:p>
        </w:tc>
        <w:tc>
          <w:tcPr>
            <w:tcW w:w="1417" w:type="dxa"/>
            <w:shd w:val="clear" w:color="auto" w:fill="C6EFCE"/>
            <w:noWrap/>
            <w:vAlign w:val="center"/>
          </w:tcPr>
          <w:p w14:paraId="433C9D27"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0</w:t>
            </w:r>
          </w:p>
        </w:tc>
        <w:tc>
          <w:tcPr>
            <w:tcW w:w="1425" w:type="dxa"/>
            <w:shd w:val="clear" w:color="auto" w:fill="C6EFCE"/>
            <w:noWrap/>
            <w:vAlign w:val="center"/>
          </w:tcPr>
          <w:p w14:paraId="0765AF52"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2 000 000</w:t>
            </w:r>
          </w:p>
        </w:tc>
        <w:tc>
          <w:tcPr>
            <w:tcW w:w="843" w:type="dxa"/>
            <w:shd w:val="clear" w:color="auto" w:fill="C6EFCE"/>
            <w:noWrap/>
            <w:vAlign w:val="center"/>
          </w:tcPr>
          <w:p w14:paraId="6303A192"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shd w:val="clear" w:color="auto" w:fill="C6EFCE"/>
            <w:noWrap/>
            <w:vAlign w:val="center"/>
          </w:tcPr>
          <w:p w14:paraId="1D5A5481"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2026</w:t>
            </w:r>
          </w:p>
        </w:tc>
        <w:tc>
          <w:tcPr>
            <w:tcW w:w="2977" w:type="dxa"/>
            <w:shd w:val="clear" w:color="auto" w:fill="C6EFCE"/>
            <w:noWrap/>
            <w:vAlign w:val="center"/>
          </w:tcPr>
          <w:p w14:paraId="2D689302"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Vähemalt 2 000 000 kodanikku osaleb digiõppes ja/või digilihtsustuskeskuste pakutavates algatustes.</w:t>
            </w:r>
          </w:p>
          <w:p w14:paraId="1FDC8BC5"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Koolitustegevus, mida peetakse eesmärgi saavutamiseks vajalikuks, on järgmine:</w:t>
            </w:r>
          </w:p>
          <w:p w14:paraId="6AEAC873" w14:textId="77777777" w:rsidR="0084326C" w:rsidRPr="005D68A0" w:rsidRDefault="0084326C">
            <w:pPr>
              <w:rPr>
                <w:rFonts w:ascii="Arial Narrow" w:hAnsi="Arial Narrow" w:cs="Arial"/>
                <w:noProof/>
                <w:color w:val="006100"/>
                <w:sz w:val="20"/>
                <w:szCs w:val="20"/>
              </w:rPr>
            </w:pPr>
            <w:r>
              <w:rPr>
                <w:rFonts w:ascii="Arial Narrow" w:hAnsi="Arial Narrow"/>
                <w:noProof/>
                <w:color w:val="006100"/>
                <w:sz w:val="20"/>
              </w:rPr>
              <w:t>a) isikustatud digiõppe- ja/või hõlbustamisalgatused, mida pakutakse digilihtsustusmeetodite kaudu, mida tavaliselt viiakse läbi teenuse broneerimise alusel ja mis registreeritakse seiresüsteemis;</w:t>
            </w:r>
          </w:p>
          <w:p w14:paraId="4C18D358" w14:textId="77777777" w:rsidR="0084326C" w:rsidRPr="005D68A0" w:rsidRDefault="0084326C">
            <w:pPr>
              <w:rPr>
                <w:rFonts w:ascii="Arial Narrow" w:hAnsi="Arial Narrow" w:cs="Arial"/>
                <w:noProof/>
                <w:color w:val="006100"/>
                <w:sz w:val="20"/>
                <w:szCs w:val="20"/>
              </w:rPr>
            </w:pPr>
            <w:r>
              <w:rPr>
                <w:rFonts w:ascii="Arial Narrow" w:hAnsi="Arial Narrow"/>
                <w:noProof/>
                <w:color w:val="006100"/>
                <w:sz w:val="20"/>
              </w:rPr>
              <w:t>b) vahetu ja veebipõhise digiõppe ja/või hõlbustamisalgatused, mille eesmärk on arendada kodanike digioskusi, mida viivad sünkroonselt ellu digivahenduskeskused ja mis salvestatakse seiresüsteemis;</w:t>
            </w:r>
          </w:p>
          <w:p w14:paraId="6F70C2A3"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c) veebipõhise digiõppe ja/või hõlbustamise algatused, mille eesmärk on arendada kodanike digioskusi ka iseõppides ja asünkroonses režiimis, kuid kindlasti koos registreerimisega seiresüsteemis, mis on tehtud osana koolituskataloogist, mille on koostanud digilihtsustusteenuste võrgustik ja mis on kättesaadav rakendatud teadmushaldussüsteemi kaudu.</w:t>
            </w:r>
          </w:p>
        </w:tc>
      </w:tr>
      <w:tr w:rsidR="00512838" w:rsidRPr="00150B7E" w14:paraId="5FF5A0BD"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2BFA462"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M1C1-29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11F7E8"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Reform 1.4. Tsiviilõiguse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5602A85"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54BF35E"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Tsiviilõiguse reformi võimaldavate õigusaktide jõustumine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DC43D88"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Seaduse säte, mis viitab volitusnormi jõustumisele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C79824B"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C8842B2"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273A37F"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540A4A"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1B99D7"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2021</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5E9A898" w14:textId="77777777" w:rsidR="0084326C" w:rsidRPr="005D68A0" w:rsidRDefault="0084326C">
            <w:pPr>
              <w:rPr>
                <w:rFonts w:ascii="Arial Narrow" w:hAnsi="Arial Narrow" w:cs="Arial"/>
                <w:noProof/>
                <w:color w:val="006100"/>
                <w:sz w:val="20"/>
                <w:szCs w:val="20"/>
              </w:rPr>
            </w:pPr>
            <w:r>
              <w:rPr>
                <w:rFonts w:ascii="Arial Narrow" w:hAnsi="Arial Narrow"/>
                <w:noProof/>
                <w:color w:val="006100"/>
                <w:sz w:val="20"/>
              </w:rPr>
              <w:t>Volitust andvad õigusaktid hõlmavad vähemalt järgmisi meetmeid: i) lihtsustatud menetluse kehtestamine esimese astme/kohtu tasandil ja „filtreerimismenetluse“ kohaldamise tugevdamine apellatsiooni tasandil, sealhulgas lihtsustatud menetluste laialdasem kasutamine ja juhtumid, mille puhul on otsuse tegemiseks pädev ainult üks kohtunik; ii) tagada menetluste siduvate tähtaegade tegelik rakendamine ning tõendite kogumise ja mis tahes asjakohase õigusakti ja dokumendi elektroonilise esitamise ajakava; iii) reformida vahenduse ja vaidluste kohtuvälise lahendamise kasutamist koos abistatud vahenduse, vahekohtu ja muude võimalike alternatiividega, et muuta need instituudid tõhusamaks tsiviilõigussüsteemile avaldatava surve deflateerimisel, sealhulgas stiimulite kaudu; iv) reformida sundtäitmise menetlust, et vähendada olemasolevat keskmist aega, sealhulgas muuta sissenõutavaks tunnistatud summade jõustamine kiiremaks ja odavamaks; reformida praegust kohtukulude kvantifitseerimise ja sissenõudmise süsteemi, et vähendada põhjendamatuid kohtuvaidlusi; v) võtta kasutusele järelevalvesüsteem kohtute tasandil ja suurendada tsiviilkohtute tootlikkust stiimulite abil, et tagada menetluste mõistlik kestus ja ühtsed tulemused kohtutes.</w:t>
            </w:r>
          </w:p>
        </w:tc>
      </w:tr>
      <w:tr w:rsidR="00512838" w:rsidRPr="00150B7E" w14:paraId="08B6ED38"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D246479"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M1C1-30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2F72CA"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Reform 1.5. Kriminaalõiguse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F537A89"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90BABB"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Kriminaalõigusreformi võimaldavate õigusaktide jõustumine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B584D0F"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Seaduse säte, mis viitab volitusnormi jõustumisele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59109FA"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386C5F"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7A26D54"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D48E9E3"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41700D"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2021</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6745A3F"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Võimaldav õigusakt, mis sisaldab vähemalt järgmisi meetmeid: i) läbivaadatud teavitamissüsteem, ii) lihtsustatud menetluste laiem kasutamine, iii) dokumentide elektroonilise esitamise laiem kasutamine, iv) lihtsustatud eeskirjad tõendite kohta, v) esialgse uurimise kestuse tähtaegade kindlaksmääramine ja meetmed, et vältida seisakut uurimisetapis, vi) kuriteo kustutamise võimaluse laiendamine, kui kahju on hüvitatud, vii) järelevalvesüsteemi kasutuselevõtt kohtute tasandil ja kriminaalkohtute tootlikkuse suurendamine stiimulite kaudu, et tagada menetluste mõistlik kestus ja ühtsed tulemused kohtutes.</w:t>
            </w:r>
          </w:p>
        </w:tc>
      </w:tr>
      <w:tr w:rsidR="00512838" w:rsidRPr="005D68A0" w14:paraId="14596F1D"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CB73803"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M1C1-31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BECAD8C"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Reform 1.6. Maksejõuetusraamistiku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CAA169"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59F12E8"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Maksejõuetusreformi raamistikku võimaldavate õigusaktide jõustumine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2A53F5A"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Seaduse säte, mis viitab volitusnormi jõustumisele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87C16D8"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B852A53"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B55B11"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E735565"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99FE2B4"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2021</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5C8D327"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Maksejõuetusreform hõlmab vähemalt järgmisi meetmeid: i) vaatama läbi kohtuvälise lahendamise korra, et teha kindlaks valdkonnad, kus võib olla vaja teha täiendavaid parandusi, et motiveerida asjaomaseid pooli selliseid menetlusi paremini kasutama; ii) kehtestada varajase hoiatamise mehhanismid ja juurdepääs teabele enne maksejõuetust; iii) üleminek kohtute spetsialiseerumisele (äriõigus, maksejõuetuskolleegium/-koda) ja kohtueelsetele institutsioonidele, et juhtida maksejõuetusmenetlusi maksejõuetuse korral; iv) lubada tagatud nõuetega võlausaldajatele esimese makse tegemist (enne maksunõuete ja töötajate nõuete esitamist); v) võimaldada ettevõtjatel anda nõudeõiguseta tagatisõigus. Lisaks maksejõuetuse reformile tuleb tagada restruktureerimismenetlustega tegelevate õigus- ja haldusasutuste liikmete koolitamine ja spetsialiseerumine, restruktureerimis- ja maksejõuetusmenetluste üldine digiteerimine ning veebipõhise platvormi loomine vaidluste kohtuväliseks lahendamiseks, eelkõige maksejõuetuseelses etapis, mille kasutamist stimuleeritakse, et vähendada kohtusüsteemi koormust (maksejõuetuseelse restruktureerimise taotlused, mitmepoolsete restruktureerimiste edendamine ning eelnevalt heaks kiidetud automaatse restruktureerimise menetluste ja otsuste lubamine madala maksumusega juhtumite puhul). Selline veebiplatvorm tagab ka koostalitlusvõime pankade IT-süsteemidega ning muude riigiasutuste ja andmebaasidega, et tagada kiire ja elektrooniline dokumentide ja andmete vahetamine võlgnike ja võlausaldajate vahel. Sel eesmärgil annaks taotleja (võlgnik) nõusoleku oma isikuandmete vahetamiseks kooskõlas isikuandmete kaitse üldmäärusega ja see säte tuleks lisada seadusesse. Reformiga luuakse tagatisregister.</w:t>
            </w:r>
          </w:p>
        </w:tc>
      </w:tr>
      <w:tr w:rsidR="00512838" w:rsidRPr="00150B7E" w14:paraId="6CF6496F"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086D3F"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M1C1-32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C53EF30"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Investeering 1.8. Tsiviil-, kriminaal- ja halduskohtute värbamismenetlused</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B0BF474"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4ADF530"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Riikliku taaste- ja vastupidavuskava värbamist reguleerivate eriõigusaktide jõustumine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0A3ED42"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Seaduse säte, mis viitab riikliku taaste- ja vastupidavuskavaga seotud töölevõtmist reguleerivate eriõigusaktide jõustumisele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D1C701"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CC5CE2"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0143D1D"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3797AC6"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667AD5B"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2021</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2727B70"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Kiita heaks eriõigusaktid, millega reguleeritakse riiklikku taaste- ja vastupidavuskava koos loaga kuulutada välja ja värvata töötajaid.</w:t>
            </w:r>
          </w:p>
        </w:tc>
      </w:tr>
      <w:tr w:rsidR="00512838" w:rsidRPr="00150B7E" w14:paraId="4B85BF5C"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F6C07AF"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M1C1-33</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E6F8ED4"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Investeering 1.8. Halduskohtute värbamismenetlused</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8C73515"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D4C26D7"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Halduskohtute värbamismenetluste alustamine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D7AF97F"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1C24C7D"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Arv</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5FD189A"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A58079"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168</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D3E7919"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B8976F"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2022</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9677FB"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Alustada vähemalt 168 katse- ja halduskohtuameti töötaja töölevõtmise menetlust ning võtta teenistusse üksused. Lähteväärtuseks on 31. detsembril 2021 teenistuses olnud töötajate arv.</w:t>
            </w:r>
          </w:p>
        </w:tc>
      </w:tr>
      <w:tr w:rsidR="00512838" w:rsidRPr="00150B7E" w14:paraId="28D1486D"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50B0AE8"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M1C1-34</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3AE41FE"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Investeering 1.8. Tsiviil- ja kriminaalkohtute kohtuameti värbamismenetlused</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2693B2"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5FD1F8F"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Tsiviil- ja kriminaalkohtute värbamismenetluste alustamine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AB06938"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CC172FE"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Arv</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4655875"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FF66B5"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8 764</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13FE4D"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50FB3ED"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2022</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67670C7"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Alustada vähemalt 8 764 töötaja töölevõtmist tsiviilkohtu- ja kriminaalkohtuametisse ning võtta teenistusse üksused. Lähtealuseks on töötajate arv 2021. aasta lõpus.</w:t>
            </w:r>
          </w:p>
        </w:tc>
      </w:tr>
      <w:tr w:rsidR="00512838" w:rsidRPr="00150B7E" w14:paraId="7EFC53EA"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D45808"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M1C1-35</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0423454"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Reform 1.7. Maksukohtute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6DE3316"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5AB227"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Esimese ja teise astme maksukohtute põhjalik reform</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3714FDF"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Seaduse säte, mis viitab muudetud õigusliku raamistiku jõustumisele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D11DF59"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1B24228"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A0D6CA"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B5CF08E"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7854417"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2022</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E91EB4A"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Muudetud õigusraamistik muudab maksuõiguse jõustamise tõhusamaks ja vähendab kassatsioonikohtule esitatavate kaebuste suurt hulka.</w:t>
            </w:r>
          </w:p>
        </w:tc>
      </w:tr>
      <w:tr w:rsidR="00512838" w:rsidRPr="00150B7E" w14:paraId="694D5B81"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12C36A3"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M1C1-36</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838E429"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Reformid 1.4, 1.5 ja 1.6. Tsiviil- ja kriminaalkohtureform ning maksejõuetusreform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9959D50"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BC0C42D"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Tsiviil- ja kriminaalõigusreformide ning maksejõuetusreformi delegeeritud õigusaktide jõustumine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D32E271"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Delegeeritud õigusaktide säte, milles osutatakse delegeeritud õigusaktide jõustumisele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425D8B3"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AF72817"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6C9C4C3"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58E2E7A"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99DCA8"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2022</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BB2E6CF" w14:textId="4E9B7208" w:rsidR="0084326C" w:rsidRPr="009046EC" w:rsidRDefault="0084326C">
            <w:pPr>
              <w:spacing w:after="120"/>
              <w:rPr>
                <w:rFonts w:ascii="Arial Narrow" w:hAnsi="Arial Narrow"/>
                <w:noProof/>
                <w:color w:val="006100"/>
                <w:sz w:val="20"/>
              </w:rPr>
            </w:pPr>
            <w:r>
              <w:rPr>
                <w:rFonts w:ascii="Arial Narrow" w:hAnsi="Arial Narrow"/>
                <w:noProof/>
                <w:color w:val="006100"/>
                <w:sz w:val="20"/>
              </w:rPr>
              <w:t>Jõustuvad kõik delegeeritud õigusaktid, mille sisu on märgitud tsiviil- ja kriminaalõigusreforme ning maksejõuetusreformi võimaldavates õigusaktides.</w:t>
            </w:r>
          </w:p>
        </w:tc>
      </w:tr>
      <w:tr w:rsidR="00512838" w:rsidRPr="00150B7E" w14:paraId="4F16452B"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BC4891"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M1C1-37</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D38C14F"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Reformid 1.4 ja 1.5. Tsiviil- ja kriminaalõiguse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55CDD59"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A47DAB"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Tsiviil- ja kriminaalõiguse reformi jõustumine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F75D6E6"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Teiseste õigusaktide säte, mis viitab teiseste õigusaktide jõustumisele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6C1FDDC"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34C5A0"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28E69C2"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C7C2134"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1286AF"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2023</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C5A34C"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Viia lõpule kõigi selliste määruste ja teiseste seadusandlike allikate vastuvõtmine, mis on vajalikud kohtureforme võimaldavate seaduste tõhusaks kohaldamiseks.</w:t>
            </w:r>
          </w:p>
        </w:tc>
      </w:tr>
      <w:tr w:rsidR="00512838" w:rsidRPr="00150B7E" w14:paraId="79568962"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468630E"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M1C1-38</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ACE128"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Reform 1.8. Õiguse digiteerimine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A46A9E7"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3F0CBBF"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Kohtusüsteemi digiteerimine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7C54D81"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Esma- ja teisestes õigusaktides sisalduv säte, mis viitab vastavate õigusaktide jõustumisele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73B3616"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596DD4E"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7B4E814"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23832F1"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106FBB3" w14:textId="77777777" w:rsidR="0084326C" w:rsidRPr="005D68A0" w:rsidRDefault="0084326C">
            <w:pPr>
              <w:jc w:val="center"/>
              <w:rPr>
                <w:rFonts w:ascii="Arial Narrow" w:hAnsi="Arial Narrow" w:cs="Arial"/>
                <w:noProof/>
                <w:color w:val="006100"/>
                <w:sz w:val="20"/>
                <w:szCs w:val="20"/>
              </w:rPr>
            </w:pPr>
            <w:r>
              <w:rPr>
                <w:rFonts w:ascii="Arial Narrow" w:hAnsi="Arial Narrow"/>
                <w:noProof/>
                <w:color w:val="006100"/>
                <w:sz w:val="20"/>
              </w:rPr>
              <w:t>2023</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3F2EC0D" w14:textId="77777777" w:rsidR="0084326C" w:rsidRPr="005D68A0" w:rsidRDefault="0084326C">
            <w:pPr>
              <w:spacing w:after="120"/>
              <w:rPr>
                <w:rFonts w:ascii="Arial Narrow" w:hAnsi="Arial Narrow" w:cs="Arial"/>
                <w:noProof/>
                <w:color w:val="006100"/>
                <w:sz w:val="20"/>
                <w:szCs w:val="20"/>
              </w:rPr>
            </w:pPr>
            <w:r>
              <w:rPr>
                <w:rFonts w:ascii="Arial Narrow" w:hAnsi="Arial Narrow"/>
                <w:noProof/>
                <w:color w:val="006100"/>
                <w:sz w:val="20"/>
              </w:rPr>
              <w:t>Kehtestatakse kõigi dokumentide kohustuslik elektrooniline esitamine ja täielik elektrooniline töövoog tsiviilkohtumenetluse jaoks. Esimese astme kriminaalmenetlus on digiteeritud (v.a eelistungi kantselei). Tasuta, täielikult juurdepääsetava ja otsinguvõimalusega tsiviilotsuste andmebaasi loomine vastavalt õigusaktidele.</w:t>
            </w:r>
          </w:p>
        </w:tc>
      </w:tr>
      <w:tr w:rsidR="00512838" w:rsidRPr="005D68A0" w14:paraId="56C9BB21"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D581379" w14:textId="02E83432" w:rsidR="004541E2" w:rsidRPr="005D68A0" w:rsidRDefault="004541E2" w:rsidP="004541E2">
            <w:pPr>
              <w:jc w:val="center"/>
              <w:rPr>
                <w:rFonts w:ascii="Arial Narrow" w:hAnsi="Arial Narrow" w:cs="Arial"/>
                <w:noProof/>
                <w:color w:val="006100"/>
                <w:sz w:val="20"/>
              </w:rPr>
            </w:pPr>
            <w:r>
              <w:rPr>
                <w:rFonts w:ascii="Arial Narrow" w:hAnsi="Arial Narrow"/>
                <w:noProof/>
                <w:color w:val="006100"/>
                <w:sz w:val="20"/>
              </w:rPr>
              <w:t>M1C1–38bis</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6EFD982" w14:textId="5900C078" w:rsidR="004541E2" w:rsidRPr="005D68A0" w:rsidRDefault="004541E2" w:rsidP="004541E2">
            <w:pPr>
              <w:jc w:val="center"/>
              <w:rPr>
                <w:rFonts w:ascii="Arial Narrow" w:hAnsi="Arial Narrow" w:cs="Arial"/>
                <w:noProof/>
                <w:color w:val="006100"/>
                <w:sz w:val="20"/>
              </w:rPr>
            </w:pPr>
            <w:r>
              <w:rPr>
                <w:rFonts w:ascii="Arial Narrow" w:hAnsi="Arial Narrow"/>
                <w:noProof/>
                <w:color w:val="006100"/>
                <w:sz w:val="20"/>
              </w:rPr>
              <w:t>Reform 1.8. Õiguse digiteerimine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A780DD1" w14:textId="0CE4906B" w:rsidR="004541E2" w:rsidRPr="005D68A0" w:rsidRDefault="004541E2" w:rsidP="004541E2">
            <w:pPr>
              <w:jc w:val="center"/>
              <w:rPr>
                <w:rFonts w:ascii="Arial Narrow" w:hAnsi="Arial Narrow" w:cs="Arial"/>
                <w:noProof/>
                <w:color w:val="006100"/>
                <w:sz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B6F09A" w14:textId="3784FDA9" w:rsidR="004541E2" w:rsidRPr="005D68A0" w:rsidRDefault="004541E2" w:rsidP="004541E2">
            <w:pPr>
              <w:jc w:val="center"/>
              <w:rPr>
                <w:rFonts w:ascii="Arial Narrow" w:hAnsi="Arial Narrow" w:cs="Arial"/>
                <w:noProof/>
                <w:color w:val="006100"/>
                <w:sz w:val="20"/>
              </w:rPr>
            </w:pPr>
            <w:r>
              <w:rPr>
                <w:rFonts w:ascii="Arial Narrow" w:hAnsi="Arial Narrow"/>
                <w:noProof/>
                <w:color w:val="006100"/>
                <w:sz w:val="20"/>
              </w:rPr>
              <w:t>Kohtusüsteemi digiteerimine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7393070" w14:textId="6A2B22AB" w:rsidR="004541E2" w:rsidRPr="005D68A0" w:rsidRDefault="0BAFF8F9" w:rsidP="5537777F">
            <w:pPr>
              <w:jc w:val="center"/>
              <w:rPr>
                <w:rFonts w:ascii="Arial Narrow" w:hAnsi="Arial Narrow" w:cs="Arial"/>
                <w:noProof/>
                <w:color w:val="006100"/>
                <w:sz w:val="20"/>
                <w:szCs w:val="20"/>
              </w:rPr>
            </w:pPr>
            <w:r>
              <w:rPr>
                <w:rFonts w:ascii="Arial Narrow" w:hAnsi="Arial Narrow"/>
                <w:noProof/>
                <w:color w:val="006100"/>
                <w:sz w:val="20"/>
              </w:rPr>
              <w:t>PNR, PDP ja APP täielik kasutuselevõtmine ja koostalitlusvõime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804397E" w14:textId="0917630A" w:rsidR="004541E2" w:rsidRPr="005D68A0" w:rsidRDefault="004541E2" w:rsidP="004541E2">
            <w:pPr>
              <w:jc w:val="center"/>
              <w:rPr>
                <w:rFonts w:ascii="Arial Narrow" w:hAnsi="Arial Narrow" w:cs="Arial"/>
                <w:noProof/>
                <w:color w:val="006100"/>
                <w:sz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51E5376" w14:textId="2ECC1289" w:rsidR="004541E2" w:rsidRPr="005D68A0" w:rsidRDefault="004541E2" w:rsidP="004541E2">
            <w:pPr>
              <w:jc w:val="center"/>
              <w:rPr>
                <w:rFonts w:ascii="Arial Narrow" w:hAnsi="Arial Narrow" w:cs="Arial"/>
                <w:noProof/>
                <w:color w:val="006100"/>
                <w:sz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774DB04" w14:textId="036D81AA" w:rsidR="004541E2" w:rsidRPr="005D68A0" w:rsidRDefault="004541E2" w:rsidP="004541E2">
            <w:pPr>
              <w:jc w:val="center"/>
              <w:rPr>
                <w:rFonts w:ascii="Arial Narrow" w:hAnsi="Arial Narrow" w:cs="Arial"/>
                <w:noProof/>
                <w:color w:val="006100"/>
                <w:sz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902F9C0" w14:textId="5F66DAEE" w:rsidR="004541E2" w:rsidRPr="005D68A0" w:rsidRDefault="004541E2" w:rsidP="004541E2">
            <w:pPr>
              <w:jc w:val="center"/>
              <w:rPr>
                <w:rFonts w:ascii="Arial Narrow" w:hAnsi="Arial Narrow" w:cs="Arial"/>
                <w:noProof/>
                <w:color w:val="006100"/>
                <w:sz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23417AA" w14:textId="44CF3B4A" w:rsidR="004541E2" w:rsidRPr="005D68A0" w:rsidRDefault="004541E2" w:rsidP="004541E2">
            <w:pPr>
              <w:jc w:val="center"/>
              <w:rPr>
                <w:rFonts w:ascii="Arial Narrow" w:hAnsi="Arial Narrow" w:cs="Arial"/>
                <w:noProof/>
                <w:color w:val="006100"/>
                <w:sz w:val="20"/>
              </w:rPr>
            </w:pPr>
            <w:r>
              <w:rPr>
                <w:rFonts w:ascii="Arial Narrow" w:hAnsi="Arial Narrow"/>
                <w:noProof/>
                <w:color w:val="006100"/>
                <w:sz w:val="20"/>
              </w:rPr>
              <w:t>2025</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37C9139" w14:textId="3CD0F14C" w:rsidR="004541E2" w:rsidRPr="005D68A0" w:rsidRDefault="73CAAE1D" w:rsidP="004541E2">
            <w:pPr>
              <w:spacing w:after="120"/>
              <w:rPr>
                <w:rFonts w:ascii="Arial Narrow" w:hAnsi="Arial Narrow" w:cs="Arial"/>
                <w:noProof/>
                <w:color w:val="006100"/>
                <w:sz w:val="20"/>
                <w:szCs w:val="20"/>
              </w:rPr>
            </w:pPr>
            <w:r>
              <w:rPr>
                <w:rFonts w:ascii="Arial Narrow" w:hAnsi="Arial Narrow"/>
                <w:noProof/>
                <w:color w:val="006100"/>
                <w:sz w:val="20"/>
              </w:rPr>
              <w:t>Esimese astme kriminaalmenetluste täielik digiteerimine kuni lõppaktini Portale delle notizie di reato (PNR), Portale dei depositi penali (PDP) ja „applicativo processo penale“ (APP) kaudu. Platvormid on omavahel koostalitlusvõimelised.</w:t>
            </w:r>
          </w:p>
        </w:tc>
      </w:tr>
      <w:tr w:rsidR="00512838" w:rsidRPr="00150B7E" w14:paraId="4E2AA8CA"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7E16C91"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M1C1-39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0EA2CE"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Investeering 1.8. Tsiviil- ja kriminaalkohtute värbamismenetlused</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288B884"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21B6737" w14:textId="12884BB8" w:rsidR="004541E2" w:rsidRPr="005D68A0" w:rsidRDefault="004E01B9" w:rsidP="004541E2">
            <w:pPr>
              <w:jc w:val="center"/>
              <w:rPr>
                <w:rFonts w:ascii="Arial Narrow" w:hAnsi="Arial Narrow" w:cs="Arial"/>
                <w:noProof/>
                <w:color w:val="006100"/>
                <w:sz w:val="20"/>
                <w:szCs w:val="20"/>
              </w:rPr>
            </w:pPr>
            <w:r>
              <w:rPr>
                <w:rFonts w:ascii="Arial Narrow" w:hAnsi="Arial Narrow"/>
                <w:noProof/>
                <w:color w:val="006100"/>
                <w:sz w:val="20"/>
              </w:rPr>
              <w:t>Taaste- ja vastupidavuskava rakendamise eest vastutavate justiitsministeeriumi tsiviil- ja kriminaalkohtute ning territoriaalsete ja kesktalituste värbamis- või pikendamismenetlused</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053527E"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907760"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Arv</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408247"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1D2C6EB"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10 000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25F923"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D3B6C4"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2174B35"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Viia lõpule vähemalt 10 000 katsebüroo töötaja ja tehnilise halduspersonali värbamine või pikendamise kord ning paigutada nad teenistusse.</w:t>
            </w:r>
          </w:p>
          <w:p w14:paraId="52ACE71A" w14:textId="11CD968E" w:rsidR="004541E2" w:rsidRPr="005D68A0" w:rsidRDefault="004E01B9" w:rsidP="004541E2">
            <w:pPr>
              <w:spacing w:after="120"/>
              <w:rPr>
                <w:rFonts w:ascii="Arial Narrow" w:hAnsi="Arial Narrow" w:cs="Arial"/>
                <w:noProof/>
                <w:color w:val="006100"/>
                <w:sz w:val="20"/>
                <w:szCs w:val="20"/>
              </w:rPr>
            </w:pPr>
            <w:r>
              <w:rPr>
                <w:rFonts w:ascii="Arial Narrow" w:hAnsi="Arial Narrow"/>
                <w:noProof/>
                <w:color w:val="006100"/>
                <w:sz w:val="20"/>
              </w:rPr>
              <w:t>Selle eesmärgi saavutamisel võetakse arvesse üksnes värbamis- või pikendamismenetlusi, mis on lõpule viidud alates 1. jaanuarist 2022.</w:t>
            </w:r>
          </w:p>
        </w:tc>
      </w:tr>
      <w:tr w:rsidR="00512838" w:rsidRPr="00D90835" w14:paraId="09F1BD34"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59A1DC8"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M1C1-40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47557AD" w14:textId="77777777" w:rsidR="004541E2" w:rsidRPr="005D68A0" w:rsidRDefault="004541E2" w:rsidP="004541E2">
            <w:pPr>
              <w:jc w:val="center"/>
              <w:rPr>
                <w:rFonts w:ascii="Arial Narrow" w:hAnsi="Arial Narrow" w:cs="Arial"/>
                <w:noProof/>
                <w:color w:val="006100"/>
                <w:sz w:val="20"/>
                <w:szCs w:val="20"/>
              </w:rPr>
            </w:pPr>
            <w:bookmarkStart w:id="2" w:name="_Hlk160473086"/>
            <w:r>
              <w:rPr>
                <w:rFonts w:ascii="Arial Narrow" w:hAnsi="Arial Narrow"/>
                <w:noProof/>
                <w:color w:val="006100"/>
                <w:sz w:val="20"/>
              </w:rPr>
              <w:t>Investeering 1.8. Halduskohtute värbamismenetlused</w:t>
            </w:r>
            <w:bookmarkEnd w:id="2"/>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B14F67"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400E2A" w14:textId="3110E71C" w:rsidR="004541E2" w:rsidRPr="005D68A0" w:rsidRDefault="00126C34" w:rsidP="004541E2">
            <w:pPr>
              <w:jc w:val="center"/>
              <w:rPr>
                <w:rFonts w:ascii="Arial Narrow" w:hAnsi="Arial Narrow" w:cs="Arial"/>
                <w:noProof/>
                <w:color w:val="006100"/>
                <w:sz w:val="20"/>
                <w:szCs w:val="20"/>
              </w:rPr>
            </w:pPr>
            <w:r>
              <w:rPr>
                <w:rFonts w:ascii="Arial Narrow" w:hAnsi="Arial Narrow"/>
                <w:noProof/>
                <w:color w:val="006100"/>
                <w:sz w:val="20"/>
              </w:rPr>
              <w:t>Halduskohtute värbamis- või pikendamismenetlused</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6C42E4"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4EF24E"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Arv</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B26D21" w14:textId="48F06481"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11802D" w14:textId="494C7C2F"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158</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6F1B7B"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77E356B"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D42DE6" w14:textId="5183A383"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Viia lõpule kohtu- ja halduskohtute vähemalt 158 töötaja töölevõtmise või pikendamise menetlused ning võtta üksused tööle. Selle eesmärgi saavutamisel võetakse arvesse üksnes värbamis- või pikendamismenetlusi, mis on lõpule viidud alates 1. jaanuarist 2022.</w:t>
            </w:r>
          </w:p>
        </w:tc>
      </w:tr>
      <w:tr w:rsidR="00512838" w:rsidRPr="00D90835" w14:paraId="0451803A"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9F4360E"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M1C1-41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8CA7979"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Investeering 1.8. Halduskohtute värbamismenetlused</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AA2EE40"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79AD82D"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Piirkondlike halduskohtute kohtuasjade kuhjumise vähendamine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A6428C4"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F7CA8C4"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Protsent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C633E92"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100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6438EF"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75</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DE9171D"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228C21F"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AC1294"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Vähendada 2019. aastal 25 % võrra piirkondlikes halduskohtutes (esimese astme halduskohtutes) pooleliolevate kohtuasjade arvu (109 029).</w:t>
            </w:r>
          </w:p>
        </w:tc>
      </w:tr>
      <w:tr w:rsidR="00512838" w:rsidRPr="00D90835" w14:paraId="42954883"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5B0D6FC"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M1C1-42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C3457F1"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Investeering 1.8. Halduskohtute värbamismenetlused</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F1E7C95"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9E5DA1"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Kuhjunud kohtuasjade arvu vähendamine riiginõukogus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97AF347"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CD3EC7E"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Protsent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2487CB"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100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97A77D9"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65</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A549866"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A674F5C"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85C28C8"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Vähendada 35 % riiginõukogus (teine aste) 2019. aastal pooleliolevate kohtuasjade arvu (24 010).</w:t>
            </w:r>
          </w:p>
        </w:tc>
      </w:tr>
      <w:tr w:rsidR="00512838" w:rsidRPr="00D90835" w14:paraId="777D5A47"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0BAAD8"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M1C1-43</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A617D3"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Reform 1.4. Tsiviilõiguse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ED077E"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44540C4"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Tsiviil- ja üldkohtute kohtuasjade kuhjumise vähendamine (esimene aste)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D290CA"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C09A3AC"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Protsent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D8D4ED"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100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6D60F7"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5</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C2DA78A"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8141BB"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FC392A7"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Vähendada 95 % tsiviilkohtutes (esimese astme kohtud) pooleliolevate kohtuasjade arvu 2019. aastal (337 740).</w:t>
            </w:r>
          </w:p>
          <w:p w14:paraId="4CDDE3EA"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Lähtealuseks on 2019. aastal tsiviilasju menetlevate üldkohtute menetluses olnud kohtuasjade arv, mis kestis üle kolme aasta.</w:t>
            </w:r>
          </w:p>
        </w:tc>
      </w:tr>
      <w:tr w:rsidR="00512838" w:rsidRPr="00D90835" w14:paraId="073C6A13"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FD4091"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M1C1-44</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A2CE5E"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Reform 1.4. Tsiviilõiguse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4D3E83B"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80F17A"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Tsiviilapellatsioonikohtu pooleliolevate kohtuasjade arvu vähendamine (teine aste)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DBCD18E"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FBFEE5A"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Protsent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127F49F"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100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4E05066"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5</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C7954B1"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B2B28A"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78205D"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 xml:space="preserve">Vähendada 2019. aastal 95 % tsiviilapellatsioonikohtutes (teine aste) pooleliolevate kohtuasjade arvu (98 371). </w:t>
            </w:r>
          </w:p>
          <w:p w14:paraId="427E6D85"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Lähtealuseks on Tsiviilkohtutes (2019. aastal) rohkem kui kahe aasta jooksul pooleli olevate kohtuasjade arv.</w:t>
            </w:r>
          </w:p>
        </w:tc>
      </w:tr>
      <w:tr w:rsidR="00512838" w:rsidRPr="00D90835" w14:paraId="16FF0AE7"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3BE1DD0"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M1C1–37bis</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8A9645"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Reform 1.4. Tsiviilõiguse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2B3A983"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17AD543"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Mahajäämuse vähendamiseks võetud meetmete jõustumine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05460E7" w14:textId="77777777" w:rsidR="004541E2" w:rsidRPr="005D68A0" w:rsidRDefault="004541E2" w:rsidP="004541E2">
            <w:pPr>
              <w:jc w:val="center"/>
              <w:rPr>
                <w:rFonts w:ascii="Arial Narrow" w:hAnsi="Arial Narrow" w:cs="Arial"/>
                <w:noProof/>
                <w:sz w:val="20"/>
                <w:szCs w:val="20"/>
              </w:rPr>
            </w:pPr>
            <w:r>
              <w:rPr>
                <w:rFonts w:ascii="Arial Narrow" w:hAnsi="Arial Narrow"/>
                <w:noProof/>
                <w:color w:val="006100"/>
                <w:sz w:val="20"/>
              </w:rPr>
              <w:t>Seaduse säte, mis viitab esmaste ja teiseste õigusaktide jõustumisele, et vähendada mahajäämust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165789" w14:textId="77777777" w:rsidR="004541E2" w:rsidRPr="00F33804" w:rsidRDefault="004541E2" w:rsidP="004541E2">
            <w:pPr>
              <w:jc w:val="center"/>
              <w:rPr>
                <w:rFonts w:ascii="Arial Narrow" w:hAnsi="Arial Narrow" w:cs="Arial"/>
                <w:noProof/>
                <w:color w:val="0061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28DF89" w14:textId="77777777" w:rsidR="004541E2" w:rsidRPr="00F33804" w:rsidRDefault="004541E2" w:rsidP="004541E2">
            <w:pPr>
              <w:jc w:val="center"/>
              <w:rPr>
                <w:rFonts w:ascii="Arial Narrow" w:hAnsi="Arial Narrow" w:cs="Arial"/>
                <w:noProof/>
                <w:color w:val="006100"/>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F147086" w14:textId="77777777" w:rsidR="004541E2" w:rsidRPr="00F33804" w:rsidRDefault="004541E2" w:rsidP="004541E2">
            <w:pPr>
              <w:jc w:val="center"/>
              <w:rPr>
                <w:rFonts w:ascii="Arial Narrow" w:hAnsi="Arial Narrow" w:cs="Arial"/>
                <w:noProof/>
                <w:color w:val="006100"/>
                <w:sz w:val="20"/>
                <w:szCs w:val="20"/>
              </w:rPr>
            </w:pP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E2D9F92"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1.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74F642E"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BC2FEC5" w14:textId="77777777" w:rsidR="004541E2" w:rsidRPr="005D68A0" w:rsidRDefault="004541E2" w:rsidP="004541E2">
            <w:pPr>
              <w:rPr>
                <w:rFonts w:ascii="Arial Narrow" w:hAnsi="Arial Narrow" w:cs="Arial"/>
                <w:noProof/>
                <w:color w:val="006100"/>
                <w:sz w:val="20"/>
                <w:szCs w:val="20"/>
              </w:rPr>
            </w:pPr>
            <w:r>
              <w:rPr>
                <w:rFonts w:ascii="Arial Narrow" w:hAnsi="Arial Narrow"/>
                <w:noProof/>
                <w:color w:val="006100"/>
                <w:sz w:val="20"/>
              </w:rPr>
              <w:t>Esmaste õigusaktide ja teiseste õigusaktide allikate jõustumine, et võimaldada:</w:t>
            </w:r>
          </w:p>
          <w:p w14:paraId="72B49F09" w14:textId="77777777" w:rsidR="004541E2" w:rsidRPr="005D68A0" w:rsidRDefault="004541E2" w:rsidP="004541E2">
            <w:pPr>
              <w:pStyle w:val="ListParagraph"/>
              <w:numPr>
                <w:ilvl w:val="0"/>
                <w:numId w:val="111"/>
              </w:numPr>
              <w:ind w:left="304" w:hanging="142"/>
              <w:jc w:val="left"/>
              <w:rPr>
                <w:rFonts w:ascii="Arial Narrow" w:hAnsi="Arial Narrow" w:cs="Arial"/>
                <w:noProof/>
                <w:color w:val="006100"/>
                <w:sz w:val="20"/>
                <w:szCs w:val="20"/>
              </w:rPr>
            </w:pPr>
            <w:r>
              <w:rPr>
                <w:rFonts w:ascii="Arial Narrow" w:hAnsi="Arial Narrow"/>
                <w:noProof/>
                <w:color w:val="006100"/>
                <w:sz w:val="20"/>
              </w:rPr>
              <w:t>Katsebüroode tugevdamine, sealhulgas stiimulite abil, et meelitada ligi ja hoida töötajaid, kes on tööle võetud riikliku taaste- ja vastupidavuskava värbamiskava alusel;</w:t>
            </w:r>
          </w:p>
          <w:p w14:paraId="16460373" w14:textId="1635277A" w:rsidR="004541E2" w:rsidRPr="005D68A0" w:rsidRDefault="004541E2" w:rsidP="004541E2">
            <w:pPr>
              <w:pStyle w:val="ListParagraph"/>
              <w:numPr>
                <w:ilvl w:val="0"/>
                <w:numId w:val="111"/>
              </w:numPr>
              <w:ind w:left="304" w:hanging="142"/>
              <w:jc w:val="left"/>
              <w:rPr>
                <w:rFonts w:ascii="Arial Narrow" w:hAnsi="Arial Narrow" w:cs="Arial"/>
                <w:noProof/>
                <w:color w:val="006100"/>
                <w:sz w:val="20"/>
                <w:szCs w:val="20"/>
              </w:rPr>
            </w:pPr>
            <w:r>
              <w:rPr>
                <w:rFonts w:ascii="Arial Narrow" w:hAnsi="Arial Narrow"/>
                <w:noProof/>
                <w:color w:val="006100"/>
                <w:sz w:val="20"/>
              </w:rPr>
              <w:t>Stiimulite loomine, et: 1) toetada vähem tõhusaid kohtuid tsiviilõiguse mahajäämuse vähendamisel; 2) premeerida kohtuasutusi, kes saavutavad konkreetsed iga-aastased eesmärgid vähendada pooleliolevate kohtuasjade arvu tsiviilõigussüsteemis.</w:t>
            </w:r>
          </w:p>
        </w:tc>
      </w:tr>
      <w:tr w:rsidR="00512838" w:rsidRPr="00D90835" w14:paraId="4F4EEF7D"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51F544"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M1C1-45</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03B1821" w14:textId="58C748A8"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Reformid 1.4. Tsiviilõiguse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6198F72"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DA0B9A5"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Tsiviilkohtumenetluse kestuse lühendamine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9FEAF61"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A9AFE2B"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Protsent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715A0F9"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100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3CD32EC"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60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2273FA1"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6C0F0A8"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2DD4FE6"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 xml:space="preserve">Vähendada korralduse tegemise aega 40 % kõigi tsiviil- ja kaubandusvaidluste puhul võrreldes 2019. aastaga. </w:t>
            </w:r>
          </w:p>
        </w:tc>
      </w:tr>
      <w:tr w:rsidR="00512838" w:rsidRPr="00D90835" w14:paraId="17A4CDC3"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2466C73"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M1C1-46</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2BB29AF" w14:textId="54553C78" w:rsidR="004541E2" w:rsidRPr="005D68A0" w:rsidRDefault="3BAD4E3A" w:rsidP="004541E2">
            <w:pPr>
              <w:jc w:val="center"/>
              <w:rPr>
                <w:rFonts w:ascii="Arial Narrow" w:hAnsi="Arial Narrow" w:cs="Arial"/>
                <w:noProof/>
                <w:color w:val="006100"/>
                <w:sz w:val="20"/>
                <w:szCs w:val="20"/>
              </w:rPr>
            </w:pPr>
            <w:r>
              <w:rPr>
                <w:rFonts w:ascii="Arial Narrow" w:hAnsi="Arial Narrow"/>
                <w:noProof/>
                <w:color w:val="006100"/>
                <w:sz w:val="20"/>
              </w:rPr>
              <w:t>Reform 1.5. Kriminaalõiguse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13AD100"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70D036"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Kriminaalmenetluse kestuse lühendamine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AF05E9E"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26A9350"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Protsent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A23B95"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100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3D47C9A"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75</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BCDFA3"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DDC32D3"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396B4DA"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 xml:space="preserve">Vähendada korralduse tegemise aega 25 % võrra kõigist kriminaalasjadest võrreldes 2019. aastaga </w:t>
            </w:r>
          </w:p>
        </w:tc>
      </w:tr>
      <w:tr w:rsidR="00512838" w:rsidRPr="00D90835" w14:paraId="1A5015A5"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767F05"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M1C1-47</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4F399BD"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Reform 1.4. Tsiviilõiguse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5DC6F7"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A6F3BB"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Tsiviil- ja üldkohtute kohtuasjade kuhjumise vähendamine (esimene aste)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E12C78"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473C1C6"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Protsent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DD9C06"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100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B77CE0"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10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93E9063"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361F45"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75A9D44"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 xml:space="preserve">Vähendada 90 % võrra nende pooleliolevate kohtuasjade arvu, mis olid algatatud ajavahemikul 1. jaanuarist 2017 kuni 31. detsembrini 2022 ja mis olid 31. detsembri 2022. aasta seisuga veel pooleli (1 197 786) tsiviilkohtutes (esimese astme kohus). </w:t>
            </w:r>
          </w:p>
        </w:tc>
      </w:tr>
      <w:tr w:rsidR="00512838" w:rsidRPr="00D90835" w14:paraId="16455437"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5B098D"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M1C1-48</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8A18F2"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Reform 1.4. Tsiviilõiguse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4EBFAFE"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C08BE82"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Tsiviilapellatsioonikohtu pooleliolevate kohtuasjade arvu vähendamine (teine aste)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6817213"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F01E525"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Protsent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C096A7"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100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560792E"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10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115C4EE"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30DBE3"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C70965D"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 xml:space="preserve">Vähendada 90 % võrra nende pooleliolevate kohtuasjade arvu, mis olid algatatud 1. jaanuarist 2018 kuni 31. detsembrini 2022 ja mis olid 31. detsembri 2022. aasta seisuga veel pooleli (179 306) tsiviilkohtutes (teine aste). </w:t>
            </w:r>
          </w:p>
        </w:tc>
      </w:tr>
      <w:tr w:rsidR="00512838" w:rsidRPr="00D90835" w14:paraId="51BB5ECE"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CBC8111"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M1C1-49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6B06721"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Investeering 1.8. Halduskohtute värbamismenetlused</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87143DE"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C455E2F"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Piirkondlike halduskohtute kohtuasjade kuhjumise vähendamine (esimene aste).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C3B164E"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D37106"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Protsent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A3BFFB"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100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08E0FD"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30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AC3DD4"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DCCA17E"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5C3073"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Vähendada 2019. aastal 70 % võrra piirkondlikes halduskohtutes (esimese astme halduskohus) pooleliolevate kohtuasjade arvu (109 029).</w:t>
            </w:r>
          </w:p>
        </w:tc>
      </w:tr>
      <w:tr w:rsidR="00512838" w:rsidRPr="00D90835" w14:paraId="2D4A18A5"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C30D310"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M1C1-50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81DD891"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Investeering 1.8. Halduskohtute värbamismenetlused</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C09FEA7"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67B2D8D"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Kuhjunud kohtuasjade arvu vähendamine riiginõukogus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E8F4EBE"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CCA4AB"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Protsent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7D5FF33"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100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AC2184"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30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18EA491"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4BF975"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5ADF2D7"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Vähendada 2019. aastal 70 % riiginõukogus (teine aste) pooleliolevate kohtuasjade arvu (24 010).</w:t>
            </w:r>
          </w:p>
        </w:tc>
      </w:tr>
      <w:tr w:rsidR="00512838" w:rsidRPr="00D90835" w14:paraId="741FEE88"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A03335"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M1C1-51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2D933C0"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Reform 1.9. Avaliku halduse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A308C4"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9433FF"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Itaalia taaste- ja vastupidavuskava juhtimist käsitlevate esmaste õigusaktide jõustumine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E9BB3F3"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Seaduse jõustumisele viitav õigusnorm</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65343ED"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3619BFC"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2A9F7ED"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D990FB9"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3FCF0C4"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2021</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9AD70C3"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Esmased õigusaktid käsitlevad vähemalt järgmist:</w:t>
            </w:r>
          </w:p>
          <w:p w14:paraId="5DCBAF59"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1) Itaalia taaste- ja vastupidavuskava projektide koordineerimine ja järelevalve kesksel tasandil;</w:t>
            </w:r>
          </w:p>
          <w:p w14:paraId="6A12C03F"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2) Itaalia taaste- ja vastupidavuskava koordineerimises, järelevalves ja rakendamises osalevate eri asutuste ja haldusasutuste pädevuste kindlaksmääramine ja eraldamine ning asjaomaste volituste heakskiitmine;</w:t>
            </w:r>
          </w:p>
          <w:p w14:paraId="6C6625B3"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3) rakendusprobleemide varajase avastamise süsteemi loomine;</w:t>
            </w:r>
          </w:p>
          <w:p w14:paraId="25C124B0"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4) jõustamismehhanismi eelnev määratlemine, et lahendada rakendamisega seotud probleeme ja vältida viivitusi, eelkõige seoses eri haldustasanditega;</w:t>
            </w:r>
          </w:p>
          <w:p w14:paraId="7DA933B3"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5) Itaalia taaste- ja vastupidavuskava koordineerimisele, järelevalvele ja rakendamisele pühendunud töötajate (arv ja eksperditeadmised) kindlaksmääramine kaasatud haldusasutustes;</w:t>
            </w:r>
          </w:p>
          <w:p w14:paraId="5F3149F8"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6) Itaalia taaste- ja vastupidavuskava rakendamisega tegelevatele ametiasutustele eelkõige kohalikul tasandil antava tehnilise abi määratlus, millega tagatakse haldussuutlikkuse suurendamine avalikus halduses;</w:t>
            </w:r>
          </w:p>
          <w:p w14:paraId="00EF9753"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7) „kiirmenetluste“ piiritlemine Itaalia taaste- ja vastupidavuskava rakendamiseks ning vahendite õigeaegseks kasutamiseks;</w:t>
            </w:r>
          </w:p>
          <w:p w14:paraId="028CF1AB"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8) Itaalia taaste- ja vastupidavuskava auditeerimis- ja kontrollikorraldus ning -menetlused.</w:t>
            </w:r>
          </w:p>
        </w:tc>
      </w:tr>
      <w:tr w:rsidR="00512838" w:rsidRPr="00D90835" w14:paraId="16D6A6D6"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80ED2B4"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M1C1-52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BB5EEED"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Reform 1.9. Avaliku halduse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D9BC207"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6F6EC4"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Itaalia taaste- ja vastupidavuskava rakendamise haldusmenetluste lihtsustamist käsitlevate esmaste õigusaktide jõustumine.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CF94872"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Seaduse jõustumisele viitav õigusnorm</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25CFEF9"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AE942F"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877C77B"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62CB5FD"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C4E91DD"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2021</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D3E94CA"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Kõnealused meetmed hõlmavad:</w:t>
            </w:r>
          </w:p>
          <w:p w14:paraId="24DEEA7E"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1) kõrvaldada kriitilised kitsaskohad, mis on seotud eelkõige riikliku ja piirkondliku keskkonnamõju hindamisega, uute jäätmete ringlussevõtu jaamade lubamisega, taastuvenergia ja hoonete energiatõhususe saavutamiseks vajalike lubade andmise menetlustega (nn Super Bonus) ning linnade taaselustamisega. Erimeetmeid võetakse menetluste lihtsustamiseks Conferenza di servizi raames (ametlik kokkulepe kahe või enama haldusasutuse vahel).</w:t>
            </w:r>
          </w:p>
        </w:tc>
      </w:tr>
      <w:tr w:rsidR="00512838" w:rsidRPr="00D90835" w14:paraId="498A57D2"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3CB2906"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M1C1-53</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3F19761"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Investeering 1.9. Anda tehnilist abi ja tugevdada suutlikkust Itaalia taaste- ja vastupidavuskava rakendamiseks</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495A07"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70F86B4"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Esmase õigusakti jõustumine, et anda tehnilist abi ja tugevdada suutlikkust Itaalia taaste- ja vastupidavuskava rakendamiseks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9AF57CB"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Seaduse jõustumisele viitav õigusnorm</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6C7ED9F"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EF3D5BC"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B5B797D"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50BBB3"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3DB5A4"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2021</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56E38E7"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Meetmed hõlmavad sätet, mis võimaldab võtta ajutiselt tööle:</w:t>
            </w:r>
          </w:p>
          <w:p w14:paraId="2089FE71"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i) 2 800 tehnilist näitajat lõunapoolsete riikide avaliku halduse tugevdamiseks, mida rahastatakse riigieelarvest;</w:t>
            </w:r>
          </w:p>
          <w:p w14:paraId="68F2E6BA"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ii) 1 000 eksperdist koosnev reserv, mis lähetatakse kolmeks aastaks, et toetada haldusasutusi uute tehnilise abi menetluste haldamisel.</w:t>
            </w:r>
          </w:p>
        </w:tc>
      </w:tr>
      <w:tr w:rsidR="00512838" w:rsidRPr="00D90835" w14:paraId="34DA37D8"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57DC7E"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M1C1-54</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4B2B95F"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Investeering 1.9. Anda tehnilist abi ja tugevdada suutlikkust Itaalia taaste- ja vastupidavuskava rakendamiseks</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77E450E"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22C183A"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Lõpule viidud ekspertide värbamine Itaalia taaste- ja vastupidavuskava rakendamiseks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AA69B9"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A6B367"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Arv</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3D3E0D"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A824514"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1 000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2A0C743"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D093B9E"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2021</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40F3E9"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Viia lõpule värbamismenetlused 1 000 eksperdist koosnevas reservis, kes lähetatakse kolmeks aastaks, et toetada haldusasutusi uute menetluste haldamisel tehnilise abi andmiseks.</w:t>
            </w:r>
          </w:p>
        </w:tc>
      </w:tr>
      <w:tr w:rsidR="00512838" w:rsidRPr="00D90835" w14:paraId="1189A05D"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29D193C"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M1C1-55</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FDDDC60"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Reform 1.9. Avaliku halduse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5C36F4"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B4ED95"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Itaalia taaste- ja vastupidavuskava suhtes kohaldatava metoodika laiendamine riigieelarvele, et suurendada investeeringute kasutamist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0B36C9"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 xml:space="preserve">Seaduse säte, mis viitab metoodika laiendamise jõustumisele </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E4185B4"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2B30536"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8DBB2A5"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F614F77"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33254CF"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2021</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CEC5519"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Luua taaste- ja vastupidavusrahastuga sarnane lihtsustatud eesmärkide ja sihtide süsteem projektide kavandamiseks, elluviimiseks ja rahastamiseks täiendava investeerimisfondi raames (30,5 miljardit eurot).</w:t>
            </w:r>
          </w:p>
        </w:tc>
      </w:tr>
      <w:tr w:rsidR="00512838" w:rsidRPr="00D90835" w14:paraId="1AA96CAE"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7D9C20F"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M1C1-56</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7F6B515"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Reform 1.9. Avaliku halduse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E8DB53B"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D6E60AA"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Avaliku sektori tööhõivet reformimist võimaldavate õigusaktide jõustumine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7F377E"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Seaduse jõustumisele viitav õigusnorm</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80BF88"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3408777"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D99CFE0"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0C89094"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95F4D31"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2022</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82118F6"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Volitust andvad õigusaktid sisaldavad järgmisi meetmeid:</w:t>
            </w:r>
          </w:p>
          <w:p w14:paraId="48C745C5"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määratleda avalikule sektorile omased ametiprofiilid, et meelitada ligi vajalikke pädevusi ja oskusi;</w:t>
            </w:r>
          </w:p>
          <w:p w14:paraId="1FCC7D72"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luua ühtne värbamisplatvorm, et tsentraliseerida kõigi keskvalitsuste värbamismenetlused, kohustudes laiendama platvormi kasutamist ka kohalikele omavalitsustele;</w:t>
            </w:r>
          </w:p>
          <w:p w14:paraId="02F540F4"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 värbamisprotsessi reform, et: i) üleminek üksnes teadmistel põhinevalt süsteemilt peamiselt pädevustel ja asjakohastel võimetel põhinevale süsteemile; ii) hinnata riigiteenistuja ametikohal töötamise pädevust; iii) eristada värbamisprotsesse alustavate töötajate värbamisel, mis peab põhinema üksnes pädevusel, ja erialaste ametikohtade täitmisel, mis peaks ühendama pädevused asjakohase töökogemusega ja viima karjäärile juurdepääsuni kõrgemal tasandil. Avaliku halduse ministeerium tagab uue protsessi järjepideva rakendamise kõigis haldusasutustes;</w:t>
            </w:r>
          </w:p>
          <w:p w14:paraId="15C98F82"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 kõrgema avaliku teenistuse reform, et ühtlustada ametisse nimetamise menetlused avalikus halduses, määratledes ametiprofiilid ja hinnates nende tulemuslikkust;</w:t>
            </w:r>
          </w:p>
          <w:p w14:paraId="709330EA"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 tugevdada seost töötajate elukestva õppe ja koolitusvõimaluste ning osalemise stiimulite vahel, näiteks nähes ette premeerimismehhanismid või konkreetsed karjäärivõimalused, pöörates erilist tähelepanu kahesuunalistele üleminekutele;</w:t>
            </w:r>
          </w:p>
          <w:p w14:paraId="59C864D0"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 avaliku halduse eetikapõhimõtete määratlemine või ajakohastamine selgete eeskirjade, tegevusjuhendite ja selleteemaliste koolitusmoodulite abil;</w:t>
            </w:r>
          </w:p>
          <w:p w14:paraId="77D0574D"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 tugevdada pühendumist soolisele tasakaalule;</w:t>
            </w:r>
          </w:p>
          <w:p w14:paraId="0EB219B7"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 uuendada vertikaalset liikuvust reguleerivat raamistikku, reformides karjäärivõimalusi keskastme juhtide (quadri) ametikohtade loomiseks ja neile juurdepääsuks ning juurdepääsu kõrgematele tsiviilvaldkonna ametikohtadele (dirigenti di prima e seconda fascia) administratsioonis. See hõlmab tulemuslikkuse hindamise süsteemi reformi ning karjääri edenemise ja tulemuslikkuse hindamise vahelise seose tugevdamist;</w:t>
            </w:r>
          </w:p>
          <w:p w14:paraId="619134F4" w14:textId="77777777" w:rsidR="004541E2" w:rsidRPr="005D68A0" w:rsidRDefault="004541E2" w:rsidP="004541E2">
            <w:pPr>
              <w:rPr>
                <w:rFonts w:ascii="Arial Narrow" w:hAnsi="Arial Narrow" w:cs="Arial"/>
                <w:noProof/>
                <w:color w:val="006100"/>
                <w:sz w:val="20"/>
                <w:szCs w:val="20"/>
              </w:rPr>
            </w:pPr>
            <w:r>
              <w:rPr>
                <w:rFonts w:ascii="Arial Narrow" w:hAnsi="Arial Narrow"/>
                <w:noProof/>
                <w:color w:val="006100"/>
                <w:sz w:val="20"/>
              </w:rPr>
              <w:t>– vaadata läbi horisontaalset liikuvust käsitlev õigusraamistik, et saavutada haldusasutustes tõhus tööturg, sealhulgas a) luua läbipaistev ühtne reklaamisüsteem kõigile vabadele ametikohtadele kesk- ja kohalikes haldusasutustes, b) võimalus kandideerida mis tahes vabale ametikohale kus tahes, c) kaotada päritoluriigi ametiasutuste väljastatud liikuvuse luba ja d) kehtestada olulised piirangud selliste alternatiivsete liikuvusvahendite kasutamisele, mis ei too kaasa üleviimisi (st comandi ja Distacchi), et muuta need range ajapiiranguga ja erandlikeks.</w:t>
            </w:r>
          </w:p>
        </w:tc>
      </w:tr>
      <w:tr w:rsidR="00512838" w:rsidRPr="00D90835" w14:paraId="4CB8DEE2"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BB023C"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M1C1-57</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51AC62"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Reform 1.9. Avaliku halduse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54F1DB8"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733E7D3"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Uue reguleeriva raamistiku rakendamisele suunatud lihtsustamisreformiga seotud haldusmenetluste jõustumine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D51442B"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Teisese õiguse jõustumisele viitav õigusnorm</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1B12080"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338CA81"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4BDA84F"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EE9253"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D7059C3"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2022</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A305EFD"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Jõustuvad kõik seonduvad delegeeritud õigusaktid, ministeeriumide määrused, teisesed õigusaktid ja kõik muud määrused, mis on vajalikud lihtsustamise tõhusaks rakendamiseks, sealhulgas kokkulepped piirkondadega ainu- ja samaaegse piirkondliku pädevuse korral.</w:t>
            </w:r>
          </w:p>
        </w:tc>
      </w:tr>
      <w:tr w:rsidR="00512838" w:rsidRPr="00D90835" w14:paraId="651740F3"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4B6F2C"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M1C1-58</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F4DA7A"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Reform 1.9. Avaliku halduse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6E5EF4"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3D67F3"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Avaliku sektori tööhõive reformi käsitlevate õigusaktide jõustumine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EC97652"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Säte, mis viitab avaliku sektori tööhõive reformi käsitlevate õigusaktide jõustumisele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CD059A"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5CB6B1"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CD984A8"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FC3117F"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8327B4"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2023</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796F3E4"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Jõustuvad kõik seonduvad delegeeritud õigusaktid, ministeeriumide määrused, teisesed õigusaktid ja kõik muud määrused, mis on vajalikud reformi tõhusaks rakendamiseks.</w:t>
            </w:r>
          </w:p>
        </w:tc>
      </w:tr>
      <w:tr w:rsidR="00512838" w:rsidRPr="00D90835" w14:paraId="7D3935BE"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823A349"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M1C1-59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A3C0EC6"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Reform 1.9. Avaliku halduse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0F80F3"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6D2948A"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Strateegilise personalijuhtimise jõustumine avalikus halduses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79936B0"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Säte, mis viitab strateegilise personalijuhtimise sisseviimist käsitleva õigusakti jõustumisele avalikus halduses Poolaastaaruanne peamiste tulemusnäitajate kohta</w:t>
            </w:r>
          </w:p>
          <w:p w14:paraId="4BD405DB" w14:textId="77777777" w:rsidR="004541E2" w:rsidRPr="00F33804" w:rsidRDefault="004541E2" w:rsidP="004541E2">
            <w:pPr>
              <w:jc w:val="center"/>
              <w:rPr>
                <w:rFonts w:ascii="Arial Narrow" w:hAnsi="Arial Narrow" w:cs="Arial"/>
                <w:noProof/>
                <w:color w:val="0061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F18F95"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1E059F"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CA6AF8"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B768D80"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E1F466F"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2023</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DDEF7C" w14:textId="77777777" w:rsidR="004541E2" w:rsidRPr="005D68A0" w:rsidRDefault="004541E2" w:rsidP="004541E2">
            <w:pPr>
              <w:spacing w:after="120"/>
              <w:rPr>
                <w:rFonts w:ascii="Arial Narrow" w:hAnsi="Arial Narrow" w:cs="Arial"/>
                <w:noProof/>
                <w:color w:val="006100"/>
                <w:sz w:val="20"/>
                <w:szCs w:val="20"/>
              </w:rPr>
            </w:pPr>
            <w:r>
              <w:rPr>
                <w:rFonts w:ascii="Arial Narrow" w:hAnsi="Arial Narrow"/>
                <w:noProof/>
                <w:color w:val="006100"/>
                <w:sz w:val="20"/>
              </w:rPr>
              <w:t>Õigusaktid ja delegeeritud õigusaktid strateegilise personalijuhtimise sisseseadmiseks avalikus halduses hõlmavad järgmist: personalistrateegia kavade koostamine integreeritud tegevus- ja korralduskava (PIAO) raames töölevõtmiseks, karjääri kujundamiseks ja koolituseks kõigi kesk- ja piirkondlike haldusasutuste jaoks, mida toetab oskuste ja profiilidega integreeritud andmebaas; luua keskne rakendusüksus, kes koordineeriks ja toetaks inimressursside planeerimise süsteemi. Teises etapis laiendatakse personalistrateegiaid suurtele omavalitsustele, samas kui väikesed ja keskmise suurusega omavalitsused on konkreetsete suutlikkuse suurendamise investeeringute objektiks.</w:t>
            </w:r>
          </w:p>
        </w:tc>
      </w:tr>
      <w:tr w:rsidR="00512838" w:rsidRPr="00D90835" w14:paraId="6F1DA9F2"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6CFC817" w14:textId="59241711"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M1C1-59BIS</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C3BDCD1"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Reform 1.9. Avaliku halduse reform</w:t>
            </w:r>
          </w:p>
          <w:p w14:paraId="5F931C2F" w14:textId="77777777" w:rsidR="004541E2" w:rsidRPr="005D68A0" w:rsidRDefault="004541E2" w:rsidP="004541E2">
            <w:pPr>
              <w:jc w:val="center"/>
              <w:rPr>
                <w:rFonts w:ascii="Arial Narrow" w:hAnsi="Arial Narrow" w:cs="Arial"/>
                <w:noProof/>
                <w:color w:val="006100"/>
                <w:sz w:val="20"/>
                <w:szCs w:val="20"/>
                <w:lang w:val="en-GB"/>
              </w:rPr>
            </w:pP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AD243F"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2545150"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Strateegilise personalijuhtimise rakendamine avalikus halduses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7C04E65"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Esimese poolaastaaruande avaldamine peamiste tulemusnäitajate kohta.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8C3490"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C930CE"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624D63"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B3FC73A"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8CAC400" w14:textId="77777777" w:rsidR="004541E2" w:rsidRPr="005D68A0" w:rsidRDefault="004541E2" w:rsidP="004541E2">
            <w:pPr>
              <w:jc w:val="center"/>
              <w:rPr>
                <w:rFonts w:ascii="Arial Narrow" w:hAnsi="Arial Narrow" w:cs="Arial"/>
                <w:noProof/>
                <w:color w:val="006100"/>
                <w:sz w:val="20"/>
                <w:szCs w:val="20"/>
              </w:rPr>
            </w:pPr>
            <w:r>
              <w:rPr>
                <w:rFonts w:ascii="Arial Narrow" w:hAnsi="Arial Narrow"/>
                <w:noProof/>
                <w:color w:val="006100"/>
                <w:sz w:val="20"/>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CE1C3A" w14:textId="77777777" w:rsidR="004541E2" w:rsidRPr="005D68A0" w:rsidRDefault="004541E2" w:rsidP="004541E2">
            <w:pPr>
              <w:rPr>
                <w:rFonts w:ascii="Arial Narrow" w:hAnsi="Arial Narrow" w:cs="Arial"/>
                <w:noProof/>
                <w:color w:val="006100"/>
                <w:sz w:val="20"/>
                <w:szCs w:val="20"/>
              </w:rPr>
            </w:pPr>
            <w:r>
              <w:rPr>
                <w:rFonts w:ascii="Arial Narrow" w:hAnsi="Arial Narrow"/>
                <w:noProof/>
                <w:color w:val="006100"/>
                <w:sz w:val="20"/>
              </w:rPr>
              <w:t>Avaldatakse esimene poolaastaaruanne peamiste tulemusnäitajate kohta.</w:t>
            </w:r>
          </w:p>
        </w:tc>
      </w:tr>
      <w:tr w:rsidR="00A031C9" w:rsidRPr="00D90835" w14:paraId="4B111CB0"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298D652" w14:textId="278A64D4" w:rsidR="00A031C9" w:rsidRPr="005D68A0" w:rsidRDefault="00A031C9" w:rsidP="00A031C9">
            <w:pPr>
              <w:jc w:val="center"/>
              <w:rPr>
                <w:rFonts w:ascii="Arial Narrow" w:hAnsi="Arial Narrow"/>
                <w:noProof/>
                <w:color w:val="006100"/>
                <w:sz w:val="20"/>
              </w:rPr>
            </w:pPr>
            <w:r>
              <w:rPr>
                <w:rFonts w:ascii="Arial Narrow" w:hAnsi="Arial Narrow"/>
                <w:noProof/>
                <w:color w:val="006100"/>
                <w:sz w:val="20"/>
              </w:rPr>
              <w:t>M1C1–59ter</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79022F8" w14:textId="77777777" w:rsidR="00A031C9" w:rsidRPr="00A031C9" w:rsidRDefault="00A031C9" w:rsidP="00A031C9">
            <w:pPr>
              <w:jc w:val="center"/>
              <w:rPr>
                <w:rFonts w:ascii="Arial Narrow" w:hAnsi="Arial Narrow"/>
                <w:noProof/>
                <w:color w:val="006100"/>
                <w:sz w:val="20"/>
              </w:rPr>
            </w:pPr>
            <w:r>
              <w:rPr>
                <w:rFonts w:ascii="Arial Narrow" w:hAnsi="Arial Narrow"/>
                <w:noProof/>
                <w:color w:val="006100"/>
                <w:sz w:val="20"/>
              </w:rPr>
              <w:t>Reform 1.9. Avaliku halduse reform</w:t>
            </w:r>
          </w:p>
          <w:p w14:paraId="1C62E501" w14:textId="77777777" w:rsidR="00A031C9" w:rsidRPr="005D68A0" w:rsidRDefault="00A031C9" w:rsidP="00A031C9">
            <w:pPr>
              <w:jc w:val="center"/>
              <w:rPr>
                <w:rFonts w:ascii="Arial Narrow" w:hAnsi="Arial Narrow"/>
                <w:noProof/>
                <w:color w:val="006100"/>
                <w:sz w:val="20"/>
                <w:lang w:val="en-GB"/>
              </w:rPr>
            </w:pP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8F80958" w14:textId="4D4C1690" w:rsidR="00A031C9" w:rsidRPr="005D68A0" w:rsidRDefault="00A031C9" w:rsidP="00A031C9">
            <w:pPr>
              <w:jc w:val="center"/>
              <w:rPr>
                <w:rFonts w:ascii="Arial Narrow" w:hAnsi="Arial Narrow"/>
                <w:noProof/>
                <w:color w:val="006100"/>
                <w:sz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8B2E5C" w14:textId="7B0A7D15" w:rsidR="00A031C9" w:rsidRPr="005D68A0" w:rsidRDefault="00A031C9" w:rsidP="00A031C9">
            <w:pPr>
              <w:jc w:val="center"/>
              <w:rPr>
                <w:rFonts w:ascii="Arial Narrow" w:hAnsi="Arial Narrow"/>
                <w:noProof/>
                <w:color w:val="006100"/>
                <w:sz w:val="20"/>
              </w:rPr>
            </w:pPr>
            <w:r>
              <w:rPr>
                <w:rFonts w:ascii="Arial Narrow" w:hAnsi="Arial Narrow"/>
                <w:noProof/>
                <w:color w:val="006100"/>
                <w:sz w:val="20"/>
              </w:rPr>
              <w:t>Strateegilise personalijuhtimise rakendamine avalikus halduses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C7E84DF" w14:textId="5C6D889C" w:rsidR="00A031C9" w:rsidRPr="005D68A0" w:rsidRDefault="00A031C9" w:rsidP="00A031C9">
            <w:pPr>
              <w:jc w:val="center"/>
              <w:rPr>
                <w:rFonts w:ascii="Arial Narrow" w:hAnsi="Arial Narrow"/>
                <w:noProof/>
                <w:color w:val="006100"/>
                <w:sz w:val="20"/>
              </w:rPr>
            </w:pPr>
            <w:r>
              <w:rPr>
                <w:rFonts w:ascii="Arial Narrow" w:hAnsi="Arial Narrow"/>
                <w:noProof/>
                <w:color w:val="006100"/>
                <w:sz w:val="20"/>
              </w:rPr>
              <w:t xml:space="preserve">Kättesaadav „HR-vahend“, mis on koostalitlusvõimeline INPA ja Syllabusiga ning integreeritud PIAO andmebaasiga, ning personali strateegiliste kavade kontrollimine. </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BC25D1" w14:textId="711EBDC8" w:rsidR="00A031C9" w:rsidRPr="005D68A0" w:rsidRDefault="00A031C9" w:rsidP="00A031C9">
            <w:pPr>
              <w:jc w:val="center"/>
              <w:rPr>
                <w:rFonts w:ascii="Arial Narrow" w:hAnsi="Arial Narrow"/>
                <w:noProof/>
                <w:color w:val="006100"/>
                <w:sz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903B5B7" w14:textId="43639E30" w:rsidR="00A031C9" w:rsidRPr="005D68A0" w:rsidRDefault="00A031C9" w:rsidP="00A031C9">
            <w:pPr>
              <w:jc w:val="center"/>
              <w:rPr>
                <w:rFonts w:ascii="Arial Narrow" w:hAnsi="Arial Narrow"/>
                <w:noProof/>
                <w:color w:val="006100"/>
                <w:sz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E5F11CF" w14:textId="5FB86D14" w:rsidR="00A031C9" w:rsidRPr="005D68A0" w:rsidRDefault="00A031C9" w:rsidP="00A031C9">
            <w:pPr>
              <w:jc w:val="center"/>
              <w:rPr>
                <w:rFonts w:ascii="Arial Narrow" w:hAnsi="Arial Narrow"/>
                <w:noProof/>
                <w:color w:val="006100"/>
                <w:sz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3B145C" w14:textId="413D89B5" w:rsidR="00A031C9" w:rsidRPr="005D68A0" w:rsidRDefault="00A031C9" w:rsidP="00A031C9">
            <w:pPr>
              <w:jc w:val="center"/>
              <w:rPr>
                <w:rFonts w:ascii="Arial Narrow" w:hAnsi="Arial Narrow"/>
                <w:noProof/>
                <w:color w:val="006100"/>
                <w:sz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588BEF2" w14:textId="70D8BEBD" w:rsidR="00A031C9" w:rsidRPr="005D68A0" w:rsidRDefault="00A031C9" w:rsidP="00A031C9">
            <w:pPr>
              <w:jc w:val="center"/>
              <w:rPr>
                <w:rFonts w:ascii="Arial Narrow" w:hAnsi="Arial Narrow"/>
                <w:noProof/>
                <w:color w:val="006100"/>
                <w:sz w:val="20"/>
              </w:rPr>
            </w:pPr>
            <w:r>
              <w:rPr>
                <w:rFonts w:ascii="Arial Narrow" w:hAnsi="Arial Narrow"/>
                <w:noProof/>
                <w:color w:val="006100"/>
                <w:sz w:val="20"/>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1A5EA2" w14:textId="77777777" w:rsidR="00A031C9" w:rsidRPr="00A031C9" w:rsidRDefault="00A031C9" w:rsidP="00A031C9">
            <w:pPr>
              <w:spacing w:before="120" w:after="160" w:line="259" w:lineRule="auto"/>
              <w:contextualSpacing/>
              <w:rPr>
                <w:rFonts w:ascii="Arial Narrow" w:hAnsi="Arial Narrow"/>
                <w:noProof/>
                <w:color w:val="006100"/>
                <w:sz w:val="20"/>
              </w:rPr>
            </w:pPr>
            <w:r>
              <w:rPr>
                <w:rFonts w:ascii="Arial Narrow" w:hAnsi="Arial Narrow"/>
                <w:noProof/>
                <w:color w:val="006100"/>
                <w:sz w:val="20"/>
              </w:rPr>
              <w:t>Integreeritud andmebaas („HRM toolkit“) on kättesaadav kõigile rohkem kui 50 töötajaga haldusasutustele, kes peavad seaduse kohaselt võtma vastu PIAO. „HRM-vahend“ on koostalitlusvõimeline värbamisplatvormiga (INPA) ja platvormiga „Syllabus“. Integreeritakse „HRM-vahend“ ja PIAO andmebaas.</w:t>
            </w:r>
          </w:p>
          <w:p w14:paraId="7CAD3DFF" w14:textId="77777777" w:rsidR="00A031C9" w:rsidRPr="00F33804" w:rsidRDefault="00A031C9" w:rsidP="00A031C9">
            <w:pPr>
              <w:spacing w:before="120" w:after="160" w:line="259" w:lineRule="auto"/>
              <w:contextualSpacing/>
              <w:rPr>
                <w:rFonts w:ascii="Arial Narrow" w:hAnsi="Arial Narrow"/>
                <w:noProof/>
                <w:color w:val="006100"/>
                <w:sz w:val="20"/>
              </w:rPr>
            </w:pPr>
          </w:p>
          <w:p w14:paraId="1A124C98" w14:textId="1D3054FA" w:rsidR="00A031C9" w:rsidRPr="005D68A0" w:rsidRDefault="00A031C9" w:rsidP="00A031C9">
            <w:pPr>
              <w:rPr>
                <w:rFonts w:ascii="Arial Narrow" w:hAnsi="Arial Narrow"/>
                <w:noProof/>
                <w:color w:val="006100"/>
                <w:sz w:val="20"/>
              </w:rPr>
            </w:pPr>
            <w:r>
              <w:rPr>
                <w:rFonts w:ascii="Arial Narrow" w:hAnsi="Arial Narrow"/>
                <w:noProof/>
                <w:color w:val="006100"/>
                <w:sz w:val="20"/>
              </w:rPr>
              <w:t>Avaliku halduse ministeerium kontrollib vähemalt valimit riiklikest ja piirkondlikest haldusasutustest, kus on üle 50 töötaja, kes võtavad vastu PIAOd, vastavate personalivaldkonna strateegiakavade sisu ja võtab vajalikul määral järelmeetmeid.</w:t>
            </w:r>
          </w:p>
        </w:tc>
      </w:tr>
      <w:tr w:rsidR="00A031C9" w:rsidRPr="00D90835" w14:paraId="03C5EAFA"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00D90B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M1C1-60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3749FC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1.9. Avaliku halduse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C2382F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6340F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200 kodanikke ja ettevõtjaid mõjutava kriitilise tähtsusega menetluse lihtsustamise ja/või digiteerimise täielik rakendamine (sealhulgas kõik delegeeritud õigusaktid)</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C0801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Teisesed õigusaktid on jõustunud</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6FF31A6"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7207CB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45DDA1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F847B3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8771B0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C540081" w14:textId="77777777" w:rsidR="00A031C9" w:rsidRPr="005D68A0" w:rsidRDefault="00A031C9" w:rsidP="00A031C9">
            <w:pPr>
              <w:spacing w:before="120" w:after="160" w:line="259" w:lineRule="auto"/>
              <w:contextualSpacing/>
              <w:rPr>
                <w:rFonts w:ascii="Arial Narrow" w:hAnsi="Arial Narrow" w:cs="Arial"/>
                <w:noProof/>
                <w:color w:val="006100"/>
                <w:sz w:val="20"/>
                <w:szCs w:val="20"/>
              </w:rPr>
            </w:pPr>
            <w:r>
              <w:rPr>
                <w:rFonts w:ascii="Arial Narrow" w:hAnsi="Arial Narrow"/>
                <w:noProof/>
                <w:color w:val="006100"/>
                <w:sz w:val="20"/>
              </w:rPr>
              <w:t>Lihtsustamist vajavad prioriteetsed valdkonnad on:</w:t>
            </w:r>
          </w:p>
          <w:p w14:paraId="7DA43A76" w14:textId="77777777" w:rsidR="00A031C9" w:rsidRPr="005D68A0" w:rsidRDefault="00A031C9" w:rsidP="00A031C9">
            <w:pPr>
              <w:pStyle w:val="ListParagraph"/>
              <w:numPr>
                <w:ilvl w:val="0"/>
                <w:numId w:val="127"/>
              </w:numPr>
              <w:spacing w:before="0" w:after="0" w:line="259" w:lineRule="auto"/>
              <w:ind w:left="399"/>
              <w:jc w:val="left"/>
              <w:rPr>
                <w:rFonts w:ascii="Arial Narrow" w:hAnsi="Arial Narrow" w:cs="Arial"/>
                <w:noProof/>
                <w:color w:val="006100"/>
                <w:sz w:val="20"/>
                <w:szCs w:val="20"/>
              </w:rPr>
            </w:pPr>
            <w:r>
              <w:rPr>
                <w:rFonts w:ascii="Arial Narrow" w:hAnsi="Arial Narrow"/>
                <w:noProof/>
                <w:color w:val="006100"/>
                <w:sz w:val="20"/>
              </w:rPr>
              <w:t xml:space="preserve">Keskkonnaload, taastuvad energiaallikad ja keskkonnahoidlik majandus </w:t>
            </w:r>
          </w:p>
          <w:p w14:paraId="2063CCC3" w14:textId="77777777" w:rsidR="00A031C9" w:rsidRPr="005D68A0" w:rsidRDefault="00A031C9" w:rsidP="00A031C9">
            <w:pPr>
              <w:pStyle w:val="ListParagraph"/>
              <w:numPr>
                <w:ilvl w:val="0"/>
                <w:numId w:val="126"/>
              </w:numPr>
              <w:spacing w:before="0" w:after="0" w:line="259" w:lineRule="auto"/>
              <w:ind w:left="399"/>
              <w:jc w:val="left"/>
              <w:rPr>
                <w:rFonts w:ascii="Arial Narrow" w:hAnsi="Arial Narrow" w:cs="Arial"/>
                <w:noProof/>
                <w:color w:val="006100"/>
                <w:sz w:val="20"/>
                <w:szCs w:val="20"/>
              </w:rPr>
            </w:pPr>
            <w:r>
              <w:rPr>
                <w:rFonts w:ascii="Arial Narrow" w:hAnsi="Arial Narrow"/>
                <w:noProof/>
                <w:color w:val="006100"/>
                <w:sz w:val="20"/>
              </w:rPr>
              <w:t>Ehitusload ja linnaehituse ümberkvalifitseerimine</w:t>
            </w:r>
          </w:p>
          <w:p w14:paraId="2FB30D1D" w14:textId="77777777" w:rsidR="00A031C9" w:rsidRPr="005D68A0" w:rsidRDefault="00A031C9" w:rsidP="00A031C9">
            <w:pPr>
              <w:pStyle w:val="ListParagraph"/>
              <w:numPr>
                <w:ilvl w:val="0"/>
                <w:numId w:val="125"/>
              </w:numPr>
              <w:spacing w:before="0" w:after="0" w:line="259" w:lineRule="auto"/>
              <w:ind w:left="399"/>
              <w:jc w:val="left"/>
              <w:rPr>
                <w:rFonts w:ascii="Arial Narrow" w:hAnsi="Arial Narrow" w:cs="Arial"/>
                <w:noProof/>
                <w:color w:val="006100"/>
                <w:sz w:val="20"/>
                <w:szCs w:val="20"/>
              </w:rPr>
            </w:pPr>
            <w:r>
              <w:rPr>
                <w:rFonts w:ascii="Arial Narrow" w:hAnsi="Arial Narrow"/>
                <w:noProof/>
                <w:color w:val="006100"/>
                <w:sz w:val="20"/>
              </w:rPr>
              <w:t>Digitaalsed taristud</w:t>
            </w:r>
          </w:p>
          <w:p w14:paraId="030AD4D3" w14:textId="77777777" w:rsidR="00A031C9" w:rsidRPr="005D68A0" w:rsidRDefault="00A031C9" w:rsidP="00A031C9">
            <w:pPr>
              <w:pStyle w:val="ListParagraph"/>
              <w:numPr>
                <w:ilvl w:val="0"/>
                <w:numId w:val="125"/>
              </w:numPr>
              <w:spacing w:before="0" w:after="0" w:line="259" w:lineRule="auto"/>
              <w:ind w:left="399"/>
              <w:jc w:val="left"/>
              <w:rPr>
                <w:rFonts w:ascii="Arial Narrow" w:hAnsi="Arial Narrow" w:cs="Arial"/>
                <w:noProof/>
                <w:color w:val="006100"/>
                <w:sz w:val="20"/>
                <w:szCs w:val="20"/>
              </w:rPr>
            </w:pPr>
            <w:r>
              <w:rPr>
                <w:rFonts w:ascii="Arial Narrow" w:hAnsi="Arial Narrow"/>
                <w:noProof/>
                <w:color w:val="006100"/>
                <w:sz w:val="20"/>
              </w:rPr>
              <w:t>Ärimenetlused</w:t>
            </w:r>
          </w:p>
          <w:p w14:paraId="51935A79" w14:textId="77777777" w:rsidR="00A031C9" w:rsidRPr="005D68A0" w:rsidRDefault="00A031C9" w:rsidP="00A031C9">
            <w:pPr>
              <w:spacing w:before="120" w:after="160" w:line="259" w:lineRule="auto"/>
              <w:contextualSpacing/>
              <w:rPr>
                <w:rFonts w:ascii="Arial Narrow" w:hAnsi="Arial Narrow" w:cs="Arial"/>
                <w:noProof/>
                <w:color w:val="006100"/>
                <w:sz w:val="20"/>
                <w:szCs w:val="20"/>
              </w:rPr>
            </w:pPr>
            <w:r>
              <w:rPr>
                <w:rFonts w:ascii="Arial Narrow" w:hAnsi="Arial Narrow"/>
                <w:noProof/>
                <w:color w:val="006100"/>
                <w:sz w:val="20"/>
              </w:rPr>
              <w:t>Järgmised kriitilise tähtsusega sektorid on:</w:t>
            </w:r>
          </w:p>
          <w:p w14:paraId="1D02BA2A" w14:textId="77777777" w:rsidR="00A031C9" w:rsidRPr="005D68A0" w:rsidRDefault="00A031C9" w:rsidP="00A031C9">
            <w:pPr>
              <w:pStyle w:val="ListParagraph"/>
              <w:numPr>
                <w:ilvl w:val="0"/>
                <w:numId w:val="124"/>
              </w:numPr>
              <w:spacing w:before="0" w:after="0" w:line="259" w:lineRule="auto"/>
              <w:ind w:left="399"/>
              <w:jc w:val="left"/>
              <w:rPr>
                <w:rFonts w:ascii="Arial Narrow" w:hAnsi="Arial Narrow" w:cs="Arial"/>
                <w:noProof/>
                <w:color w:val="006100"/>
                <w:sz w:val="20"/>
                <w:szCs w:val="20"/>
              </w:rPr>
            </w:pPr>
            <w:r>
              <w:rPr>
                <w:rFonts w:ascii="Arial Narrow" w:hAnsi="Arial Narrow"/>
                <w:noProof/>
                <w:color w:val="006100"/>
                <w:sz w:val="20"/>
              </w:rPr>
              <w:t xml:space="preserve">Tööõigus ja sotsiaalkindlustus </w:t>
            </w:r>
          </w:p>
          <w:p w14:paraId="0CAC9E73" w14:textId="77777777" w:rsidR="00A031C9" w:rsidRPr="005D68A0" w:rsidRDefault="00A031C9" w:rsidP="00A031C9">
            <w:pPr>
              <w:pStyle w:val="ListParagraph"/>
              <w:numPr>
                <w:ilvl w:val="0"/>
                <w:numId w:val="123"/>
              </w:numPr>
              <w:spacing w:before="0" w:after="0" w:line="259" w:lineRule="auto"/>
              <w:ind w:left="399"/>
              <w:jc w:val="left"/>
              <w:rPr>
                <w:rFonts w:ascii="Arial Narrow" w:hAnsi="Arial Narrow" w:cs="Arial"/>
                <w:noProof/>
                <w:color w:val="006100"/>
                <w:sz w:val="20"/>
                <w:szCs w:val="20"/>
              </w:rPr>
            </w:pPr>
            <w:r>
              <w:rPr>
                <w:rFonts w:ascii="Arial Narrow" w:hAnsi="Arial Narrow"/>
                <w:noProof/>
                <w:color w:val="006100"/>
                <w:sz w:val="20"/>
              </w:rPr>
              <w:t xml:space="preserve">Turism </w:t>
            </w:r>
          </w:p>
          <w:p w14:paraId="5547564D" w14:textId="77777777" w:rsidR="00A031C9" w:rsidRPr="005D68A0" w:rsidRDefault="00A031C9" w:rsidP="00A031C9">
            <w:pPr>
              <w:pStyle w:val="ListParagraph"/>
              <w:numPr>
                <w:ilvl w:val="0"/>
                <w:numId w:val="122"/>
              </w:numPr>
              <w:spacing w:before="0" w:after="0" w:line="259" w:lineRule="auto"/>
              <w:ind w:left="399"/>
              <w:jc w:val="left"/>
              <w:rPr>
                <w:rFonts w:ascii="Arial Narrow" w:hAnsi="Arial Narrow" w:cs="Arial"/>
                <w:noProof/>
                <w:color w:val="006100"/>
                <w:sz w:val="20"/>
                <w:szCs w:val="20"/>
              </w:rPr>
            </w:pPr>
            <w:r>
              <w:rPr>
                <w:rFonts w:ascii="Arial Narrow" w:hAnsi="Arial Narrow"/>
                <w:noProof/>
                <w:color w:val="006100"/>
                <w:sz w:val="20"/>
              </w:rPr>
              <w:t>põllumajanduslik toidutööstus</w:t>
            </w:r>
          </w:p>
          <w:p w14:paraId="2CC6AE7A" w14:textId="77777777" w:rsidR="00A031C9" w:rsidRPr="005D68A0" w:rsidRDefault="00A031C9" w:rsidP="00A031C9">
            <w:pPr>
              <w:spacing w:before="120" w:after="160" w:line="259" w:lineRule="auto"/>
              <w:contextualSpacing/>
              <w:rPr>
                <w:rFonts w:ascii="Arial Narrow" w:hAnsi="Arial Narrow" w:cs="Arial"/>
                <w:noProof/>
                <w:color w:val="006100"/>
                <w:sz w:val="20"/>
                <w:szCs w:val="20"/>
              </w:rPr>
            </w:pPr>
            <w:r>
              <w:rPr>
                <w:rFonts w:ascii="Arial Narrow" w:hAnsi="Arial Narrow"/>
                <w:noProof/>
                <w:color w:val="006100"/>
                <w:sz w:val="20"/>
              </w:rPr>
              <w:t xml:space="preserve">Valitud riiklikud ja piirkondlikud menetlused võib kokku võtta järgmistes peamistes valdkondades: </w:t>
            </w:r>
          </w:p>
          <w:p w14:paraId="5D204460" w14:textId="77777777" w:rsidR="00A031C9" w:rsidRPr="005D68A0" w:rsidRDefault="00A031C9" w:rsidP="00A031C9">
            <w:pPr>
              <w:pStyle w:val="ListParagraph"/>
              <w:numPr>
                <w:ilvl w:val="0"/>
                <w:numId w:val="121"/>
              </w:numPr>
              <w:spacing w:before="0" w:after="0" w:line="259" w:lineRule="auto"/>
              <w:jc w:val="left"/>
              <w:rPr>
                <w:rFonts w:ascii="Arial Narrow" w:hAnsi="Arial Narrow" w:cs="Arial"/>
                <w:noProof/>
                <w:color w:val="006100"/>
                <w:sz w:val="20"/>
                <w:szCs w:val="20"/>
              </w:rPr>
            </w:pPr>
            <w:r>
              <w:rPr>
                <w:rFonts w:ascii="Arial Narrow" w:hAnsi="Arial Narrow"/>
                <w:noProof/>
                <w:color w:val="006100"/>
                <w:sz w:val="20"/>
              </w:rPr>
              <w:t xml:space="preserve">Keskkonna- ja energiaalased load: </w:t>
            </w:r>
          </w:p>
          <w:p w14:paraId="39EC10B6" w14:textId="77777777" w:rsidR="00A031C9" w:rsidRPr="005D68A0" w:rsidRDefault="00A031C9" w:rsidP="00A031C9">
            <w:pPr>
              <w:pStyle w:val="ListParagraph"/>
              <w:numPr>
                <w:ilvl w:val="0"/>
                <w:numId w:val="116"/>
              </w:numPr>
              <w:spacing w:before="0" w:after="0" w:line="259" w:lineRule="auto"/>
              <w:jc w:val="left"/>
              <w:rPr>
                <w:rFonts w:ascii="Arial Narrow" w:hAnsi="Arial Narrow" w:cs="Arial"/>
                <w:noProof/>
                <w:color w:val="006100"/>
                <w:sz w:val="20"/>
                <w:szCs w:val="20"/>
              </w:rPr>
            </w:pPr>
            <w:r>
              <w:rPr>
                <w:rFonts w:ascii="Arial Narrow" w:hAnsi="Arial Narrow"/>
                <w:noProof/>
                <w:color w:val="006100"/>
                <w:sz w:val="20"/>
              </w:rPr>
              <w:t xml:space="preserve">Riiklik keskkonnamõju hindamise menetlus </w:t>
            </w:r>
          </w:p>
          <w:p w14:paraId="3049D6EE" w14:textId="77777777" w:rsidR="00A031C9" w:rsidRPr="005D68A0" w:rsidRDefault="00A031C9" w:rsidP="00A031C9">
            <w:pPr>
              <w:pStyle w:val="ListParagraph"/>
              <w:numPr>
                <w:ilvl w:val="0"/>
                <w:numId w:val="116"/>
              </w:numPr>
              <w:spacing w:before="0" w:after="0" w:line="259" w:lineRule="auto"/>
              <w:jc w:val="left"/>
              <w:rPr>
                <w:rFonts w:ascii="Arial Narrow" w:hAnsi="Arial Narrow" w:cs="Arial"/>
                <w:noProof/>
                <w:color w:val="006100"/>
                <w:sz w:val="20"/>
                <w:szCs w:val="20"/>
              </w:rPr>
            </w:pPr>
            <w:r>
              <w:rPr>
                <w:rFonts w:ascii="Arial Narrow" w:hAnsi="Arial Narrow"/>
                <w:noProof/>
                <w:color w:val="006100"/>
                <w:sz w:val="20"/>
              </w:rPr>
              <w:t xml:space="preserve">Piirkondliku keskkonnamõju hindamise menetlus </w:t>
            </w:r>
          </w:p>
          <w:p w14:paraId="1BC746E0" w14:textId="77777777" w:rsidR="00A031C9" w:rsidRPr="005D68A0" w:rsidRDefault="00A031C9" w:rsidP="00A031C9">
            <w:pPr>
              <w:pStyle w:val="ListParagraph"/>
              <w:numPr>
                <w:ilvl w:val="0"/>
                <w:numId w:val="116"/>
              </w:numPr>
              <w:spacing w:before="0" w:after="0" w:line="259" w:lineRule="auto"/>
              <w:jc w:val="left"/>
              <w:rPr>
                <w:rFonts w:ascii="Arial Narrow" w:hAnsi="Arial Narrow" w:cs="Arial"/>
                <w:noProof/>
                <w:color w:val="006100"/>
                <w:sz w:val="20"/>
                <w:szCs w:val="20"/>
              </w:rPr>
            </w:pPr>
            <w:r>
              <w:rPr>
                <w:rFonts w:ascii="Arial Narrow" w:hAnsi="Arial Narrow"/>
                <w:noProof/>
                <w:color w:val="006100"/>
                <w:sz w:val="20"/>
              </w:rPr>
              <w:t xml:space="preserve">Keskkonna tervendamise load </w:t>
            </w:r>
          </w:p>
          <w:p w14:paraId="46F6ADC1" w14:textId="77777777" w:rsidR="00A031C9" w:rsidRPr="005D68A0" w:rsidRDefault="00A031C9" w:rsidP="00A031C9">
            <w:pPr>
              <w:pStyle w:val="ListParagraph"/>
              <w:numPr>
                <w:ilvl w:val="0"/>
                <w:numId w:val="116"/>
              </w:numPr>
              <w:spacing w:before="0" w:after="0" w:line="259" w:lineRule="auto"/>
              <w:jc w:val="left"/>
              <w:rPr>
                <w:rFonts w:ascii="Arial Narrow" w:hAnsi="Arial Narrow" w:cs="Arial"/>
                <w:noProof/>
                <w:color w:val="006100"/>
                <w:sz w:val="20"/>
                <w:szCs w:val="20"/>
              </w:rPr>
            </w:pPr>
            <w:r>
              <w:rPr>
                <w:rFonts w:ascii="Arial Narrow" w:hAnsi="Arial Narrow"/>
                <w:noProof/>
                <w:color w:val="006100"/>
                <w:sz w:val="20"/>
              </w:rPr>
              <w:t xml:space="preserve">Keskkonnamõju strateegiline hindamine </w:t>
            </w:r>
          </w:p>
          <w:p w14:paraId="0074AFAA" w14:textId="77777777" w:rsidR="00A031C9" w:rsidRPr="005D68A0" w:rsidRDefault="00A031C9" w:rsidP="00A031C9">
            <w:pPr>
              <w:pStyle w:val="ListParagraph"/>
              <w:numPr>
                <w:ilvl w:val="0"/>
                <w:numId w:val="116"/>
              </w:numPr>
              <w:spacing w:before="0" w:after="0" w:line="259" w:lineRule="auto"/>
              <w:jc w:val="left"/>
              <w:rPr>
                <w:rFonts w:ascii="Arial Narrow" w:hAnsi="Arial Narrow" w:cs="Arial"/>
                <w:noProof/>
                <w:color w:val="006100"/>
                <w:sz w:val="20"/>
                <w:szCs w:val="20"/>
              </w:rPr>
            </w:pPr>
            <w:r>
              <w:rPr>
                <w:rFonts w:ascii="Arial Narrow" w:hAnsi="Arial Narrow"/>
                <w:noProof/>
                <w:color w:val="006100"/>
                <w:sz w:val="20"/>
              </w:rPr>
              <w:t xml:space="preserve">Saastuse kompleksne vältimine ja kontroll (IPPC) </w:t>
            </w:r>
          </w:p>
          <w:p w14:paraId="1783CB7A" w14:textId="77777777" w:rsidR="00A031C9" w:rsidRPr="005D68A0" w:rsidRDefault="00A031C9" w:rsidP="00A031C9">
            <w:pPr>
              <w:pStyle w:val="ListParagraph"/>
              <w:numPr>
                <w:ilvl w:val="0"/>
                <w:numId w:val="116"/>
              </w:numPr>
              <w:spacing w:before="0" w:after="0" w:line="259" w:lineRule="auto"/>
              <w:jc w:val="left"/>
              <w:rPr>
                <w:rFonts w:ascii="Arial Narrow" w:hAnsi="Arial Narrow" w:cs="Arial"/>
                <w:noProof/>
                <w:color w:val="006100"/>
                <w:sz w:val="20"/>
                <w:szCs w:val="20"/>
              </w:rPr>
            </w:pPr>
            <w:r>
              <w:rPr>
                <w:rFonts w:ascii="Arial Narrow" w:hAnsi="Arial Narrow"/>
                <w:noProof/>
                <w:color w:val="006100"/>
                <w:sz w:val="20"/>
              </w:rPr>
              <w:t xml:space="preserve">Taastuvenergiale loa andmise kord </w:t>
            </w:r>
          </w:p>
          <w:p w14:paraId="3621BC12" w14:textId="77777777" w:rsidR="00A031C9" w:rsidRPr="005D68A0" w:rsidRDefault="00A031C9" w:rsidP="00A031C9">
            <w:pPr>
              <w:pStyle w:val="ListParagraph"/>
              <w:numPr>
                <w:ilvl w:val="0"/>
                <w:numId w:val="116"/>
              </w:numPr>
              <w:spacing w:before="0" w:after="0" w:line="259" w:lineRule="auto"/>
              <w:jc w:val="left"/>
              <w:rPr>
                <w:rFonts w:ascii="Arial Narrow" w:hAnsi="Arial Narrow" w:cs="Arial"/>
                <w:noProof/>
                <w:color w:val="006100"/>
                <w:sz w:val="20"/>
                <w:szCs w:val="20"/>
              </w:rPr>
            </w:pPr>
            <w:r>
              <w:rPr>
                <w:rFonts w:ascii="Arial Narrow" w:hAnsi="Arial Narrow"/>
                <w:noProof/>
                <w:color w:val="006100"/>
                <w:sz w:val="20"/>
              </w:rPr>
              <w:t>Ajakohastamis-, ümberehitamis- ja tühjendamisprotseduurid</w:t>
            </w:r>
          </w:p>
          <w:p w14:paraId="4738DF16" w14:textId="77777777" w:rsidR="00A031C9" w:rsidRPr="005D68A0" w:rsidRDefault="00A031C9" w:rsidP="00A031C9">
            <w:pPr>
              <w:pStyle w:val="ListParagraph"/>
              <w:numPr>
                <w:ilvl w:val="0"/>
                <w:numId w:val="116"/>
              </w:numPr>
              <w:spacing w:before="0" w:after="0" w:line="259" w:lineRule="auto"/>
              <w:jc w:val="left"/>
              <w:rPr>
                <w:rFonts w:ascii="Arial Narrow" w:hAnsi="Arial Narrow" w:cs="Arial"/>
                <w:noProof/>
                <w:color w:val="006100"/>
                <w:sz w:val="20"/>
                <w:szCs w:val="20"/>
              </w:rPr>
            </w:pPr>
            <w:r>
              <w:rPr>
                <w:rFonts w:ascii="Arial Narrow" w:hAnsi="Arial Narrow"/>
                <w:noProof/>
                <w:color w:val="006100"/>
                <w:sz w:val="20"/>
              </w:rPr>
              <w:t xml:space="preserve">Energiainfrastruktuuridele loa andmise kord </w:t>
            </w:r>
          </w:p>
          <w:p w14:paraId="6BD3175F" w14:textId="77777777" w:rsidR="00A031C9" w:rsidRPr="005D68A0" w:rsidRDefault="00A031C9" w:rsidP="00A031C9">
            <w:pPr>
              <w:pStyle w:val="ListParagraph"/>
              <w:numPr>
                <w:ilvl w:val="0"/>
                <w:numId w:val="116"/>
              </w:numPr>
              <w:spacing w:before="0" w:after="0" w:line="259" w:lineRule="auto"/>
              <w:jc w:val="left"/>
              <w:rPr>
                <w:rFonts w:ascii="Arial Narrow" w:hAnsi="Arial Narrow" w:cs="Arial"/>
                <w:noProof/>
                <w:color w:val="006100"/>
                <w:sz w:val="20"/>
                <w:szCs w:val="20"/>
              </w:rPr>
            </w:pPr>
            <w:r>
              <w:rPr>
                <w:rFonts w:ascii="Arial Narrow" w:hAnsi="Arial Narrow"/>
                <w:noProof/>
                <w:color w:val="006100"/>
                <w:sz w:val="20"/>
              </w:rPr>
              <w:t>Jäätmetega seotud load</w:t>
            </w:r>
          </w:p>
          <w:p w14:paraId="1C348330" w14:textId="77777777" w:rsidR="00A031C9" w:rsidRPr="005D68A0" w:rsidRDefault="00A031C9" w:rsidP="00A031C9">
            <w:pPr>
              <w:pStyle w:val="ListParagraph"/>
              <w:numPr>
                <w:ilvl w:val="0"/>
                <w:numId w:val="120"/>
              </w:numPr>
              <w:spacing w:before="0" w:after="0" w:line="259" w:lineRule="auto"/>
              <w:jc w:val="left"/>
              <w:rPr>
                <w:rFonts w:ascii="Arial Narrow" w:hAnsi="Arial Narrow" w:cs="Arial"/>
                <w:noProof/>
                <w:color w:val="006100"/>
                <w:sz w:val="20"/>
                <w:szCs w:val="20"/>
              </w:rPr>
            </w:pPr>
            <w:r>
              <w:rPr>
                <w:rFonts w:ascii="Arial Narrow" w:hAnsi="Arial Narrow"/>
                <w:noProof/>
                <w:color w:val="006100"/>
                <w:sz w:val="20"/>
              </w:rPr>
              <w:t>Ehitus ja linnaehituse ümberkvalifitseerimine:</w:t>
            </w:r>
          </w:p>
          <w:p w14:paraId="25997CAA" w14:textId="77777777" w:rsidR="00A031C9" w:rsidRPr="005D68A0" w:rsidRDefault="00A031C9" w:rsidP="00A031C9">
            <w:pPr>
              <w:pStyle w:val="ListParagraph"/>
              <w:numPr>
                <w:ilvl w:val="0"/>
                <w:numId w:val="115"/>
              </w:numPr>
              <w:spacing w:before="0" w:after="0" w:line="259" w:lineRule="auto"/>
              <w:jc w:val="left"/>
              <w:rPr>
                <w:rFonts w:ascii="Arial Narrow" w:hAnsi="Arial Narrow" w:cs="Arial"/>
                <w:noProof/>
                <w:color w:val="006100"/>
                <w:sz w:val="20"/>
                <w:szCs w:val="20"/>
              </w:rPr>
            </w:pPr>
            <w:r>
              <w:rPr>
                <w:rFonts w:ascii="Arial Narrow" w:hAnsi="Arial Narrow"/>
                <w:noProof/>
                <w:color w:val="006100"/>
                <w:sz w:val="20"/>
              </w:rPr>
              <w:t xml:space="preserve">Energiasäästu ja energiakasutuse ratsionaliseerimise menetlused (vastavusmenetlused jne) </w:t>
            </w:r>
          </w:p>
          <w:p w14:paraId="0C505064" w14:textId="77777777" w:rsidR="00A031C9" w:rsidRPr="005D68A0" w:rsidRDefault="00A031C9" w:rsidP="00A031C9">
            <w:pPr>
              <w:pStyle w:val="ListParagraph"/>
              <w:numPr>
                <w:ilvl w:val="0"/>
                <w:numId w:val="115"/>
              </w:numPr>
              <w:spacing w:before="0" w:after="0" w:line="259" w:lineRule="auto"/>
              <w:jc w:val="left"/>
              <w:rPr>
                <w:rFonts w:ascii="Arial Narrow" w:hAnsi="Arial Narrow" w:cs="Arial"/>
                <w:noProof/>
                <w:color w:val="006100"/>
                <w:sz w:val="20"/>
                <w:szCs w:val="20"/>
              </w:rPr>
            </w:pPr>
            <w:r>
              <w:rPr>
                <w:rFonts w:ascii="Arial Narrow" w:hAnsi="Arial Narrow"/>
                <w:noProof/>
                <w:color w:val="006100"/>
                <w:sz w:val="20"/>
              </w:rPr>
              <w:t xml:space="preserve"> Talituste konverents</w:t>
            </w:r>
          </w:p>
          <w:p w14:paraId="0028BC83" w14:textId="77777777" w:rsidR="00A031C9" w:rsidRPr="005D68A0" w:rsidRDefault="00A031C9" w:rsidP="00A031C9">
            <w:pPr>
              <w:pStyle w:val="ListParagraph"/>
              <w:numPr>
                <w:ilvl w:val="0"/>
                <w:numId w:val="119"/>
              </w:numPr>
              <w:spacing w:before="0" w:after="0" w:line="259" w:lineRule="auto"/>
              <w:jc w:val="left"/>
              <w:rPr>
                <w:rFonts w:ascii="Arial Narrow" w:hAnsi="Arial Narrow" w:cs="Arial"/>
                <w:noProof/>
                <w:color w:val="006100"/>
                <w:sz w:val="20"/>
                <w:szCs w:val="20"/>
              </w:rPr>
            </w:pPr>
            <w:r>
              <w:rPr>
                <w:rFonts w:ascii="Arial Narrow" w:hAnsi="Arial Narrow"/>
                <w:noProof/>
                <w:color w:val="006100"/>
                <w:sz w:val="20"/>
              </w:rPr>
              <w:t xml:space="preserve">Digitaalsed taristud:  </w:t>
            </w:r>
          </w:p>
          <w:p w14:paraId="35D49933" w14:textId="77777777" w:rsidR="00A031C9" w:rsidRPr="005D68A0" w:rsidRDefault="00A031C9" w:rsidP="00A031C9">
            <w:pPr>
              <w:pStyle w:val="ListParagraph"/>
              <w:numPr>
                <w:ilvl w:val="0"/>
                <w:numId w:val="114"/>
              </w:numPr>
              <w:spacing w:before="0" w:after="0" w:line="259" w:lineRule="auto"/>
              <w:jc w:val="left"/>
              <w:rPr>
                <w:rFonts w:ascii="Arial Narrow" w:hAnsi="Arial Narrow" w:cs="Arial"/>
                <w:noProof/>
                <w:color w:val="006100"/>
                <w:sz w:val="20"/>
                <w:szCs w:val="20"/>
              </w:rPr>
            </w:pPr>
            <w:r>
              <w:rPr>
                <w:rFonts w:ascii="Arial Narrow" w:hAnsi="Arial Narrow"/>
                <w:noProof/>
                <w:color w:val="006100"/>
                <w:sz w:val="20"/>
              </w:rPr>
              <w:t xml:space="preserve">Sideinfrastruktuuride load  </w:t>
            </w:r>
          </w:p>
          <w:p w14:paraId="3806086E" w14:textId="77777777" w:rsidR="00A031C9" w:rsidRPr="005D68A0" w:rsidRDefault="00A031C9" w:rsidP="00A031C9">
            <w:pPr>
              <w:pStyle w:val="ListParagraph"/>
              <w:numPr>
                <w:ilvl w:val="0"/>
                <w:numId w:val="118"/>
              </w:numPr>
              <w:spacing w:before="0" w:after="0" w:line="259" w:lineRule="auto"/>
              <w:jc w:val="left"/>
              <w:rPr>
                <w:rFonts w:ascii="Arial Narrow" w:hAnsi="Arial Narrow" w:cs="Arial"/>
                <w:noProof/>
                <w:color w:val="006100"/>
                <w:sz w:val="20"/>
                <w:szCs w:val="20"/>
              </w:rPr>
            </w:pPr>
            <w:r>
              <w:rPr>
                <w:rFonts w:ascii="Arial Narrow" w:hAnsi="Arial Narrow"/>
                <w:noProof/>
                <w:color w:val="006100"/>
                <w:sz w:val="20"/>
              </w:rPr>
              <w:t xml:space="preserve">Äriprotseduurid: </w:t>
            </w:r>
          </w:p>
          <w:p w14:paraId="5A7E3016" w14:textId="77777777" w:rsidR="00A031C9" w:rsidRPr="005D68A0" w:rsidRDefault="00A031C9" w:rsidP="00A031C9">
            <w:pPr>
              <w:pStyle w:val="ListParagraph"/>
              <w:numPr>
                <w:ilvl w:val="0"/>
                <w:numId w:val="110"/>
              </w:numPr>
              <w:spacing w:before="0" w:after="0" w:line="259" w:lineRule="auto"/>
              <w:jc w:val="left"/>
              <w:rPr>
                <w:rFonts w:ascii="Arial Narrow" w:hAnsi="Arial Narrow" w:cs="Arial"/>
                <w:noProof/>
                <w:color w:val="006100"/>
                <w:sz w:val="20"/>
                <w:szCs w:val="20"/>
              </w:rPr>
            </w:pPr>
            <w:r>
              <w:rPr>
                <w:rFonts w:ascii="Arial Narrow" w:hAnsi="Arial Narrow"/>
                <w:noProof/>
                <w:color w:val="006100"/>
                <w:sz w:val="20"/>
              </w:rPr>
              <w:t>Menetlused jaemüügisektoris</w:t>
            </w:r>
          </w:p>
          <w:p w14:paraId="3607AAD0" w14:textId="77777777" w:rsidR="00A031C9" w:rsidRPr="005D68A0" w:rsidRDefault="00A031C9" w:rsidP="00A031C9">
            <w:pPr>
              <w:pStyle w:val="ListParagraph"/>
              <w:numPr>
                <w:ilvl w:val="0"/>
                <w:numId w:val="110"/>
              </w:numPr>
              <w:spacing w:before="0" w:after="0" w:line="259" w:lineRule="auto"/>
              <w:jc w:val="left"/>
              <w:rPr>
                <w:rFonts w:ascii="Arial Narrow" w:hAnsi="Arial Narrow" w:cs="Arial"/>
                <w:noProof/>
                <w:color w:val="006100"/>
                <w:sz w:val="20"/>
                <w:szCs w:val="20"/>
              </w:rPr>
            </w:pPr>
            <w:r>
              <w:rPr>
                <w:rFonts w:ascii="Arial Narrow" w:hAnsi="Arial Narrow"/>
                <w:noProof/>
                <w:color w:val="006100"/>
                <w:sz w:val="20"/>
              </w:rPr>
              <w:t>Äri- ja ehitusmenetlused (SUAP ja SUE)</w:t>
            </w:r>
          </w:p>
          <w:p w14:paraId="5F30B9D7" w14:textId="77777777" w:rsidR="00A031C9" w:rsidRPr="005D68A0" w:rsidRDefault="00A031C9" w:rsidP="00A031C9">
            <w:pPr>
              <w:pStyle w:val="ListParagraph"/>
              <w:numPr>
                <w:ilvl w:val="0"/>
                <w:numId w:val="110"/>
              </w:numPr>
              <w:spacing w:before="0" w:after="0" w:line="259" w:lineRule="auto"/>
              <w:jc w:val="left"/>
              <w:rPr>
                <w:rFonts w:ascii="Arial Narrow" w:hAnsi="Arial Narrow" w:cs="Arial"/>
                <w:noProof/>
                <w:color w:val="006100"/>
                <w:sz w:val="20"/>
                <w:szCs w:val="20"/>
              </w:rPr>
            </w:pPr>
            <w:r>
              <w:rPr>
                <w:rFonts w:ascii="Arial Narrow" w:hAnsi="Arial Narrow"/>
                <w:noProof/>
                <w:color w:val="006100"/>
                <w:sz w:val="20"/>
              </w:rPr>
              <w:t>Käsitööga seotud protseduurid</w:t>
            </w:r>
          </w:p>
          <w:p w14:paraId="6B56437F" w14:textId="77777777" w:rsidR="00A031C9" w:rsidRPr="005D68A0" w:rsidRDefault="00A031C9" w:rsidP="00A031C9">
            <w:pPr>
              <w:pStyle w:val="ListParagraph"/>
              <w:numPr>
                <w:ilvl w:val="0"/>
                <w:numId w:val="117"/>
              </w:numPr>
              <w:spacing w:before="0" w:after="0" w:line="259" w:lineRule="auto"/>
              <w:jc w:val="left"/>
              <w:rPr>
                <w:rFonts w:ascii="Arial Narrow" w:hAnsi="Arial Narrow" w:cs="Arial"/>
                <w:noProof/>
                <w:color w:val="006100"/>
                <w:sz w:val="20"/>
                <w:szCs w:val="20"/>
              </w:rPr>
            </w:pPr>
            <w:r>
              <w:rPr>
                <w:rFonts w:ascii="Arial Narrow" w:hAnsi="Arial Narrow"/>
                <w:noProof/>
                <w:color w:val="006100"/>
                <w:sz w:val="20"/>
              </w:rPr>
              <w:t xml:space="preserve">Muud menetlused:  </w:t>
            </w:r>
          </w:p>
          <w:p w14:paraId="67684988" w14:textId="77777777" w:rsidR="00A031C9" w:rsidRPr="005D68A0" w:rsidRDefault="00A031C9" w:rsidP="00A031C9">
            <w:pPr>
              <w:pStyle w:val="ListParagraph"/>
              <w:numPr>
                <w:ilvl w:val="0"/>
                <w:numId w:val="113"/>
              </w:numPr>
              <w:spacing w:before="0" w:after="0" w:line="259" w:lineRule="auto"/>
              <w:jc w:val="left"/>
              <w:rPr>
                <w:rFonts w:ascii="Arial Narrow" w:hAnsi="Arial Narrow" w:cs="Arial"/>
                <w:noProof/>
                <w:color w:val="006100"/>
                <w:sz w:val="20"/>
                <w:szCs w:val="20"/>
              </w:rPr>
            </w:pPr>
            <w:r>
              <w:rPr>
                <w:rFonts w:ascii="Arial Narrow" w:hAnsi="Arial Narrow"/>
                <w:noProof/>
                <w:color w:val="006100"/>
                <w:sz w:val="20"/>
              </w:rPr>
              <w:t xml:space="preserve">Vaikiva nõusoleku sertifitseerimine </w:t>
            </w:r>
          </w:p>
          <w:p w14:paraId="26D9E3EA" w14:textId="77777777" w:rsidR="00A031C9" w:rsidRPr="005D68A0" w:rsidRDefault="00A031C9" w:rsidP="00A031C9">
            <w:pPr>
              <w:pStyle w:val="ListParagraph"/>
              <w:numPr>
                <w:ilvl w:val="0"/>
                <w:numId w:val="113"/>
              </w:numPr>
              <w:spacing w:before="0" w:after="0" w:line="259" w:lineRule="auto"/>
              <w:jc w:val="left"/>
              <w:rPr>
                <w:rFonts w:ascii="Arial Narrow" w:hAnsi="Arial Narrow" w:cs="Arial"/>
                <w:noProof/>
                <w:color w:val="006100"/>
                <w:sz w:val="20"/>
                <w:szCs w:val="20"/>
              </w:rPr>
            </w:pPr>
            <w:r>
              <w:rPr>
                <w:rFonts w:ascii="Arial Narrow" w:hAnsi="Arial Narrow"/>
                <w:noProof/>
                <w:color w:val="006100"/>
                <w:sz w:val="20"/>
              </w:rPr>
              <w:t xml:space="preserve">Asendusvõimsus </w:t>
            </w:r>
          </w:p>
          <w:p w14:paraId="10094501" w14:textId="77777777" w:rsidR="00A031C9" w:rsidRPr="005D68A0" w:rsidRDefault="00A031C9" w:rsidP="00A031C9">
            <w:pPr>
              <w:pStyle w:val="ListParagraph"/>
              <w:numPr>
                <w:ilvl w:val="0"/>
                <w:numId w:val="113"/>
              </w:numPr>
              <w:spacing w:before="0" w:after="0" w:line="259" w:lineRule="auto"/>
              <w:jc w:val="left"/>
              <w:rPr>
                <w:rFonts w:ascii="Arial Narrow" w:hAnsi="Arial Narrow" w:cs="Arial"/>
                <w:noProof/>
                <w:color w:val="006100"/>
                <w:sz w:val="20"/>
                <w:szCs w:val="20"/>
              </w:rPr>
            </w:pPr>
            <w:r>
              <w:rPr>
                <w:rFonts w:ascii="Arial Narrow" w:hAnsi="Arial Narrow"/>
                <w:noProof/>
                <w:color w:val="006100"/>
                <w:sz w:val="20"/>
              </w:rPr>
              <w:t xml:space="preserve">Tulekahjude ennetamise menetlused </w:t>
            </w:r>
          </w:p>
          <w:p w14:paraId="4EA8E54B" w14:textId="77777777" w:rsidR="00A031C9" w:rsidRPr="005D68A0" w:rsidRDefault="00A031C9" w:rsidP="00A031C9">
            <w:pPr>
              <w:pStyle w:val="ListParagraph"/>
              <w:numPr>
                <w:ilvl w:val="0"/>
                <w:numId w:val="113"/>
              </w:numPr>
              <w:spacing w:before="0" w:after="0" w:line="259" w:lineRule="auto"/>
              <w:jc w:val="left"/>
              <w:rPr>
                <w:rFonts w:ascii="Arial Narrow" w:hAnsi="Arial Narrow" w:cs="Arial"/>
                <w:noProof/>
                <w:color w:val="006100"/>
                <w:sz w:val="20"/>
                <w:szCs w:val="20"/>
              </w:rPr>
            </w:pPr>
            <w:r>
              <w:rPr>
                <w:rFonts w:ascii="Arial Narrow" w:hAnsi="Arial Narrow"/>
                <w:noProof/>
                <w:color w:val="006100"/>
                <w:sz w:val="20"/>
              </w:rPr>
              <w:t xml:space="preserve">Erimajandustsoonide load </w:t>
            </w:r>
          </w:p>
          <w:p w14:paraId="40715559" w14:textId="77777777" w:rsidR="00A031C9" w:rsidRPr="005D68A0" w:rsidRDefault="00A031C9" w:rsidP="00A031C9">
            <w:pPr>
              <w:pStyle w:val="ListParagraph"/>
              <w:numPr>
                <w:ilvl w:val="0"/>
                <w:numId w:val="113"/>
              </w:numPr>
              <w:spacing w:before="0" w:after="0" w:line="259" w:lineRule="auto"/>
              <w:jc w:val="left"/>
              <w:rPr>
                <w:rFonts w:ascii="Arial Narrow" w:hAnsi="Arial Narrow" w:cs="Arial"/>
                <w:noProof/>
                <w:color w:val="006100"/>
                <w:sz w:val="20"/>
                <w:szCs w:val="20"/>
              </w:rPr>
            </w:pPr>
            <w:r>
              <w:rPr>
                <w:rFonts w:ascii="Arial Narrow" w:hAnsi="Arial Narrow"/>
                <w:noProof/>
                <w:color w:val="006100"/>
                <w:sz w:val="20"/>
              </w:rPr>
              <w:t>Avaliku julgeoleku load</w:t>
            </w:r>
          </w:p>
          <w:p w14:paraId="56E40EC6" w14:textId="77777777" w:rsidR="00A031C9" w:rsidRPr="005D68A0" w:rsidRDefault="00A031C9" w:rsidP="00A031C9">
            <w:pPr>
              <w:pStyle w:val="ListParagraph"/>
              <w:numPr>
                <w:ilvl w:val="0"/>
                <w:numId w:val="113"/>
              </w:numPr>
              <w:spacing w:before="0" w:after="0" w:line="259" w:lineRule="auto"/>
              <w:jc w:val="left"/>
              <w:rPr>
                <w:rFonts w:ascii="Arial Narrow" w:hAnsi="Arial Narrow" w:cs="Arial"/>
                <w:noProof/>
                <w:color w:val="006100"/>
                <w:sz w:val="20"/>
                <w:szCs w:val="20"/>
              </w:rPr>
            </w:pPr>
            <w:r>
              <w:rPr>
                <w:rFonts w:ascii="Arial Narrow" w:hAnsi="Arial Narrow"/>
                <w:noProof/>
                <w:color w:val="006100"/>
                <w:sz w:val="20"/>
              </w:rPr>
              <w:t xml:space="preserve">Maastikukasutusload </w:t>
            </w:r>
          </w:p>
          <w:p w14:paraId="06179ACC" w14:textId="77777777" w:rsidR="00A031C9" w:rsidRPr="005D68A0" w:rsidRDefault="00A031C9" w:rsidP="00A031C9">
            <w:pPr>
              <w:pStyle w:val="ListParagraph"/>
              <w:numPr>
                <w:ilvl w:val="0"/>
                <w:numId w:val="113"/>
              </w:numPr>
              <w:spacing w:before="0" w:after="0" w:line="259" w:lineRule="auto"/>
              <w:jc w:val="left"/>
              <w:rPr>
                <w:rFonts w:ascii="Arial Narrow" w:hAnsi="Arial Narrow" w:cs="Arial"/>
                <w:noProof/>
                <w:color w:val="006100"/>
                <w:sz w:val="20"/>
                <w:szCs w:val="20"/>
              </w:rPr>
            </w:pPr>
            <w:r>
              <w:rPr>
                <w:rFonts w:ascii="Arial Narrow" w:hAnsi="Arial Narrow"/>
                <w:noProof/>
                <w:color w:val="006100"/>
                <w:sz w:val="20"/>
              </w:rPr>
              <w:t>Ravimi- ja tervishoiuload</w:t>
            </w:r>
          </w:p>
          <w:p w14:paraId="529A47EB" w14:textId="77777777" w:rsidR="00A031C9" w:rsidRPr="005D68A0" w:rsidRDefault="00A031C9" w:rsidP="00A031C9">
            <w:pPr>
              <w:pStyle w:val="ListParagraph"/>
              <w:numPr>
                <w:ilvl w:val="0"/>
                <w:numId w:val="113"/>
              </w:numPr>
              <w:spacing w:after="160" w:line="257" w:lineRule="auto"/>
              <w:jc w:val="left"/>
              <w:rPr>
                <w:rFonts w:ascii="Arial Narrow" w:hAnsi="Arial Narrow" w:cs="Arial"/>
                <w:noProof/>
                <w:color w:val="006100"/>
                <w:sz w:val="20"/>
                <w:szCs w:val="20"/>
              </w:rPr>
            </w:pPr>
            <w:r>
              <w:rPr>
                <w:rFonts w:ascii="Arial Narrow" w:hAnsi="Arial Narrow"/>
                <w:noProof/>
                <w:color w:val="006100"/>
                <w:sz w:val="20"/>
              </w:rPr>
              <w:t>Seismilised ja hüdrogeoloogilised protseduurid/load</w:t>
            </w:r>
          </w:p>
        </w:tc>
      </w:tr>
      <w:tr w:rsidR="00A031C9" w:rsidRPr="005D68A0" w14:paraId="3A00F2ED"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AD41BC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M1C1-61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63BCDB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1.9. Avaliku halduse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F50709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BFC8C7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 xml:space="preserve"> Kodanikke otseselt mõjutava 50 kriitilise menetluse lihtsustamise ja/või digitaliseerimise lõpuleviimine (sealhulgas kõik delegeeritud õigusaktid)</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2A5F79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Teisesed õigusaktid on jõustunud</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1747F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C2FF9B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8AA8A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D74249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BABC716"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2025</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016CDB" w14:textId="77777777" w:rsidR="00A031C9" w:rsidRPr="005D68A0" w:rsidRDefault="00A031C9" w:rsidP="00A031C9">
            <w:pPr>
              <w:spacing w:after="120"/>
              <w:contextualSpacing/>
              <w:rPr>
                <w:rFonts w:ascii="Arial Narrow" w:hAnsi="Arial Narrow" w:cs="Arial"/>
                <w:noProof/>
                <w:color w:val="006100"/>
                <w:sz w:val="20"/>
                <w:szCs w:val="20"/>
              </w:rPr>
            </w:pPr>
            <w:r>
              <w:rPr>
                <w:rFonts w:ascii="Arial Narrow" w:hAnsi="Arial Narrow"/>
                <w:noProof/>
                <w:color w:val="006100"/>
                <w:sz w:val="20"/>
              </w:rPr>
              <w:t xml:space="preserve">Lihtsustatud protseduurid mõjutavad järgmisi valdkondi:  </w:t>
            </w:r>
          </w:p>
          <w:p w14:paraId="69BA13E7" w14:textId="77777777" w:rsidR="00A031C9" w:rsidRPr="005D68A0" w:rsidRDefault="00A031C9" w:rsidP="00A031C9">
            <w:pPr>
              <w:pStyle w:val="ListParagraph"/>
              <w:numPr>
                <w:ilvl w:val="0"/>
                <w:numId w:val="112"/>
              </w:numPr>
              <w:spacing w:before="0" w:after="0"/>
              <w:ind w:left="173" w:hanging="141"/>
              <w:jc w:val="left"/>
              <w:rPr>
                <w:rFonts w:ascii="Arial Narrow" w:hAnsi="Arial Narrow" w:cs="Arial"/>
                <w:noProof/>
                <w:color w:val="006100"/>
                <w:sz w:val="20"/>
                <w:szCs w:val="20"/>
              </w:rPr>
            </w:pPr>
            <w:r>
              <w:rPr>
                <w:rFonts w:ascii="Arial Narrow" w:hAnsi="Arial Narrow"/>
                <w:noProof/>
                <w:color w:val="006100"/>
                <w:sz w:val="20"/>
              </w:rPr>
              <w:t xml:space="preserve">Register ja perekonnaseis  </w:t>
            </w:r>
          </w:p>
          <w:p w14:paraId="229A78FC" w14:textId="77777777" w:rsidR="00A031C9" w:rsidRPr="005D68A0" w:rsidRDefault="00A031C9" w:rsidP="00A031C9">
            <w:pPr>
              <w:pStyle w:val="ListParagraph"/>
              <w:numPr>
                <w:ilvl w:val="0"/>
                <w:numId w:val="112"/>
              </w:numPr>
              <w:spacing w:before="0" w:after="0"/>
              <w:ind w:left="173" w:hanging="141"/>
              <w:jc w:val="left"/>
              <w:rPr>
                <w:rFonts w:ascii="Arial Narrow" w:hAnsi="Arial Narrow" w:cs="Arial"/>
                <w:noProof/>
                <w:color w:val="006100"/>
                <w:sz w:val="20"/>
                <w:szCs w:val="20"/>
              </w:rPr>
            </w:pPr>
            <w:r>
              <w:rPr>
                <w:rFonts w:ascii="Arial Narrow" w:hAnsi="Arial Narrow"/>
                <w:noProof/>
                <w:color w:val="006100"/>
                <w:sz w:val="20"/>
              </w:rPr>
              <w:t xml:space="preserve">Identiteet, digitaalne elukoht ja juurdepääs internetipõhistele teenustele </w:t>
            </w:r>
          </w:p>
          <w:p w14:paraId="1B201CE3" w14:textId="77777777" w:rsidR="00A031C9" w:rsidRPr="005D68A0" w:rsidRDefault="00A031C9" w:rsidP="00A031C9">
            <w:pPr>
              <w:pStyle w:val="ListParagraph"/>
              <w:numPr>
                <w:ilvl w:val="0"/>
                <w:numId w:val="112"/>
              </w:numPr>
              <w:spacing w:before="0"/>
              <w:ind w:left="173" w:hanging="141"/>
              <w:jc w:val="left"/>
              <w:rPr>
                <w:rFonts w:ascii="Arial Narrow" w:hAnsi="Arial Narrow" w:cs="Arial"/>
                <w:noProof/>
                <w:color w:val="006100"/>
                <w:sz w:val="20"/>
                <w:szCs w:val="20"/>
              </w:rPr>
            </w:pPr>
            <w:r>
              <w:rPr>
                <w:rFonts w:ascii="Arial Narrow" w:hAnsi="Arial Narrow"/>
                <w:noProof/>
                <w:color w:val="006100"/>
                <w:sz w:val="20"/>
              </w:rPr>
              <w:t>Puuetega inimesed</w:t>
            </w:r>
          </w:p>
        </w:tc>
      </w:tr>
      <w:tr w:rsidR="00A031C9" w:rsidRPr="00D90835" w14:paraId="2E1466A1"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744C5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M1C1-62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5A22C3A" w14:textId="77777777" w:rsidR="00A031C9" w:rsidRPr="005D68A0" w:rsidRDefault="00A031C9" w:rsidP="00A031C9">
            <w:pPr>
              <w:jc w:val="center"/>
              <w:rPr>
                <w:rFonts w:ascii="Arial Narrow" w:hAnsi="Arial Narrow" w:cs="Arial"/>
                <w:noProof/>
                <w:color w:val="006100"/>
                <w:sz w:val="20"/>
                <w:szCs w:val="20"/>
              </w:rPr>
            </w:pPr>
            <w:bookmarkStart w:id="3" w:name="_Hlk160472673"/>
            <w:r>
              <w:rPr>
                <w:rFonts w:ascii="Arial Narrow" w:hAnsi="Arial Narrow"/>
                <w:noProof/>
                <w:color w:val="006100"/>
                <w:sz w:val="20"/>
              </w:rPr>
              <w:t>Reform 1.9. Avaliku halduse reform</w:t>
            </w:r>
            <w:bookmarkEnd w:id="3"/>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879FD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30C9F4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Suurendada investeeringute kasutamist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6463C6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Rahandusministeeriumi rakendamisaruande avaldamine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F8839A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81957C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49FE8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B7786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D9414E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2025</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F31FB5"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Avaldada rakendamisaruanne, et mõõta selliste meetmete mõju, mille eesmärk on pakkuda tehnilist abi ja suurendada suutlikkust, parandada suutlikkust kavandada, hallata ja täita riigieelarvest rahastatavaid kapitalikulusid, saavutada kuni 2024. aastani eraldatud lisafondi vahendite märkimisväärne kasutamine.</w:t>
            </w:r>
          </w:p>
        </w:tc>
      </w:tr>
      <w:tr w:rsidR="00A031C9" w:rsidRPr="00D90835" w14:paraId="582AFAEE"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FB1FC56"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M1C1-63</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2A64E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1.9. Avaliku halduse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6CEC5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8B2E4CD" w14:textId="3C2AEB4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Lihtsustamise lõpuleviimine ning kõigi lihtsustatud menetluste ja vastavate halduskordade andmekogu loomine, millel on kogu riigi territooriumil täielik õiguslik kehtivus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2004C3C" w14:textId="1E6B8136"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 xml:space="preserve">Hoidla avaldamine asjaomase ministeeriumi veebisaidil </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7989B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1A5FFB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50B4A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B30217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80EEF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D5CECBA" w14:textId="77777777" w:rsidR="00A031C9" w:rsidRPr="005D68A0" w:rsidRDefault="00A031C9" w:rsidP="00A031C9">
            <w:pPr>
              <w:rPr>
                <w:rFonts w:ascii="Arial Narrow" w:hAnsi="Arial Narrow" w:cs="Arial"/>
                <w:noProof/>
                <w:color w:val="006100"/>
                <w:sz w:val="20"/>
                <w:szCs w:val="20"/>
              </w:rPr>
            </w:pPr>
            <w:r>
              <w:rPr>
                <w:rFonts w:ascii="Arial Narrow" w:hAnsi="Arial Narrow"/>
                <w:noProof/>
                <w:color w:val="006100"/>
                <w:sz w:val="20"/>
              </w:rPr>
              <w:t xml:space="preserve">Menetluskorra läbivaatamine viiakse lõpule kõigi lihtsustatud menetluste puhul. </w:t>
            </w:r>
          </w:p>
          <w:p w14:paraId="10F25172" w14:textId="77777777" w:rsidR="00A031C9" w:rsidRPr="005D68A0" w:rsidRDefault="00A031C9" w:rsidP="00A031C9">
            <w:pPr>
              <w:rPr>
                <w:rFonts w:ascii="Arial Narrow" w:hAnsi="Arial Narrow" w:cs="Arial"/>
                <w:noProof/>
                <w:color w:val="006100"/>
                <w:sz w:val="20"/>
                <w:szCs w:val="20"/>
              </w:rPr>
            </w:pPr>
            <w:r>
              <w:rPr>
                <w:rFonts w:ascii="Arial Narrow" w:hAnsi="Arial Narrow"/>
                <w:noProof/>
                <w:color w:val="006100"/>
                <w:sz w:val="20"/>
              </w:rPr>
              <w:t>Samuti kontrollitakse ja jälgitakse järgmist:</w:t>
            </w:r>
          </w:p>
          <w:p w14:paraId="3B2B4CE5" w14:textId="0A197A5C" w:rsidR="00A031C9" w:rsidRPr="005D68A0" w:rsidRDefault="00A031C9" w:rsidP="00A031C9">
            <w:pPr>
              <w:pStyle w:val="ListParagraph"/>
              <w:numPr>
                <w:ilvl w:val="0"/>
                <w:numId w:val="128"/>
              </w:numPr>
              <w:ind w:left="313" w:hanging="283"/>
              <w:jc w:val="left"/>
              <w:rPr>
                <w:rFonts w:ascii="Arial Narrow" w:hAnsi="Arial Narrow" w:cs="Arial"/>
                <w:noProof/>
                <w:color w:val="006100"/>
                <w:sz w:val="20"/>
                <w:szCs w:val="20"/>
              </w:rPr>
            </w:pPr>
            <w:r>
              <w:rPr>
                <w:rFonts w:ascii="Arial Narrow" w:hAnsi="Arial Narrow"/>
                <w:noProof/>
                <w:color w:val="006100"/>
                <w:sz w:val="20"/>
              </w:rPr>
              <w:t>Tagatakse lihtsustatud menetluste,</w:t>
            </w:r>
          </w:p>
          <w:p w14:paraId="0731B5CD" w14:textId="6637C513" w:rsidR="00A031C9" w:rsidRPr="005D68A0" w:rsidRDefault="00D356AD" w:rsidP="00A031C9">
            <w:pPr>
              <w:pStyle w:val="ListParagraph"/>
              <w:numPr>
                <w:ilvl w:val="0"/>
                <w:numId w:val="128"/>
              </w:numPr>
              <w:ind w:left="313" w:hanging="283"/>
              <w:jc w:val="left"/>
              <w:rPr>
                <w:rFonts w:ascii="Arial Narrow" w:hAnsi="Arial Narrow" w:cs="Arial"/>
                <w:noProof/>
                <w:color w:val="006100"/>
                <w:sz w:val="20"/>
                <w:szCs w:val="20"/>
              </w:rPr>
            </w:pPr>
            <w:r>
              <w:rPr>
                <w:rFonts w:ascii="Arial Narrow" w:hAnsi="Arial Narrow"/>
                <w:noProof/>
                <w:color w:val="006100"/>
                <w:sz w:val="20"/>
              </w:rPr>
              <w:t>uute standardvormide, ja</w:t>
            </w:r>
            <w:r w:rsidR="00A031C9">
              <w:rPr>
                <w:rFonts w:ascii="Arial Narrow" w:hAnsi="Arial Narrow"/>
                <w:noProof/>
                <w:color w:val="006100"/>
                <w:sz w:val="20"/>
              </w:rPr>
              <w:t xml:space="preserve"> </w:t>
            </w:r>
          </w:p>
          <w:p w14:paraId="19182D53" w14:textId="5637D799" w:rsidR="00A031C9" w:rsidRPr="005D68A0" w:rsidRDefault="00D356AD" w:rsidP="00A031C9">
            <w:pPr>
              <w:pStyle w:val="ListParagraph"/>
              <w:numPr>
                <w:ilvl w:val="0"/>
                <w:numId w:val="128"/>
              </w:numPr>
              <w:ind w:left="313" w:hanging="283"/>
              <w:jc w:val="left"/>
              <w:rPr>
                <w:rFonts w:ascii="Arial Narrow" w:hAnsi="Arial Narrow" w:cs="Arial"/>
                <w:noProof/>
                <w:color w:val="006100"/>
                <w:sz w:val="20"/>
                <w:szCs w:val="20"/>
              </w:rPr>
            </w:pPr>
            <w:r>
              <w:rPr>
                <w:rFonts w:ascii="Arial Narrow" w:hAnsi="Arial Narrow"/>
                <w:noProof/>
                <w:color w:val="006100"/>
                <w:sz w:val="20"/>
              </w:rPr>
              <w:t>vastava digiteeritud haldamise tõhus rakendamine.</w:t>
            </w:r>
          </w:p>
          <w:p w14:paraId="4F8F974D" w14:textId="77777777" w:rsidR="00A031C9" w:rsidRPr="005D68A0" w:rsidRDefault="00A031C9" w:rsidP="00A031C9">
            <w:pPr>
              <w:rPr>
                <w:rFonts w:ascii="Arial Narrow" w:hAnsi="Arial Narrow" w:cs="Arial"/>
                <w:noProof/>
                <w:color w:val="006100"/>
                <w:sz w:val="20"/>
                <w:szCs w:val="20"/>
              </w:rPr>
            </w:pPr>
            <w:r>
              <w:rPr>
                <w:rFonts w:ascii="Arial Narrow" w:hAnsi="Arial Narrow"/>
                <w:noProof/>
                <w:color w:val="006100"/>
                <w:sz w:val="20"/>
              </w:rPr>
              <w:t xml:space="preserve"> </w:t>
            </w:r>
          </w:p>
          <w:p w14:paraId="52AC501F" w14:textId="77777777" w:rsidR="00A031C9" w:rsidRPr="005D68A0" w:rsidRDefault="00A031C9" w:rsidP="00A031C9">
            <w:pPr>
              <w:rPr>
                <w:rFonts w:ascii="Arial Narrow" w:hAnsi="Arial Narrow" w:cs="Arial"/>
                <w:noProof/>
                <w:color w:val="006100"/>
                <w:sz w:val="20"/>
                <w:szCs w:val="20"/>
                <w:lang w:val="en-GB"/>
              </w:rPr>
            </w:pPr>
          </w:p>
          <w:p w14:paraId="378A855C"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 xml:space="preserve">Lihtsustust kohaldatakse kokku 600 kriitilise tähtsusega protseduuri suhtes, sealhulgas eesmärkidega M1C1 60 ja M1C1 61 hõlmatud protseduuride suhtes. </w:t>
            </w:r>
          </w:p>
        </w:tc>
      </w:tr>
      <w:tr w:rsidR="00A031C9" w:rsidRPr="00D90835" w14:paraId="46FB93DD"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3E9548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M1C1-64</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5B9CC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Investeering 1.9. Anda tehnilist abi ja tugevdada suutlikkust Itaalia taaste- ja vastupidavuskava rakendamiseks</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A993AF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3778E3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Haridus ja koolitus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C988DB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381208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Arv</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BCA020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BDCE9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350 000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FAA77B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BF04D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02A6F46"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Vähemalt 350 000 keskvalitsuse avaliku sektori töötajat on registreerunud täiendus- või ümberõppe algatustes.</w:t>
            </w:r>
          </w:p>
        </w:tc>
      </w:tr>
      <w:tr w:rsidR="00A031C9" w:rsidRPr="00D90835" w14:paraId="66E55A56"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C647168"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M1C1-65</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5F80B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Investeering 1.9. Anda tehnilist abi ja tugevdada suutlikkust Itaalia taaste- ja vastupidavuskava rakendamiseks</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DACA5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A9088C6"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Haridus ja koolitus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5DBFDB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3A1B4B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Arv</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D9DC84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91883A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400 000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C7EE12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A8F6B7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1A3162"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Vähemalt 400 000 muude haldusasutuste avaliku sektori töötajat on registreerunud täiendus- või ümberõppe algatustes.</w:t>
            </w:r>
          </w:p>
        </w:tc>
      </w:tr>
      <w:tr w:rsidR="00A031C9" w:rsidRPr="00D90835" w14:paraId="18113E89"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7C7781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M1C1-66</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A563AC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Investeering 1.9. Anda tehnilist abi ja tugevdada suutlikkust Itaalia taaste- ja vastupidavuskava rakendamiseks</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19E83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1EF675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Haridus ja koolitus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85C661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BC69438"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Arv</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C3103D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6CD3E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245 000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D0A105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22E2F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36A8230"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Vähemalt 245 000 (70 %) keskasutuste avaliku sektori töötajat on edukalt läbinud punktis M1C1–64 osutatud koolitusalgatused (ametlik sertifitseerimine või mõjuhinnang).</w:t>
            </w:r>
          </w:p>
        </w:tc>
      </w:tr>
      <w:tr w:rsidR="00A031C9" w:rsidRPr="00D90835" w14:paraId="46C379BF"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898D21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M1C1-67</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9C12276"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Investeering 1.9. Anda tehnilist abi ja tugevdada suutlikkust Itaalia taaste- ja vastupidavuskava rakendamiseks</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53DBB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21B77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Haridus ja koolitus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D87B62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A63EE4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Arv</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B8FA3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164542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280 000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0FCD77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EE21F9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3E36C6E"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Vähemalt 280 000 (70 %) teiste haldusasutuste avaliku sektori töötajat on edukalt läbinud punktis M1C1–65 osutatud koolitusalgatused (ametlik sertifitseerimine või mõjuhinnang).</w:t>
            </w:r>
          </w:p>
        </w:tc>
      </w:tr>
      <w:tr w:rsidR="00A031C9" w:rsidRPr="00D90835" w14:paraId="190C5514"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42280A8"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M1C1-68</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AE98E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1.9. Avaliku halduse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72DAB8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19C49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Auditi ja kontrolli andmekogude süsteem: Taaste- ja vastupidavusrahastu rakendamise järelevalveks vajalik teave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D9896D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Auditiaruanne, mis kinnitab hoidla süsteemi funktsioone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1DEE3A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D191E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8D7493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621D92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B9513F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2021</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2B1623"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Taaste- ja vastupidavusrahastu rakendamise seireks peab olema sisse seatud ja toimima hoidlasüsteem.</w:t>
            </w:r>
          </w:p>
          <w:p w14:paraId="0CFD13DC"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Süsteem sisaldab vähemalt järgmisi funktsioone:</w:t>
            </w:r>
          </w:p>
          <w:p w14:paraId="63EF9BE9"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a) koguda andmeid ning jälgida eesmärkide ja sihtide saavutamist;</w:t>
            </w:r>
          </w:p>
          <w:p w14:paraId="7A3D344D"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b) koguda, säilitada ja tagada juurdepääs taaste- ja vastupidavusrahastu määruse artikli 22 lõike 2 punkti d alapunktides i-iii nõutud andmetele.</w:t>
            </w:r>
          </w:p>
        </w:tc>
      </w:tr>
      <w:tr w:rsidR="00A031C9" w:rsidRPr="005D68A0" w14:paraId="28157595"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928915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M1C1-69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5CB5D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1.10. Riigihangete õigusraamistiku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3B8968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B7487E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Riigihankesüsteemi lihtsustamist käsitleva määruse jõustumine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08E52E1" w14:textId="76D9D91F"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 xml:space="preserve">Riigihangete süsteemi lihtsustamist käsitleva seaduse jõustumisele viitav säte. </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F0E50C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3E210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8727D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90F884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3EC796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2021</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F9CA7F"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Dekreetseadus lihtsustab riigihangete süsteemi vähemalt järgmiste kiireloomuliste meetmetega:</w:t>
            </w:r>
          </w:p>
          <w:p w14:paraId="36DA2375"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i. Siia on koondatud eesmärgid, et lühendada avaldamise ja lepingu sõlmimise vahelist aega.</w:t>
            </w:r>
          </w:p>
          <w:p w14:paraId="698F179E"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ii. Kehtestatakse eesmärgid ja järelevalvesüsteem, et lühendada lepingu sõlmimise ja taristu valmimise vahelist aega („fase esecutiva“).</w:t>
            </w:r>
          </w:p>
          <w:p w14:paraId="3189F99E"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iii. Eeldab, et kõikide lepingute andmed registreeritakse riikliku korruptsioonivastase võitluse ameti (ANAC) korruptsioonivastase võitluse andmebaasis.</w:t>
            </w:r>
          </w:p>
          <w:p w14:paraId="1539E77C"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iv.. Rakendada ja stimuleerida vaidluste kohtuvälise lahendamise mehhanisme riigihankelepingute täitmise etapis.</w:t>
            </w:r>
          </w:p>
          <w:p w14:paraId="697245A7"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v. Riigihankemenetluste eest vastutavad ministeeriumide, piirkondade ja suurlinnade bürood.</w:t>
            </w:r>
          </w:p>
          <w:p w14:paraId="5FE70E0E"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Täiendavad spetsifikatsioonid:</w:t>
            </w:r>
          </w:p>
          <w:p w14:paraId="3E1308A0"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 Kesksete hankijate menetluste lihtsustamine ja digiteerimine („centrali di committenza“)</w:t>
            </w:r>
          </w:p>
          <w:p w14:paraId="7B3EBE49"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 Rakendada kehtiva riigihangete seadustiku artikleid 41 ja 44</w:t>
            </w:r>
          </w:p>
          <w:p w14:paraId="3116E065"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 Määratleda, kuidas menetlused tuleks digitaliseerida kõigi riigihankelepingute ja kontsessioonide puhul, ning määratleda koostalitlusvõime ja omavahelise ühendatuse nõuded</w:t>
            </w:r>
          </w:p>
          <w:p w14:paraId="55AB4F7E"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 Rakendada kehtiva riigihangete seadustiku artiklit 44.</w:t>
            </w:r>
          </w:p>
        </w:tc>
      </w:tr>
      <w:tr w:rsidR="00A031C9" w:rsidRPr="00D90835" w14:paraId="7CFFA89B"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A4CA2A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M1C1-70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909C6F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1.10. Riigihangete õigusraamistiku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232F8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BE3053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Riigihangete seadustiku läbivaatamise jõustumine (D.Lgs. n. 50/2016)</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F4AF6A8"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Seaduse säte, mis viitab kehtiva riigihangete süsteemi seadustikku reformiva delegeerimisseaduse jõustumisele (D.Lgs. n. 50/2016)</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9E533F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906852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A2E485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C9AD78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B4C05C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2022</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E87718C"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Käesoleva seadusega kehtestatakse riigihankeseadustiku süsteemse reformi täpsed kriteeriumid ja põhimõtted.</w:t>
            </w:r>
          </w:p>
          <w:p w14:paraId="6D1BED29"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Delegeerimisseadusega nähakse ette vähemalt järgmised põhimõtted ja kriteeriumid:</w:t>
            </w:r>
          </w:p>
          <w:p w14:paraId="63662DE9"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i. Vähendada avaliku sektori hankijate killustatust, 1) kehtestades kvalifitseerimissüsteemi põhielemendid, 2) nõudes e-platvormi loomist põhinõudena, et osaleda hankesuutlikkuse üleriigilises hindamises, 3) volitades riiklikku korruptsioonivastast asutust (ANAC) vaatama läbi avaliku sektori hankijate kvalifitseerimise hankesuutlikkuse seisukohast (hangete liigid ja mahud), 4) luues stiimulid olemasolevate kesksete kutseliste hankijate kasutamiseks.</w:t>
            </w:r>
          </w:p>
          <w:p w14:paraId="61FC32C3"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ii. Lihtsustada ja digiteerida kesksete hankijate menetlusi („centrali di committenza“)</w:t>
            </w:r>
          </w:p>
          <w:p w14:paraId="23344AFE"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iii. Määratleda, kuidas menetlused tuleks digitaliseerida kõigi riigihankelepingute ja kontsessioonide puhul, ning määratleda koostalitlusvõime ja omavahelise ühendatuse nõuded</w:t>
            </w:r>
          </w:p>
          <w:p w14:paraId="282DB82F"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iv.. Vähendada järk-järgult allhangetega seotud piiranguid.</w:t>
            </w:r>
          </w:p>
        </w:tc>
      </w:tr>
      <w:tr w:rsidR="00A031C9" w:rsidRPr="00D90835" w14:paraId="5EA0A31C"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F431B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M1C1-71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248A4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1.10. Riigihangete õigusraamistiku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1DAB52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64FC7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Kõigi riigihankesüsteemi jaoks vajalike õigusaktide, määruste ja rakendusaktide (sealhulgas teiseste õigusaktide) jõustumine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337981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Kõigi vajalike õigusaktide ja rakendusaktide jõustumine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6D258E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EA8CE9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D0A445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DEBE7A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23317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2021</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2E3BE3"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Kõik vajalikud õigusaktid, määrused ja rakendusaktid (sealhulgas vajaduse korral teisesed õigusaktid) peavad andma järgmised tulemused:</w:t>
            </w:r>
          </w:p>
          <w:p w14:paraId="23BC4537"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i. Riigihangete poliitika ühtse koordineerimisasutuse personali ja rahaliste vahendite tase peab olema piisav (täpsustatakse tegevuskorras), et olla täielikult toimiv, seda ka ANACi eriotstarbelise struktuuri toetuse tõttu.</w:t>
            </w:r>
          </w:p>
          <w:p w14:paraId="08B808FB"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ii. Riigihangete poliitika ühtne koordineerimisorgan võtab ANACi ja riikliku halduskooli toetusel vastu professionaalsuse suurendamise strateegia (mis on seotud Itaalia riikliku riigihangete reformi ettepanekuga 2.1.6), mis hõlmab eri tasandi koolituse liike, spetsiaalset juhendamist ja tegevussuuniste koostamist.</w:t>
            </w:r>
          </w:p>
          <w:p w14:paraId="173D28ED"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iii. Dünaamilised hankesüsteemid teeb kättesaadavaks Consip ja need on kooskõlas riigihankedirektiividega.</w:t>
            </w:r>
          </w:p>
          <w:p w14:paraId="2057D83A"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iv.. Lisaks riigihangete seadustiku artikli 38 rakendamisele viib ANAC lõpule avaliku sektori hankijate kvalifitseerimise seoses hankevõimekusega.</w:t>
            </w:r>
          </w:p>
          <w:p w14:paraId="650EF186"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v. Lepingu sõlmimise ja taristutööde lõpuleviimise vahelisel ajal toimib järelevalvesüsteem.</w:t>
            </w:r>
          </w:p>
          <w:p w14:paraId="09549453"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vi. Kõigi lepingute andmed registreeritakse riikliku korruptsioonivastase võitluse ameti (ANAC) korruptsioonivastase võitluse andmebaasis.</w:t>
            </w:r>
          </w:p>
          <w:p w14:paraId="0CCAE42F"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vii. Kõik ministeeriumide, piirkondade ja suurlinnade riigihankemenetluste eest vastutavad bürood.</w:t>
            </w:r>
          </w:p>
        </w:tc>
      </w:tr>
      <w:tr w:rsidR="00A031C9" w:rsidRPr="00D90835" w14:paraId="656EDC07"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9E405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M1C1-72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916206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1.11. Avaliku halduse asutuste ja tervishoiuasutuste hilinenud maksete vähendamine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0E67D2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55C9B7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Kiidetakse heaks meetmed, mille eesmärk on vähendada avaliku halduse asutuste hilinenud makseid ettevõtetele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CC3CFB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Seaduse säte, millega nähakse ette makseasutuse poolt ettevõtjatele tehtavate maksete hilinemise vähendamise eeskirjade jõustumine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F05340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5AA4E2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1861FC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7E638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1.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8BBD42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2023</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8C7D446"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Jõustuvad uued eeskirjad, mille eesmärk on vähendada avaliku halduse asutuste hilinenud makseid ettevõtjatele.</w:t>
            </w:r>
          </w:p>
          <w:p w14:paraId="45273E45"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Meetmed hõlmavad vähemalt järgmisi põhielemente:</w:t>
            </w:r>
          </w:p>
          <w:p w14:paraId="0D8CC9CA"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i.</w:t>
            </w:r>
            <w:r>
              <w:rPr>
                <w:rFonts w:ascii="Arial Narrow" w:hAnsi="Arial Narrow"/>
                <w:noProof/>
                <w:sz w:val="20"/>
              </w:rPr>
              <w:t xml:space="preserve"> </w:t>
            </w:r>
            <w:r>
              <w:rPr>
                <w:rFonts w:ascii="Arial Narrow" w:hAnsi="Arial Narrow"/>
                <w:noProof/>
                <w:color w:val="006100"/>
                <w:sz w:val="20"/>
              </w:rPr>
              <w:t>Süsteemi INIT kasutatakse keskses avalikus halduses, et toetada majandus- ja finantsarvestust ning avaliku sektori kulutuste tegemist.</w:t>
            </w:r>
          </w:p>
          <w:p w14:paraId="6D26135C"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ii.</w:t>
            </w:r>
            <w:r>
              <w:rPr>
                <w:rFonts w:ascii="Arial Narrow" w:hAnsi="Arial Narrow"/>
                <w:noProof/>
                <w:sz w:val="20"/>
              </w:rPr>
              <w:t xml:space="preserve"> </w:t>
            </w:r>
            <w:r>
              <w:rPr>
                <w:rFonts w:ascii="Arial Narrow" w:hAnsi="Arial Narrow"/>
                <w:noProof/>
                <w:color w:val="006100"/>
                <w:sz w:val="20"/>
              </w:rPr>
              <w:t>Hilinenud maksmine: rahandusministeeriumi IT-süsteemi andmebaasil (Commercial Credit Platform – PCC) põhinevad näitajad on riigiasutuste kaalutud keskmine makseaeg ettevõtjatele ja ametiasutuste kaalutud keskmine makseviivitus ettevõtjatele kõigil järgmistel avaliku halduse tasanditel:</w:t>
            </w:r>
          </w:p>
          <w:p w14:paraId="68C1AD7A" w14:textId="77777777" w:rsidR="00A031C9" w:rsidRPr="00994F5E" w:rsidRDefault="00A031C9" w:rsidP="00A031C9">
            <w:pPr>
              <w:numPr>
                <w:ilvl w:val="0"/>
                <w:numId w:val="83"/>
              </w:numPr>
              <w:spacing w:after="120"/>
              <w:ind w:left="341" w:hanging="283"/>
              <w:rPr>
                <w:rFonts w:ascii="Arial Narrow" w:hAnsi="Arial Narrow" w:cs="Arial"/>
                <w:noProof/>
                <w:color w:val="006100"/>
                <w:sz w:val="20"/>
                <w:szCs w:val="20"/>
              </w:rPr>
            </w:pPr>
            <w:r>
              <w:rPr>
                <w:rFonts w:ascii="Arial Narrow" w:hAnsi="Arial Narrow"/>
                <w:noProof/>
                <w:color w:val="006100"/>
                <w:sz w:val="20"/>
              </w:rPr>
              <w:t>keskasutused (Amministrazioni dello Stato, enti pubblici nazionali e altri enti)</w:t>
            </w:r>
          </w:p>
          <w:p w14:paraId="6929014D" w14:textId="77777777" w:rsidR="00A031C9" w:rsidRPr="005D68A0" w:rsidRDefault="00A031C9" w:rsidP="00A031C9">
            <w:pPr>
              <w:numPr>
                <w:ilvl w:val="0"/>
                <w:numId w:val="83"/>
              </w:numPr>
              <w:spacing w:after="120"/>
              <w:ind w:left="341" w:hanging="283"/>
              <w:rPr>
                <w:rFonts w:ascii="Arial Narrow" w:hAnsi="Arial Narrow" w:cs="Arial"/>
                <w:noProof/>
                <w:color w:val="006100"/>
                <w:sz w:val="20"/>
                <w:szCs w:val="20"/>
              </w:rPr>
            </w:pPr>
            <w:r>
              <w:rPr>
                <w:rFonts w:ascii="Arial Narrow" w:hAnsi="Arial Narrow"/>
                <w:noProof/>
                <w:color w:val="006100"/>
                <w:sz w:val="20"/>
              </w:rPr>
              <w:t>piirkondlikud omavalitsused (Regioni ja Province Autonome),</w:t>
            </w:r>
          </w:p>
          <w:p w14:paraId="6523DAF6" w14:textId="77777777" w:rsidR="00A031C9" w:rsidRPr="005D68A0" w:rsidRDefault="00A031C9" w:rsidP="00A031C9">
            <w:pPr>
              <w:numPr>
                <w:ilvl w:val="0"/>
                <w:numId w:val="83"/>
              </w:numPr>
              <w:spacing w:after="120"/>
              <w:ind w:left="341" w:hanging="283"/>
              <w:rPr>
                <w:rFonts w:ascii="Arial Narrow" w:hAnsi="Arial Narrow" w:cs="Arial"/>
                <w:noProof/>
                <w:color w:val="006100"/>
                <w:sz w:val="20"/>
                <w:szCs w:val="20"/>
              </w:rPr>
            </w:pPr>
            <w:r>
              <w:rPr>
                <w:rFonts w:ascii="Arial Narrow" w:hAnsi="Arial Narrow"/>
                <w:noProof/>
                <w:color w:val="006100"/>
                <w:sz w:val="20"/>
              </w:rPr>
              <w:t>kohalikud omavalitsused (enti locali)</w:t>
            </w:r>
          </w:p>
          <w:p w14:paraId="2B93F01A" w14:textId="77777777" w:rsidR="00A031C9" w:rsidRPr="00994F5E" w:rsidRDefault="00A031C9" w:rsidP="00A031C9">
            <w:pPr>
              <w:numPr>
                <w:ilvl w:val="0"/>
                <w:numId w:val="83"/>
              </w:numPr>
              <w:spacing w:after="120"/>
              <w:ind w:left="341" w:hanging="283"/>
              <w:rPr>
                <w:rFonts w:ascii="Arial Narrow" w:hAnsi="Arial Narrow" w:cs="Arial"/>
                <w:noProof/>
                <w:color w:val="006100"/>
                <w:sz w:val="20"/>
                <w:szCs w:val="20"/>
              </w:rPr>
            </w:pPr>
            <w:r>
              <w:rPr>
                <w:rFonts w:ascii="Arial Narrow" w:hAnsi="Arial Narrow"/>
                <w:noProof/>
                <w:color w:val="006100"/>
                <w:sz w:val="20"/>
              </w:rPr>
              <w:t>riiklikud tervishoiuasutused (enti del Servizio sanitario nazionale)</w:t>
            </w:r>
          </w:p>
        </w:tc>
      </w:tr>
      <w:tr w:rsidR="00A031C9" w:rsidRPr="00D90835" w14:paraId="269BE09C"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8FBD66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M1C1–72bis</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5E044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1.11. Avaliku halduse asutuste ja tervishoiuasutuste hilinenud maksete vähendamine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D76BE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053D27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Seadusandlikud ja erimeetmed hilinenud maksete vähendamiseks kesksel/kohalikul tasandil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ABDECA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Seaduse säte, milles osutatakse esmaste õigusaktide jõustumisele ja meetmete võtmisele, et vähendada maksete hilinemist makseasutuselt ettevõtetele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32BCEA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2A4BC28"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4D3274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3973D2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1.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C11603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1A4615D" w14:textId="77777777" w:rsidR="00A031C9" w:rsidRPr="005D68A0" w:rsidRDefault="00A031C9" w:rsidP="00A031C9">
            <w:pPr>
              <w:spacing w:after="120"/>
              <w:rPr>
                <w:rFonts w:ascii="Arial Narrow" w:hAnsi="Arial Narrow" w:cs="Arial"/>
                <w:noProof/>
                <w:color w:val="006100"/>
                <w:sz w:val="20"/>
              </w:rPr>
            </w:pPr>
            <w:r>
              <w:rPr>
                <w:rFonts w:ascii="Arial Narrow" w:hAnsi="Arial Narrow"/>
                <w:noProof/>
                <w:color w:val="006100"/>
                <w:sz w:val="20"/>
              </w:rPr>
              <w:t>Jõustuvad järgmised seadusandlikud ja erimeetmed:</w:t>
            </w:r>
          </w:p>
          <w:p w14:paraId="0A3808A7"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 xml:space="preserve">– suunised, millega selgitatakse äritehingute ja mitteäriliste tehingute kohaldamisala kooskõlas hilinenud maksmise direktiiviga; </w:t>
            </w:r>
          </w:p>
          <w:p w14:paraId="22B0964F"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 suunised hilinenud maksmise direktiivi artikli 4 lõike 6 kohaldamisala täpsustamiseks kooskõlas viimasega;</w:t>
            </w:r>
          </w:p>
          <w:p w14:paraId="6B830B8B"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 õigusaktid, millega tagatakse, et kohalikud ja piirkondlikud omavalitsused saavad rahalisi vahendeid oma arvete õigeaegseks esitamiseks kesktasandilt;</w:t>
            </w:r>
          </w:p>
          <w:p w14:paraId="1D5ED234"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 õigusaktid, millega nõutakse, et ametiasutused võtaksid vastu iga-aastased rahavoogude kavad, millega tagatakse seaduslikest maksetähtaegadest kinnipidamine;</w:t>
            </w:r>
          </w:p>
          <w:p w14:paraId="59B2CE5C"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 ministeeriumide ja piirkondade siseauditi- ja kontrollisuutlikkus õigeaegselt tasumata arvete olukorra jälgimiseks.</w:t>
            </w:r>
          </w:p>
          <w:p w14:paraId="3BA3857A"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Järgmisi erimeetmeid võetakse:</w:t>
            </w:r>
          </w:p>
          <w:p w14:paraId="0B445BEF" w14:textId="77777777" w:rsidR="00A031C9" w:rsidRPr="005D68A0" w:rsidRDefault="00A031C9" w:rsidP="00A031C9">
            <w:pPr>
              <w:rPr>
                <w:rFonts w:ascii="Arial Narrow" w:hAnsi="Arial Narrow" w:cs="Arial"/>
                <w:b/>
                <w:noProof/>
                <w:color w:val="006100"/>
                <w:sz w:val="20"/>
                <w:szCs w:val="20"/>
              </w:rPr>
            </w:pPr>
            <w:r>
              <w:rPr>
                <w:rFonts w:ascii="Arial Narrow" w:hAnsi="Arial Narrow"/>
                <w:b/>
                <w:noProof/>
                <w:color w:val="006100"/>
                <w:sz w:val="20"/>
              </w:rPr>
              <w:t xml:space="preserve">Kesktasand: </w:t>
            </w:r>
          </w:p>
          <w:p w14:paraId="5887A5A8" w14:textId="5590E8C5"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 xml:space="preserve">– Võtma meetmeid tagamaks, et ministeeriumid ja keskasutused, kelle Itaalia ametiasutused määratlevad 2023. aasta lõpuks struktuurselt hilinenud maksjatena, maksavad individuaalselt 30 päeva jooksul (nt põllumajandus-, justiits-, kaitse-, sise- ja taristuministeerium); </w:t>
            </w:r>
          </w:p>
          <w:p w14:paraId="66EB02F5"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 Ministeeriumide avaldatavad võlgnevuste varud, mida ajakohastatakse kord kvartalis;</w:t>
            </w:r>
          </w:p>
          <w:p w14:paraId="60DD648B"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 xml:space="preserve">Rakkerühmade tugevdamine, kui need on olemas, ja rakkerühmade loomine, kui neid ei ole veel käivitatud; nähakse ette rakkerühmade automaatsem aktiveerimine struktuurselt hilinenud maksjate korral. </w:t>
            </w:r>
          </w:p>
          <w:p w14:paraId="286705C9" w14:textId="77777777" w:rsidR="00A031C9" w:rsidRPr="005D68A0" w:rsidRDefault="00A031C9" w:rsidP="00A031C9">
            <w:pPr>
              <w:spacing w:after="120"/>
              <w:rPr>
                <w:rFonts w:ascii="Arial Narrow" w:hAnsi="Arial Narrow" w:cs="Arial"/>
                <w:b/>
                <w:noProof/>
                <w:color w:val="006100"/>
                <w:sz w:val="20"/>
                <w:szCs w:val="20"/>
              </w:rPr>
            </w:pPr>
            <w:r>
              <w:rPr>
                <w:rFonts w:ascii="Arial Narrow" w:hAnsi="Arial Narrow"/>
                <w:b/>
                <w:noProof/>
                <w:color w:val="006100"/>
                <w:sz w:val="20"/>
              </w:rPr>
              <w:t xml:space="preserve">Kohalikul tasandil </w:t>
            </w:r>
            <w:r>
              <w:rPr>
                <w:rFonts w:ascii="Arial Narrow" w:hAnsi="Arial Narrow"/>
                <w:noProof/>
                <w:color w:val="006100"/>
                <w:sz w:val="20"/>
              </w:rPr>
              <w:t>võetakse järgmisi erimeetmeid:</w:t>
            </w:r>
            <w:r>
              <w:rPr>
                <w:rFonts w:ascii="Arial Narrow" w:hAnsi="Arial Narrow"/>
                <w:b/>
                <w:noProof/>
                <w:color w:val="006100"/>
                <w:sz w:val="20"/>
              </w:rPr>
              <w:t xml:space="preserve"> </w:t>
            </w:r>
          </w:p>
          <w:p w14:paraId="1355A8F8" w14:textId="3630DB9D"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 xml:space="preserve">– Võtma meetmeid tagamaks, et kohalikud omavalitsused, keda Itaalia ametiasutused käsitavad struktuurselt hilinenud maksjatena (näiteks Napoli, Lecce ja Salerno kommuunid), maksavad 2023. aasta lõpuks 30 päeva jooksul; </w:t>
            </w:r>
          </w:p>
          <w:p w14:paraId="583FE75E"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 Ametiasutused avaldavad oma võlgnevuste andmed, mida ajakohastatakse kord kvartalis.</w:t>
            </w:r>
          </w:p>
        </w:tc>
      </w:tr>
      <w:tr w:rsidR="00A031C9" w:rsidRPr="00D90835" w14:paraId="6DB6E420"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50483E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M1C1–72ter</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444C5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1.11. Avaliku halduse asutuste ja tervishoiuasutuste hilinenud maksete vähendamine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C30A9C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1ECFAE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Suurendada hilinenud maksetega seotud inimressursse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631736"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Säte, milles osutatakse hilinenud maksetega tegelevate inimressursside suurendamist käsitlevate õigusaktide jõustumisele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37E468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64E06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01486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F4261D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B1571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E6603B7" w14:textId="0B65E6BD" w:rsidR="00A031C9" w:rsidRPr="005D68A0" w:rsidRDefault="00A031C9" w:rsidP="00A031C9">
            <w:pPr>
              <w:spacing w:after="120"/>
              <w:rPr>
                <w:rFonts w:ascii="Arial Narrow" w:hAnsi="Arial Narrow" w:cs="Arial"/>
                <w:noProof/>
                <w:color w:val="006100"/>
                <w:sz w:val="20"/>
              </w:rPr>
            </w:pPr>
            <w:r>
              <w:rPr>
                <w:rFonts w:ascii="Arial Narrow" w:hAnsi="Arial Narrow"/>
                <w:noProof/>
                <w:color w:val="006100"/>
                <w:sz w:val="20"/>
              </w:rPr>
              <w:t>Selliste õigusaktide jõustumine, millega nähakse ette töötajate arvu suurendamine seoses maksetega järgmistes valdkondades:</w:t>
            </w:r>
          </w:p>
          <w:p w14:paraId="1AA94379"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 Ministeeriumid ja keskasutused sõltuvalt asjaomase keskvalitsuse konkreetsetest organisatsioonilistest vajadustest;</w:t>
            </w:r>
          </w:p>
          <w:p w14:paraId="6A8E3C94" w14:textId="5F5185D3"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 kohalikud haldusasutused sõltuvalt asjaomase kohaliku omavalitsuse konkreetsetest organisatsioonilistest vajadustest.</w:t>
            </w:r>
          </w:p>
        </w:tc>
      </w:tr>
      <w:tr w:rsidR="00A031C9" w:rsidRPr="00D90835" w14:paraId="4873FA70"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C5A866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M1C1–72quater</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E3E58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1.11. Avaliku halduse asutuste ja tervishoiuasutuste hilinenud maksete vähendamine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E9556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7DC600" w14:textId="77777777" w:rsidR="00A031C9" w:rsidRPr="005D68A0" w:rsidRDefault="00A031C9" w:rsidP="00A031C9">
            <w:pPr>
              <w:rPr>
                <w:rFonts w:ascii="Arial Narrow" w:hAnsi="Arial Narrow" w:cs="Arial"/>
                <w:noProof/>
                <w:color w:val="006100"/>
                <w:sz w:val="20"/>
                <w:szCs w:val="20"/>
              </w:rPr>
            </w:pPr>
            <w:r>
              <w:rPr>
                <w:rFonts w:ascii="Arial Narrow" w:hAnsi="Arial Narrow"/>
                <w:noProof/>
                <w:color w:val="006100"/>
                <w:sz w:val="20"/>
              </w:rPr>
              <w:t>Krediidi loovutamine kolmandatele isikutele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A21E4B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Seaduse säte, mis viitab esmase õigusakti jõustumisele.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14F02F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F326F9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CEFB8D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393DB4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507A0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C6637B6" w14:textId="5587CD16"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Selliste õigusaktide jõustumine, millega kehtestatakse sätted, mis võimaldavad krediidi loovutamist kolmandatele isikutele pärast 30 päeva kestnud vaigistumist/mittetegemist riigiasutuste poolt</w:t>
            </w:r>
          </w:p>
        </w:tc>
      </w:tr>
      <w:tr w:rsidR="00A031C9" w:rsidRPr="00D90835" w14:paraId="594A617C"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45B72CE" w14:textId="77777777" w:rsidR="00A031C9" w:rsidRPr="005D68A0" w:rsidRDefault="00A031C9" w:rsidP="00A031C9">
            <w:pPr>
              <w:jc w:val="center"/>
              <w:rPr>
                <w:rFonts w:ascii="Arial Narrow" w:hAnsi="Arial Narrow" w:cs="Arial"/>
                <w:noProof/>
                <w:color w:val="006100"/>
                <w:sz w:val="20"/>
                <w:szCs w:val="20"/>
              </w:rPr>
            </w:pPr>
            <w:bookmarkStart w:id="4" w:name="_Hlk160473292"/>
            <w:r>
              <w:rPr>
                <w:rFonts w:ascii="Arial Narrow" w:hAnsi="Arial Narrow"/>
                <w:noProof/>
                <w:color w:val="006100"/>
                <w:sz w:val="20"/>
              </w:rPr>
              <w:t>M1C1–72quinquies</w:t>
            </w:r>
            <w:bookmarkEnd w:id="4"/>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35013B0" w14:textId="77777777" w:rsidR="00A031C9" w:rsidRPr="005D68A0" w:rsidRDefault="00A031C9" w:rsidP="00A031C9">
            <w:pPr>
              <w:jc w:val="center"/>
              <w:rPr>
                <w:rFonts w:ascii="Arial Narrow" w:hAnsi="Arial Narrow" w:cs="Arial"/>
                <w:noProof/>
                <w:color w:val="006100"/>
                <w:sz w:val="20"/>
                <w:szCs w:val="20"/>
              </w:rPr>
            </w:pPr>
            <w:bookmarkStart w:id="5" w:name="_Hlk160473280"/>
            <w:r>
              <w:rPr>
                <w:rFonts w:ascii="Arial Narrow" w:hAnsi="Arial Narrow"/>
                <w:noProof/>
                <w:color w:val="006100"/>
                <w:sz w:val="20"/>
              </w:rPr>
              <w:t>Reform 1.11. Avaliku halduse asutuste ja tervishoiuasutuste hilinenud maksete vähendamine</w:t>
            </w:r>
            <w:bookmarkEnd w:id="5"/>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210326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269C594" w14:textId="55D3B23D"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Maksete tegemine InIT-süsteemis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CD686C" w14:textId="3569A18E"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InIT-süsteem toimib maksete tegemiseks.</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2BF72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6B4D5F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280BC1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FBDB9D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C9053DC" w14:textId="3067A4CC"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2025</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EE136F" w14:textId="1329E248"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InIT-süsteem toimib täielikult ja sellel on järgmised võimalused:</w:t>
            </w:r>
          </w:p>
          <w:p w14:paraId="136C748D"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 See võimaldab teha makseid, tuginemata koostalitlusvõimele vanade makseplatvormidega.</w:t>
            </w:r>
          </w:p>
          <w:p w14:paraId="42BFF5ED" w14:textId="475950E4"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 Sellega tagatakse makseandmete kättesaadavus, sealhulgas viivitused, et toetada ministeeriumide ja Itaalia kontrollikoja auditi- ja kontrollitegevust.</w:t>
            </w:r>
          </w:p>
        </w:tc>
      </w:tr>
      <w:tr w:rsidR="00A031C9" w:rsidRPr="00D90835" w14:paraId="7FA6EBEA"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58AAA7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M1C1–72sixies</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3BA579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1.11. Avaliku halduse asutuste ja tervishoiuasutuste hilinenud maksete vähendamine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BF3D2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9AFB2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Horisontaalsed meetmed maksete hilinemise vähendamiseks makseasutuse poolt ettevõtetele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9A2FC0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Platvorm toimib</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CAAD2E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6AFE7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3B17E7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4E5807" w14:textId="2AABE2F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793E8FC" w14:textId="1F2EDE05"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2025</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05DE516"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Kasutusele võetakse spetsiaalne platvorm kommertslaenude kohta kreeditorettevõtetele ja deebitorriigi ametiasutustele. Platvorm pakub vähemalt järgmist:</w:t>
            </w:r>
          </w:p>
          <w:p w14:paraId="6D2A5927"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 xml:space="preserve">teave ettevõtjatele (võlausaldajatele) avalikule haldusele antavate laenude õigusliku raamistiku, kreeditoräriühingu õiguste, makse hilinemise korral võetavate õiguslike meetmete, tarnijate maksemehhanismi toimimise ja kreeditorettevõtete kontaktpunkti kohta. </w:t>
            </w:r>
          </w:p>
          <w:p w14:paraId="0CAB170C"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Teave riigiasutustele (võlgnikele) ärivõlgade maksmise õiguslike nõuete kohta, haldussuunised, avaliku halduse käsutuses olevad järelevalvevahendid ja võimalikud parimad tavad maksete tulemuslikkuse parandamiseks.</w:t>
            </w:r>
          </w:p>
          <w:p w14:paraId="1A9FCDCD"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Kõigil ministeeriumi veebisaitidel peab olema link sellele platvormile.</w:t>
            </w:r>
          </w:p>
        </w:tc>
      </w:tr>
      <w:tr w:rsidR="00A031C9" w:rsidRPr="00D90835" w14:paraId="6BB55D8C"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1B563E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M1C1-73</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6C72E9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1.10. Riigihangete õigusraamistiku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2528F1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447A54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Riigihankeseadustiku reformi jõustumine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B9CFC7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Seaduse säte, mis näeb ette seadusandliku dekreedi jõustumise, et rakendada kõiki riigihankeseadustiku reformi käsitleva delegeerimisseaduse sätteid.</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08E90B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8527F6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EE010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8AA8AB8"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1.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985D2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2023</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D3A96BC"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Seaduse jõustumine, et rakendada kõiki riigihankeseadustiku reformi delegeerimisseaduse sätteid.</w:t>
            </w:r>
          </w:p>
        </w:tc>
      </w:tr>
      <w:tr w:rsidR="00A031C9" w:rsidRPr="00D90835" w14:paraId="0A6D205F"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7D2A6F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M1C1-74</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5D1DB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1.10. Riigihangete õigusraamistiku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A4AAFB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446B2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Kõigi riigihankeseadustiku lihtsustamise reformiks vajalike rakendusmeetmete ja teiseste õigusaktide jõustumine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1CEB4C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Kõigi vajalike rakendusmeetmete ja teiseste õigusaktide jõustumine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FAA77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7F834D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10BC9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51F5FB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FA8DE1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2023</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5D82BB"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Kõigi riigihankesüsteemi reformimiseks/lihtsustamiseks vajalike rakendusmeetmete ja teiseste õigusaktide jõustumine (mis tuleneb ka riigihangete seadustiku läbivaatamisest).</w:t>
            </w:r>
          </w:p>
        </w:tc>
      </w:tr>
      <w:tr w:rsidR="00A031C9" w:rsidRPr="005D68A0" w14:paraId="24687CBF"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7F873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M1C1–73bis</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2735DB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1.10. Riigihangete õigusraamistiku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DEFE4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BCF0BD1" w14:textId="77777777" w:rsidR="00A031C9" w:rsidRPr="005D68A0" w:rsidRDefault="00A031C9" w:rsidP="00A031C9">
            <w:pPr>
              <w:spacing w:before="100" w:beforeAutospacing="1" w:after="120"/>
              <w:jc w:val="center"/>
              <w:rPr>
                <w:rFonts w:ascii="Arial Narrow" w:hAnsi="Arial Narrow" w:cs="Arial"/>
                <w:noProof/>
                <w:color w:val="006100"/>
                <w:sz w:val="20"/>
                <w:szCs w:val="20"/>
              </w:rPr>
            </w:pPr>
            <w:r>
              <w:rPr>
                <w:rFonts w:ascii="Arial Narrow" w:hAnsi="Arial Narrow"/>
                <w:noProof/>
                <w:color w:val="006100"/>
                <w:sz w:val="20"/>
              </w:rPr>
              <w:t>Avaliku sektori hankijate kvalifitseerimissüsteemi rakendamist käsitlevate suuniste vastuvõtmine.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053926" w14:textId="77777777" w:rsidR="00A031C9" w:rsidRPr="005D68A0" w:rsidRDefault="00A031C9" w:rsidP="00A031C9">
            <w:pPr>
              <w:spacing w:before="100" w:beforeAutospacing="1" w:after="120"/>
              <w:jc w:val="center"/>
              <w:rPr>
                <w:rFonts w:ascii="Arial Narrow" w:hAnsi="Arial Narrow" w:cs="Arial"/>
                <w:noProof/>
                <w:color w:val="006100"/>
                <w:sz w:val="20"/>
                <w:szCs w:val="20"/>
              </w:rPr>
            </w:pPr>
            <w:r>
              <w:rPr>
                <w:rFonts w:ascii="Arial Narrow" w:hAnsi="Arial Narrow"/>
                <w:noProof/>
                <w:color w:val="006100"/>
                <w:sz w:val="20"/>
              </w:rPr>
              <w:t>Avaliku sektori hankijate hankeseadustiku kvalifitseerimissüsteemi rakendamise suuniste vastuvõtmine.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06E5A1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4841FA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BBEC24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2EEBC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1781D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DDD606"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Võtta pärast ANACiga konsulteerimist vastu ringkiri, milles esitatakse suunised kehtivate kohaldatavate eeskirjade süstematiseerimiseks ja selgitatakse, et kvalifitseerimine ka allapoole piirmäära jäävate lepingute puhul on endiselt võimalik ja soovitatav ning et stimuleerida (kvalifitseeritud) kesksete hankijate kasutamist, kui kvalifitseerimine ei ole olemas või ei ole võimalik (D.lgs 36/2023 artikli 62 lõike 6 punkt a)</w:t>
            </w:r>
          </w:p>
        </w:tc>
      </w:tr>
      <w:tr w:rsidR="00A031C9" w:rsidRPr="00D90835" w14:paraId="5A1DE007"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8679B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M1C1–73ter</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F727A8"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1.10. Riigihangete õigusraamistiku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0B94641" w14:textId="77777777" w:rsidR="00A031C9" w:rsidRPr="005D68A0" w:rsidRDefault="00A031C9" w:rsidP="00A031C9">
            <w:pPr>
              <w:spacing w:before="100" w:beforeAutospacing="1" w:after="120"/>
              <w:jc w:val="center"/>
              <w:rPr>
                <w:rFonts w:ascii="Arial Narrow" w:hAnsi="Arial Narrow" w:cs="Arial"/>
                <w:noProof/>
                <w:color w:val="006100"/>
                <w:sz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EC8E682" w14:textId="77777777" w:rsidR="00A031C9" w:rsidRPr="005D68A0" w:rsidRDefault="00A031C9" w:rsidP="00A031C9">
            <w:pPr>
              <w:spacing w:before="100" w:beforeAutospacing="1" w:after="120"/>
              <w:jc w:val="center"/>
              <w:rPr>
                <w:rFonts w:ascii="Arial Narrow" w:hAnsi="Arial Narrow" w:cs="Arial"/>
                <w:noProof/>
                <w:color w:val="006100"/>
                <w:sz w:val="20"/>
              </w:rPr>
            </w:pPr>
            <w:r>
              <w:rPr>
                <w:rFonts w:ascii="Arial Narrow" w:hAnsi="Arial Narrow"/>
                <w:noProof/>
                <w:color w:val="006100"/>
                <w:sz w:val="20"/>
              </w:rPr>
              <w:t>Avaliku sektori hankijate kvalifikatsiooni ja kutseliseks muutmise stiimulid.</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C3FDA39" w14:textId="77777777" w:rsidR="00A031C9" w:rsidRPr="005D68A0" w:rsidRDefault="00A031C9" w:rsidP="00A031C9">
            <w:pPr>
              <w:spacing w:before="100" w:beforeAutospacing="1" w:after="120"/>
              <w:jc w:val="center"/>
              <w:rPr>
                <w:rFonts w:ascii="Arial Narrow" w:hAnsi="Arial Narrow" w:cs="Arial"/>
                <w:noProof/>
                <w:color w:val="006100"/>
                <w:sz w:val="20"/>
                <w:szCs w:val="20"/>
              </w:rPr>
            </w:pPr>
            <w:r>
              <w:rPr>
                <w:rFonts w:ascii="Arial Narrow" w:hAnsi="Arial Narrow"/>
                <w:noProof/>
                <w:color w:val="006100"/>
                <w:sz w:val="20"/>
              </w:rPr>
              <w:t>Rakendusmeetmete vastuvõtmine ja seaduse säte, mis viitab õigusaktide jõustumisele.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8A3A41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8DB931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A7FB0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55410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ACD0C8"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D272AD"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 xml:space="preserve">Cabina di Regia endine riigihangete seadustiku artikkel 221, olles konsulteerinud ANACiga, hinnang riigihangete seadustiku rakendamise mõju kohta järgmisele: </w:t>
            </w:r>
          </w:p>
          <w:p w14:paraId="1A8657E0" w14:textId="77777777" w:rsidR="00A031C9" w:rsidRPr="005D68A0" w:rsidRDefault="00A031C9" w:rsidP="00A031C9">
            <w:pPr>
              <w:pStyle w:val="ListParagraph"/>
              <w:numPr>
                <w:ilvl w:val="0"/>
                <w:numId w:val="129"/>
              </w:numPr>
              <w:spacing w:before="100" w:beforeAutospacing="1"/>
              <w:jc w:val="left"/>
              <w:rPr>
                <w:rFonts w:ascii="Arial Narrow" w:hAnsi="Arial Narrow" w:cs="Arial"/>
                <w:noProof/>
                <w:color w:val="006100"/>
                <w:sz w:val="20"/>
                <w:szCs w:val="20"/>
              </w:rPr>
            </w:pPr>
            <w:r>
              <w:rPr>
                <w:rFonts w:ascii="Arial Narrow" w:hAnsi="Arial Narrow"/>
                <w:noProof/>
                <w:color w:val="006100"/>
                <w:sz w:val="20"/>
              </w:rPr>
              <w:t xml:space="preserve">kvalifitseeritud avaliku sektori hankijate ja kesksete hankijate arv; </w:t>
            </w:r>
          </w:p>
          <w:p w14:paraId="2EE5FE20" w14:textId="77777777" w:rsidR="00A031C9" w:rsidRPr="005D68A0" w:rsidRDefault="00A031C9" w:rsidP="00A031C9">
            <w:pPr>
              <w:pStyle w:val="ListParagraph"/>
              <w:numPr>
                <w:ilvl w:val="0"/>
                <w:numId w:val="129"/>
              </w:numPr>
              <w:spacing w:before="100" w:beforeAutospacing="1"/>
              <w:jc w:val="left"/>
              <w:rPr>
                <w:rFonts w:ascii="Arial Narrow" w:hAnsi="Arial Narrow" w:cs="Arial"/>
                <w:noProof/>
                <w:color w:val="006100"/>
                <w:sz w:val="20"/>
                <w:szCs w:val="20"/>
              </w:rPr>
            </w:pPr>
            <w:r>
              <w:rPr>
                <w:rFonts w:ascii="Arial Narrow" w:hAnsi="Arial Narrow"/>
                <w:noProof/>
                <w:color w:val="006100"/>
                <w:sz w:val="20"/>
              </w:rPr>
              <w:t xml:space="preserve">nende riigihankelepingute arv ja maksumus, mida nad haldavad enda ja kvalifitseerimata üksuste nimel; </w:t>
            </w:r>
          </w:p>
          <w:p w14:paraId="4852CB9F" w14:textId="77777777" w:rsidR="00A031C9" w:rsidRPr="005D68A0" w:rsidRDefault="00A031C9" w:rsidP="00A031C9">
            <w:pPr>
              <w:pStyle w:val="ListParagraph"/>
              <w:numPr>
                <w:ilvl w:val="0"/>
                <w:numId w:val="129"/>
              </w:numPr>
              <w:spacing w:before="100" w:beforeAutospacing="1"/>
              <w:jc w:val="left"/>
              <w:rPr>
                <w:rFonts w:ascii="Arial Narrow" w:hAnsi="Arial Narrow" w:cs="Arial"/>
                <w:noProof/>
                <w:color w:val="006100"/>
                <w:sz w:val="20"/>
                <w:szCs w:val="20"/>
              </w:rPr>
            </w:pPr>
            <w:r>
              <w:rPr>
                <w:rFonts w:ascii="Arial Narrow" w:hAnsi="Arial Narrow"/>
                <w:noProof/>
                <w:color w:val="006100"/>
                <w:sz w:val="20"/>
              </w:rPr>
              <w:t xml:space="preserve">süsteemi mõju seoses lepingute sõlmimise ja riigihankelepingute täitmise ajakavaga.  </w:t>
            </w:r>
          </w:p>
          <w:p w14:paraId="2B5A5CDE"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 xml:space="preserve">Mittekvalifitseeritud üksuste suutlikkuse suurendamise meetmetes osalemise kaardistamise tulemuste avaldamine. </w:t>
            </w:r>
          </w:p>
          <w:p w14:paraId="44A97CC7"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Pärast ANACiga konsulteerimist võetakse vastu täiendavad algatused, mille eesmärk on stimuleerida avaliku sektori hankijate kvalifitseerimist, killustatuse vähendamist ja kvalifitseerimata üksuste kutseliseks muutmist.</w:t>
            </w:r>
          </w:p>
          <w:p w14:paraId="3524A6C0"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Kui tsentraliseerimine ei ole kättesaadav või teostatav, võetakse vastu täiendavad vahendid kohalikele või kvalifitseerimata avaliku sektori hankijatele tehniliseks/haldustoetuseks, mis on töökorras.</w:t>
            </w:r>
          </w:p>
        </w:tc>
      </w:tr>
      <w:tr w:rsidR="00A031C9" w:rsidRPr="00D90835" w14:paraId="25D0EEB9"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2842E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M1C1–73quater</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9CB538"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1.10. Riigihangete õigusraamistiku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CE122D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402C243" w14:textId="77777777" w:rsidR="00A031C9" w:rsidRPr="005D68A0" w:rsidRDefault="00A031C9" w:rsidP="00A031C9">
            <w:pPr>
              <w:spacing w:before="100" w:beforeAutospacing="1" w:after="120"/>
              <w:jc w:val="center"/>
              <w:rPr>
                <w:rFonts w:ascii="Arial Narrow" w:hAnsi="Arial Narrow" w:cs="Arial"/>
                <w:noProof/>
                <w:color w:val="006100"/>
                <w:sz w:val="20"/>
                <w:szCs w:val="20"/>
              </w:rPr>
            </w:pPr>
            <w:r>
              <w:rPr>
                <w:rFonts w:ascii="Arial Narrow" w:hAnsi="Arial Narrow"/>
                <w:noProof/>
                <w:color w:val="006100"/>
                <w:sz w:val="20"/>
              </w:rPr>
              <w:t>ELi piirmäärast allapoole jäävate hangete suuniste jõustumine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8E35F9A" w14:textId="77777777" w:rsidR="00A031C9" w:rsidRPr="005D68A0" w:rsidRDefault="00A031C9" w:rsidP="00A031C9">
            <w:pPr>
              <w:spacing w:before="100" w:beforeAutospacing="1" w:after="120"/>
              <w:jc w:val="center"/>
              <w:rPr>
                <w:rFonts w:ascii="Arial Narrow" w:hAnsi="Arial Narrow" w:cs="Arial"/>
                <w:noProof/>
                <w:color w:val="006100"/>
                <w:sz w:val="20"/>
                <w:szCs w:val="20"/>
              </w:rPr>
            </w:pPr>
            <w:r>
              <w:rPr>
                <w:rFonts w:ascii="Arial Narrow" w:hAnsi="Arial Narrow"/>
                <w:noProof/>
                <w:color w:val="006100"/>
                <w:sz w:val="20"/>
              </w:rPr>
              <w:t>ELi piirmäärast allapoole jäävate hangete suuniste jõustumine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5D779E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66D50E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AC5F65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788B04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1DEE4D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2023</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EFCDDAC"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Ringkiri alla ELi piirmäära jäävate hangete kohta võeti vastu ja avaldati Itaalia Euroopa Liidu Teatajas. Ringkirjas selgitatakse, et avaliku sektori hankijad võivad kasutada ELi piirmäärast allapoole jäävate hangete puhul avatud ja piiratud hankemenetlusi.</w:t>
            </w:r>
          </w:p>
        </w:tc>
      </w:tr>
      <w:tr w:rsidR="00A031C9" w:rsidRPr="00D90835" w14:paraId="199F2343"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62F48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M1C1–73quinquies</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4B467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1.10. Riigihangete õigusraamistiku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DB2D4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B63F159" w14:textId="77777777" w:rsidR="00A031C9" w:rsidRPr="005D68A0" w:rsidRDefault="00A031C9" w:rsidP="00A031C9">
            <w:pPr>
              <w:spacing w:before="100" w:beforeAutospacing="1" w:after="120"/>
              <w:jc w:val="center"/>
              <w:rPr>
                <w:rFonts w:ascii="Arial Narrow" w:hAnsi="Arial Narrow" w:cs="Arial"/>
                <w:noProof/>
                <w:color w:val="006100"/>
                <w:sz w:val="20"/>
                <w:szCs w:val="20"/>
              </w:rPr>
            </w:pPr>
            <w:r>
              <w:rPr>
                <w:rFonts w:ascii="Arial Narrow" w:hAnsi="Arial Narrow"/>
                <w:noProof/>
                <w:color w:val="006100"/>
                <w:sz w:val="20"/>
              </w:rPr>
              <w:t>Projektide rahastamist käsitlevate uute õigusnormide jõustumine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2EE243" w14:textId="77777777" w:rsidR="00A031C9" w:rsidRPr="005D68A0" w:rsidRDefault="00A031C9" w:rsidP="00A031C9">
            <w:pPr>
              <w:spacing w:before="100" w:beforeAutospacing="1" w:after="120"/>
              <w:jc w:val="center"/>
              <w:rPr>
                <w:rFonts w:ascii="Arial Narrow" w:hAnsi="Arial Narrow" w:cs="Arial"/>
                <w:noProof/>
                <w:color w:val="006100"/>
                <w:sz w:val="20"/>
                <w:szCs w:val="20"/>
              </w:rPr>
            </w:pPr>
            <w:r>
              <w:rPr>
                <w:rFonts w:ascii="Arial Narrow" w:hAnsi="Arial Narrow"/>
                <w:noProof/>
                <w:color w:val="006100"/>
                <w:sz w:val="20"/>
              </w:rPr>
              <w:t>Seaduse säte, mis viitab uute õigusnormide jõustumisele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5AAF2C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A31100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741359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BB283A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A72742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3DF53D0"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Projektide rahastamist käsitlevate uute õigusnormide jõustumine, mille eesmärk on suurendada tõhusust ja konkurentsi, eelkõige selleks, et suurendada kontsessioonide avatust konkurentsile.</w:t>
            </w:r>
          </w:p>
        </w:tc>
      </w:tr>
      <w:tr w:rsidR="00A031C9" w:rsidRPr="00D90835" w14:paraId="1B155E58"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9188CD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M1C1-75</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E0FE16"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1.10. Riigihangete õigusraamistiku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B8058E1" w14:textId="640839CF"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5DE5CC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Riikliku e-riigihangete süsteemi täielik toimimine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E99D1C6"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Teostatavusuuringus määratletud funktsioonide olemasolu (koostatakse projekti 1. ülesandena)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117B7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BA323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26160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12778C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2518EF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2023</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DE73CD4"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Riiklik e-riigihangete süsteem peab olema toimiv ja täielikult kooskõlas ELi riigihankedirektiividega ning hõlmama menetluste täielikku digiteerimist kuni lepingu täitmiseni (arukad hanked), olema koostalitlev avaliku halduse haldussüsteemidega, sisaldama tootjaorganisatsioonide digitaalset hõlvamist, enampakkumisi, masinõpet suundumuste kindlakstegemiseks, vestluste korraldamist, digitaalset kaasamist ja olekuahelat.</w:t>
            </w:r>
          </w:p>
        </w:tc>
      </w:tr>
      <w:tr w:rsidR="00A031C9" w:rsidRPr="00D90835" w14:paraId="54191809"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DD11AD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M1C1–75bis</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9FF0E1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Investeering 1.10. Kvalifikatsioonitoetus ja e-hanked</w:t>
            </w:r>
          </w:p>
          <w:p w14:paraId="48CC1804" w14:textId="77777777" w:rsidR="00A031C9" w:rsidRPr="005D68A0" w:rsidRDefault="00A031C9" w:rsidP="00A031C9">
            <w:pPr>
              <w:jc w:val="center"/>
              <w:rPr>
                <w:rFonts w:ascii="Arial Narrow" w:hAnsi="Arial Narrow" w:cs="Arial"/>
                <w:noProof/>
                <w:color w:val="006100"/>
                <w:sz w:val="20"/>
                <w:szCs w:val="20"/>
                <w:lang w:val="en-GB"/>
              </w:rPr>
            </w:pP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C229F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BCFF03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Kvalifikatsioonitoetus ja e-hanked</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34077B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 xml:space="preserve">Hanke tugifunktsiooni kasutuselevõtmine </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B3E086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5D5AF4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1B2692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477AFC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9FB6F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3A353D"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Riigihangete tugifunktsioon luuakse avaliku sektori hankijate professionaalsuse strateegia raames. Hanketugi on ette nähtud avaliku sektori hankijatele, et täita riigihankeseadustiku II lisa punkti 4 nõudeid ja toetada neid e-riigihangete protsessis, toetades digioskuste omandamist ja pakkudes tehnilist tuge riigihangete digitaliseerimise vastuvõtmisel, sealhulgas dünaamiliste hankesüsteemide kasutamisel.</w:t>
            </w:r>
          </w:p>
        </w:tc>
      </w:tr>
      <w:tr w:rsidR="00A031C9" w:rsidRPr="00D90835" w14:paraId="672C5438"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1BBF7E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M1C1-76</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322FB1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1.11. Avaliku halduse asutuste ja tervishoiuasutuste hilinenud maksete vähendamine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08745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F63B0D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Keskvalitsuste keskmine päevade arv ettevõtete eest tasumiseks on vähenenud</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839E96"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A67DE1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Kaalutud keskmine makseaeg</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DBF42D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D74E87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30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906B7F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1.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1CCEC1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2025</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D8A8C12" w14:textId="0F6C4A7D"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Kommertskrediidi platvormi (PCC) kohaselt peab keskvalitsusasutuste (</w:t>
            </w:r>
            <w:r>
              <w:rPr>
                <w:rFonts w:ascii="Arial Narrow" w:hAnsi="Arial Narrow"/>
                <w:i/>
                <w:noProof/>
                <w:color w:val="006100"/>
                <w:sz w:val="20"/>
              </w:rPr>
              <w:t>Amministrazioni dello Stato, enti pubblici nazionali e altri enti</w:t>
            </w:r>
            <w:r>
              <w:rPr>
                <w:rFonts w:ascii="Arial Narrow" w:hAnsi="Arial Narrow"/>
                <w:noProof/>
                <w:color w:val="006100"/>
                <w:sz w:val="20"/>
              </w:rPr>
              <w:t>) kaalutud keskmine maksetähtaeg olema kuni 30 päeva.</w:t>
            </w:r>
          </w:p>
        </w:tc>
      </w:tr>
      <w:tr w:rsidR="00A031C9" w:rsidRPr="00D90835" w14:paraId="51ED819A"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AA7E5B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M1C1-77</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623D97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1.11. Avaliku halduse asutuste ja tervishoiuasutuste hilinenud maksete vähendamine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59C6F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323EA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Vähendatakse keskmist päevade arvu, mille jooksul piirkondlikud haldusasutused tasustavad ettevõtteid</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D9984F8"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58F202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Kaalutud keskmine makseaeg (päevades)</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ED1F80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825C9D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30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CBC0828"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1.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91A6F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2025</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2BF5A07" w14:textId="236A4BB1"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Kommertskrediidi platvormi (PCC) kohaselt on piirkondlike ametiasutuste (</w:t>
            </w:r>
            <w:r>
              <w:rPr>
                <w:rFonts w:ascii="Arial Narrow" w:hAnsi="Arial Narrow"/>
                <w:i/>
                <w:noProof/>
                <w:color w:val="006100"/>
                <w:sz w:val="20"/>
              </w:rPr>
              <w:t>Regioni ja Province Autonome</w:t>
            </w:r>
            <w:r>
              <w:rPr>
                <w:rFonts w:ascii="Arial Narrow" w:hAnsi="Arial Narrow"/>
                <w:noProof/>
                <w:color w:val="006100"/>
                <w:sz w:val="20"/>
              </w:rPr>
              <w:t>) kaalutud keskmine makseaeg (tempo di pagamento) ettevõtjatele 30 päeva või alla selle.</w:t>
            </w:r>
          </w:p>
        </w:tc>
      </w:tr>
      <w:tr w:rsidR="00A031C9" w:rsidRPr="00D90835" w14:paraId="0B6E3557"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91E09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M1C1-78</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A61CD0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1.11. Avaliku halduse asutuste ja tervishoiuasutuste hilinenud maksete vähendamine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50487D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DD6488"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Kohalike haldusasutuste keskmine päevade arv ettevõtete eest tasumiseks on vähenenud</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D668C2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21C5ADC" w14:textId="77777777" w:rsidR="00A031C9" w:rsidRPr="005D68A0" w:rsidRDefault="00A031C9" w:rsidP="00A031C9">
            <w:pPr>
              <w:jc w:val="center"/>
              <w:rPr>
                <w:rFonts w:ascii="Arial Narrow" w:eastAsiaTheme="minorEastAsia" w:hAnsi="Arial Narrow" w:cs="Arial"/>
                <w:noProof/>
                <w:color w:val="006100"/>
                <w:sz w:val="20"/>
                <w:szCs w:val="20"/>
              </w:rPr>
            </w:pPr>
            <w:r>
              <w:rPr>
                <w:rFonts w:ascii="Arial Narrow" w:hAnsi="Arial Narrow"/>
                <w:noProof/>
                <w:color w:val="006100"/>
                <w:sz w:val="20"/>
              </w:rPr>
              <w:t>Kaalutud keskmine makseaeg</w:t>
            </w:r>
          </w:p>
          <w:p w14:paraId="24D692D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(päevades)</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6CB678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44F1C0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30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9F21F2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1.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A26F1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2025</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A8BACB9"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Kommertskrediidi platvormi (PCC) kohaselt on kohalike ametiasutuste (</w:t>
            </w:r>
            <w:r>
              <w:rPr>
                <w:rFonts w:ascii="Arial Narrow" w:hAnsi="Arial Narrow"/>
                <w:i/>
                <w:noProof/>
                <w:color w:val="006100"/>
                <w:sz w:val="20"/>
              </w:rPr>
              <w:t>enti local</w:t>
            </w:r>
            <w:r>
              <w:rPr>
                <w:rFonts w:ascii="Arial Narrow" w:hAnsi="Arial Narrow"/>
                <w:noProof/>
                <w:color w:val="006100"/>
                <w:sz w:val="20"/>
              </w:rPr>
              <w:t>i) kaalutud keskmine makseaeg (</w:t>
            </w:r>
            <w:r>
              <w:rPr>
                <w:rFonts w:ascii="Arial Narrow" w:hAnsi="Arial Narrow"/>
                <w:i/>
                <w:noProof/>
                <w:color w:val="006100"/>
                <w:sz w:val="20"/>
              </w:rPr>
              <w:t>tempo di pagamento</w:t>
            </w:r>
            <w:r>
              <w:rPr>
                <w:rFonts w:ascii="Arial Narrow" w:hAnsi="Arial Narrow"/>
                <w:noProof/>
                <w:color w:val="006100"/>
                <w:sz w:val="20"/>
              </w:rPr>
              <w:t>) ettevõtjatele alla 30 päeva või sellega võrdne.</w:t>
            </w:r>
          </w:p>
        </w:tc>
      </w:tr>
      <w:tr w:rsidR="00A031C9" w:rsidRPr="00D90835" w14:paraId="199CEEB8"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00EEF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M1C1-79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4DB976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1.11. Avaliku halduse asutuste ja tervishoiuasutuste hilinenud maksete vähendamine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4CFE7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CA510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Riiklike tervishoiuasutuste keskmine päevade arv ettevõtjate tasustamiseks on vähenenud</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F94404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573CF6C" w14:textId="77777777" w:rsidR="00A031C9" w:rsidRPr="005D68A0" w:rsidRDefault="00A031C9" w:rsidP="00A031C9">
            <w:pPr>
              <w:jc w:val="center"/>
              <w:rPr>
                <w:rFonts w:ascii="Arial Narrow" w:eastAsiaTheme="minorEastAsia" w:hAnsi="Arial Narrow" w:cs="Arial"/>
                <w:noProof/>
                <w:color w:val="006100"/>
                <w:sz w:val="20"/>
                <w:szCs w:val="20"/>
              </w:rPr>
            </w:pPr>
            <w:r>
              <w:rPr>
                <w:rFonts w:ascii="Arial Narrow" w:hAnsi="Arial Narrow"/>
                <w:noProof/>
                <w:color w:val="006100"/>
                <w:sz w:val="20"/>
              </w:rPr>
              <w:t>Kaalutud keskmine makseaeg</w:t>
            </w:r>
          </w:p>
          <w:p w14:paraId="06E928F8"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(päevades)</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9D5778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D5844A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60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E4F5C4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1.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593781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2025</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573E174"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Kommertskrediidi platvormi (PCC) kohaselt on riiklike tervishoiuasutuste (</w:t>
            </w:r>
            <w:r>
              <w:rPr>
                <w:rFonts w:ascii="Arial Narrow" w:hAnsi="Arial Narrow"/>
                <w:i/>
                <w:noProof/>
                <w:color w:val="006100"/>
                <w:sz w:val="20"/>
              </w:rPr>
              <w:t>enti del Servizio sanitario nazionale</w:t>
            </w:r>
            <w:r>
              <w:rPr>
                <w:rFonts w:ascii="Arial Narrow" w:hAnsi="Arial Narrow"/>
                <w:noProof/>
                <w:color w:val="006100"/>
                <w:sz w:val="20"/>
              </w:rPr>
              <w:t>) kaalutud keskmine maksetähtaeg ettevõtjatele 60 päeva või alla selle.</w:t>
            </w:r>
          </w:p>
        </w:tc>
      </w:tr>
      <w:tr w:rsidR="00A031C9" w:rsidRPr="00D90835" w14:paraId="58BC9073"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47EB89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M1C1-80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C7BADE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1.11. Avaliku halduse asutuste ja tervishoiuasutuste hilinenud maksete vähendamine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FCC44B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754F2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Vähendatakse keskvalitsuste poolt ettevõtjatele maksmisega viivitatud päevade keskmist arvu</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69DB1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05DD7D" w14:textId="77777777" w:rsidR="00A031C9" w:rsidRPr="005D68A0" w:rsidRDefault="00A031C9" w:rsidP="00A031C9">
            <w:pPr>
              <w:jc w:val="center"/>
              <w:rPr>
                <w:rFonts w:ascii="Arial Narrow" w:eastAsiaTheme="minorEastAsia" w:hAnsi="Arial Narrow" w:cs="Arial"/>
                <w:noProof/>
                <w:color w:val="006100"/>
                <w:sz w:val="20"/>
                <w:szCs w:val="20"/>
              </w:rPr>
            </w:pPr>
            <w:r>
              <w:rPr>
                <w:rFonts w:ascii="Arial Narrow" w:hAnsi="Arial Narrow"/>
                <w:noProof/>
                <w:color w:val="006100"/>
                <w:sz w:val="20"/>
              </w:rPr>
              <w:t>Kaalutud keskmine makseviivitus</w:t>
            </w:r>
          </w:p>
          <w:p w14:paraId="6D0ED4BB" w14:textId="77777777" w:rsidR="00A031C9" w:rsidRPr="005D68A0" w:rsidRDefault="00A031C9" w:rsidP="00A031C9">
            <w:pPr>
              <w:jc w:val="center"/>
              <w:rPr>
                <w:rFonts w:ascii="Arial Narrow" w:eastAsiaTheme="minorEastAsia" w:hAnsi="Arial Narrow" w:cs="Arial"/>
                <w:noProof/>
                <w:color w:val="006100"/>
                <w:sz w:val="20"/>
                <w:szCs w:val="20"/>
              </w:rPr>
            </w:pPr>
            <w:r>
              <w:rPr>
                <w:rFonts w:ascii="Arial Narrow" w:hAnsi="Arial Narrow"/>
                <w:noProof/>
                <w:color w:val="006100"/>
                <w:sz w:val="20"/>
              </w:rPr>
              <w:t>(päevades)</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D03FF58"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D67C516"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00A90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1.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161F2D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2025</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5AE3F3C" w14:textId="77777777" w:rsidR="00A031C9" w:rsidRPr="005D68A0" w:rsidRDefault="00A031C9" w:rsidP="00A031C9">
            <w:pPr>
              <w:spacing w:before="100" w:beforeAutospacing="1" w:after="120"/>
              <w:rPr>
                <w:rFonts w:ascii="Arial Narrow" w:eastAsiaTheme="minorEastAsia" w:hAnsi="Arial Narrow" w:cs="Arial"/>
                <w:noProof/>
                <w:color w:val="006100"/>
                <w:sz w:val="20"/>
                <w:szCs w:val="20"/>
              </w:rPr>
            </w:pPr>
            <w:r>
              <w:rPr>
                <w:rFonts w:ascii="Arial Narrow" w:hAnsi="Arial Narrow"/>
                <w:noProof/>
                <w:color w:val="006100"/>
                <w:sz w:val="20"/>
              </w:rPr>
              <w:t>Kommertskrediidi platvormi (PCC) kohaselt on keskasutuste (</w:t>
            </w:r>
            <w:r>
              <w:rPr>
                <w:rFonts w:ascii="Arial Narrow" w:hAnsi="Arial Narrow"/>
                <w:i/>
                <w:noProof/>
                <w:color w:val="006100"/>
                <w:sz w:val="20"/>
              </w:rPr>
              <w:t>Amministrazioni dello Stato, enti pubblici nazionali e altri enti</w:t>
            </w:r>
            <w:r>
              <w:rPr>
                <w:rFonts w:ascii="Arial Narrow" w:hAnsi="Arial Narrow"/>
                <w:noProof/>
                <w:color w:val="006100"/>
                <w:sz w:val="20"/>
              </w:rPr>
              <w:t>) poolt ettevõtetele tehtavate maksete keskmine kaalutud viivitus (tempo di ritardo) kuni 0 päeva.</w:t>
            </w:r>
          </w:p>
        </w:tc>
      </w:tr>
      <w:tr w:rsidR="00A031C9" w:rsidRPr="00D90835" w14:paraId="7CC3AE9A"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4FE79B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M1C1-81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18F8D6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1.11. Avaliku halduse asutuste ja tervishoiuasutuste hilinenud maksete vähendamine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B30D6A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A69E0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Vähendatakse piirkondlike haldusasutuste poolt ettevõtetele maksmisega viivitatud päevade keskmist arvu</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2094D9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F21B34" w14:textId="77777777" w:rsidR="00A031C9" w:rsidRPr="005D68A0" w:rsidRDefault="00A031C9" w:rsidP="00A031C9">
            <w:pPr>
              <w:jc w:val="center"/>
              <w:rPr>
                <w:rFonts w:ascii="Arial Narrow" w:eastAsiaTheme="minorEastAsia" w:hAnsi="Arial Narrow" w:cs="Arial"/>
                <w:noProof/>
                <w:color w:val="006100"/>
                <w:sz w:val="20"/>
                <w:szCs w:val="20"/>
              </w:rPr>
            </w:pPr>
            <w:r>
              <w:rPr>
                <w:rFonts w:ascii="Arial Narrow" w:hAnsi="Arial Narrow"/>
                <w:noProof/>
                <w:color w:val="006100"/>
                <w:sz w:val="20"/>
              </w:rPr>
              <w:t>Kaalutud keskmine makseviivitus</w:t>
            </w:r>
          </w:p>
          <w:p w14:paraId="380A7E12" w14:textId="77777777" w:rsidR="00A031C9" w:rsidRPr="005D68A0" w:rsidRDefault="00A031C9" w:rsidP="00A031C9">
            <w:pPr>
              <w:jc w:val="center"/>
              <w:rPr>
                <w:rFonts w:ascii="Arial Narrow" w:eastAsiaTheme="minorEastAsia" w:hAnsi="Arial Narrow" w:cs="Arial"/>
                <w:noProof/>
                <w:color w:val="006100"/>
                <w:sz w:val="20"/>
                <w:szCs w:val="20"/>
              </w:rPr>
            </w:pPr>
            <w:r>
              <w:rPr>
                <w:rFonts w:ascii="Arial Narrow" w:hAnsi="Arial Narrow"/>
                <w:noProof/>
                <w:color w:val="006100"/>
                <w:sz w:val="20"/>
              </w:rPr>
              <w:t>(päevades)</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5934CC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F48E9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70FD23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1.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501207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2025</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463DF5" w14:textId="77777777" w:rsidR="00A031C9" w:rsidRPr="005D68A0" w:rsidRDefault="00A031C9" w:rsidP="00A031C9">
            <w:pPr>
              <w:spacing w:before="100" w:beforeAutospacing="1" w:after="120"/>
              <w:rPr>
                <w:rFonts w:ascii="Arial Narrow" w:eastAsiaTheme="minorEastAsia" w:hAnsi="Arial Narrow" w:cs="Arial"/>
                <w:noProof/>
                <w:color w:val="006100"/>
                <w:sz w:val="20"/>
                <w:szCs w:val="20"/>
              </w:rPr>
            </w:pPr>
            <w:r>
              <w:rPr>
                <w:rFonts w:ascii="Arial Narrow" w:hAnsi="Arial Narrow"/>
                <w:noProof/>
                <w:color w:val="006100"/>
                <w:sz w:val="20"/>
              </w:rPr>
              <w:t>Kommertslaenude platvormi (PCC) kohaselt on piirkondlike omavalitsuste (</w:t>
            </w:r>
            <w:r>
              <w:rPr>
                <w:rFonts w:ascii="Arial Narrow" w:hAnsi="Arial Narrow"/>
                <w:i/>
                <w:noProof/>
                <w:color w:val="006100"/>
                <w:sz w:val="20"/>
              </w:rPr>
              <w:t>Regioni ja Province Autonome</w:t>
            </w:r>
            <w:r>
              <w:rPr>
                <w:rFonts w:ascii="Arial Narrow" w:hAnsi="Arial Narrow"/>
                <w:noProof/>
                <w:color w:val="006100"/>
                <w:sz w:val="20"/>
              </w:rPr>
              <w:t>) kaalutud keskmine makseviivitus (tempo di ritardo) ettevõtjatele kõige rohkem 0 päeva.</w:t>
            </w:r>
          </w:p>
        </w:tc>
      </w:tr>
      <w:tr w:rsidR="00A031C9" w:rsidRPr="00D90835" w14:paraId="2D5F3DC0"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A0E388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M1C1-82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9BE3D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1.11. Avaliku halduse asutuste ja tervishoiuasutuste hilinenud maksete vähendamine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819E7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0A99E9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Kohalike haldusasutuste poolt ettevõtjatele maksmisega viivitatud päevade keskmine arv on väiksem</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34D7E6"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4B675F" w14:textId="77777777" w:rsidR="00A031C9" w:rsidRPr="005D68A0" w:rsidRDefault="00A031C9" w:rsidP="00A031C9">
            <w:pPr>
              <w:jc w:val="center"/>
              <w:rPr>
                <w:rFonts w:ascii="Arial Narrow" w:eastAsiaTheme="minorEastAsia" w:hAnsi="Arial Narrow" w:cs="Arial"/>
                <w:noProof/>
                <w:color w:val="006100"/>
                <w:sz w:val="20"/>
                <w:szCs w:val="20"/>
              </w:rPr>
            </w:pPr>
            <w:r>
              <w:rPr>
                <w:rFonts w:ascii="Arial Narrow" w:hAnsi="Arial Narrow"/>
                <w:noProof/>
                <w:color w:val="006100"/>
                <w:sz w:val="20"/>
              </w:rPr>
              <w:t>Kaalutud keskmine makseviivitus</w:t>
            </w:r>
          </w:p>
          <w:p w14:paraId="0BC99908" w14:textId="77777777" w:rsidR="00A031C9" w:rsidRPr="005D68A0" w:rsidRDefault="00A031C9" w:rsidP="00A031C9">
            <w:pPr>
              <w:jc w:val="center"/>
              <w:rPr>
                <w:rFonts w:ascii="Arial Narrow" w:eastAsiaTheme="minorEastAsia" w:hAnsi="Arial Narrow" w:cs="Arial"/>
                <w:noProof/>
                <w:color w:val="006100"/>
                <w:sz w:val="20"/>
                <w:szCs w:val="20"/>
              </w:rPr>
            </w:pPr>
            <w:r>
              <w:rPr>
                <w:rFonts w:ascii="Arial Narrow" w:hAnsi="Arial Narrow"/>
                <w:noProof/>
                <w:color w:val="006100"/>
                <w:sz w:val="20"/>
              </w:rPr>
              <w:t>(päevades)</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000829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E9E23D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D27C5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1.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CF847F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2025</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EE3B20" w14:textId="77777777" w:rsidR="00A031C9" w:rsidRPr="005D68A0" w:rsidRDefault="00A031C9" w:rsidP="00A031C9">
            <w:pPr>
              <w:spacing w:before="100" w:beforeAutospacing="1" w:after="120"/>
              <w:rPr>
                <w:rFonts w:ascii="Arial Narrow" w:eastAsiaTheme="minorEastAsia" w:hAnsi="Arial Narrow" w:cs="Arial"/>
                <w:noProof/>
                <w:color w:val="006100"/>
                <w:sz w:val="20"/>
                <w:szCs w:val="20"/>
              </w:rPr>
            </w:pPr>
            <w:r>
              <w:rPr>
                <w:rFonts w:ascii="Arial Narrow" w:hAnsi="Arial Narrow"/>
                <w:noProof/>
                <w:color w:val="006100"/>
                <w:sz w:val="20"/>
              </w:rPr>
              <w:t>Kommertskrediidi platvormi (PCC) kohaselt on kohalike omavalitsuste (</w:t>
            </w:r>
            <w:r>
              <w:rPr>
                <w:rFonts w:ascii="Arial Narrow" w:hAnsi="Arial Narrow"/>
                <w:i/>
                <w:noProof/>
                <w:color w:val="006100"/>
                <w:sz w:val="20"/>
              </w:rPr>
              <w:t>enti locali</w:t>
            </w:r>
            <w:r>
              <w:rPr>
                <w:rFonts w:ascii="Arial Narrow" w:hAnsi="Arial Narrow"/>
                <w:noProof/>
                <w:color w:val="006100"/>
                <w:sz w:val="20"/>
              </w:rPr>
              <w:t>) kaalutud keskmine makseviivitus (</w:t>
            </w:r>
            <w:r>
              <w:rPr>
                <w:rFonts w:ascii="Arial Narrow" w:hAnsi="Arial Narrow"/>
                <w:i/>
                <w:noProof/>
                <w:color w:val="006100"/>
                <w:sz w:val="20"/>
              </w:rPr>
              <w:t>tempo di ritardo</w:t>
            </w:r>
            <w:r>
              <w:rPr>
                <w:rFonts w:ascii="Arial Narrow" w:hAnsi="Arial Narrow"/>
                <w:noProof/>
                <w:color w:val="006100"/>
                <w:sz w:val="20"/>
              </w:rPr>
              <w:t>) ettevõtjatele kõige rohkem 0 päeva.</w:t>
            </w:r>
          </w:p>
        </w:tc>
      </w:tr>
      <w:tr w:rsidR="00A031C9" w:rsidRPr="00D90835" w14:paraId="373AD45D"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9D0C3C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M1C1-83</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8F422C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1.11. Avaliku halduse asutuste ja tervishoiuasutuste hilinenud maksete vähendamine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8E80D6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58119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Tervishoiuasutuste poolt ettevõtjatele maksmisega viivitatud päevade keskmine arv on vähenenud</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2A6FB5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B05D2C9" w14:textId="77777777" w:rsidR="00A031C9" w:rsidRPr="005D68A0" w:rsidRDefault="00A031C9" w:rsidP="00A031C9">
            <w:pPr>
              <w:jc w:val="center"/>
              <w:rPr>
                <w:rFonts w:ascii="Arial Narrow" w:eastAsiaTheme="minorEastAsia" w:hAnsi="Arial Narrow" w:cs="Arial"/>
                <w:noProof/>
                <w:color w:val="006100"/>
                <w:sz w:val="20"/>
                <w:szCs w:val="20"/>
              </w:rPr>
            </w:pPr>
            <w:r>
              <w:rPr>
                <w:rFonts w:ascii="Arial Narrow" w:hAnsi="Arial Narrow"/>
                <w:noProof/>
                <w:color w:val="006100"/>
                <w:sz w:val="20"/>
              </w:rPr>
              <w:t>Kaalutud keskmine makseviivitus</w:t>
            </w:r>
          </w:p>
          <w:p w14:paraId="3974451B" w14:textId="77777777" w:rsidR="00A031C9" w:rsidRPr="005D68A0" w:rsidRDefault="00A031C9" w:rsidP="00A031C9">
            <w:pPr>
              <w:jc w:val="center"/>
              <w:rPr>
                <w:rFonts w:ascii="Arial Narrow" w:eastAsiaTheme="minorEastAsia" w:hAnsi="Arial Narrow" w:cs="Arial"/>
                <w:noProof/>
                <w:color w:val="006100"/>
                <w:sz w:val="20"/>
                <w:szCs w:val="20"/>
              </w:rPr>
            </w:pPr>
            <w:r>
              <w:rPr>
                <w:rFonts w:ascii="Arial Narrow" w:hAnsi="Arial Narrow"/>
                <w:noProof/>
                <w:color w:val="006100"/>
                <w:sz w:val="20"/>
              </w:rPr>
              <w:t>(päevades)</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C8BFFB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1DDE05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F3CFF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1.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7EA56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2025</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89B41DF" w14:textId="77777777" w:rsidR="00A031C9" w:rsidRPr="005D68A0" w:rsidRDefault="00A031C9" w:rsidP="00A031C9">
            <w:pPr>
              <w:spacing w:before="100" w:beforeAutospacing="1" w:after="120"/>
              <w:rPr>
                <w:rFonts w:ascii="Arial Narrow" w:eastAsiaTheme="minorEastAsia" w:hAnsi="Arial Narrow" w:cs="Arial"/>
                <w:noProof/>
                <w:sz w:val="20"/>
                <w:szCs w:val="20"/>
              </w:rPr>
            </w:pPr>
            <w:r>
              <w:rPr>
                <w:rFonts w:ascii="Arial Narrow" w:hAnsi="Arial Narrow"/>
                <w:noProof/>
                <w:color w:val="006100"/>
                <w:sz w:val="20"/>
              </w:rPr>
              <w:t>Kommertskrediidi platvormi (PCC) kohaselt on riiklike tervishoiuasutuste (</w:t>
            </w:r>
            <w:r>
              <w:rPr>
                <w:rFonts w:ascii="Arial Narrow" w:hAnsi="Arial Narrow"/>
                <w:i/>
                <w:noProof/>
                <w:color w:val="006100"/>
                <w:sz w:val="20"/>
              </w:rPr>
              <w:t>enti del Servizio sanitario nazionale</w:t>
            </w:r>
            <w:r>
              <w:rPr>
                <w:rFonts w:ascii="Arial Narrow" w:hAnsi="Arial Narrow"/>
                <w:noProof/>
                <w:color w:val="006100"/>
                <w:sz w:val="20"/>
              </w:rPr>
              <w:t>) poolt ettevõtetele tehtavate maksete keskmine kaalutud viivitus (</w:t>
            </w:r>
            <w:r>
              <w:rPr>
                <w:rFonts w:ascii="Arial Narrow" w:hAnsi="Arial Narrow"/>
                <w:i/>
                <w:noProof/>
                <w:color w:val="006100"/>
                <w:sz w:val="20"/>
              </w:rPr>
              <w:t>tempo di ritardo</w:t>
            </w:r>
            <w:r>
              <w:rPr>
                <w:rFonts w:ascii="Arial Narrow" w:hAnsi="Arial Narrow"/>
                <w:noProof/>
                <w:color w:val="006100"/>
                <w:sz w:val="20"/>
              </w:rPr>
              <w:t>) maksimaalselt 0 päeva.</w:t>
            </w:r>
          </w:p>
        </w:tc>
      </w:tr>
      <w:tr w:rsidR="00A031C9" w:rsidRPr="00D90835" w14:paraId="4D749DD4"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6F1D12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M1C1-84</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5F15EB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1.10. Riigihangete õigusraamistiku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7CB905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6DF94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Keskmine aeg avaldamise ja lepingu sõlmimise vahel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10018B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C1FA9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Arv</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BB7CE06"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139</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677B3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100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EDFDC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2DF2F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2023</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3CDE91C"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 xml:space="preserve">Tuginedes Euroopa Liidu Teatajas (TED) vastu võetud meetoditele, kasutades ANACi hallatava riikliku IT-riigihankelepingute andmebaasi (BDNCP) andmeid, vähendatakse pakkumuste esitamise tähtaja ja lepingu sõlmimise vahele jäävat keskmist aega vähem kui 100 päevani lepingute puhul, mis ületavad ELi riigihankedirektiivides sätestatud piirmäärasid. </w:t>
            </w:r>
          </w:p>
        </w:tc>
      </w:tr>
      <w:tr w:rsidR="00A031C9" w:rsidRPr="00D90835" w14:paraId="7A36C40E"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D7B2D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M1C1–84bis</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6F5DB3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1.10. Riigihangete õigusraamistiku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0E7D4C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8D9A8B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Meetmed, millega parandatakse otsuste tegemise kiirust avaliku sektori hankijatega lepingute sõlmimisel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12920B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Rakendusmeetmete vastuvõtmine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D999F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3F5B36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3F0B2F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40D7B5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410CB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90F7EE"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Selleks et kiirendada otsuste tegemise kiirust lepingute sõlmimisel ja kiirendada riigihangete seadustiku reformiga algatatud protsessi riigihangete digiteerimise ja avaliku sektori hankijate professionaalsemaks muutmise kaudu, teeb Cabina di regia (endine riigihangete seadustiku artikkel 221) pärast ANACiga konsulteerimist järgmist:</w:t>
            </w:r>
          </w:p>
          <w:p w14:paraId="1A845BA0"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 analüüs e-riigihangete mõju kohta lepingu sõlmimise ajale kuni lepingu sõlmimiseni;</w:t>
            </w:r>
          </w:p>
          <w:p w14:paraId="62BBCDD5"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 xml:space="preserve">– otsustuskiiruse hindamine tehnika taseme kohta; </w:t>
            </w:r>
          </w:p>
          <w:p w14:paraId="59D453DF"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 xml:space="preserve">– avaliku sektori hankijate parimate tavade jälgimine, mille eesmärk on lühendada lepingute sõlmimise aega; </w:t>
            </w:r>
          </w:p>
          <w:p w14:paraId="41A276A4"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õigusliku raamistiku analüüs, mille eesmärk oli teha kindlaks mis tahes kriitilised probleemid hankemenetlustes, ning analüüsi põhjal ettepanek algatuste kohta, mis on lõpule viidud, et lühendada otsuste tegemise kiirust.</w:t>
            </w:r>
          </w:p>
          <w:p w14:paraId="10AE493F"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 xml:space="preserve">Alates 2024. aasta andmetest jälgib ANAC igal aastal avaliku sektori hankijate keskmist otsustuskiirust, tuginedes talle riigihankeseadustiku artikliga 222 antud volitustele. </w:t>
            </w:r>
          </w:p>
          <w:p w14:paraId="093CBD4C"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Avaliku sektori hankijad, kelle keskmine otsuste tegemise kiirus on TEDis üle 160 päeva, peavad osalema kvalifitseerimise ja kutseliseks muutmises.</w:t>
            </w:r>
          </w:p>
        </w:tc>
      </w:tr>
      <w:tr w:rsidR="00A031C9" w:rsidRPr="00D90835" w14:paraId="06F96D65"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20C36D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M1C1-85</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99F886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1.10. Riigihangete õigusraamistiku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841A6A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A2FB1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Keskmine lepingu sõlmimise ja infrastruktuuri realiseerimise vaheline aeg</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881B9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C9849F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Protsent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59C90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100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8275D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90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BEFF14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F081CE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2023</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54A1AF9"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Lepingu sõlmimise ja infrastruktuuri (</w:t>
            </w:r>
            <w:r>
              <w:rPr>
                <w:rFonts w:ascii="Arial Narrow" w:hAnsi="Arial Narrow"/>
                <w:i/>
                <w:noProof/>
                <w:color w:val="006100"/>
                <w:sz w:val="20"/>
              </w:rPr>
              <w:t>fase esecutiva</w:t>
            </w:r>
            <w:r>
              <w:rPr>
                <w:rFonts w:ascii="Arial Narrow" w:hAnsi="Arial Narrow"/>
                <w:noProof/>
                <w:color w:val="006100"/>
                <w:sz w:val="20"/>
              </w:rPr>
              <w:t>) realiseerimise vahelist keskmist aega vähendatakse vähemalt 10 %.</w:t>
            </w:r>
          </w:p>
        </w:tc>
      </w:tr>
      <w:tr w:rsidR="00A031C9" w:rsidRPr="00D90835" w14:paraId="1BBD3A2F"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E6723E" w14:textId="77777777" w:rsidR="00A031C9" w:rsidRPr="00207640" w:rsidRDefault="00A031C9" w:rsidP="00A031C9">
            <w:pPr>
              <w:jc w:val="center"/>
              <w:rPr>
                <w:rFonts w:ascii="Arial Narrow" w:hAnsi="Arial Narrow"/>
                <w:noProof/>
                <w:color w:val="006100"/>
                <w:sz w:val="20"/>
              </w:rPr>
            </w:pPr>
            <w:r>
              <w:rPr>
                <w:rFonts w:ascii="Arial Narrow" w:hAnsi="Arial Narrow"/>
                <w:noProof/>
                <w:color w:val="006100"/>
                <w:sz w:val="20"/>
              </w:rPr>
              <w:t>M1C1-86</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8B970FF" w14:textId="77777777" w:rsidR="00A031C9" w:rsidRPr="00207640" w:rsidRDefault="00A031C9" w:rsidP="00A031C9">
            <w:pPr>
              <w:jc w:val="center"/>
              <w:rPr>
                <w:rFonts w:ascii="Arial Narrow" w:hAnsi="Arial Narrow"/>
                <w:noProof/>
                <w:color w:val="006100"/>
                <w:sz w:val="20"/>
              </w:rPr>
            </w:pPr>
            <w:r>
              <w:rPr>
                <w:rFonts w:ascii="Arial Narrow" w:hAnsi="Arial Narrow"/>
                <w:noProof/>
                <w:color w:val="006100"/>
                <w:sz w:val="20"/>
              </w:rPr>
              <w:t>Reform 1.10. Riigihangete õigusraamistiku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D308A27" w14:textId="77777777" w:rsidR="00A031C9" w:rsidRPr="00207640" w:rsidRDefault="00A031C9" w:rsidP="00A031C9">
            <w:pPr>
              <w:jc w:val="center"/>
              <w:rPr>
                <w:rFonts w:ascii="Arial Narrow" w:hAnsi="Arial Narrow"/>
                <w:noProof/>
                <w:color w:val="006100"/>
                <w:sz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A30D7C1" w14:textId="77777777" w:rsidR="00A031C9" w:rsidRPr="00207640" w:rsidRDefault="00A031C9" w:rsidP="00A031C9">
            <w:pPr>
              <w:jc w:val="center"/>
              <w:rPr>
                <w:rFonts w:ascii="Arial Narrow" w:hAnsi="Arial Narrow"/>
                <w:noProof/>
                <w:color w:val="006100"/>
                <w:sz w:val="20"/>
              </w:rPr>
            </w:pPr>
            <w:r>
              <w:rPr>
                <w:rFonts w:ascii="Arial Narrow" w:hAnsi="Arial Narrow"/>
                <w:noProof/>
                <w:color w:val="006100"/>
                <w:sz w:val="20"/>
              </w:rPr>
              <w:t>Avaliku sektori hankijad, keda on koolitatud avaliku sektori hankijate kutseliseks muutmise strateegia raames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D1DBEF" w14:textId="77777777" w:rsidR="00A031C9" w:rsidRPr="00207640" w:rsidRDefault="00A031C9" w:rsidP="00A031C9">
            <w:pPr>
              <w:jc w:val="center"/>
              <w:rPr>
                <w:rFonts w:ascii="Arial Narrow" w:hAnsi="Arial Narrow"/>
                <w:noProof/>
                <w:color w:val="006100"/>
                <w:sz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3EF2AF9" w14:textId="2A9EABCB" w:rsidR="00A031C9" w:rsidRPr="00207640" w:rsidRDefault="00A031C9" w:rsidP="00A031C9">
            <w:pPr>
              <w:jc w:val="center"/>
              <w:rPr>
                <w:rFonts w:ascii="Arial Narrow" w:hAnsi="Arial Narrow"/>
                <w:noProof/>
                <w:color w:val="006100"/>
                <w:sz w:val="20"/>
              </w:rPr>
            </w:pPr>
            <w:r>
              <w:rPr>
                <w:rFonts w:ascii="Arial Narrow" w:hAnsi="Arial Narrow"/>
                <w:noProof/>
                <w:color w:val="006100"/>
                <w:sz w:val="20"/>
              </w:rPr>
              <w:t>Arv</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95099C7" w14:textId="77777777" w:rsidR="00A031C9" w:rsidRPr="00207640" w:rsidRDefault="00A031C9" w:rsidP="00A031C9">
            <w:pPr>
              <w:jc w:val="center"/>
              <w:rPr>
                <w:rFonts w:ascii="Arial Narrow" w:hAnsi="Arial Narrow"/>
                <w:noProof/>
                <w:color w:val="006100"/>
                <w:sz w:val="20"/>
              </w:rPr>
            </w:pPr>
            <w:r>
              <w:rPr>
                <w:rFonts w:ascii="Arial Narrow" w:hAnsi="Arial Narrow"/>
                <w:noProof/>
                <w:color w:val="006100"/>
                <w:sz w:val="20"/>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42842EE" w14:textId="7973350B" w:rsidR="00A031C9" w:rsidRPr="00207640" w:rsidRDefault="00A031C9" w:rsidP="00A031C9">
            <w:pPr>
              <w:jc w:val="center"/>
              <w:rPr>
                <w:rFonts w:ascii="Arial Narrow" w:hAnsi="Arial Narrow"/>
                <w:noProof/>
                <w:color w:val="006100"/>
                <w:sz w:val="20"/>
              </w:rPr>
            </w:pPr>
            <w:r>
              <w:rPr>
                <w:rFonts w:ascii="Arial Narrow" w:hAnsi="Arial Narrow"/>
                <w:noProof/>
                <w:color w:val="006100"/>
                <w:sz w:val="20"/>
              </w:rPr>
              <w:t>20 000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79C83EB" w14:textId="77777777" w:rsidR="00A031C9" w:rsidRPr="00207640" w:rsidRDefault="00A031C9" w:rsidP="00A031C9">
            <w:pPr>
              <w:jc w:val="center"/>
              <w:rPr>
                <w:rFonts w:ascii="Arial Narrow" w:hAnsi="Arial Narrow"/>
                <w:noProof/>
                <w:color w:val="006100"/>
                <w:sz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7DB7F2" w14:textId="77777777" w:rsidR="00A031C9" w:rsidRPr="00207640" w:rsidRDefault="00A031C9" w:rsidP="00A031C9">
            <w:pPr>
              <w:jc w:val="center"/>
              <w:rPr>
                <w:rFonts w:ascii="Arial Narrow" w:hAnsi="Arial Narrow"/>
                <w:noProof/>
                <w:color w:val="006100"/>
                <w:sz w:val="20"/>
              </w:rPr>
            </w:pPr>
            <w:r>
              <w:rPr>
                <w:rFonts w:ascii="Arial Narrow" w:hAnsi="Arial Narrow"/>
                <w:noProof/>
                <w:color w:val="006100"/>
                <w:sz w:val="20"/>
              </w:rPr>
              <w:t>2023</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4069634" w14:textId="164F339B" w:rsidR="00A031C9" w:rsidRPr="00207640" w:rsidRDefault="00A031C9" w:rsidP="00A031C9">
            <w:pPr>
              <w:spacing w:before="100" w:beforeAutospacing="1" w:after="120"/>
              <w:rPr>
                <w:rFonts w:ascii="Arial Narrow" w:hAnsi="Arial Narrow"/>
                <w:noProof/>
                <w:color w:val="006100"/>
                <w:sz w:val="20"/>
              </w:rPr>
            </w:pPr>
            <w:r>
              <w:rPr>
                <w:rFonts w:ascii="Arial Narrow" w:hAnsi="Arial Narrow"/>
                <w:noProof/>
                <w:color w:val="006100"/>
                <w:sz w:val="20"/>
              </w:rPr>
              <w:t xml:space="preserve">Vähemalt 20 000 riigiteenistujat on koolitatud avaliku sektori hankijate kutseliseks muutmise strateegia raames. </w:t>
            </w:r>
          </w:p>
        </w:tc>
      </w:tr>
      <w:tr w:rsidR="00A031C9" w:rsidRPr="00D90835" w14:paraId="6BFE38D5"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56DE92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M1C1-87</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495587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1.10. Riigihangete õigusraamistiku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07010B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63E38D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Dünaamiliseid hankesüsteeme kasutavad avaliku sektori hankijad</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C183DD8"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9094CD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Protsent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4D628A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E35AB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15</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B1D52C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FDDD88"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2023</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C28958D" w14:textId="487244E6"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Vähemalt 15 % avaliku sektori hankijatest kasutab dünaamilisi hankesüsteeme, nagu on sätestatud ELi direktiivis 2014/24 (kaheaastane jälgimisperiood ja võttes arvesse, et Itaalias on DPSi kasutamine suunatud peamiselt piirmäära ületavatele ostudele, arvestades, et künnisest allapoole jäävad ostud tehakse peamiselt e-kaupluste kaudu). Eesmärk on seotud keskvalitsuste tasandi hankijatega (250 makseasutust, mis registreeriti 30. aprillil 2021 riikliku e-riigihangete süsteemi kaudu, mida haldab Consip MEFi nimel).</w:t>
            </w:r>
          </w:p>
        </w:tc>
      </w:tr>
      <w:tr w:rsidR="00A031C9" w:rsidRPr="00D90835" w14:paraId="322F67C1"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2D731E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M1C1-88</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4A21B6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1.11. Avaliku halduse asutuste ja tervishoiuasutuste hilinenud maksete vähendamine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A01DF8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E96F8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Keskvalitsuste keskmine päevade arv ettevõtete eest tasumiseks on vähenenud</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A693376"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E81B6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Kaalutud keskmine makseaeg</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36FD04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30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3950A1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30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B0918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1.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CB05D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6AAD162" w14:textId="62C9FAD4"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Kommertskrediidi platvormi (PCC) kohaselt peab keskvalitsusasutuste (</w:t>
            </w:r>
            <w:r>
              <w:rPr>
                <w:rFonts w:ascii="Arial Narrow" w:hAnsi="Arial Narrow"/>
                <w:i/>
                <w:noProof/>
                <w:color w:val="006100"/>
                <w:sz w:val="20"/>
              </w:rPr>
              <w:t>Amministrazioni dello Stato, enti pubblici nazionali e altri enti</w:t>
            </w:r>
            <w:r>
              <w:rPr>
                <w:rFonts w:ascii="Arial Narrow" w:hAnsi="Arial Narrow"/>
                <w:noProof/>
                <w:color w:val="006100"/>
                <w:sz w:val="20"/>
              </w:rPr>
              <w:t>) kaalutud keskmine maksetähtaeg olema kuni 30 päeva.</w:t>
            </w:r>
          </w:p>
        </w:tc>
      </w:tr>
      <w:tr w:rsidR="00A031C9" w:rsidRPr="00D90835" w14:paraId="62251A3C"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FAC381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M1C1-89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CEFE606"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1.11. Avaliku halduse asutuste ja tervishoiuasutuste hilinenud maksete vähendamine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586C1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D3693A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Vähendatakse keskmist päevade arvu, mille jooksul piirkondlikud haldusasutused tasustavad ettevõtteid</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1CA5DF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B834B0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Kaalutud keskmine makseaeg</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E15ED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30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EFF891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30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C39FE8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1.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7E596F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DC93F7" w14:textId="500E4156"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Kommertskrediidi platvormi (PCC) kohaselt on piirkondlike ametiasutuste (</w:t>
            </w:r>
            <w:r>
              <w:rPr>
                <w:rFonts w:ascii="Arial Narrow" w:hAnsi="Arial Narrow"/>
                <w:i/>
                <w:noProof/>
                <w:color w:val="006100"/>
                <w:sz w:val="20"/>
              </w:rPr>
              <w:t>Regioni ja Province Autonome</w:t>
            </w:r>
            <w:r>
              <w:rPr>
                <w:rFonts w:ascii="Arial Narrow" w:hAnsi="Arial Narrow"/>
                <w:noProof/>
                <w:color w:val="006100"/>
                <w:sz w:val="20"/>
              </w:rPr>
              <w:t>) kaalutud keskmine makseaeg (tempo di pagamento) ettevõtjatele 30 päeva või alla selle.</w:t>
            </w:r>
          </w:p>
        </w:tc>
      </w:tr>
      <w:tr w:rsidR="00A031C9" w:rsidRPr="00D90835" w14:paraId="3338CC96"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6C4FC8"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M1C1-90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A3D794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1.11. Avaliku halduse asutuste ja tervishoiuasutuste hilinenud maksete vähendamine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3629FE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9CB46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Kohalike haldusasutuste keskmine päevade arv ettevõtete eest tasumiseks on vähenenud</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BC1FE2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4102F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Kaalutud keskmine makseaeg</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51C09C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30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FAF489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30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281B9E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1.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C4B678"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698E93F"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Kommertskrediidi platvormi (PCC) kohaselt on kohalike ametiasutuste (</w:t>
            </w:r>
            <w:r>
              <w:rPr>
                <w:rFonts w:ascii="Arial Narrow" w:hAnsi="Arial Narrow"/>
                <w:i/>
                <w:noProof/>
                <w:color w:val="006100"/>
                <w:sz w:val="20"/>
              </w:rPr>
              <w:t>enti local</w:t>
            </w:r>
            <w:r>
              <w:rPr>
                <w:rFonts w:ascii="Arial Narrow" w:hAnsi="Arial Narrow"/>
                <w:noProof/>
                <w:color w:val="006100"/>
                <w:sz w:val="20"/>
              </w:rPr>
              <w:t>i) kaalutud keskmine makseaeg (</w:t>
            </w:r>
            <w:r>
              <w:rPr>
                <w:rFonts w:ascii="Arial Narrow" w:hAnsi="Arial Narrow"/>
                <w:i/>
                <w:noProof/>
                <w:color w:val="006100"/>
                <w:sz w:val="20"/>
              </w:rPr>
              <w:t>tempo di pagamento</w:t>
            </w:r>
            <w:r>
              <w:rPr>
                <w:rFonts w:ascii="Arial Narrow" w:hAnsi="Arial Narrow"/>
                <w:noProof/>
                <w:color w:val="006100"/>
                <w:sz w:val="20"/>
              </w:rPr>
              <w:t>) ettevõtjatele alla 30 päeva või sellega võrdne.</w:t>
            </w:r>
          </w:p>
        </w:tc>
      </w:tr>
      <w:tr w:rsidR="00A031C9" w:rsidRPr="00D90835" w14:paraId="3CA0DF6F"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0D60E6"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M1C1-91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4B193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1.11. Avaliku halduse asutuste ja tervishoiuasutuste hilinenud maksete vähendamine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5124B2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9D94B7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Riiklike tervishoiuasutuste keskmine päevade arv ettevõtjate tasustamiseks on vähenenud</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31E91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5C7890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Kaalutud keskmine makseaeg</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2E1509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60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DDE31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60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5E87B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1.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C89F39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353B058"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Kommertskrediidi platvormi (PCC) kohaselt on riiklike tervishoiuasutuste (</w:t>
            </w:r>
            <w:r>
              <w:rPr>
                <w:rFonts w:ascii="Arial Narrow" w:hAnsi="Arial Narrow"/>
                <w:i/>
                <w:noProof/>
                <w:color w:val="006100"/>
                <w:sz w:val="20"/>
              </w:rPr>
              <w:t>enti del Servizio sanitario nazionale</w:t>
            </w:r>
            <w:r>
              <w:rPr>
                <w:rFonts w:ascii="Arial Narrow" w:hAnsi="Arial Narrow"/>
                <w:noProof/>
                <w:color w:val="006100"/>
                <w:sz w:val="20"/>
              </w:rPr>
              <w:t>) kaalutud keskmine maksetähtaeg ettevõtjatele 60 päeva või alla selle.</w:t>
            </w:r>
          </w:p>
        </w:tc>
      </w:tr>
      <w:tr w:rsidR="00A031C9" w:rsidRPr="00D90835" w14:paraId="3C862073"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2A87966"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M1C1-92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44600E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1.11. Avaliku halduse asutuste ja tervishoiuasutuste hilinenud maksete vähendamine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9D059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EB7B3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Vähendatakse keskvalitsuste poolt ettevõtjatele maksmisega viivitatud päevade keskmist arvu</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AE3E51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3D9A9CF" w14:textId="77777777" w:rsidR="00A031C9" w:rsidRPr="005D68A0" w:rsidRDefault="00A031C9" w:rsidP="00A031C9">
            <w:pPr>
              <w:jc w:val="center"/>
              <w:rPr>
                <w:rFonts w:ascii="Arial Narrow" w:eastAsiaTheme="minorEastAsia" w:hAnsi="Arial Narrow" w:cs="Arial"/>
                <w:noProof/>
                <w:color w:val="006100"/>
                <w:sz w:val="20"/>
                <w:szCs w:val="20"/>
              </w:rPr>
            </w:pPr>
            <w:r>
              <w:rPr>
                <w:rFonts w:ascii="Arial Narrow" w:hAnsi="Arial Narrow"/>
                <w:noProof/>
                <w:color w:val="006100"/>
                <w:sz w:val="20"/>
              </w:rPr>
              <w:t>Kaalutud keskmine makseviivitus</w:t>
            </w:r>
          </w:p>
          <w:p w14:paraId="2054320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(päevades)</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11245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1AC14F8"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1AD2F2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1.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BF5F84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643A7B9"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Kommertskrediidi platvormi (PCC) kohaselt on keskasutuste (</w:t>
            </w:r>
            <w:r>
              <w:rPr>
                <w:rFonts w:ascii="Arial Narrow" w:hAnsi="Arial Narrow"/>
                <w:i/>
                <w:noProof/>
                <w:color w:val="006100"/>
                <w:sz w:val="20"/>
              </w:rPr>
              <w:t>Amministrazioni dello Stato, enti pubblici nazionali e altri enti</w:t>
            </w:r>
            <w:r>
              <w:rPr>
                <w:rFonts w:ascii="Arial Narrow" w:hAnsi="Arial Narrow"/>
                <w:noProof/>
                <w:color w:val="006100"/>
                <w:sz w:val="20"/>
              </w:rPr>
              <w:t>) poolt ettevõtetele tehtavate maksete keskmine kaalutud viivitus (tempo di ritardo) kuni 0 päeva.</w:t>
            </w:r>
          </w:p>
        </w:tc>
      </w:tr>
      <w:tr w:rsidR="00A031C9" w:rsidRPr="00D90835" w14:paraId="24E27BCA"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97B71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M1C1-93</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58BD7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1.11. Avaliku halduse asutuste ja tervishoiuasutuste hilinenud maksete vähendamine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26A11B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A37873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Vähendatakse piirkondlike haldusasutuste poolt ettevõtetele maksmisega viivitatud päevade keskmist arvu</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4AC648"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2A5BAAE" w14:textId="77777777" w:rsidR="00A031C9" w:rsidRPr="005D68A0" w:rsidRDefault="00A031C9" w:rsidP="00A031C9">
            <w:pPr>
              <w:jc w:val="center"/>
              <w:rPr>
                <w:rFonts w:ascii="Arial Narrow" w:eastAsiaTheme="minorEastAsia" w:hAnsi="Arial Narrow" w:cs="Arial"/>
                <w:noProof/>
                <w:color w:val="006100"/>
                <w:sz w:val="20"/>
                <w:szCs w:val="20"/>
              </w:rPr>
            </w:pPr>
            <w:r>
              <w:rPr>
                <w:rFonts w:ascii="Arial Narrow" w:hAnsi="Arial Narrow"/>
                <w:noProof/>
                <w:color w:val="006100"/>
                <w:sz w:val="20"/>
              </w:rPr>
              <w:t>Kaalutud keskmine makseviivitus</w:t>
            </w:r>
          </w:p>
          <w:p w14:paraId="5AF78F3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(päevades)</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63ECB88"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2131F5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2A5F48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1.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3A34B38"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A896B34"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Kommertslaenude platvormi (PCC) kohaselt on piirkondlike omavalitsuste (Regioni ja Province Autonome) kaalutud keskmine makseviivitus (tempo di ritardo) ettevõtjatele kõige rohkem 0 päeva.</w:t>
            </w:r>
          </w:p>
        </w:tc>
      </w:tr>
      <w:tr w:rsidR="00A031C9" w:rsidRPr="00D90835" w14:paraId="4B4CAE65"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B3BC5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M1C1-94</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D4C314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1.11. Avaliku halduse asutuste ja tervishoiuasutuste hilinenud maksete vähendamine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0BB0C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88EA4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Kohalike haldusasutuste poolt ettevõtjatele maksmisega viivitatud päevade keskmine arv on väiksem</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58F891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E8C2514" w14:textId="77777777" w:rsidR="00A031C9" w:rsidRPr="005D68A0" w:rsidRDefault="00A031C9" w:rsidP="00A031C9">
            <w:pPr>
              <w:jc w:val="center"/>
              <w:rPr>
                <w:rFonts w:ascii="Arial Narrow" w:eastAsiaTheme="minorEastAsia" w:hAnsi="Arial Narrow" w:cs="Arial"/>
                <w:noProof/>
                <w:color w:val="006100"/>
                <w:sz w:val="20"/>
                <w:szCs w:val="20"/>
              </w:rPr>
            </w:pPr>
            <w:r>
              <w:rPr>
                <w:rFonts w:ascii="Arial Narrow" w:hAnsi="Arial Narrow"/>
                <w:noProof/>
                <w:color w:val="006100"/>
                <w:sz w:val="20"/>
              </w:rPr>
              <w:t>Kaalutud keskmine makseviivitus</w:t>
            </w:r>
          </w:p>
          <w:p w14:paraId="717760A8"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(päevades)</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BC3F88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232C3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64F30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1.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CC4FD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0201EDB"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Kommertskrediidi platvormi (PCC) kohaselt on kohalike omavalitsuste (enti locali) kaalutud keskmine makseviivitus (tempo di ritardo) ettevõtjatele kõige rohkem 0 päeva.</w:t>
            </w:r>
          </w:p>
        </w:tc>
      </w:tr>
      <w:tr w:rsidR="00A031C9" w:rsidRPr="00D90835" w14:paraId="4D62C83D"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CB35A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M1C1-95</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D717A6"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1.11. Avaliku halduse asutuste ja tervishoiuasutuste hilinenud maksete vähendamine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BB3011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D3CA0C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Tervishoiuasutuste poolt ettevõtjatele maksmisega viivitatud päevade keskmine arv on vähenenud</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9F09D3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CC96FC" w14:textId="77777777" w:rsidR="00A031C9" w:rsidRPr="005D68A0" w:rsidRDefault="00A031C9" w:rsidP="00A031C9">
            <w:pPr>
              <w:jc w:val="center"/>
              <w:rPr>
                <w:rFonts w:ascii="Arial Narrow" w:eastAsiaTheme="minorEastAsia" w:hAnsi="Arial Narrow" w:cs="Arial"/>
                <w:noProof/>
                <w:color w:val="006100"/>
                <w:sz w:val="20"/>
                <w:szCs w:val="20"/>
              </w:rPr>
            </w:pPr>
            <w:r>
              <w:rPr>
                <w:rFonts w:ascii="Arial Narrow" w:hAnsi="Arial Narrow"/>
                <w:noProof/>
                <w:color w:val="006100"/>
                <w:sz w:val="20"/>
              </w:rPr>
              <w:t>Kaalutud keskmine makseviivitus</w:t>
            </w:r>
          </w:p>
          <w:p w14:paraId="29C8FE0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(päevades)</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C5A956"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FDFF7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3E4D0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1.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71EB6E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5A9069"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Kommertskrediidi platvormi (PCC) kohaselt on riiklike tervishoiuasutuste (</w:t>
            </w:r>
            <w:r>
              <w:rPr>
                <w:rFonts w:ascii="Arial Narrow" w:hAnsi="Arial Narrow"/>
                <w:i/>
                <w:noProof/>
                <w:color w:val="006100"/>
                <w:sz w:val="20"/>
              </w:rPr>
              <w:t>enti del Servizio sanitario nazionale</w:t>
            </w:r>
            <w:r>
              <w:rPr>
                <w:rFonts w:ascii="Arial Narrow" w:hAnsi="Arial Narrow"/>
                <w:noProof/>
                <w:color w:val="006100"/>
                <w:sz w:val="20"/>
              </w:rPr>
              <w:t>) poolt ettevõtetele tehtavate maksete keskmine kaalutud viivitus (</w:t>
            </w:r>
            <w:r>
              <w:rPr>
                <w:rFonts w:ascii="Arial Narrow" w:hAnsi="Arial Narrow"/>
                <w:i/>
                <w:noProof/>
                <w:color w:val="006100"/>
                <w:sz w:val="20"/>
              </w:rPr>
              <w:t>tempo di ritardo</w:t>
            </w:r>
            <w:r>
              <w:rPr>
                <w:rFonts w:ascii="Arial Narrow" w:hAnsi="Arial Narrow"/>
                <w:noProof/>
                <w:color w:val="006100"/>
                <w:sz w:val="20"/>
              </w:rPr>
              <w:t>) maksimaalselt 0 päeva.</w:t>
            </w:r>
          </w:p>
        </w:tc>
      </w:tr>
      <w:tr w:rsidR="00A031C9" w:rsidRPr="00D90835" w14:paraId="2F23DCF1"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1A8998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M1C1-96</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C17F52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1.10. Riigihangete õigusraamistiku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E243906"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EAC77F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Keskmine aeg avaldamise ja lepingu sõlmimise vahel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822D7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216408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Arv</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AB6A49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193</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BD5AA2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115</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EE3EF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4F3440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2025</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386A640"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Euroopa Liidu Teataja andmebaasist (TED) saadud andmete põhjal vähendatakse pakkumuste esitamise tähtaja ja lepingu allkirjastamise kuupäeva vahelist keskmist aega kuni 115 päevani lepingute puhul, mis ületavad ELi riigihankedirektiivides sätestatud piirmäärasid.</w:t>
            </w:r>
          </w:p>
          <w:p w14:paraId="3FA4C4EF"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Tagama, et TEDis ja BDNCPs (ANAC) lepingu sõlmimist käsitlevate andmete avaldamise vahel oleks täielik järjepidevus ja ajavahe.</w:t>
            </w:r>
          </w:p>
        </w:tc>
      </w:tr>
      <w:tr w:rsidR="00A031C9" w:rsidRPr="00D90835" w14:paraId="7B738399"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DFD468"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M1C1-97</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EE45ED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1.10. Riigihangete õigusraamistiku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A18304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00240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Keskmine lepingu sõlmimise ja infrastruktuuri realiseerimise vaheline aeg</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71ED8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2B2A34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Protsent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A2F5E1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100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63A97F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88</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E5B5C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77A75B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02EE0F"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Lepingu sõlmimise ja infrastruktuuri (</w:t>
            </w:r>
            <w:r>
              <w:rPr>
                <w:rFonts w:ascii="Arial Narrow" w:hAnsi="Arial Narrow"/>
                <w:i/>
                <w:noProof/>
                <w:color w:val="006100"/>
                <w:sz w:val="20"/>
              </w:rPr>
              <w:t>fase esecutiva</w:t>
            </w:r>
            <w:r>
              <w:rPr>
                <w:rFonts w:ascii="Arial Narrow" w:hAnsi="Arial Narrow"/>
                <w:noProof/>
                <w:color w:val="006100"/>
                <w:sz w:val="20"/>
              </w:rPr>
              <w:t>) realiseerimise vahelist keskmist aega vähendatakse vähemalt 12 %.</w:t>
            </w:r>
          </w:p>
        </w:tc>
      </w:tr>
      <w:tr w:rsidR="00A031C9" w:rsidRPr="00D90835" w14:paraId="10DF495C"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98C6FB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M1C1–97bis</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BA7292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1.10. Riigihangete õigusraamistiku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6E3B828"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91CA65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Keskmine lepingu sõlmimise ja infrastruktuuri realiseerimise vaheline aeg</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B25CF8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496BD1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Protsent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5E1EA48"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100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E5C9C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85</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87BFB9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76EBCC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2025</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4CBC43"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Lepingu sõlmimise ja infrastruktuuri (</w:t>
            </w:r>
            <w:r>
              <w:rPr>
                <w:rFonts w:ascii="Arial Narrow" w:hAnsi="Arial Narrow"/>
                <w:i/>
                <w:noProof/>
                <w:color w:val="006100"/>
                <w:sz w:val="20"/>
              </w:rPr>
              <w:t>fase esecutiva</w:t>
            </w:r>
            <w:r>
              <w:rPr>
                <w:rFonts w:ascii="Arial Narrow" w:hAnsi="Arial Narrow"/>
                <w:noProof/>
                <w:color w:val="006100"/>
                <w:sz w:val="20"/>
              </w:rPr>
              <w:t>) realiseerimise vahelist keskmist aega vähendatakse vähemalt 15 %.</w:t>
            </w:r>
          </w:p>
        </w:tc>
      </w:tr>
      <w:tr w:rsidR="00A031C9" w:rsidRPr="00D90835" w14:paraId="5F2F7833"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10DFB0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M1C1-98</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63321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1.10. Riigihangete õigusraamistiku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86CA8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614228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Avaliku sektori hankijad, keda on koolitatud avaliku sektori hankijate kutseliseks muutmise strateegia raames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D7CDF6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A92FD6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Protsent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41159B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AB01B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40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6DB39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28F1666"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65B1488"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Vähemalt 40 % riigiteenistujatest on koolitatud avaliku sektori hankijate professionaalsuse strateegia kaudu kvalifikatsiooni omandamiseks. Selle protsendi puhul võetakse arvesse riigihangetes aktiivselt osalevate riigiteenistujate koguarvu, s.o 100 000 avaliku sektori hankijat, kes on registreeritud 30. aprilli 2021. aasta seisuga riiklikus e-riigihangete süsteemis, mida haldab Consip MEFi nimel.</w:t>
            </w:r>
          </w:p>
        </w:tc>
      </w:tr>
      <w:tr w:rsidR="00A031C9" w:rsidRPr="00D90835" w14:paraId="2438C6D2"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B2331B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M1C1–98bis</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037169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1.10. Riigihangete õigusraamistiku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C6B7CC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29E757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Avaliku sektori hankijad, keda on koolitatud avaliku sektori hankijate kutseliseks muutmise strateegia raames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0C753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CF8F6D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Protsent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621D99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BA44C2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60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09F15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D7BB45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2025</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C39BB2"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Vähemalt 60 % riigiteenistujatest on koolitatud avaliku sektori hankijate kutseliseks muutmise strateegia kaudu kvalifikatsiooni omandamiseks. Selle protsendi puhul võetakse arvesse riigihangetes aktiivselt osalevate riigiteenistujate koguarvu, s.o 100 000 avaliku sektori hankijat, kes on registreeritud 30. aprilli 2021. aasta seisuga riiklikus e-riigihangete süsteemis, mida haldab Consip MEFi nimel.</w:t>
            </w:r>
          </w:p>
        </w:tc>
      </w:tr>
      <w:tr w:rsidR="00A031C9" w:rsidRPr="00D90835" w14:paraId="6F4C72D1"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13020E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M1C1-99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6A599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1.10. Riigihangete õigusraamistiku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FBC76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61C9FB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Dünaamiliseid hankesüsteeme kasutavad avaliku sektori hankijad</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3271FD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Dünaamilist hankesüsteemi kasutavate keskvalitsuste tasandi hankijate osakaal vastavalt ELi direktiivile 2014/24</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EFD737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Protsent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C4284F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15</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EF3426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54676D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4A6D7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55AFF8"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Vähemalt 20 % avaliku sektori hankijatest kasutab direktiivi 2014/24 kohaseid dünaamilisi hankesüsteeme (kaheaastane jälgimisperiood ja võttes arvesse, et Itaalias on DPSi kasutamine suunatud peamiselt piirmäära ületavatele ostudele, arvestades, et künnisest allapoole jäävate ostude puhul kasutatakse peamiselt e-kauplusi). Eesmärk on seotud keskvalitsuste tasandi hankijatega (250 makseasutust, mis registreeriti 30. aprillil 2021 riikliku e-riigihangete süsteemi kaudu, mida haldab Consip MEFi nimel).</w:t>
            </w:r>
          </w:p>
        </w:tc>
      </w:tr>
      <w:tr w:rsidR="00A031C9" w:rsidRPr="00D90835" w14:paraId="0AEE2F62"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2DD9ED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M1C1–99bis</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23223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1.10. Riigihangete õigusraamistiku reform</w:t>
            </w:r>
          </w:p>
          <w:p w14:paraId="3DE4E489" w14:textId="77777777" w:rsidR="00A031C9" w:rsidRPr="005D68A0" w:rsidRDefault="00A031C9" w:rsidP="00A031C9">
            <w:pPr>
              <w:jc w:val="center"/>
              <w:rPr>
                <w:rFonts w:ascii="Arial Narrow" w:hAnsi="Arial Narrow" w:cs="Arial"/>
                <w:noProof/>
                <w:color w:val="006100"/>
                <w:sz w:val="20"/>
                <w:szCs w:val="20"/>
                <w:lang w:val="en-GB"/>
              </w:rPr>
            </w:pPr>
          </w:p>
          <w:p w14:paraId="1120311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Investeering 1.10. Kvalifikatsioonitoetus ja e-hanked</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B08FB1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295FEE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 xml:space="preserve">Avaliku sektori hankijate digipädevus </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F615B7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Digitaalselt pädevate kohalike omavalitsuste hankijate protsent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4FF5CE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Protsent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39C780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4B5FB36"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50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4732FE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2011F8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2025</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239F36" w14:textId="77777777" w:rsidR="00A031C9" w:rsidRPr="005D68A0" w:rsidRDefault="00A031C9" w:rsidP="00753790">
            <w:pPr>
              <w:spacing w:before="100" w:beforeAutospacing="1" w:after="120"/>
              <w:rPr>
                <w:rFonts w:ascii="Arial Narrow" w:hAnsi="Arial Narrow" w:cs="Arial"/>
                <w:noProof/>
                <w:color w:val="006100"/>
                <w:sz w:val="20"/>
                <w:szCs w:val="20"/>
              </w:rPr>
            </w:pPr>
            <w:r>
              <w:rPr>
                <w:rFonts w:ascii="Arial Narrow" w:hAnsi="Arial Narrow"/>
                <w:noProof/>
                <w:color w:val="006100"/>
                <w:sz w:val="20"/>
              </w:rPr>
              <w:t>Vähemalt 50 %-l kohalikest avaliku sektori hankijatest on kvalifikatsiooniga nõutavad digipädevused.</w:t>
            </w:r>
          </w:p>
          <w:p w14:paraId="219FCFA8"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Eesmärgi saavutamisel võetakse arvesse ka avaliku sektori hankijaid, kes täidavad samu nõudeid tsentraliseeritud hankijate kaudu.</w:t>
            </w:r>
          </w:p>
        </w:tc>
      </w:tr>
      <w:tr w:rsidR="00A031C9" w:rsidRPr="00D90835" w14:paraId="03833D33"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9C83C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M1C1-100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578B746"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1.13. Kulude läbivaatamise raamistiku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31BB8A6"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875EF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Kulutuste läbivaatamise tõhusust parandavate õigusnormide jõustumine – Rahandusministeeriumi tugevdamine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9531F7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Seaduse jõustumisele viitav õigusnorm</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EA309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7577C2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241E55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5071A68"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C8CFAA6"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2021</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78773E"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Keskvalitsuse (ministeeriumid) kulude läbivaatamise läbivaadatud raamistik parandab selle tõhusust, tugevdades majandus- ja rahandusministeeriumi rolli. Eelkõige nähakse sellega ette majandus- ja rahandusministeeriumi suurem roll eelhindamisel, järelevalvel ja järelhindamisel, mis võimaldab põhjalikult jõustada läbivaatamiste läbiviimist ja kavandatud eesmärkide saavutamist.</w:t>
            </w:r>
          </w:p>
        </w:tc>
      </w:tr>
      <w:tr w:rsidR="00A031C9" w:rsidRPr="00D90835" w14:paraId="7A8213DA"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CF7F6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M1C1-101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5877C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1.12.</w:t>
            </w:r>
          </w:p>
          <w:p w14:paraId="1FF6E3F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Maksuhalduse reform</w:t>
            </w:r>
          </w:p>
          <w:p w14:paraId="5D93F45C" w14:textId="77777777" w:rsidR="00A031C9" w:rsidRPr="005D68A0" w:rsidRDefault="00A031C9" w:rsidP="00A031C9">
            <w:pPr>
              <w:jc w:val="center"/>
              <w:rPr>
                <w:rFonts w:ascii="Arial Narrow" w:hAnsi="Arial Narrow" w:cs="Arial"/>
                <w:noProof/>
                <w:color w:val="006100"/>
                <w:sz w:val="20"/>
                <w:szCs w:val="20"/>
                <w:lang w:val="en-GB"/>
              </w:rPr>
            </w:pP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0125CC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B7DA1E6"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Võimalike maksudest kõrvalehoidumise vähendamise meetmete läbivaatamise vastuvõtmine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B8AE1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Läbivaatamise avaldamine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FBE21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A1DE44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CC242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D94E59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4385C0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2021</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3006D0"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Võtta vastu aruanne, et teavitada valitsusi meetmetest, mille eesmärk on vähendada arvete esitamata jätmisest tulenevat maksudest kõrvalehoidumist, eelkõige sektorites, kus maksudest kõrvalehoidumine on kõige suurem, sealhulgas tarbijatele suunatud stiimulite kaudu.</w:t>
            </w:r>
          </w:p>
        </w:tc>
      </w:tr>
      <w:tr w:rsidR="00A031C9" w:rsidRPr="00D90835" w14:paraId="3A468C37"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409E8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M1C1-102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0ECFD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1.13. Kulude läbivaatamise raamistiku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848AF3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75D23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Aruande vastuvõtmine selle kohta, kui tõhusad on valitud haldusasutuste tavad säästukavade koostamisel ja rakendamisel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E0DE1D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Aruande avaldamine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59DE3D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3AE78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FD01A6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D90BEE6"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F85838"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2022</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65D2DF2"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Aruande koostab rahandusministeeriumi raamatupidamisosakond koostöös valitud haldusasutustega, et:</w:t>
            </w:r>
          </w:p>
          <w:p w14:paraId="3FB848F9" w14:textId="77777777" w:rsidR="00A031C9" w:rsidRPr="005D68A0" w:rsidRDefault="00A031C9" w:rsidP="00A031C9">
            <w:pPr>
              <w:pStyle w:val="ListParagraph"/>
              <w:numPr>
                <w:ilvl w:val="0"/>
                <w:numId w:val="76"/>
              </w:numPr>
              <w:ind w:left="324" w:hanging="283"/>
              <w:jc w:val="left"/>
              <w:rPr>
                <w:rFonts w:ascii="Arial Narrow" w:hAnsi="Arial Narrow" w:cs="Arial"/>
                <w:noProof/>
                <w:color w:val="006100"/>
                <w:sz w:val="20"/>
                <w:szCs w:val="20"/>
              </w:rPr>
            </w:pPr>
            <w:r>
              <w:rPr>
                <w:rFonts w:ascii="Arial Narrow" w:hAnsi="Arial Narrow"/>
                <w:noProof/>
                <w:color w:val="006100"/>
                <w:sz w:val="20"/>
              </w:rPr>
              <w:t>Hindama oma tavasid säästukavade koostamisel ja rakendamisel.</w:t>
            </w:r>
          </w:p>
          <w:p w14:paraId="1BD44ACE" w14:textId="77777777" w:rsidR="00A031C9" w:rsidRPr="005D68A0" w:rsidRDefault="00A031C9" w:rsidP="00A031C9">
            <w:pPr>
              <w:pStyle w:val="ListParagraph"/>
              <w:numPr>
                <w:ilvl w:val="0"/>
                <w:numId w:val="76"/>
              </w:numPr>
              <w:ind w:left="324" w:hanging="283"/>
              <w:jc w:val="left"/>
              <w:rPr>
                <w:rFonts w:ascii="Arial Narrow" w:hAnsi="Arial Narrow" w:cs="Arial"/>
                <w:noProof/>
                <w:color w:val="006100"/>
                <w:sz w:val="20"/>
                <w:szCs w:val="20"/>
              </w:rPr>
            </w:pPr>
            <w:r>
              <w:rPr>
                <w:rFonts w:ascii="Arial Narrow" w:hAnsi="Arial Narrow"/>
                <w:noProof/>
                <w:color w:val="006100"/>
                <w:sz w:val="20"/>
              </w:rPr>
              <w:t>Määratleda suunised kõigile haldusasutustele.</w:t>
            </w:r>
          </w:p>
        </w:tc>
      </w:tr>
      <w:tr w:rsidR="00A031C9" w:rsidRPr="00D90835" w14:paraId="024262AE"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F7DE97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M1C1-103</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72E2C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1.12. Maksuhalduse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E73F1D8"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111D2B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Esmaste ja teiseste õigusaktide ja reguleerivate sätete jõustumine ning haldusprotsesside lõpuleviimine, et soodustada maksukuulekust ning parandada auditeid ja kontrolle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3CDC239" w14:textId="7B0CA378"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 xml:space="preserve">Õigus- ja haldusnormid, mis osutavad jõustumisele </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7A0D55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024EDF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3C90066"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20E99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AD7FC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2022</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90C9550"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Need sätted hõlmavad järgmist:</w:t>
            </w:r>
          </w:p>
          <w:p w14:paraId="72C926F4"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i) andmebaasi ja spetsiaalse IT-taristu täielik kasutuselevõtt eelnevalt koostatud käibedeklaratsiooni avaldamiseks, nagu on sätestatud seadusandliku dekreedi nr 127/2015 artikli 4 lõikes 1.</w:t>
            </w:r>
          </w:p>
          <w:p w14:paraId="29E85973"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ii) „vastavuskirjade“ jaoks kasutatavat andmebaasi (esialgsete teatiste edastamine maksumaksjatele, kelle puhul avastatakse kõrvalekaldeid) täiustatakse, et vähendada valepositiivsete teadete esinemist ja suurendada maksumaksjatele edastatavate teadete arvu.</w:t>
            </w:r>
          </w:p>
          <w:p w14:paraId="51BC5F87"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iii) reformitud õigusaktide jõustumine, et tagada tõhusad halduskaristused juhul, kui eraõiguslikud teenuseosutajad keelduvad elektroonilisi makseid vastu võtmast (viidatakse dekreetseaduse 124/2019 algsele artiklile 23, mis tunnistati seaduseks muutmisel kehtetuks).</w:t>
            </w:r>
          </w:p>
          <w:p w14:paraId="42A99436"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iv) Seaduse nr 160/2019 artikli 1 lõigetes 681-686 sätestatud andmete pseudonüümimise protsessi lõpuleviimine ja digitaalse taristu loomine täielikult pseudonüümitud andmebaaside koostalitlusvõimest tulenevate suurandmete analüüsimiseks, et suurendada valikuprotsessi aluseks oleva riskianalüüsi tõhusust.</w:t>
            </w:r>
          </w:p>
          <w:p w14:paraId="7EA7B11B"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v) Selliste esmaste ja teiseste õigusaktide jõustumine, millega rakendatakse täiendavaid tõhusaid meetmeid, mis põhinevad arvete esitamata jätmisest tuleneva maksudest kõrvalehoidumise vähendamise võimalike meetmete läbivaatamise tulemustel.</w:t>
            </w:r>
          </w:p>
        </w:tc>
      </w:tr>
      <w:tr w:rsidR="00A031C9" w:rsidRPr="00D90835" w14:paraId="43CA2695"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D0691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M1C1-104</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5C032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1.13. Kulude läbivaatamise raamistiku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1F0D1D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AE2E0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Kulude läbivaatamise säästueesmärkide vastuvõtmine aastateks 2023-2025</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B294426"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Majandus- ja rahandusdokumendis määratletud riigi koguvalitsuse kvantitatiivse säästu eesmärk (eurodes)</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282BD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52790C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9E9234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FBAC4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50D8DF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2022</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0D0D75"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Seada 2016. aasta dekreetseaduste 90 ja 93 ning seaduse nr 163/2016 alusel majandus- ja finantsdokumendis eesmärgid keskvalitsuse koguhalduse kulutuste iga-aastaseks läbivaatamiseks 2023., 2024. ja 2025. aastal. Säästueesmärgid peavad olema piisavalt ambitsioonikad.</w:t>
            </w:r>
          </w:p>
        </w:tc>
      </w:tr>
      <w:tr w:rsidR="00A031C9" w:rsidRPr="00D90835" w14:paraId="281EC5D9"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D36FD3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M1C1-105</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19E089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1.12. Maksuhalduse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6BB82B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2933AE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Suurem „vastavuskirjade“ arv</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54724F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5610728"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Arv</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65C7B46"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2 150 908</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F1FC1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2 581 090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260685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8F28E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2022</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A21A75F"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Selliste vastavuskirjade arvu, millega antakse maksumaksjatele varakult teada kõrvalekalletest, suurendatakse 2019. aastaga võrreldes vähemalt 20 %.</w:t>
            </w:r>
          </w:p>
        </w:tc>
      </w:tr>
      <w:tr w:rsidR="00A031C9" w:rsidRPr="00D90835" w14:paraId="32C8704B"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F98E39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M1C1-106</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7609FF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1.12. Maksuhalduse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E61E8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2DD95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Valepositiivsete „vastavuskirjade“ arvu vähendamine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4F6BBB6"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88C1EC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Arv</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286935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126 500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FD0180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132 825</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D37663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592E5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2022</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546C38"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Valepositiivsete „vastavuskirjade“ arvu (varajane teavitamine maksumaksjatele, kelle puhul avastatakse kõrvalekaldeid, kuid kelle puhul ei avastata pettusi tagantjärele) vähendatakse 2019. aastaga võrreldes vähemalt 5 %.</w:t>
            </w:r>
          </w:p>
        </w:tc>
      </w:tr>
      <w:tr w:rsidR="00A031C9" w:rsidRPr="00D90835" w14:paraId="74ECCBC1"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E88BFD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M1C1-107</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F33953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1.12. Maksuhalduse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EFFBC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999EB5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Vastavuskirjadest tuleneva maksutulu suurenemine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0E716D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C65127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eurot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C818A6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2 130 000 000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A7C6A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2 449 500 000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F7D76D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46204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2022</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C521B43"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Vastavuskirjadest saadav maksutulu suureneb 2019. aastaga võrreldes 15 %.</w:t>
            </w:r>
          </w:p>
        </w:tc>
      </w:tr>
      <w:tr w:rsidR="00A031C9" w:rsidRPr="00D90835" w14:paraId="0A66D725"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B51930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M1C1-108</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382BE1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1.15. Avaliku sektori raamatupidamiseeskirjade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9C2B7C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10C46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Kontseptuaalse raamistiku, tekkepõhise raamatupidamisarvestuse standardite kogumi ja mitmemõõtmelise kontoplaani heakskiitmine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44A7F7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Rahandusministeeriumi raamatupidamisosakonna otsus, millega kiidetakse heaks tekkepõhise raamatupidamisarvestuse juhtimisstruktuur</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0934A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136A40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83F1F2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99B0C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B202EF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B7989E"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Tekkepõhise raamatupidamisarvestuse süsteemi aluseks oleva kontseptuaalse raamistiku lõpuleviimine vastavalt Eurostati (EPSASi töörühm) määratletud kvalitatiivsetele omadustele;</w:t>
            </w:r>
            <w:r>
              <w:rPr>
                <w:rFonts w:ascii="Arial Narrow" w:hAnsi="Arial Narrow"/>
                <w:noProof/>
                <w:sz w:val="20"/>
              </w:rPr>
              <w:t xml:space="preserve"> </w:t>
            </w:r>
            <w:r>
              <w:rPr>
                <w:noProof/>
              </w:rPr>
              <w:t xml:space="preserve"> </w:t>
            </w:r>
            <w:r>
              <w:rPr>
                <w:noProof/>
              </w:rPr>
              <w:br/>
            </w:r>
            <w:r>
              <w:rPr>
                <w:rFonts w:ascii="Arial Narrow" w:hAnsi="Arial Narrow"/>
                <w:noProof/>
                <w:color w:val="006100"/>
                <w:sz w:val="20"/>
              </w:rPr>
              <w:t xml:space="preserve"> Tekkepõhise raamatupidamisarvestuse standardite kehtestamine IPSAS/EPSASi alusel; Töötada välja mitmemõõtmeline ja mitmetasandiline kontoskeem.</w:t>
            </w:r>
          </w:p>
        </w:tc>
      </w:tr>
      <w:tr w:rsidR="00A031C9" w:rsidRPr="00D90835" w14:paraId="1EF3ECB6"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6584F9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M1C1-109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4F1AFE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1.12. Maksuhalduse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6F5907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5B4593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Esimese eelnevalt kokkupandud käibemaksudeklaratsiooni saatmine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2CF2BA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C9B68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Arv</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56D0AC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42453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2 300 000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6514C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DB2E66"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2023</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38FCE8D"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Vähemalt 2 300 000 maksumaksjat saavad 2022. maksustamisaasta kohta eelnevalt koostatud käibedeklaratsioonid.</w:t>
            </w:r>
          </w:p>
        </w:tc>
      </w:tr>
      <w:tr w:rsidR="00A031C9" w:rsidRPr="00D90835" w14:paraId="44EDFE4E"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CCD4C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M1C1-110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30B241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1.13. Kulude läbivaatamise raamistiku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D746BB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655DBE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Riigieelarve ümberliigitamine seoses keskkonnakulude ja soolist võrdõiguslikkust edendavate kuludega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6E2B14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Riigieelarve ümberliigitamine seoses keskkonnakuludega ja soolist võrdõiguslikkust edendavate kuludega lisatakse 2024. aasta eelarveseadusesse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B86BC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0C845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A3DFAE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6CEA4E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09985A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2023</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CA9B0BC"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2024. aasta eelarveseadusega antakse parlamendile säästva arengu eelarve, mis koosneb riigieelarve liigitamisest vastavalt keskkonnakuludele ja soolist võrdõiguslikkust edendavatele kulutustele. Liigitus peab olema kooskõlas kestliku arengu eesmärkide määratlemise aluseks olevate kriteeriumidega ja 2030. aasta tegevuskava eesmärkidega.</w:t>
            </w:r>
          </w:p>
        </w:tc>
      </w:tr>
      <w:tr w:rsidR="00A031C9" w:rsidRPr="00D90835" w14:paraId="41C9554A"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941C04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M1C1-111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A7ABB6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1.13. Kulude läbivaatamise raamistiku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175888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503C93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Iga-aastase kulude läbivaatamise lõpuleviimine 2023. aastaks, võttes arvesse 2022. aastaks 2023. aastaks seatud säästueesmärki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D4BD7F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Rahandusministeeriumi aruande vastuvõtmine kulutuste läbivaatamise kohta 2023. aastal, mis tõendab protsessi lõpuleviimist ja eesmärgi saavutamist.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1A9FE6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91B6B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1C84A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197DD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7FC86A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DC78D2F"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Rahandusministeeriumi aruanne, mis edastatakse ministrite nõukogule vastavalt 2016. aasta dekreetseadustele nr 90 ja 93 ning seadusele nr 163/2016:</w:t>
            </w:r>
          </w:p>
          <w:p w14:paraId="6B804B51"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-tõendab kulude läbivaatamise menetluse lõpuleviimist 2023. aastaks seoses kulude läbivaatamise raamistikuga.</w:t>
            </w:r>
          </w:p>
          <w:p w14:paraId="33D65D62"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-tõendama 2022. aastaks seatud eesmärgi saavutamist.</w:t>
            </w:r>
          </w:p>
        </w:tc>
      </w:tr>
      <w:tr w:rsidR="00A031C9" w:rsidRPr="00D90835" w14:paraId="56700CCB"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3D9C5C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M1C1-112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4866C7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1.12. Maksuhalduse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3FB078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5C0BF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Parandada maksuameti tegevussuutlikkust, nagu on osutatud maksuameti tulemuslikkuse kavas aastateks 2021-2023.</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644321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416B26"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Tööle võetud töötajate arv</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5B87AC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4A11C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4 113</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19A07E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D2E946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00A2BC"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Maksuameti töötajate arvu suurendatakse 4 113 ühiku võrra, nagu on osutatud 2021.–2023. aasta tulemuslikkuse kavas.</w:t>
            </w:r>
          </w:p>
        </w:tc>
      </w:tr>
      <w:tr w:rsidR="00A031C9" w:rsidRPr="00D90835" w14:paraId="09087599"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3A7A36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M1C1-113</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133C60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1.12. Maksuhalduse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A42170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47A187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Suurem „vastavuskirjade“ arv</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09A4E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C07648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Arv</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2A803C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2 150 908</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2A6C63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3 011 271</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30FC1D1" w14:textId="5A0A88D9"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 xml:space="preserve"> 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8B367B" w14:textId="6130DCB3"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2023</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DB5F86E"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Selliste vastavuskirjade arvu, millega antakse maksumaksjatele varakult teada kõrvalekalletest, suurendatakse 2019. aastaga võrreldes vähemalt 40 %.</w:t>
            </w:r>
          </w:p>
        </w:tc>
      </w:tr>
      <w:tr w:rsidR="00A031C9" w:rsidRPr="00D90835" w14:paraId="2A3B73A7"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49415B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M1C1-114</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011207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1.12. Maksuhalduse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C171DB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DDAEC6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Vastavuskirjadest tuleneva maksutulu suurenemine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2AD561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ECB617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eurot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6771F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2 130 000 000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A8C101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2 769 000 000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A52D3EB" w14:textId="2A8FA023"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 xml:space="preserve"> 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698BECF" w14:textId="62FF21C6"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2023</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CDCB5E9"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Vastavuskirjadest saadav maksutulu suureneb võrreldes 2019. aastaga 30 %.</w:t>
            </w:r>
          </w:p>
        </w:tc>
      </w:tr>
      <w:tr w:rsidR="00A031C9" w:rsidRPr="00D90835" w14:paraId="5FED8225"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5D0968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M1C1-115</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2A754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1.13. Kulude läbivaatamise raamistiku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DE126C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198F34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2024. aasta kulude iga-aastase läbivaatamise lõpuleviimine, võttes arvesse 2022. ja 2023. aastal 2024. aastaks seatud säästueesmärki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3B924E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Rahandusministeeriumi aruande vastuvõtmine kulutuste läbivaatamise kohta 2024. aastal, mis tõendab protsessi lõpuleviimist ja eesmärgi saavutamist.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0C8E05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5528B0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AAD1C5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E25B688"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7D879C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2025</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C41F6E"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Rahandusministeeriumi aruanne, mis edastatakse ministrite nõukogule vastavalt 2016. aasta dekreetseadustele nr 90 ja 93 ning seadusele nr 163/2016:</w:t>
            </w:r>
          </w:p>
          <w:p w14:paraId="5CF6A6E3"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 tõendab, et 2024. aasta kulude läbivaatamise protsess on lõpule viidud, võttes arvesse kulude läbivaatamise raamistikku.</w:t>
            </w:r>
          </w:p>
          <w:p w14:paraId="7D6D29E7"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 tõendab 2022. ja 2023. aastaks seatud eesmärgi saavutamist.</w:t>
            </w:r>
          </w:p>
        </w:tc>
      </w:tr>
      <w:tr w:rsidR="00A031C9" w:rsidRPr="00D90835" w14:paraId="03B31873"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5A6AFC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M1C1-116</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6B1C26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Reform 1.12. Maksuhalduse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C7AC45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CCB849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Maksudest kõrvalehoidumise vähendamine, nagu on määratletud näitajaga „võimalus maksudest kõrvale hoiduda“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AB65A8"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67CA1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Protsent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C0386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40D12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-5</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6A4000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4.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CA133D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2025</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F4E2375" w14:textId="77777777" w:rsidR="00A031C9" w:rsidRPr="005D68A0" w:rsidRDefault="00A031C9" w:rsidP="00A031C9">
            <w:pPr>
              <w:spacing w:before="100" w:beforeAutospacing="1" w:after="120"/>
              <w:rPr>
                <w:rFonts w:ascii="Arial Narrow" w:hAnsi="Arial Narrow" w:cs="Arial"/>
                <w:noProof/>
                <w:color w:val="006100"/>
                <w:sz w:val="20"/>
                <w:szCs w:val="20"/>
              </w:rPr>
            </w:pPr>
            <w:r>
              <w:rPr>
                <w:rFonts w:ascii="Arial Narrow" w:hAnsi="Arial Narrow"/>
                <w:noProof/>
                <w:color w:val="006100"/>
                <w:sz w:val="20"/>
              </w:rPr>
              <w:t>Kõigi maksude puhul, v.a omandimaksud (Imposta Municipale Unica) ja aktsiisimaksud, peab „võimalus maksudest kõrvale hoida“ olema 2023. aastal 2019. aastaga võrreldes 5 % väiksem 2019. aasta lähteväärtusest. 2019. aasta võrdlushinnang lisatakse valitsuse ajakohastatud aruandesse varimajanduse kohta, mis avaldatakse 2021. aasta novembris vastavalt seadusandliku dekreedi nr 160/2015 artikli 2 sätetele. 5 % vähendamist tuleb vaadelda võrdluses hinnangutega, mis sisalduvad sama aruande ajakohastatud versioonis, mis avaldatakse 2025. aasta novembris 2023. maksustamisaasta andmete põhjal.</w:t>
            </w:r>
          </w:p>
        </w:tc>
      </w:tr>
      <w:tr w:rsidR="00A031C9" w:rsidRPr="00D90835" w14:paraId="1BFDB91C"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8BD983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M1C1-117</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C847447" w14:textId="77777777" w:rsidR="00A031C9" w:rsidRPr="005D68A0" w:rsidRDefault="00A031C9" w:rsidP="00A031C9">
            <w:pPr>
              <w:spacing w:line="276" w:lineRule="auto"/>
              <w:jc w:val="center"/>
              <w:rPr>
                <w:rFonts w:ascii="Arial Narrow" w:hAnsi="Arial Narrow" w:cs="Arial"/>
                <w:noProof/>
                <w:color w:val="006100"/>
                <w:sz w:val="20"/>
                <w:szCs w:val="20"/>
              </w:rPr>
            </w:pPr>
            <w:r>
              <w:rPr>
                <w:rFonts w:ascii="Arial Narrow" w:hAnsi="Arial Narrow"/>
                <w:noProof/>
                <w:color w:val="006100"/>
                <w:sz w:val="20"/>
              </w:rPr>
              <w:t>Reform 1.15.</w:t>
            </w:r>
          </w:p>
          <w:p w14:paraId="306DB7E3" w14:textId="77777777" w:rsidR="00A031C9" w:rsidRPr="005D68A0" w:rsidRDefault="00A031C9" w:rsidP="00A031C9">
            <w:pPr>
              <w:spacing w:line="276" w:lineRule="auto"/>
              <w:jc w:val="center"/>
              <w:rPr>
                <w:rFonts w:ascii="Arial Narrow" w:hAnsi="Arial Narrow" w:cs="Arial"/>
                <w:noProof/>
                <w:color w:val="006100"/>
                <w:sz w:val="20"/>
                <w:szCs w:val="20"/>
              </w:rPr>
            </w:pPr>
            <w:r>
              <w:rPr>
                <w:rFonts w:ascii="Arial Narrow" w:hAnsi="Arial Narrow"/>
                <w:noProof/>
                <w:color w:val="006100"/>
                <w:sz w:val="20"/>
              </w:rPr>
              <w:t>Avaliku sektori raamatupidamiseeskirjade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C344F1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DCBE898" w14:textId="654C3156"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Uuele tekkepõhisele raamatupidamissüsteemile üleminekuks koolitatud avalik-õiguslike asutuste esindajad</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2A7002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BBD0E5D" w14:textId="370D92B3"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 xml:space="preserve">Protsent </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DCE2D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F7693C" w14:textId="6C35BC53"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90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08D0AC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1.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E4127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1A46D32" w14:textId="5B3AB9C0" w:rsidR="00A031C9" w:rsidRPr="005D68A0" w:rsidRDefault="00A031C9" w:rsidP="00A031C9">
            <w:pPr>
              <w:rPr>
                <w:rFonts w:ascii="Arial Narrow" w:hAnsi="Arial Narrow" w:cs="Arial"/>
                <w:noProof/>
                <w:color w:val="006100"/>
                <w:sz w:val="20"/>
                <w:szCs w:val="20"/>
              </w:rPr>
            </w:pPr>
            <w:r>
              <w:rPr>
                <w:rFonts w:ascii="Arial Narrow" w:hAnsi="Arial Narrow"/>
                <w:noProof/>
                <w:color w:val="006100"/>
                <w:sz w:val="20"/>
              </w:rPr>
              <w:t>Avaliku sektori asutuste esindajate uuele tekkepõhisele raamatupidamissüsteemile ülemineku esimese koolitusvooru lõpp, mis katab vähemalt 90 % kogu avaliku sektori esmastest kuludest.</w:t>
            </w:r>
          </w:p>
        </w:tc>
      </w:tr>
      <w:tr w:rsidR="00A031C9" w:rsidRPr="00D90835" w14:paraId="66B33479"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FB3258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M1C1-118</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B2FCBA" w14:textId="77777777" w:rsidR="00A031C9" w:rsidRPr="005D68A0" w:rsidRDefault="00A031C9" w:rsidP="00A031C9">
            <w:pPr>
              <w:spacing w:line="276" w:lineRule="auto"/>
              <w:jc w:val="center"/>
              <w:rPr>
                <w:rFonts w:ascii="Arial Narrow" w:hAnsi="Arial Narrow" w:cs="Arial"/>
                <w:noProof/>
                <w:color w:val="006100"/>
                <w:sz w:val="20"/>
                <w:szCs w:val="20"/>
              </w:rPr>
            </w:pPr>
            <w:bookmarkStart w:id="6" w:name="_Hlk160472732"/>
            <w:r>
              <w:rPr>
                <w:rFonts w:ascii="Arial Narrow" w:hAnsi="Arial Narrow"/>
                <w:noProof/>
                <w:color w:val="006100"/>
                <w:sz w:val="20"/>
              </w:rPr>
              <w:t>Reform 1.15.</w:t>
            </w:r>
          </w:p>
          <w:p w14:paraId="5B963D9E" w14:textId="77777777" w:rsidR="00A031C9" w:rsidRPr="005D68A0" w:rsidRDefault="00A031C9" w:rsidP="00A031C9">
            <w:pPr>
              <w:spacing w:line="276" w:lineRule="auto"/>
              <w:jc w:val="center"/>
              <w:rPr>
                <w:rFonts w:ascii="Arial Narrow" w:hAnsi="Arial Narrow" w:cs="Arial"/>
                <w:noProof/>
                <w:color w:val="006100"/>
                <w:sz w:val="20"/>
                <w:szCs w:val="20"/>
              </w:rPr>
            </w:pPr>
            <w:r>
              <w:rPr>
                <w:rFonts w:ascii="Arial Narrow" w:hAnsi="Arial Narrow"/>
                <w:noProof/>
                <w:color w:val="006100"/>
                <w:sz w:val="20"/>
              </w:rPr>
              <w:t>Avaliku sektori raamatupidamiseeskirjade reform</w:t>
            </w:r>
            <w:bookmarkEnd w:id="6"/>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DC6AC4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9CB8CB0" w14:textId="1EC1AA6E"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 xml:space="preserve">Raamatupidamisaruannete väljastamine ja tekkepõhise raamatupidamise õigusakti jõustumine avaliku sektori asutuste puhul, mis katavad vähemalt 90 % kogu avaliku sektori esmastest kuludest. </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0E10990" w14:textId="1F2CB6E3"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Seadusandliku akti säte, mis osutab seadusandliku akti jõustumisele. Kõikide rakendusmeetmete (sealhulgas suunised, tegevusjuhendid ja koolitusprogramm) jõustumine avaliku sektori asutuste puhul, kes katavad vähemalt 90 % kogu avaliku sektori esmastest kuludest.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438BA0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F4624F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1040F6F"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3D1061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E3886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7F5C943" w14:textId="0BAA0D1B"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Avaliku sektori raamatupidamiseeskirjade seadusandliku akti katseetapina esitatakse avaliku halduse finantsaruanded avaliku sektori asutustele, mis hõlmavad vähemalt 90 % kogu avaliku sektori esmastest kuludest.</w:t>
            </w:r>
          </w:p>
          <w:p w14:paraId="5B36FF5B" w14:textId="4D05BDA5"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Lisaks jõustub seadusandlik akt, millega nähakse ette uue tekkepõhise raamatupidamisarvestuse süsteemi kasutuselevõtt avaliku sektori asutuste jaoks, mis katab alates 2027. aastast vähemalt 90 % kogu avaliku sektori esmastest kuludest.</w:t>
            </w:r>
            <w:r>
              <w:rPr>
                <w:noProof/>
              </w:rPr>
              <w:t xml:space="preserve"> </w:t>
            </w:r>
            <w:r>
              <w:rPr>
                <w:noProof/>
              </w:rPr>
              <w:br/>
            </w:r>
          </w:p>
          <w:p w14:paraId="67EF351A" w14:textId="59338309"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 xml:space="preserve">Lisaks jõustuvad järgmised rakendusmeetmed: </w:t>
            </w:r>
          </w:p>
          <w:p w14:paraId="2D927585" w14:textId="5A5B4446" w:rsidR="00A031C9" w:rsidRPr="005D68A0" w:rsidRDefault="00A031C9" w:rsidP="007647D5">
            <w:pPr>
              <w:spacing w:after="120"/>
              <w:rPr>
                <w:rFonts w:ascii="Arial Narrow" w:hAnsi="Arial Narrow" w:cs="Arial"/>
                <w:noProof/>
                <w:color w:val="006100"/>
                <w:sz w:val="20"/>
                <w:szCs w:val="20"/>
              </w:rPr>
            </w:pPr>
            <w:r>
              <w:rPr>
                <w:rFonts w:ascii="Arial Narrow" w:hAnsi="Arial Narrow"/>
                <w:noProof/>
                <w:color w:val="006100"/>
                <w:sz w:val="20"/>
              </w:rPr>
              <w:t>1) Suunised ja tegevusjuhised raamatupidamisstandardite kohaldamiseks koos näidete ja praktiliste esitlustega ettevõtjate toetamiseks; ja</w:t>
            </w:r>
            <w:r>
              <w:rPr>
                <w:noProof/>
              </w:rPr>
              <w:br/>
            </w:r>
            <w:r>
              <w:rPr>
                <w:rFonts w:ascii="Arial Narrow" w:hAnsi="Arial Narrow"/>
                <w:noProof/>
                <w:color w:val="006100"/>
                <w:sz w:val="20"/>
              </w:rPr>
              <w:t>2) Koolitusprogramm: koolitusprogrammide koostamine uuele tekkepõhisele raamatupidamissüsteemile üleminekuks.</w:t>
            </w:r>
          </w:p>
        </w:tc>
      </w:tr>
      <w:tr w:rsidR="00A031C9" w:rsidRPr="00D90835" w14:paraId="1408A2D0"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3F0F8E7" w14:textId="11908C33"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M1C1-119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E895B75" w14:textId="77777777" w:rsidR="00A031C9" w:rsidRPr="005D68A0" w:rsidRDefault="00A031C9" w:rsidP="00A031C9">
            <w:pPr>
              <w:spacing w:line="276" w:lineRule="auto"/>
              <w:jc w:val="center"/>
              <w:rPr>
                <w:rFonts w:ascii="Arial Narrow" w:hAnsi="Arial Narrow" w:cs="Arial"/>
                <w:noProof/>
                <w:color w:val="006100"/>
                <w:sz w:val="20"/>
                <w:szCs w:val="20"/>
              </w:rPr>
            </w:pPr>
            <w:r>
              <w:rPr>
                <w:rFonts w:ascii="Arial Narrow" w:hAnsi="Arial Narrow"/>
                <w:noProof/>
                <w:color w:val="006100"/>
                <w:sz w:val="20"/>
              </w:rPr>
              <w:t>Reform 1.14.</w:t>
            </w:r>
          </w:p>
          <w:p w14:paraId="0686716C" w14:textId="77777777" w:rsidR="00A031C9" w:rsidRPr="005D68A0" w:rsidRDefault="00A031C9" w:rsidP="00A031C9">
            <w:pPr>
              <w:spacing w:line="276" w:lineRule="auto"/>
              <w:jc w:val="center"/>
              <w:rPr>
                <w:rFonts w:ascii="Arial Narrow" w:hAnsi="Arial Narrow" w:cs="Arial"/>
                <w:noProof/>
                <w:color w:val="006100"/>
                <w:sz w:val="20"/>
                <w:szCs w:val="20"/>
              </w:rPr>
            </w:pPr>
            <w:r>
              <w:rPr>
                <w:rFonts w:ascii="Arial Narrow" w:hAnsi="Arial Narrow"/>
                <w:noProof/>
                <w:color w:val="006100"/>
                <w:sz w:val="20"/>
              </w:rPr>
              <w:t>Piirkondliku eelarveraamistiku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B9EE8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DFFECD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Piirkondliku fiskaalse föderalismi rakendamiseks vajalike esmaste ja teiseste õigusaktide jõustumine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2E82A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Seaduse säte, mis viitab fiskaalse föderalismi jõustumisele tavalise staatusega piirkondades.</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57D6BB"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D57A0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DB7644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8F4D7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1.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79C8FC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C437C6A"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Kehtiva delegeeritud seadusega 42/2009 ette nähtud fiskaalföderalismi (Federalismo fiscale) reguleeriva raamistiku jõustumine. Eelkõige määratakse esmastes ja teisestes õigusaktides kindlaks asjakohased parameetrid, mis rakendatakse fiskaalföderalismi üldise staatusega piirkondade puhul, nagu on määratletud dekreetseaduses 68/2011 (artiklid 1-15), mida on viimati muudetud seadusega 176/2020 (artikkel 31-sexties).</w:t>
            </w:r>
          </w:p>
        </w:tc>
      </w:tr>
      <w:tr w:rsidR="00A031C9" w:rsidRPr="00D90835" w14:paraId="0E15F6A6"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A5AB0C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M1C1-120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3D5487" w14:textId="77777777" w:rsidR="00A031C9" w:rsidRPr="005D68A0" w:rsidRDefault="00A031C9" w:rsidP="00A031C9">
            <w:pPr>
              <w:spacing w:line="276" w:lineRule="auto"/>
              <w:jc w:val="center"/>
              <w:rPr>
                <w:rFonts w:ascii="Arial Narrow" w:hAnsi="Arial Narrow" w:cs="Arial"/>
                <w:noProof/>
                <w:color w:val="006100"/>
                <w:sz w:val="20"/>
                <w:szCs w:val="20"/>
              </w:rPr>
            </w:pPr>
            <w:r>
              <w:rPr>
                <w:rFonts w:ascii="Arial Narrow" w:hAnsi="Arial Narrow"/>
                <w:noProof/>
                <w:color w:val="006100"/>
                <w:sz w:val="20"/>
              </w:rPr>
              <w:t>Reform 1.14.</w:t>
            </w:r>
          </w:p>
          <w:p w14:paraId="6FE0B7C0" w14:textId="77777777" w:rsidR="00A031C9" w:rsidRPr="005D68A0" w:rsidRDefault="00A031C9" w:rsidP="00A031C9">
            <w:pPr>
              <w:spacing w:line="276" w:lineRule="auto"/>
              <w:jc w:val="center"/>
              <w:rPr>
                <w:rFonts w:ascii="Arial Narrow" w:hAnsi="Arial Narrow" w:cs="Arial"/>
                <w:noProof/>
                <w:color w:val="006100"/>
                <w:sz w:val="20"/>
                <w:szCs w:val="20"/>
              </w:rPr>
            </w:pPr>
            <w:r>
              <w:rPr>
                <w:rFonts w:ascii="Arial Narrow" w:hAnsi="Arial Narrow"/>
                <w:noProof/>
                <w:color w:val="006100"/>
                <w:sz w:val="20"/>
              </w:rPr>
              <w:t>Piirkondliku eelarveraamistiku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AF6329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1FEBB3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Piirkondliku fiskaalse föderalismi rakendamiseks vajalike esmaste ja teiseste õigusaktide jõustumine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461255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Seaduse säte, mis viitab maksuföderalismi jõustumisele provintsides ja suurlinnades.</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DE1637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AB20B0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5CC40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0D865B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1.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C38B1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0BB576E" w14:textId="2836C6DA" w:rsidR="00A031C9" w:rsidRPr="005D68A0" w:rsidRDefault="00A031C9" w:rsidP="00A031C9">
            <w:pPr>
              <w:rPr>
                <w:rFonts w:ascii="Arial Narrow" w:hAnsi="Arial Narrow" w:cs="Arial"/>
                <w:noProof/>
                <w:color w:val="006100"/>
                <w:sz w:val="20"/>
                <w:szCs w:val="20"/>
              </w:rPr>
            </w:pPr>
            <w:r>
              <w:rPr>
                <w:rFonts w:ascii="Arial Narrow" w:hAnsi="Arial Narrow"/>
                <w:noProof/>
                <w:color w:val="006100"/>
                <w:sz w:val="20"/>
              </w:rPr>
              <w:t>Kehtiva delegeeritud seadusega 42/2009 ette nähtud fiskaalföderalismi (Federalismo fiscale) reguleeriva raamistiku jõustumine. Eelkõige määratakse esmastes ja teisestes õigusaktides kindlaks asjakohased parameetrid, mis rakendatakse vajaduse korral provintside ja suurlinnade fiskaalföderalismi, nagu see on määratletud dekreetseaduses 68/2011 (artikkel 1-15), mida on viimati muudetud seadusega 178/2020 (artikkel 1, koma 783).</w:t>
            </w:r>
          </w:p>
        </w:tc>
      </w:tr>
      <w:tr w:rsidR="00A031C9" w:rsidRPr="00D90835" w14:paraId="72C01A98"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BA3F00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M1C1-121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3D3A4D" w14:textId="77777777" w:rsidR="00A031C9" w:rsidRPr="005D68A0" w:rsidRDefault="00A031C9" w:rsidP="00A031C9">
            <w:pPr>
              <w:spacing w:line="276" w:lineRule="auto"/>
              <w:jc w:val="center"/>
              <w:rPr>
                <w:rFonts w:ascii="Arial Narrow" w:hAnsi="Arial Narrow" w:cs="Arial"/>
                <w:noProof/>
                <w:color w:val="006100"/>
                <w:sz w:val="20"/>
                <w:szCs w:val="20"/>
              </w:rPr>
            </w:pPr>
            <w:r>
              <w:rPr>
                <w:rFonts w:ascii="Arial Narrow" w:hAnsi="Arial Narrow"/>
                <w:noProof/>
                <w:color w:val="006100"/>
                <w:sz w:val="20"/>
              </w:rPr>
              <w:t>Reform 1.12.</w:t>
            </w:r>
          </w:p>
          <w:p w14:paraId="56F2877E" w14:textId="77777777" w:rsidR="00A031C9" w:rsidRPr="005D68A0" w:rsidRDefault="00A031C9" w:rsidP="00A031C9">
            <w:pPr>
              <w:spacing w:line="276" w:lineRule="auto"/>
              <w:jc w:val="center"/>
              <w:rPr>
                <w:rFonts w:ascii="Arial Narrow" w:hAnsi="Arial Narrow" w:cs="Arial"/>
                <w:noProof/>
                <w:color w:val="006100"/>
                <w:sz w:val="20"/>
                <w:szCs w:val="20"/>
              </w:rPr>
            </w:pPr>
            <w:r>
              <w:rPr>
                <w:rFonts w:ascii="Arial Narrow" w:hAnsi="Arial Narrow"/>
                <w:noProof/>
                <w:color w:val="006100"/>
                <w:sz w:val="20"/>
              </w:rPr>
              <w:t>Maksuhalduse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144DFB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Siht</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A473B6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Maksudest kõrvalehoidumise vähendamine, nagu on määratletud näitajaga „võimalus maksudest kõrvale hoiduda“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BDF884"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7F3B89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Protsent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BFD747E"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56AAE03"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-15</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8A27152"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E23486"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305DB6F"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Kõigi maksude puhul, v.a omandimaksud (Imposta Municipale Unica) ja aktsiisimaksud, peab „võimalus maksudest kõrvale hoida“ olema 2024. aastal 2019. aastaga võrreldes 15 % väiksem 2019. aasta lähteväärtusest. 2019. aasta võrdlushinnang lisatakse valitsuse ajakohastatud aruandesse varimajanduse kohta, mis avaldatakse 2021. aasta novembris vastavalt seadusandliku dekreedi nr 160/2015 artikli 2 sätetele. 15 % vähendamist täheldatakse viitega 2024. maksustamisaasta hinnangule, mis sisaldub rahandusministeeriumi poolt 2026. aasta juuniks koostatavas spetsiaalses aruandes, mis põhineb samal metoodikal, mida kasutatakse seadusandliku dekreedi nr 160/2015 artiklis 2 nõutud aruande koostamiseks.</w:t>
            </w:r>
          </w:p>
        </w:tc>
      </w:tr>
      <w:tr w:rsidR="00A031C9" w:rsidRPr="00D90835" w14:paraId="722B61B4" w14:textId="77777777" w:rsidTr="0183CD3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EC9414A"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M1C1-122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9DA8854" w14:textId="77777777" w:rsidR="00A031C9" w:rsidRPr="005D68A0" w:rsidRDefault="00A031C9" w:rsidP="00A031C9">
            <w:pPr>
              <w:spacing w:line="276" w:lineRule="auto"/>
              <w:jc w:val="center"/>
              <w:rPr>
                <w:rFonts w:ascii="Arial Narrow" w:hAnsi="Arial Narrow" w:cs="Arial"/>
                <w:noProof/>
                <w:color w:val="006100"/>
                <w:sz w:val="20"/>
                <w:szCs w:val="20"/>
              </w:rPr>
            </w:pPr>
            <w:r>
              <w:rPr>
                <w:rFonts w:ascii="Arial Narrow" w:hAnsi="Arial Narrow"/>
                <w:noProof/>
                <w:color w:val="006100"/>
                <w:sz w:val="20"/>
              </w:rPr>
              <w:t>Reform 1.13. Kulude läbivaatamise raamistiku reform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FACCD3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Eesmärk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48A000"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Iga-aastase kulutuste läbivaatamise lõpuleviimine 2025. aastaks, võttes arvesse 2022., 2023., 2024. ja 2025. aastaks seatud säästueesmärki.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42EF9B1"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Rahandusministeeriumi aruande vastuvõtmine kulutuste läbivaatamise kohta 2025. aastal, mis tõendab protsessi lõpuleviimist ja eesmärgi saavutamist.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92DBF09"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B069DE7"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7E47465"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Ei kohaldata</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252197D"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 kv</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2A89F3C" w14:textId="77777777" w:rsidR="00A031C9" w:rsidRPr="005D68A0" w:rsidRDefault="00A031C9" w:rsidP="00A031C9">
            <w:pPr>
              <w:jc w:val="center"/>
              <w:rPr>
                <w:rFonts w:ascii="Arial Narrow" w:hAnsi="Arial Narrow" w:cs="Arial"/>
                <w:noProof/>
                <w:color w:val="006100"/>
                <w:sz w:val="20"/>
                <w:szCs w:val="20"/>
              </w:rPr>
            </w:pPr>
            <w:r>
              <w:rPr>
                <w:rFonts w:ascii="Arial Narrow" w:hAnsi="Arial Narrow"/>
                <w:noProof/>
                <w:color w:val="006100"/>
                <w:sz w:val="20"/>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9F19DF0"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Rahandusministeeriumi aruanne, mis edastatakse ministrite nõukogule vastavalt 2016. aasta dekreetseadustele nr 90 ja 93 ning seadusele nr 163/2016:</w:t>
            </w:r>
          </w:p>
          <w:p w14:paraId="1544AB33"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 tõendab, et 2025. aasta kulude läbivaatamise protsess on lõpule viidud, võttes arvesse kulude läbivaatamise raamistikku.</w:t>
            </w:r>
          </w:p>
          <w:p w14:paraId="0668810C" w14:textId="77777777" w:rsidR="00A031C9" w:rsidRPr="005D68A0" w:rsidRDefault="00A031C9" w:rsidP="00A031C9">
            <w:pPr>
              <w:spacing w:after="120"/>
              <w:rPr>
                <w:rFonts w:ascii="Arial Narrow" w:hAnsi="Arial Narrow" w:cs="Arial"/>
                <w:noProof/>
                <w:color w:val="006100"/>
                <w:sz w:val="20"/>
                <w:szCs w:val="20"/>
              </w:rPr>
            </w:pPr>
            <w:r>
              <w:rPr>
                <w:rFonts w:ascii="Arial Narrow" w:hAnsi="Arial Narrow"/>
                <w:noProof/>
                <w:color w:val="006100"/>
                <w:sz w:val="20"/>
              </w:rPr>
              <w:t>- tõendab 2022., 2023. ja 2024. aastaks seatud eesmärgi saavutamist.</w:t>
            </w:r>
          </w:p>
        </w:tc>
      </w:tr>
    </w:tbl>
    <w:p w14:paraId="05502703" w14:textId="77777777" w:rsidR="0084326C" w:rsidRPr="00F33804" w:rsidRDefault="0084326C" w:rsidP="0084326C">
      <w:pPr>
        <w:tabs>
          <w:tab w:val="left" w:pos="4252"/>
        </w:tabs>
        <w:rPr>
          <w:i/>
          <w:noProof/>
        </w:rPr>
        <w:sectPr w:rsidR="0084326C" w:rsidRPr="00F33804">
          <w:headerReference w:type="even" r:id="rId24"/>
          <w:headerReference w:type="default" r:id="rId25"/>
          <w:footerReference w:type="even" r:id="rId26"/>
          <w:footerReference w:type="default" r:id="rId27"/>
          <w:headerReference w:type="first" r:id="rId28"/>
          <w:footerReference w:type="first" r:id="rId29"/>
          <w:pgSz w:w="16838" w:h="11906" w:orient="landscape" w:code="9"/>
          <w:pgMar w:top="1134" w:right="1134" w:bottom="1134" w:left="1134" w:header="567" w:footer="567" w:gutter="0"/>
          <w:cols w:space="720"/>
          <w:docGrid w:linePitch="360"/>
        </w:sectPr>
      </w:pPr>
    </w:p>
    <w:p w14:paraId="6EF551DD" w14:textId="77777777" w:rsidR="0084326C" w:rsidRPr="005D68A0" w:rsidRDefault="0084326C" w:rsidP="0084326C">
      <w:pPr>
        <w:pStyle w:val="Heading3"/>
        <w:numPr>
          <w:ilvl w:val="0"/>
          <w:numId w:val="0"/>
        </w:numPr>
        <w:ind w:left="850" w:hanging="850"/>
        <w:rPr>
          <w:b/>
          <w:bCs w:val="0"/>
          <w:i w:val="0"/>
          <w:iCs/>
          <w:noProof/>
          <w:u w:val="single"/>
        </w:rPr>
      </w:pPr>
      <w:r>
        <w:rPr>
          <w:b/>
          <w:i w:val="0"/>
          <w:noProof/>
          <w:u w:val="single"/>
        </w:rPr>
        <w:t xml:space="preserve">A.3. </w:t>
      </w:r>
      <w:r>
        <w:rPr>
          <w:noProof/>
        </w:rPr>
        <w:tab/>
      </w:r>
      <w:r>
        <w:rPr>
          <w:b/>
          <w:i w:val="0"/>
          <w:noProof/>
          <w:u w:val="single"/>
        </w:rPr>
        <w:t xml:space="preserve">Laenuga seotud reformide ja investeeringute kirjeldus </w:t>
      </w:r>
    </w:p>
    <w:p w14:paraId="545278D4" w14:textId="77777777" w:rsidR="0084326C" w:rsidRPr="005D68A0" w:rsidRDefault="0084326C" w:rsidP="0084326C">
      <w:pPr>
        <w:spacing w:before="120" w:after="120"/>
        <w:jc w:val="both"/>
        <w:rPr>
          <w:rFonts w:eastAsiaTheme="minorHAnsi"/>
          <w:b/>
          <w:noProof/>
          <w:szCs w:val="22"/>
          <w:lang w:val="en-GB" w:eastAsia="en-US"/>
        </w:rPr>
      </w:pPr>
    </w:p>
    <w:p w14:paraId="7AF24C6E" w14:textId="77777777" w:rsidR="0084326C" w:rsidRPr="005D68A0" w:rsidRDefault="0084326C" w:rsidP="0084326C">
      <w:pPr>
        <w:spacing w:before="120" w:after="120"/>
        <w:jc w:val="both"/>
        <w:rPr>
          <w:rFonts w:eastAsiaTheme="minorHAnsi"/>
          <w:b/>
          <w:noProof/>
          <w:szCs w:val="22"/>
        </w:rPr>
      </w:pPr>
      <w:r>
        <w:rPr>
          <w:b/>
          <w:noProof/>
        </w:rPr>
        <w:t>Investeering 1.2. Pilvandmetöötlus kohalikule makseasutusele</w:t>
      </w:r>
    </w:p>
    <w:p w14:paraId="3C6B1BFC" w14:textId="77777777" w:rsidR="0084326C" w:rsidRPr="005D68A0" w:rsidRDefault="0084326C" w:rsidP="0084326C">
      <w:pPr>
        <w:pStyle w:val="Descriptiontitle"/>
        <w:ind w:left="0"/>
        <w:rPr>
          <w:noProof/>
        </w:rPr>
      </w:pPr>
      <w:r>
        <w:rPr>
          <w:noProof/>
        </w:rPr>
        <w:t xml:space="preserve">Selle investeeringu eesmärk on viia kohaliku avaliku halduse olulise osa andmekogud ja rakendused üle turvalisse pilvetaristusse, mis annab igale ametiasutusele vabaduse valida sertifitseeritud avalikus pilvekeskkonnas. </w:t>
      </w:r>
    </w:p>
    <w:p w14:paraId="741D6E7B" w14:textId="77777777" w:rsidR="0084326C" w:rsidRPr="005D68A0" w:rsidRDefault="0084326C" w:rsidP="0084326C">
      <w:pPr>
        <w:pStyle w:val="Descriptiontitle"/>
        <w:ind w:left="0"/>
        <w:rPr>
          <w:noProof/>
        </w:rPr>
      </w:pPr>
      <w:r>
        <w:rPr>
          <w:noProof/>
        </w:rPr>
        <w:t>Meetmega nähakse ette ka ametiasutustele suunatud tugipakett „ränne teenusena“, mis hõlmab järgmist: i) esialgne hindamine, ii) jõupingutuste käivitamiseks vajalik menetluslik/halduslik tugi, iii) läbirääkimised vajaliku välisabi üle ja iv) projekti üldine juhtimine selle elluviimise käigus. Tehnoloogiliste uuenduste ja digiülemineku ministeeriumi (MITD) järelevalve all tegutsevalt rühmalt oodatakse kvalifitseeritud teenuseosutajate laia nimekirja kindlaksmääramist ja sertifitseerimist ning läbirääkimisi standardsete toetuspakettide üle, mis on kohandatud vastavalt administratsiooni suurusele ja migratsiooniga seotud teenustele.</w:t>
      </w:r>
    </w:p>
    <w:p w14:paraId="28246004" w14:textId="77777777" w:rsidR="0084326C" w:rsidRPr="005D68A0" w:rsidRDefault="0084326C" w:rsidP="0084326C">
      <w:pPr>
        <w:spacing w:before="120" w:after="120"/>
        <w:jc w:val="both"/>
        <w:rPr>
          <w:rFonts w:eastAsiaTheme="minorHAnsi"/>
          <w:b/>
          <w:noProof/>
          <w:szCs w:val="22"/>
        </w:rPr>
      </w:pPr>
      <w:r>
        <w:rPr>
          <w:b/>
          <w:noProof/>
        </w:rPr>
        <w:t>Investeering 1.4. Digitaalteenused ja kodanike kogemused</w:t>
      </w:r>
    </w:p>
    <w:p w14:paraId="168452B2" w14:textId="77777777" w:rsidR="0084326C" w:rsidRPr="005D68A0" w:rsidRDefault="0084326C" w:rsidP="0084326C">
      <w:pPr>
        <w:pStyle w:val="Descriptiontitle"/>
        <w:ind w:left="0"/>
        <w:rPr>
          <w:noProof/>
        </w:rPr>
      </w:pPr>
      <w:r>
        <w:rPr>
          <w:noProof/>
        </w:rPr>
        <w:t xml:space="preserve">Selle investeeringu eesmärk on töötada välja tipptasemel kodanikele suunatud digitaalteenuste integreeritud ja ühtlustatud pakkumine, tagada nende laialdane kasutuselevõtt nii kesk- kui ka kohalikes haldusasutustes ning suurendada kasutajate kogemusi. </w:t>
      </w:r>
    </w:p>
    <w:p w14:paraId="6D6536F3" w14:textId="77777777" w:rsidR="0084326C" w:rsidRPr="005D68A0" w:rsidRDefault="0084326C" w:rsidP="0084326C">
      <w:pPr>
        <w:pStyle w:val="Descriptiontitle"/>
        <w:ind w:left="0"/>
        <w:rPr>
          <w:noProof/>
        </w:rPr>
      </w:pPr>
      <w:r>
        <w:rPr>
          <w:noProof/>
        </w:rPr>
        <w:t xml:space="preserve">Meede: </w:t>
      </w:r>
    </w:p>
    <w:p w14:paraId="5EFA02A2" w14:textId="77777777" w:rsidR="0084326C" w:rsidRPr="005D68A0" w:rsidRDefault="0084326C" w:rsidP="0084326C">
      <w:pPr>
        <w:pStyle w:val="Descriptiontitle"/>
        <w:numPr>
          <w:ilvl w:val="0"/>
          <w:numId w:val="82"/>
        </w:numPr>
        <w:ind w:left="578" w:hanging="578"/>
        <w:rPr>
          <w:noProof/>
        </w:rPr>
      </w:pPr>
      <w:r>
        <w:rPr>
          <w:noProof/>
        </w:rPr>
        <w:t>suurendada digitaalsete avalike teenuste kogemust, määratledes korduvkasutatavad teenuse osutamise mudelid, millega tagatakse täielik ligipääsetavusnõuete täitmine (investeering 1.4.1 – Kodanikukogemus – Digitaalsete avalike teenuste kvaliteedi ja kasutatavuse parandamine);</w:t>
      </w:r>
    </w:p>
    <w:p w14:paraId="3843F285" w14:textId="77777777" w:rsidR="0084326C" w:rsidRPr="005D68A0" w:rsidRDefault="0084326C" w:rsidP="0084326C">
      <w:pPr>
        <w:pStyle w:val="Descriptiontitle"/>
        <w:numPr>
          <w:ilvl w:val="0"/>
          <w:numId w:val="82"/>
        </w:numPr>
        <w:ind w:left="578" w:hanging="578"/>
        <w:rPr>
          <w:noProof/>
        </w:rPr>
      </w:pPr>
      <w:r>
        <w:rPr>
          <w:noProof/>
        </w:rPr>
        <w:t>digitaalsete avalike teenuste kättesaadavuse parandamine (investeering 1.4.2 – Kodaniku kaasamine: Digitaalsete avalike teenuste kättesaadavuse parandamine);</w:t>
      </w:r>
    </w:p>
    <w:p w14:paraId="21BBA0D9" w14:textId="77777777" w:rsidR="0084326C" w:rsidRPr="005D68A0" w:rsidRDefault="0084326C" w:rsidP="0084326C">
      <w:pPr>
        <w:pStyle w:val="Descriptiontitle"/>
        <w:numPr>
          <w:ilvl w:val="0"/>
          <w:numId w:val="82"/>
        </w:numPr>
        <w:ind w:left="578" w:hanging="578"/>
        <w:rPr>
          <w:noProof/>
        </w:rPr>
      </w:pPr>
      <w:r>
        <w:rPr>
          <w:noProof/>
        </w:rPr>
        <w:t>edendada kodanike ja haldusasutuste vaheliste maksete digitaalse rakenduse (PagoPA) kasutuselevõtmist ning rakenduse „IO“ kasutuselevõtmist kodanike ja haldusasutuste vahelise peamise digitaalse kontaktpunktina mitmesuguste teenuste (sh teadete) jaoks kooskõlas ühtse kontaktpunkti loogikaga (investeering 1.4.3 – PagoPA platvormi teenuste ja rakenduse „IO“ kasutuselevõtmine);</w:t>
      </w:r>
    </w:p>
    <w:p w14:paraId="36167814" w14:textId="77777777" w:rsidR="0084326C" w:rsidRPr="005D68A0" w:rsidRDefault="0084326C" w:rsidP="0084326C">
      <w:pPr>
        <w:pStyle w:val="Descriptiontitle"/>
        <w:numPr>
          <w:ilvl w:val="0"/>
          <w:numId w:val="82"/>
        </w:numPr>
        <w:ind w:left="578" w:hanging="578"/>
        <w:rPr>
          <w:noProof/>
        </w:rPr>
      </w:pPr>
      <w:r>
        <w:rPr>
          <w:noProof/>
        </w:rPr>
        <w:t>toetada riiklike digitaalse identiteedi platvormide (Sistema Pubblico di Identità Digitale, SPID ja Carta d’Identità Elettronica, CIE) ja riikliku registri (Anagrafe nazionale della popolazione residente, ANPR) kasutuselevõtmist (Investeering 1.4.4 – Riiklike digitaalse identiteedi platvormide (SPID, CIE) ja riikliku registri (ANPR) kasutuselevõtmine);</w:t>
      </w:r>
    </w:p>
    <w:p w14:paraId="1709698A" w14:textId="77777777" w:rsidR="0084326C" w:rsidRPr="005D68A0" w:rsidRDefault="0084326C" w:rsidP="0084326C">
      <w:pPr>
        <w:pStyle w:val="Descriptiontitle"/>
        <w:numPr>
          <w:ilvl w:val="0"/>
          <w:numId w:val="82"/>
        </w:numPr>
        <w:ind w:left="578" w:hanging="578"/>
        <w:rPr>
          <w:noProof/>
        </w:rPr>
      </w:pPr>
      <w:r>
        <w:rPr>
          <w:noProof/>
        </w:rPr>
        <w:t>töötada välja ühtne teavitamisplatvorm (investeering 1.4.5 – avalike teadaannete digiteerimine);</w:t>
      </w:r>
    </w:p>
    <w:p w14:paraId="5F22978A" w14:textId="77777777" w:rsidR="0084326C" w:rsidRPr="005D68A0" w:rsidRDefault="0084326C" w:rsidP="0084326C">
      <w:pPr>
        <w:pStyle w:val="Descriptiontitle"/>
        <w:numPr>
          <w:ilvl w:val="0"/>
          <w:numId w:val="82"/>
        </w:numPr>
        <w:ind w:left="578" w:hanging="578"/>
        <w:rPr>
          <w:noProof/>
        </w:rPr>
      </w:pPr>
      <w:r>
        <w:rPr>
          <w:noProof/>
        </w:rPr>
        <w:t>edendada liikuvuse kui teenuse paradigma kasutuselevõtmist suurlinnades, et digiteerida kohalikku transporti ja pakkuda kasutajatele integreeritud liikuvuskogemust reisi kavandamisest makseteni eri transpordiliikide puhul (investeering 1.4.6 – mobiilsus kui teenus Itaaliale, kusjuures viimast meedet rahastatakse tagastamatust rahalisest toetusest).</w:t>
      </w:r>
    </w:p>
    <w:p w14:paraId="4D1C831E" w14:textId="77777777" w:rsidR="0084326C" w:rsidRPr="00F33804" w:rsidRDefault="0084326C" w:rsidP="0084326C">
      <w:pPr>
        <w:spacing w:before="120" w:after="120"/>
        <w:jc w:val="both"/>
        <w:rPr>
          <w:rFonts w:eastAsiaTheme="minorHAnsi"/>
          <w:b/>
          <w:noProof/>
          <w:szCs w:val="22"/>
          <w:lang w:eastAsia="en-US"/>
        </w:rPr>
      </w:pPr>
    </w:p>
    <w:p w14:paraId="59DEE4A6" w14:textId="77777777" w:rsidR="0084326C" w:rsidRPr="005D68A0" w:rsidRDefault="0084326C" w:rsidP="0084326C">
      <w:pPr>
        <w:spacing w:before="120" w:after="120"/>
        <w:jc w:val="both"/>
        <w:rPr>
          <w:rFonts w:eastAsiaTheme="minorHAnsi"/>
          <w:b/>
          <w:noProof/>
          <w:szCs w:val="22"/>
        </w:rPr>
      </w:pPr>
      <w:r>
        <w:rPr>
          <w:b/>
          <w:noProof/>
        </w:rPr>
        <w:t>Investeering 1.6. Suurte keskvalitsuste digiüleminek</w:t>
      </w:r>
    </w:p>
    <w:p w14:paraId="56F68A79" w14:textId="77777777" w:rsidR="0084326C" w:rsidRPr="005D68A0" w:rsidRDefault="0084326C" w:rsidP="0084326C">
      <w:pPr>
        <w:pStyle w:val="Descriptiontitle"/>
        <w:ind w:left="0"/>
        <w:rPr>
          <w:noProof/>
        </w:rPr>
      </w:pPr>
      <w:r>
        <w:rPr>
          <w:noProof/>
        </w:rPr>
        <w:t>Selle investeeringu eesmärk on ümber kujundada ja digiteerida peamiste keskasutuste prioriteetsed protsessid, tegevused ja teenused, et suurendada nende asutuste tõhusust ja lihtsustada menetlusi. Asjaomaste keskasutuste hulka kuuluvad: i) riiklik sotsiaalkindlustusamet (INPS) ja riiklik tööõnnetuste vastu kindlustamise instituut (INAIL), ii) kohtusüsteem, iii) kaitseministeerium, iv) siseministeerium, v) rahanduspolitsei.</w:t>
      </w:r>
    </w:p>
    <w:p w14:paraId="4B2B1973" w14:textId="77777777" w:rsidR="0084326C" w:rsidRPr="005D68A0" w:rsidRDefault="0084326C" w:rsidP="0084326C">
      <w:pPr>
        <w:pStyle w:val="Descriptiontitle"/>
        <w:ind w:left="0"/>
        <w:rPr>
          <w:noProof/>
        </w:rPr>
      </w:pPr>
      <w:r>
        <w:rPr>
          <w:noProof/>
        </w:rPr>
        <w:t>Siseministeeriumi osas nähakse projektiga ette i) kodanikele suunatud teenuste digiteerimine ja selle aluseks olevate siseprotsesside ümberkujundamine; ii) sisemiste rakenduste ja haldussüsteemide arendamine, et töötada välja füüsilise ja digitaalse identiteedi ning nendega seotud tunnuste keskne sisekontroll, mis võimaldab ametiisikutel (nt politseil) reaalajas kontrollida kodanikele kuuluvaid ja CIEga seotud isiklikke dokumente ja litsentse (nt tervisekaart, juhiluba jne); iii) töötajate oskuste täiendamine digivõimekuste tugevdamiseks (1.6.1 – Siseministeeriumi digiteerimine).</w:t>
      </w:r>
    </w:p>
    <w:p w14:paraId="4F7C3448" w14:textId="77777777" w:rsidR="0084326C" w:rsidRPr="005D68A0" w:rsidRDefault="0084326C" w:rsidP="0084326C">
      <w:pPr>
        <w:pStyle w:val="Descriptiontitle"/>
        <w:ind w:left="0"/>
        <w:rPr>
          <w:noProof/>
        </w:rPr>
      </w:pPr>
      <w:r>
        <w:rPr>
          <w:noProof/>
        </w:rPr>
        <w:t>Kohtusüsteemi osas nähakse projektiga ette i) viimase kahekümne aasta (01.01.2006–30.06.2026) arhiivide (7 750 000 kohtudokumenti) digiteerimine, mis on seotud madalama astme kohtute (Tribunali ordinari), apellatsioonikohtute ja ülemkohtu kohtutoimikute, piirkonna pealinnade rahukohtunike, alaealiste ametite, kohtute ja apellatsioonikohtute kriminaalkolleegiumide ning prokuratuuridega; ii) andmebaasi (tarkvarakihi) loomine, mis toimiks ühtse juurdepääsupunktina kohtusüsteemi kogu toorandmetele. Andme järves säilitatavat teavet kasutatakse tehisintellektilahenduste abil, et: i) muuta tsiviil- ja kriminaalkaristused anonüümseks; ii) kuriteoohvri ja kurjategija vahelise suhte automaatne tuvastamine õigusnormides; iii) hallata, analüüsida ja korraldada varasemaid kohtuasju, et hõlbustada konsulteerimist tsiviilkohtunike ja prokuröridega; iv) viia läbi kohtusüsteemi tõhususe ja tulemuslikkuse põhjalik statistiline analüüs; v) Kohtuametite tegevuse menetlemise aja haldamine ja jälgimine (Investeeringud 1.6.2 – Justiitsministeeriumi digiteerimine ja 1.6.5 – Riiginõukogu digiteerimine, mida rahastatakse tagastamatu rahalise toetuse alusel).</w:t>
      </w:r>
    </w:p>
    <w:p w14:paraId="6AEE9063" w14:textId="77777777" w:rsidR="0084326C" w:rsidRPr="005D68A0" w:rsidRDefault="0084326C" w:rsidP="0084326C">
      <w:pPr>
        <w:pStyle w:val="Descriptiontitle"/>
        <w:ind w:left="0"/>
        <w:rPr>
          <w:noProof/>
        </w:rPr>
      </w:pPr>
      <w:r>
        <w:rPr>
          <w:noProof/>
        </w:rPr>
        <w:t>INPSi ja INAILi puhul hõlmab projekt nende sisemiste süsteemide ja menetluste põhjalikku läbivaatamist ning nende digitaalsete kontaktide arendamist residentide, ettevõtete ja teiste haldusasutustega, et pakkuda kasutajatele sujuvat digitaalset kogemust (1.6.3 – Riikliku sotsiaalkindlustusameti (INPS) ja riikliku tööõnnetuste vastu kindlustamise instituudi (INAIL) digitaliseerimine).</w:t>
      </w:r>
    </w:p>
    <w:p w14:paraId="5D2604D3" w14:textId="77777777" w:rsidR="0084326C" w:rsidRPr="005D68A0" w:rsidRDefault="0084326C" w:rsidP="0084326C">
      <w:pPr>
        <w:pStyle w:val="Descriptiontitle"/>
        <w:ind w:left="0"/>
        <w:rPr>
          <w:noProof/>
        </w:rPr>
      </w:pPr>
      <w:r>
        <w:rPr>
          <w:noProof/>
        </w:rPr>
        <w:t>Kaitseministeeriumi puhul hõlmab projekt i) kolme põhilise teabekogumi (personal, haldusdokumendid, sise- ja välissuhtlus) turvalisuse suurendamist ning ii) kõigi süsteemide ja rakenduste üleviimist avatud lähtekoodiga paradigmale, mis on kooskõlas aluseks olevas õigusraamistikus määratletud julgeolekupoliitikaga (investeering 1.6.4 – Kaitseministeeriumi digiteerimine).</w:t>
      </w:r>
    </w:p>
    <w:p w14:paraId="1693EAFF" w14:textId="77777777" w:rsidR="0084326C" w:rsidRPr="005D68A0" w:rsidRDefault="0084326C" w:rsidP="0084326C">
      <w:pPr>
        <w:pStyle w:val="Descriptiontitle"/>
        <w:ind w:left="0"/>
        <w:rPr>
          <w:noProof/>
        </w:rPr>
      </w:pPr>
      <w:r>
        <w:rPr>
          <w:noProof/>
        </w:rPr>
        <w:t>Finantspolitsei puhul on projekti eesmärk eelkõige i) andmebaaside ümberkorraldamine; ii) Andmeteaduse lisamine tegevus- ja otsustusprotsessidesse (investeering 1.6.6 – Finantspolitsei digiteerimine, mida rahastatakse tagastamatu rahalise toetuse alusel).</w:t>
      </w:r>
    </w:p>
    <w:p w14:paraId="43AAF208" w14:textId="77777777" w:rsidR="0084326C" w:rsidRPr="00F33804" w:rsidRDefault="0084326C" w:rsidP="0084326C">
      <w:pPr>
        <w:jc w:val="both"/>
        <w:rPr>
          <w:noProof/>
        </w:rPr>
      </w:pPr>
    </w:p>
    <w:p w14:paraId="1013FBFE" w14:textId="77777777" w:rsidR="0084326C" w:rsidRPr="00F33804" w:rsidRDefault="0084326C" w:rsidP="0084326C">
      <w:pPr>
        <w:spacing w:before="120" w:after="120"/>
        <w:ind w:left="709"/>
        <w:jc w:val="both"/>
        <w:rPr>
          <w:b/>
          <w:i/>
          <w:noProof/>
          <w:color w:val="4472C4" w:themeColor="accent1"/>
        </w:rPr>
      </w:pPr>
    </w:p>
    <w:p w14:paraId="69B70601" w14:textId="77777777" w:rsidR="0084326C" w:rsidRPr="00F33804" w:rsidRDefault="0084326C" w:rsidP="0084326C">
      <w:pPr>
        <w:spacing w:before="120" w:after="120"/>
        <w:ind w:left="709"/>
        <w:jc w:val="both"/>
        <w:rPr>
          <w:b/>
          <w:i/>
          <w:noProof/>
          <w:color w:val="4472C4" w:themeColor="accent1"/>
        </w:rPr>
        <w:sectPr w:rsidR="0084326C" w:rsidRPr="00F33804">
          <w:headerReference w:type="even" r:id="rId30"/>
          <w:headerReference w:type="default" r:id="rId31"/>
          <w:footerReference w:type="even" r:id="rId32"/>
          <w:footerReference w:type="default" r:id="rId33"/>
          <w:headerReference w:type="first" r:id="rId34"/>
          <w:footerReference w:type="first" r:id="rId35"/>
          <w:pgSz w:w="11906" w:h="16838" w:code="12"/>
          <w:pgMar w:top="1134" w:right="1134" w:bottom="1134" w:left="1134" w:header="567" w:footer="567" w:gutter="0"/>
          <w:cols w:space="720"/>
          <w:docGrid w:linePitch="360"/>
        </w:sectPr>
      </w:pPr>
    </w:p>
    <w:p w14:paraId="2D6E4030" w14:textId="77777777" w:rsidR="0084326C" w:rsidRPr="005D68A0" w:rsidRDefault="0084326C" w:rsidP="0084326C">
      <w:pPr>
        <w:pStyle w:val="Heading3"/>
        <w:numPr>
          <w:ilvl w:val="0"/>
          <w:numId w:val="0"/>
        </w:numPr>
        <w:ind w:left="850" w:hanging="850"/>
        <w:rPr>
          <w:b/>
          <w:bCs w:val="0"/>
          <w:i w:val="0"/>
          <w:iCs/>
          <w:noProof/>
          <w:u w:val="single"/>
        </w:rPr>
      </w:pPr>
      <w:r>
        <w:rPr>
          <w:b/>
          <w:i w:val="0"/>
          <w:noProof/>
          <w:u w:val="single"/>
        </w:rPr>
        <w:t xml:space="preserve">A.4. </w:t>
      </w:r>
      <w:r>
        <w:rPr>
          <w:noProof/>
        </w:rPr>
        <w:tab/>
      </w:r>
      <w:r>
        <w:rPr>
          <w:b/>
          <w:i w:val="0"/>
          <w:noProof/>
          <w:u w:val="single"/>
        </w:rPr>
        <w:t xml:space="preserve">Laenu eesmärgid, sihid, näitajad ning seire ja rakendamise ajakava </w:t>
      </w:r>
    </w:p>
    <w:tbl>
      <w:tblPr>
        <w:tblW w:w="15678"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284"/>
        <w:gridCol w:w="1746"/>
        <w:gridCol w:w="992"/>
        <w:gridCol w:w="2126"/>
        <w:gridCol w:w="1701"/>
        <w:gridCol w:w="1134"/>
        <w:gridCol w:w="1276"/>
        <w:gridCol w:w="1417"/>
        <w:gridCol w:w="793"/>
        <w:gridCol w:w="625"/>
        <w:gridCol w:w="2584"/>
      </w:tblGrid>
      <w:tr w:rsidR="005F0490" w:rsidRPr="00D90835" w14:paraId="2F46E6F6" w14:textId="77777777">
        <w:trPr>
          <w:trHeight w:val="774"/>
          <w:tblHeader/>
        </w:trPr>
        <w:tc>
          <w:tcPr>
            <w:tcW w:w="1284" w:type="dxa"/>
            <w:vMerge w:val="restart"/>
            <w:shd w:val="clear" w:color="auto" w:fill="BDD7EE"/>
            <w:vAlign w:val="center"/>
            <w:hideMark/>
          </w:tcPr>
          <w:p w14:paraId="79A13385" w14:textId="77777777" w:rsidR="0084326C" w:rsidRPr="005D68A0" w:rsidRDefault="0084326C">
            <w:pPr>
              <w:jc w:val="center"/>
              <w:rPr>
                <w:rFonts w:ascii="Arial Narrow" w:hAnsi="Arial Narrow"/>
                <w:b/>
                <w:noProof/>
                <w:sz w:val="20"/>
                <w:szCs w:val="20"/>
              </w:rPr>
            </w:pPr>
            <w:r>
              <w:rPr>
                <w:rFonts w:ascii="Arial Narrow" w:hAnsi="Arial Narrow"/>
                <w:b/>
                <w:noProof/>
                <w:sz w:val="20"/>
              </w:rPr>
              <w:t>Järjekorranumber</w:t>
            </w:r>
          </w:p>
        </w:tc>
        <w:tc>
          <w:tcPr>
            <w:tcW w:w="1746" w:type="dxa"/>
            <w:vMerge w:val="restart"/>
            <w:shd w:val="clear" w:color="auto" w:fill="BDD7EE"/>
            <w:vAlign w:val="center"/>
            <w:hideMark/>
          </w:tcPr>
          <w:p w14:paraId="38427D76" w14:textId="77777777" w:rsidR="0084326C" w:rsidRPr="005D68A0" w:rsidRDefault="0084326C">
            <w:pPr>
              <w:jc w:val="center"/>
              <w:rPr>
                <w:rFonts w:ascii="Arial Narrow" w:hAnsi="Arial Narrow"/>
                <w:b/>
                <w:noProof/>
                <w:sz w:val="20"/>
                <w:szCs w:val="20"/>
              </w:rPr>
            </w:pPr>
            <w:r>
              <w:rPr>
                <w:rFonts w:ascii="Arial Narrow" w:hAnsi="Arial Narrow"/>
                <w:b/>
                <w:noProof/>
                <w:sz w:val="20"/>
              </w:rPr>
              <w:t>Seotud meede (reform või investeering)</w:t>
            </w:r>
          </w:p>
        </w:tc>
        <w:tc>
          <w:tcPr>
            <w:tcW w:w="992" w:type="dxa"/>
            <w:vMerge w:val="restart"/>
            <w:shd w:val="clear" w:color="auto" w:fill="BDD7EE"/>
            <w:vAlign w:val="center"/>
            <w:hideMark/>
          </w:tcPr>
          <w:p w14:paraId="69D3F35A" w14:textId="77777777" w:rsidR="0084326C" w:rsidRPr="005D68A0" w:rsidRDefault="0084326C">
            <w:pPr>
              <w:jc w:val="center"/>
              <w:rPr>
                <w:rFonts w:ascii="Arial Narrow" w:hAnsi="Arial Narrow"/>
                <w:b/>
                <w:noProof/>
                <w:sz w:val="20"/>
                <w:szCs w:val="20"/>
              </w:rPr>
            </w:pPr>
            <w:r>
              <w:rPr>
                <w:rFonts w:ascii="Arial Narrow" w:hAnsi="Arial Narrow"/>
                <w:b/>
                <w:noProof/>
                <w:sz w:val="20"/>
              </w:rPr>
              <w:t>Eesmärk</w:t>
            </w:r>
          </w:p>
          <w:p w14:paraId="032BBB96" w14:textId="77777777" w:rsidR="0084326C" w:rsidRPr="005D68A0" w:rsidRDefault="0084326C">
            <w:pPr>
              <w:jc w:val="center"/>
              <w:rPr>
                <w:rFonts w:ascii="Arial Narrow" w:hAnsi="Arial Narrow"/>
                <w:b/>
                <w:noProof/>
                <w:sz w:val="20"/>
                <w:szCs w:val="20"/>
              </w:rPr>
            </w:pPr>
            <w:r>
              <w:rPr>
                <w:rFonts w:ascii="Arial Narrow" w:hAnsi="Arial Narrow"/>
                <w:b/>
                <w:noProof/>
                <w:sz w:val="20"/>
              </w:rPr>
              <w:t>/ Siht</w:t>
            </w:r>
          </w:p>
        </w:tc>
        <w:tc>
          <w:tcPr>
            <w:tcW w:w="2126" w:type="dxa"/>
            <w:vMerge w:val="restart"/>
            <w:shd w:val="clear" w:color="auto" w:fill="BDD7EE"/>
            <w:vAlign w:val="center"/>
            <w:hideMark/>
          </w:tcPr>
          <w:p w14:paraId="3FC80E95" w14:textId="77777777" w:rsidR="0084326C" w:rsidRPr="005D68A0" w:rsidRDefault="0084326C">
            <w:pPr>
              <w:jc w:val="center"/>
              <w:rPr>
                <w:rFonts w:ascii="Arial Narrow" w:hAnsi="Arial Narrow"/>
                <w:b/>
                <w:noProof/>
                <w:sz w:val="20"/>
                <w:szCs w:val="20"/>
              </w:rPr>
            </w:pPr>
            <w:r>
              <w:rPr>
                <w:rFonts w:ascii="Arial Narrow" w:hAnsi="Arial Narrow"/>
                <w:b/>
                <w:noProof/>
                <w:sz w:val="20"/>
              </w:rPr>
              <w:t>Nimi</w:t>
            </w:r>
          </w:p>
        </w:tc>
        <w:tc>
          <w:tcPr>
            <w:tcW w:w="1701" w:type="dxa"/>
            <w:vMerge w:val="restart"/>
            <w:shd w:val="clear" w:color="auto" w:fill="BDD7EE"/>
            <w:vAlign w:val="center"/>
            <w:hideMark/>
          </w:tcPr>
          <w:p w14:paraId="78E44098" w14:textId="77777777" w:rsidR="0084326C" w:rsidRPr="005D68A0" w:rsidRDefault="0084326C">
            <w:pPr>
              <w:jc w:val="center"/>
              <w:rPr>
                <w:rFonts w:ascii="Arial Narrow" w:hAnsi="Arial Narrow"/>
                <w:b/>
                <w:noProof/>
                <w:sz w:val="20"/>
                <w:szCs w:val="20"/>
              </w:rPr>
            </w:pPr>
            <w:r>
              <w:rPr>
                <w:rFonts w:ascii="Arial Narrow" w:hAnsi="Arial Narrow"/>
                <w:b/>
                <w:noProof/>
                <w:sz w:val="20"/>
              </w:rPr>
              <w:t>Kvalitatiivsed näitajad</w:t>
            </w:r>
            <w:r>
              <w:rPr>
                <w:noProof/>
              </w:rPr>
              <w:t xml:space="preserve"> </w:t>
            </w:r>
            <w:r>
              <w:rPr>
                <w:noProof/>
              </w:rPr>
              <w:br/>
            </w:r>
            <w:r>
              <w:rPr>
                <w:rFonts w:ascii="Arial Narrow" w:hAnsi="Arial Narrow"/>
                <w:b/>
                <w:noProof/>
                <w:sz w:val="20"/>
              </w:rPr>
              <w:t>(eesmärkide puhul)</w:t>
            </w:r>
          </w:p>
        </w:tc>
        <w:tc>
          <w:tcPr>
            <w:tcW w:w="3827" w:type="dxa"/>
            <w:gridSpan w:val="3"/>
            <w:shd w:val="clear" w:color="auto" w:fill="BDD7EE"/>
            <w:vAlign w:val="center"/>
            <w:hideMark/>
          </w:tcPr>
          <w:p w14:paraId="678F0F96" w14:textId="77777777" w:rsidR="0084326C" w:rsidRPr="005D68A0" w:rsidRDefault="0084326C">
            <w:pPr>
              <w:jc w:val="center"/>
              <w:rPr>
                <w:rFonts w:ascii="Arial Narrow" w:hAnsi="Arial Narrow"/>
                <w:b/>
                <w:noProof/>
                <w:sz w:val="20"/>
                <w:szCs w:val="20"/>
              </w:rPr>
            </w:pPr>
            <w:r>
              <w:rPr>
                <w:rFonts w:ascii="Arial Narrow" w:hAnsi="Arial Narrow"/>
                <w:b/>
                <w:noProof/>
                <w:sz w:val="20"/>
              </w:rPr>
              <w:t xml:space="preserve">Kvantitatiivsed näitajad </w:t>
            </w:r>
            <w:r>
              <w:rPr>
                <w:noProof/>
              </w:rPr>
              <w:br/>
            </w:r>
            <w:r>
              <w:rPr>
                <w:rFonts w:ascii="Arial Narrow" w:hAnsi="Arial Narrow"/>
                <w:b/>
                <w:noProof/>
                <w:sz w:val="20"/>
              </w:rPr>
              <w:t>(sihtide puhul)</w:t>
            </w:r>
          </w:p>
        </w:tc>
        <w:tc>
          <w:tcPr>
            <w:tcW w:w="1418" w:type="dxa"/>
            <w:gridSpan w:val="2"/>
            <w:shd w:val="clear" w:color="auto" w:fill="BDD7EE"/>
            <w:vAlign w:val="center"/>
            <w:hideMark/>
          </w:tcPr>
          <w:p w14:paraId="7655DDCF" w14:textId="77777777" w:rsidR="0084326C" w:rsidRPr="005D68A0" w:rsidRDefault="0084326C">
            <w:pPr>
              <w:jc w:val="center"/>
              <w:rPr>
                <w:rFonts w:ascii="Arial Narrow" w:hAnsi="Arial Narrow"/>
                <w:b/>
                <w:noProof/>
                <w:sz w:val="20"/>
                <w:szCs w:val="20"/>
              </w:rPr>
            </w:pPr>
            <w:r>
              <w:rPr>
                <w:rFonts w:ascii="Arial Narrow" w:hAnsi="Arial Narrow"/>
                <w:b/>
                <w:noProof/>
                <w:sz w:val="20"/>
              </w:rPr>
              <w:t>Lõpuleviimise soovituslik ajakava</w:t>
            </w:r>
          </w:p>
        </w:tc>
        <w:tc>
          <w:tcPr>
            <w:tcW w:w="2584" w:type="dxa"/>
            <w:vMerge w:val="restart"/>
            <w:shd w:val="clear" w:color="auto" w:fill="BDD7EE"/>
            <w:vAlign w:val="center"/>
            <w:hideMark/>
          </w:tcPr>
          <w:p w14:paraId="572B32C0" w14:textId="77777777" w:rsidR="0084326C" w:rsidRPr="005D68A0" w:rsidRDefault="0084326C">
            <w:pPr>
              <w:jc w:val="center"/>
              <w:rPr>
                <w:rFonts w:ascii="Arial Narrow" w:hAnsi="Arial Narrow"/>
                <w:b/>
                <w:noProof/>
                <w:sz w:val="20"/>
                <w:szCs w:val="20"/>
              </w:rPr>
            </w:pPr>
            <w:r>
              <w:rPr>
                <w:rFonts w:ascii="Arial Narrow" w:hAnsi="Arial Narrow"/>
                <w:b/>
                <w:noProof/>
                <w:sz w:val="20"/>
              </w:rPr>
              <w:t>Iga eesmärgi ja sihi kirjeldus</w:t>
            </w:r>
          </w:p>
        </w:tc>
      </w:tr>
      <w:tr w:rsidR="005F0490" w:rsidRPr="005D68A0" w14:paraId="2F3DA668" w14:textId="77777777">
        <w:trPr>
          <w:trHeight w:val="686"/>
          <w:tblHeader/>
        </w:trPr>
        <w:tc>
          <w:tcPr>
            <w:tcW w:w="1284" w:type="dxa"/>
            <w:vMerge/>
            <w:vAlign w:val="center"/>
            <w:hideMark/>
          </w:tcPr>
          <w:p w14:paraId="4E1744D5" w14:textId="77777777" w:rsidR="0084326C" w:rsidRPr="00F33804" w:rsidRDefault="0084326C">
            <w:pPr>
              <w:jc w:val="center"/>
              <w:rPr>
                <w:rFonts w:ascii="Arial Narrow" w:hAnsi="Arial Narrow"/>
                <w:b/>
                <w:noProof/>
                <w:sz w:val="20"/>
                <w:szCs w:val="20"/>
              </w:rPr>
            </w:pPr>
          </w:p>
        </w:tc>
        <w:tc>
          <w:tcPr>
            <w:tcW w:w="1746" w:type="dxa"/>
            <w:vMerge/>
            <w:vAlign w:val="center"/>
            <w:hideMark/>
          </w:tcPr>
          <w:p w14:paraId="6DB87492" w14:textId="77777777" w:rsidR="0084326C" w:rsidRPr="00F33804" w:rsidRDefault="0084326C">
            <w:pPr>
              <w:jc w:val="center"/>
              <w:rPr>
                <w:rFonts w:ascii="Arial Narrow" w:hAnsi="Arial Narrow"/>
                <w:b/>
                <w:noProof/>
                <w:sz w:val="20"/>
                <w:szCs w:val="20"/>
              </w:rPr>
            </w:pPr>
          </w:p>
        </w:tc>
        <w:tc>
          <w:tcPr>
            <w:tcW w:w="992" w:type="dxa"/>
            <w:vMerge/>
            <w:vAlign w:val="center"/>
            <w:hideMark/>
          </w:tcPr>
          <w:p w14:paraId="585CF308" w14:textId="77777777" w:rsidR="0084326C" w:rsidRPr="00F33804" w:rsidRDefault="0084326C">
            <w:pPr>
              <w:jc w:val="center"/>
              <w:rPr>
                <w:rFonts w:ascii="Arial Narrow" w:hAnsi="Arial Narrow"/>
                <w:b/>
                <w:noProof/>
                <w:sz w:val="20"/>
                <w:szCs w:val="20"/>
              </w:rPr>
            </w:pPr>
          </w:p>
        </w:tc>
        <w:tc>
          <w:tcPr>
            <w:tcW w:w="2126" w:type="dxa"/>
            <w:vMerge/>
            <w:vAlign w:val="center"/>
            <w:hideMark/>
          </w:tcPr>
          <w:p w14:paraId="00E46CA0" w14:textId="77777777" w:rsidR="0084326C" w:rsidRPr="00F33804" w:rsidRDefault="0084326C">
            <w:pPr>
              <w:jc w:val="center"/>
              <w:rPr>
                <w:rFonts w:ascii="Arial Narrow" w:hAnsi="Arial Narrow"/>
                <w:b/>
                <w:noProof/>
                <w:sz w:val="20"/>
                <w:szCs w:val="20"/>
              </w:rPr>
            </w:pPr>
          </w:p>
        </w:tc>
        <w:tc>
          <w:tcPr>
            <w:tcW w:w="1701" w:type="dxa"/>
            <w:vMerge/>
            <w:vAlign w:val="center"/>
            <w:hideMark/>
          </w:tcPr>
          <w:p w14:paraId="5627ED1F" w14:textId="77777777" w:rsidR="0084326C" w:rsidRPr="00F33804" w:rsidRDefault="0084326C">
            <w:pPr>
              <w:jc w:val="center"/>
              <w:rPr>
                <w:rFonts w:ascii="Arial Narrow" w:hAnsi="Arial Narrow"/>
                <w:b/>
                <w:noProof/>
                <w:sz w:val="20"/>
                <w:szCs w:val="20"/>
              </w:rPr>
            </w:pPr>
          </w:p>
        </w:tc>
        <w:tc>
          <w:tcPr>
            <w:tcW w:w="1134" w:type="dxa"/>
            <w:shd w:val="clear" w:color="auto" w:fill="BDD7EE"/>
            <w:vAlign w:val="center"/>
            <w:hideMark/>
          </w:tcPr>
          <w:p w14:paraId="54C0A48A" w14:textId="77777777" w:rsidR="0084326C" w:rsidRPr="005D68A0" w:rsidRDefault="0084326C">
            <w:pPr>
              <w:jc w:val="center"/>
              <w:rPr>
                <w:rFonts w:ascii="Arial Narrow" w:hAnsi="Arial Narrow"/>
                <w:b/>
                <w:noProof/>
                <w:sz w:val="20"/>
                <w:szCs w:val="20"/>
              </w:rPr>
            </w:pPr>
            <w:r>
              <w:rPr>
                <w:rFonts w:ascii="Arial Narrow" w:hAnsi="Arial Narrow"/>
                <w:b/>
                <w:noProof/>
                <w:sz w:val="20"/>
              </w:rPr>
              <w:t>Mõõtühik</w:t>
            </w:r>
          </w:p>
          <w:p w14:paraId="7D75251C" w14:textId="77777777" w:rsidR="0084326C" w:rsidRPr="005D68A0" w:rsidRDefault="0084326C">
            <w:pPr>
              <w:jc w:val="center"/>
              <w:rPr>
                <w:rFonts w:ascii="Arial Narrow" w:hAnsi="Arial Narrow"/>
                <w:b/>
                <w:noProof/>
                <w:sz w:val="20"/>
                <w:szCs w:val="20"/>
              </w:rPr>
            </w:pPr>
          </w:p>
        </w:tc>
        <w:tc>
          <w:tcPr>
            <w:tcW w:w="1276" w:type="dxa"/>
            <w:shd w:val="clear" w:color="auto" w:fill="BDD7EE"/>
            <w:vAlign w:val="center"/>
            <w:hideMark/>
          </w:tcPr>
          <w:p w14:paraId="121DA15B" w14:textId="77777777" w:rsidR="0084326C" w:rsidRPr="005D68A0" w:rsidRDefault="0084326C">
            <w:pPr>
              <w:jc w:val="center"/>
              <w:rPr>
                <w:rFonts w:ascii="Arial Narrow" w:hAnsi="Arial Narrow"/>
                <w:b/>
                <w:noProof/>
                <w:sz w:val="20"/>
                <w:szCs w:val="20"/>
              </w:rPr>
            </w:pPr>
            <w:r>
              <w:rPr>
                <w:rFonts w:ascii="Arial Narrow" w:hAnsi="Arial Narrow"/>
                <w:b/>
                <w:noProof/>
                <w:sz w:val="20"/>
              </w:rPr>
              <w:t>Lähtetase</w:t>
            </w:r>
          </w:p>
        </w:tc>
        <w:tc>
          <w:tcPr>
            <w:tcW w:w="1417" w:type="dxa"/>
            <w:shd w:val="clear" w:color="auto" w:fill="BDD7EE"/>
            <w:vAlign w:val="center"/>
            <w:hideMark/>
          </w:tcPr>
          <w:p w14:paraId="15C3CF0B" w14:textId="77777777" w:rsidR="0084326C" w:rsidRPr="005D68A0" w:rsidRDefault="0084326C">
            <w:pPr>
              <w:jc w:val="center"/>
              <w:rPr>
                <w:rFonts w:ascii="Arial Narrow" w:hAnsi="Arial Narrow"/>
                <w:b/>
                <w:noProof/>
                <w:sz w:val="20"/>
                <w:szCs w:val="20"/>
              </w:rPr>
            </w:pPr>
            <w:r>
              <w:rPr>
                <w:rFonts w:ascii="Arial Narrow" w:hAnsi="Arial Narrow"/>
                <w:b/>
                <w:noProof/>
                <w:sz w:val="20"/>
              </w:rPr>
              <w:t>Eesmärk</w:t>
            </w:r>
          </w:p>
        </w:tc>
        <w:tc>
          <w:tcPr>
            <w:tcW w:w="793" w:type="dxa"/>
            <w:shd w:val="clear" w:color="auto" w:fill="BDD7EE"/>
            <w:vAlign w:val="center"/>
            <w:hideMark/>
          </w:tcPr>
          <w:p w14:paraId="13EA8834" w14:textId="77777777" w:rsidR="0084326C" w:rsidRPr="005D68A0" w:rsidRDefault="0084326C">
            <w:pPr>
              <w:jc w:val="center"/>
              <w:rPr>
                <w:rFonts w:ascii="Arial Narrow" w:hAnsi="Arial Narrow"/>
                <w:b/>
                <w:noProof/>
                <w:sz w:val="20"/>
                <w:szCs w:val="20"/>
              </w:rPr>
            </w:pPr>
            <w:r>
              <w:rPr>
                <w:rFonts w:ascii="Arial Narrow" w:hAnsi="Arial Narrow"/>
                <w:b/>
                <w:noProof/>
                <w:sz w:val="20"/>
              </w:rPr>
              <w:t>Kvartal</w:t>
            </w:r>
          </w:p>
        </w:tc>
        <w:tc>
          <w:tcPr>
            <w:tcW w:w="625" w:type="dxa"/>
            <w:shd w:val="clear" w:color="auto" w:fill="BDD7EE"/>
            <w:vAlign w:val="center"/>
            <w:hideMark/>
          </w:tcPr>
          <w:p w14:paraId="2777F701" w14:textId="77777777" w:rsidR="0084326C" w:rsidRPr="005D68A0" w:rsidRDefault="0084326C">
            <w:pPr>
              <w:jc w:val="center"/>
              <w:rPr>
                <w:rFonts w:ascii="Arial Narrow" w:hAnsi="Arial Narrow"/>
                <w:b/>
                <w:noProof/>
                <w:sz w:val="20"/>
                <w:szCs w:val="20"/>
              </w:rPr>
            </w:pPr>
            <w:r>
              <w:rPr>
                <w:rFonts w:ascii="Arial Narrow" w:hAnsi="Arial Narrow"/>
                <w:b/>
                <w:noProof/>
                <w:sz w:val="20"/>
              </w:rPr>
              <w:t>Aasta</w:t>
            </w:r>
          </w:p>
        </w:tc>
        <w:tc>
          <w:tcPr>
            <w:tcW w:w="2584" w:type="dxa"/>
            <w:vMerge/>
            <w:vAlign w:val="center"/>
            <w:hideMark/>
          </w:tcPr>
          <w:p w14:paraId="404B991C" w14:textId="77777777" w:rsidR="0084326C" w:rsidRPr="005D68A0" w:rsidRDefault="0084326C">
            <w:pPr>
              <w:rPr>
                <w:rFonts w:ascii="Arial Narrow" w:hAnsi="Arial Narrow"/>
                <w:b/>
                <w:noProof/>
                <w:sz w:val="20"/>
                <w:szCs w:val="20"/>
                <w:lang w:val="en-GB"/>
              </w:rPr>
            </w:pPr>
          </w:p>
        </w:tc>
      </w:tr>
      <w:tr w:rsidR="005F0490" w:rsidRPr="00D90835" w14:paraId="3BD9B9EA" w14:textId="77777777">
        <w:trPr>
          <w:trHeight w:val="81"/>
        </w:trPr>
        <w:tc>
          <w:tcPr>
            <w:tcW w:w="128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25B873"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M1C1-14</w:t>
            </w:r>
          </w:p>
        </w:tc>
        <w:tc>
          <w:tcPr>
            <w:tcW w:w="174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21F75C"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Investeering 1.6.5. Riiginõukogu digiteerimine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F1B4756"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Siht</w:t>
            </w:r>
          </w:p>
        </w:tc>
        <w:tc>
          <w:tcPr>
            <w:tcW w:w="212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8C6996"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Riiginõukogu – andmelaos T1 analüüsimiseks kättesaadavad kohtudokumendid</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BB73EF"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75B8CDE"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Arv</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E37C97C"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0</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D3973AA"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800 000</w:t>
            </w:r>
          </w:p>
        </w:tc>
        <w:tc>
          <w:tcPr>
            <w:tcW w:w="79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016FD86"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4. kv</w:t>
            </w:r>
          </w:p>
        </w:tc>
        <w:tc>
          <w:tcPr>
            <w:tcW w:w="6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D08E36F"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2023</w:t>
            </w:r>
          </w:p>
        </w:tc>
        <w:tc>
          <w:tcPr>
            <w:tcW w:w="258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09E66C"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Haldusjurisdiktsiooni süsteemiga seotud kohtudokumentide (nt laused, arvamused ja dekreedid) arv, mille metaandmed on andmelaos täielikult kättesaadavad.</w:t>
            </w:r>
          </w:p>
        </w:tc>
      </w:tr>
      <w:tr w:rsidR="005F0490" w:rsidRPr="00D90835" w14:paraId="6A3BC854" w14:textId="77777777">
        <w:trPr>
          <w:trHeight w:val="81"/>
        </w:trPr>
        <w:tc>
          <w:tcPr>
            <w:tcW w:w="128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ABE2970"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M1C1-16</w:t>
            </w:r>
          </w:p>
        </w:tc>
        <w:tc>
          <w:tcPr>
            <w:tcW w:w="174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4888F3"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Investeering 1.6.5. Riiginõukogu digiteerimine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5BAB541"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Siht</w:t>
            </w:r>
          </w:p>
        </w:tc>
        <w:tc>
          <w:tcPr>
            <w:tcW w:w="212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C87CCB"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Riiginõukogu – andmelaos T2 analüüsimiseks kättesaadavad kohtudokumendid</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4684D18"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6240EE"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Arv</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4618835"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800 000</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CB3375E"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2 500 000</w:t>
            </w:r>
          </w:p>
        </w:tc>
        <w:tc>
          <w:tcPr>
            <w:tcW w:w="79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25FD86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6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1FDDDA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2023</w:t>
            </w:r>
          </w:p>
        </w:tc>
        <w:tc>
          <w:tcPr>
            <w:tcW w:w="258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32D41A3"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Halduskohtusüsteemiga seotud kohtudokumentide (nt kohtuotsused, arvamused ja dekreedid) arv, mille metaandmed on andmelaos täielikult kättesaadavad.</w:t>
            </w:r>
          </w:p>
        </w:tc>
      </w:tr>
      <w:tr w:rsidR="005F0490" w:rsidRPr="00D90835" w14:paraId="57CC3F8F" w14:textId="77777777">
        <w:trPr>
          <w:trHeight w:val="81"/>
        </w:trPr>
        <w:tc>
          <w:tcPr>
            <w:tcW w:w="128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2812E9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M1C1-123</w:t>
            </w:r>
          </w:p>
        </w:tc>
        <w:tc>
          <w:tcPr>
            <w:tcW w:w="174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E5E65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1.6.3. Riikliku sotsiaalkindlustusameti (INPS) ja riikliku tööõnnetuste vastu kindlustamise instituudi (INAIL) digitaliseerimine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C1B4D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212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843D99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INPS – „One click by design“ teenused/sisu T1</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DFFB61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5F9309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3C9554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D9C24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35</w:t>
            </w:r>
          </w:p>
        </w:tc>
        <w:tc>
          <w:tcPr>
            <w:tcW w:w="79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5FF529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6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F10768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2022</w:t>
            </w:r>
          </w:p>
        </w:tc>
        <w:tc>
          <w:tcPr>
            <w:tcW w:w="258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59FBC56" w14:textId="79A87798"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INPSi institutsioonilisel veebisaidil (</w:t>
            </w:r>
            <w:hyperlink r:id="rId36" w:history="1">
              <w:r>
                <w:rPr>
                  <w:rStyle w:val="Hyperlink"/>
                  <w:rFonts w:ascii="Arial Narrow" w:hAnsi="Arial Narrow"/>
                  <w:noProof/>
                  <w:sz w:val="20"/>
                </w:rPr>
                <w:t>www.inps.it</w:t>
              </w:r>
            </w:hyperlink>
            <w:r>
              <w:rPr>
                <w:rFonts w:ascii="Arial Narrow" w:hAnsi="Arial Narrow"/>
                <w:noProof/>
                <w:color w:val="006100"/>
                <w:sz w:val="20"/>
              </w:rPr>
              <w:t>) on kasutusele võetud 35 lisateenust.</w:t>
            </w:r>
          </w:p>
          <w:p w14:paraId="2C08F7ED"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Teenused peavad olema institutsiooni veebisaidil kättesaadavad asjakohase profiilianalüüsi loogika alusel (süsteem pakub välja huvipakkuvaid teenuseid, mis põhinevad vanusel, töö omadustel, eeldataval kasul ja kasutajate ajalool).</w:t>
            </w:r>
          </w:p>
          <w:p w14:paraId="6F1BF9EA"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35 teenust on seotud järgmiste INPSi institutsiooniliste valdkondadega:</w:t>
            </w:r>
          </w:p>
          <w:p w14:paraId="1F4F7667" w14:textId="77777777" w:rsidR="0084326C" w:rsidRPr="005D68A0" w:rsidRDefault="0084326C">
            <w:pPr>
              <w:spacing w:after="120"/>
              <w:contextualSpacing/>
              <w:rPr>
                <w:rFonts w:ascii="Arial Narrow" w:hAnsi="Arial Narrow"/>
                <w:noProof/>
                <w:color w:val="006100"/>
                <w:sz w:val="20"/>
                <w:szCs w:val="20"/>
              </w:rPr>
            </w:pPr>
            <w:r>
              <w:rPr>
                <w:rFonts w:ascii="Arial Narrow" w:hAnsi="Arial Narrow"/>
                <w:noProof/>
                <w:color w:val="006100"/>
                <w:sz w:val="20"/>
              </w:rPr>
              <w:t>•Pensionihüvitised</w:t>
            </w:r>
          </w:p>
          <w:p w14:paraId="467E1294" w14:textId="77777777" w:rsidR="0084326C" w:rsidRPr="005D68A0" w:rsidRDefault="0084326C">
            <w:pPr>
              <w:spacing w:after="120"/>
              <w:contextualSpacing/>
              <w:rPr>
                <w:rFonts w:ascii="Arial Narrow" w:hAnsi="Arial Narrow"/>
                <w:noProof/>
                <w:color w:val="006100"/>
                <w:sz w:val="20"/>
                <w:szCs w:val="20"/>
              </w:rPr>
            </w:pPr>
            <w:r>
              <w:rPr>
                <w:rFonts w:ascii="Arial Narrow" w:hAnsi="Arial Narrow"/>
                <w:noProof/>
                <w:color w:val="006100"/>
                <w:sz w:val="20"/>
              </w:rPr>
              <w:t>•Sotsiaalsed puhvrid</w:t>
            </w:r>
          </w:p>
          <w:p w14:paraId="6D9B8457" w14:textId="77777777" w:rsidR="0084326C" w:rsidRPr="005D68A0" w:rsidRDefault="0084326C">
            <w:pPr>
              <w:spacing w:after="120"/>
              <w:contextualSpacing/>
              <w:rPr>
                <w:rFonts w:ascii="Arial Narrow" w:hAnsi="Arial Narrow"/>
                <w:noProof/>
                <w:color w:val="006100"/>
                <w:sz w:val="20"/>
                <w:szCs w:val="20"/>
              </w:rPr>
            </w:pPr>
            <w:r>
              <w:rPr>
                <w:rFonts w:ascii="Arial Narrow" w:hAnsi="Arial Narrow"/>
                <w:noProof/>
                <w:color w:val="006100"/>
                <w:sz w:val="20"/>
              </w:rPr>
              <w:t>•Töötushüvitised</w:t>
            </w:r>
          </w:p>
          <w:p w14:paraId="0230EFE0" w14:textId="77777777" w:rsidR="0084326C" w:rsidRPr="005D68A0" w:rsidRDefault="0084326C">
            <w:pPr>
              <w:spacing w:after="120"/>
              <w:contextualSpacing/>
              <w:rPr>
                <w:rFonts w:ascii="Arial Narrow" w:hAnsi="Arial Narrow"/>
                <w:noProof/>
                <w:color w:val="006100"/>
                <w:sz w:val="20"/>
                <w:szCs w:val="20"/>
              </w:rPr>
            </w:pPr>
            <w:r>
              <w:rPr>
                <w:rFonts w:ascii="Arial Narrow" w:hAnsi="Arial Narrow"/>
                <w:noProof/>
                <w:color w:val="006100"/>
                <w:sz w:val="20"/>
              </w:rPr>
              <w:t>•Invaliidsushüvitised</w:t>
            </w:r>
          </w:p>
          <w:p w14:paraId="2A6F1801" w14:textId="77777777" w:rsidR="0084326C" w:rsidRPr="005D68A0" w:rsidRDefault="0084326C">
            <w:pPr>
              <w:spacing w:after="120"/>
              <w:contextualSpacing/>
              <w:rPr>
                <w:rFonts w:ascii="Arial Narrow" w:hAnsi="Arial Narrow"/>
                <w:noProof/>
                <w:color w:val="006100"/>
                <w:sz w:val="20"/>
                <w:szCs w:val="20"/>
              </w:rPr>
            </w:pPr>
            <w:r>
              <w:rPr>
                <w:rFonts w:ascii="Arial Narrow" w:hAnsi="Arial Narrow"/>
                <w:noProof/>
                <w:color w:val="006100"/>
                <w:sz w:val="20"/>
              </w:rPr>
              <w:t>•Vabastamine</w:t>
            </w:r>
          </w:p>
          <w:p w14:paraId="02F8979D" w14:textId="77777777" w:rsidR="0084326C" w:rsidRPr="005D68A0" w:rsidRDefault="0084326C">
            <w:pPr>
              <w:spacing w:after="120"/>
              <w:contextualSpacing/>
              <w:rPr>
                <w:rFonts w:ascii="Arial Narrow" w:hAnsi="Arial Narrow"/>
                <w:noProof/>
                <w:color w:val="006100"/>
                <w:sz w:val="20"/>
                <w:szCs w:val="20"/>
              </w:rPr>
            </w:pPr>
            <w:r>
              <w:rPr>
                <w:rFonts w:ascii="Arial Narrow" w:hAnsi="Arial Narrow"/>
                <w:noProof/>
                <w:color w:val="006100"/>
                <w:sz w:val="20"/>
              </w:rPr>
              <w:t>•Toetuse kogumine ettevõtete poolt</w:t>
            </w:r>
          </w:p>
          <w:p w14:paraId="15DD23D3" w14:textId="77777777" w:rsidR="0084326C" w:rsidRPr="005D68A0" w:rsidRDefault="0084326C">
            <w:pPr>
              <w:spacing w:after="120"/>
              <w:contextualSpacing/>
              <w:rPr>
                <w:rFonts w:ascii="Arial Narrow" w:hAnsi="Arial Narrow"/>
                <w:noProof/>
                <w:color w:val="006100"/>
                <w:sz w:val="20"/>
                <w:szCs w:val="20"/>
              </w:rPr>
            </w:pPr>
            <w:r>
              <w:rPr>
                <w:rFonts w:ascii="Arial Narrow" w:hAnsi="Arial Narrow"/>
                <w:noProof/>
                <w:color w:val="006100"/>
                <w:sz w:val="20"/>
              </w:rPr>
              <w:t>•Põllumajandustöötajate teenused</w:t>
            </w:r>
          </w:p>
          <w:p w14:paraId="5FB41B90"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•Pettustevastase võitluse, korruptsiooni ja läbipaistvuse teenistused</w:t>
            </w:r>
          </w:p>
          <w:p w14:paraId="1B923FDA"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Loetletud institutsioonilistes valdkondades on rakendatavad teenused seotud teenuste taotluste digitaalse esitamisega, kasu saamise nõuete kontrollimisega, kasutajate poolse tava seisundi jälgimisega, kasutajate vajadustel põhinevate teenuste proaktiivse pakkumisega, kasu automaatse pikendamisega, ilma et oleks vaja uusi rakendusi.</w:t>
            </w:r>
          </w:p>
          <w:p w14:paraId="54A84E2F"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Lõpuks on olemas järelevalvetabelid, mis võimaldavad INPSil jälgida pakutavat kasu ja pakkuda poliitikakujundajate otsustele andmepõhist tuge.</w:t>
            </w:r>
          </w:p>
        </w:tc>
      </w:tr>
      <w:tr w:rsidR="005F0490" w:rsidRPr="00D90835" w14:paraId="042DC020" w14:textId="77777777">
        <w:trPr>
          <w:trHeight w:val="309"/>
        </w:trPr>
        <w:tc>
          <w:tcPr>
            <w:tcW w:w="1284" w:type="dxa"/>
            <w:shd w:val="clear" w:color="auto" w:fill="C6EFCE"/>
            <w:noWrap/>
            <w:vAlign w:val="center"/>
          </w:tcPr>
          <w:p w14:paraId="51AF2CA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M1C1-124</w:t>
            </w:r>
          </w:p>
        </w:tc>
        <w:tc>
          <w:tcPr>
            <w:tcW w:w="1746" w:type="dxa"/>
            <w:shd w:val="clear" w:color="auto" w:fill="C6EFCE"/>
            <w:noWrap/>
            <w:vAlign w:val="center"/>
          </w:tcPr>
          <w:p w14:paraId="485135D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1.6.3. Riikliku sotsiaalkindlustusameti (INPS) ja riikliku tööõnnetuste vastu kindlustamise instituudi (INAIL) digitaliseerimine</w:t>
            </w:r>
          </w:p>
        </w:tc>
        <w:tc>
          <w:tcPr>
            <w:tcW w:w="992" w:type="dxa"/>
            <w:shd w:val="clear" w:color="auto" w:fill="C6EFCE"/>
            <w:noWrap/>
            <w:vAlign w:val="center"/>
          </w:tcPr>
          <w:p w14:paraId="6E8A9EB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2126" w:type="dxa"/>
            <w:shd w:val="clear" w:color="auto" w:fill="C6EFCE"/>
            <w:noWrap/>
            <w:vAlign w:val="center"/>
          </w:tcPr>
          <w:p w14:paraId="56F8B69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INPS - parema info- ja kommunikatsioonitehnoloogia (IKT) oskustega töötajad T1</w:t>
            </w:r>
          </w:p>
        </w:tc>
        <w:tc>
          <w:tcPr>
            <w:tcW w:w="1701" w:type="dxa"/>
            <w:shd w:val="clear" w:color="auto" w:fill="C6EFCE"/>
            <w:noWrap/>
            <w:vAlign w:val="center"/>
          </w:tcPr>
          <w:p w14:paraId="1E828BE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113E528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1276" w:type="dxa"/>
            <w:shd w:val="clear" w:color="auto" w:fill="C6EFCE"/>
            <w:noWrap/>
            <w:vAlign w:val="center"/>
          </w:tcPr>
          <w:p w14:paraId="1EF183B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1417" w:type="dxa"/>
            <w:shd w:val="clear" w:color="auto" w:fill="C6EFCE"/>
            <w:noWrap/>
            <w:vAlign w:val="center"/>
          </w:tcPr>
          <w:p w14:paraId="3257394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4 250</w:t>
            </w:r>
          </w:p>
        </w:tc>
        <w:tc>
          <w:tcPr>
            <w:tcW w:w="793" w:type="dxa"/>
            <w:shd w:val="clear" w:color="auto" w:fill="C6EFCE"/>
            <w:noWrap/>
            <w:vAlign w:val="center"/>
          </w:tcPr>
          <w:p w14:paraId="573C65C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625" w:type="dxa"/>
            <w:shd w:val="clear" w:color="auto" w:fill="C6EFCE"/>
            <w:noWrap/>
            <w:vAlign w:val="center"/>
          </w:tcPr>
          <w:p w14:paraId="4319641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2022</w:t>
            </w:r>
          </w:p>
        </w:tc>
        <w:tc>
          <w:tcPr>
            <w:tcW w:w="2584" w:type="dxa"/>
            <w:shd w:val="clear" w:color="auto" w:fill="C6EFCE"/>
            <w:noWrap/>
            <w:vAlign w:val="center"/>
          </w:tcPr>
          <w:p w14:paraId="402206FF" w14:textId="33F90BC4" w:rsidR="0084326C" w:rsidRPr="005D68A0" w:rsidRDefault="0084326C">
            <w:pPr>
              <w:spacing w:after="120"/>
              <w:rPr>
                <w:rFonts w:ascii="Arial Narrow" w:hAnsi="Arial Narrow"/>
                <w:noProof/>
                <w:color w:val="006100"/>
                <w:sz w:val="20"/>
              </w:rPr>
            </w:pPr>
            <w:r>
              <w:rPr>
                <w:rFonts w:ascii="Arial Narrow" w:hAnsi="Arial Narrow"/>
                <w:noProof/>
                <w:color w:val="006100"/>
                <w:sz w:val="20"/>
              </w:rPr>
              <w:t>Vähemalt 4</w:t>
            </w:r>
            <w:r w:rsidR="00326863">
              <w:rPr>
                <w:rFonts w:ascii="Arial Narrow" w:hAnsi="Arial Narrow"/>
                <w:noProof/>
                <w:color w:val="006100"/>
                <w:sz w:val="20"/>
              </w:rPr>
              <w:t> </w:t>
            </w:r>
            <w:r>
              <w:rPr>
                <w:rFonts w:ascii="Arial Narrow" w:hAnsi="Arial Narrow"/>
                <w:noProof/>
                <w:color w:val="006100"/>
                <w:sz w:val="20"/>
              </w:rPr>
              <w:t>250 INPSi töötajat, keda on hinnatud seoses nende teavitamisega ja tõendatud täiustatud oskustega järgmistes Euroopa e-pädevuse raamistiku valdkondades: i) kavandamine; ii) ehitus; iii) juhtimine (iv) võimaldamine; v) haldamine.</w:t>
            </w:r>
          </w:p>
          <w:p w14:paraId="74733E66"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Pädevuste parandamise valdkonnad määratakse kindlaks vastavalt õppijate sihtrühmale.</w:t>
            </w:r>
          </w:p>
        </w:tc>
      </w:tr>
      <w:tr w:rsidR="005F0490" w:rsidRPr="00D90835" w14:paraId="2B9B1879" w14:textId="77777777">
        <w:trPr>
          <w:trHeight w:val="309"/>
        </w:trPr>
        <w:tc>
          <w:tcPr>
            <w:tcW w:w="1284" w:type="dxa"/>
            <w:shd w:val="clear" w:color="auto" w:fill="C6EFCE"/>
            <w:noWrap/>
            <w:vAlign w:val="center"/>
          </w:tcPr>
          <w:p w14:paraId="6A3042D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M1C1-125</w:t>
            </w:r>
          </w:p>
        </w:tc>
        <w:tc>
          <w:tcPr>
            <w:tcW w:w="1746" w:type="dxa"/>
            <w:shd w:val="clear" w:color="auto" w:fill="C6EFCE"/>
            <w:noWrap/>
            <w:vAlign w:val="center"/>
          </w:tcPr>
          <w:p w14:paraId="588153A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1.2. Pilvandmetöötlus kohalikule makseasutusele</w:t>
            </w:r>
          </w:p>
        </w:tc>
        <w:tc>
          <w:tcPr>
            <w:tcW w:w="992" w:type="dxa"/>
            <w:shd w:val="clear" w:color="auto" w:fill="C6EFCE"/>
            <w:noWrap/>
            <w:vAlign w:val="center"/>
          </w:tcPr>
          <w:p w14:paraId="7472F8D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2126" w:type="dxa"/>
            <w:shd w:val="clear" w:color="auto" w:fill="C6EFCE"/>
            <w:noWrap/>
            <w:vAlign w:val="center"/>
          </w:tcPr>
          <w:p w14:paraId="79C0713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Kohaliku avaliku halduse pilvandmetöötluse (kõikide) avalike konkursside korraldamine</w:t>
            </w:r>
          </w:p>
        </w:tc>
        <w:tc>
          <w:tcPr>
            <w:tcW w:w="1701" w:type="dxa"/>
            <w:shd w:val="clear" w:color="auto" w:fill="C6EFCE"/>
            <w:noWrap/>
            <w:vAlign w:val="center"/>
          </w:tcPr>
          <w:p w14:paraId="66C5598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Kohaliku avaliku halduse hangete pilveteenuste osutamise (kõikide) riigihankelepingute sõlmimisest teatamine</w:t>
            </w:r>
          </w:p>
        </w:tc>
        <w:tc>
          <w:tcPr>
            <w:tcW w:w="1134" w:type="dxa"/>
            <w:shd w:val="clear" w:color="auto" w:fill="C6EFCE"/>
            <w:noWrap/>
            <w:vAlign w:val="center"/>
          </w:tcPr>
          <w:p w14:paraId="3C08493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276" w:type="dxa"/>
            <w:shd w:val="clear" w:color="auto" w:fill="C6EFCE"/>
            <w:noWrap/>
            <w:vAlign w:val="center"/>
          </w:tcPr>
          <w:p w14:paraId="24ED8D2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417" w:type="dxa"/>
            <w:shd w:val="clear" w:color="auto" w:fill="C6EFCE"/>
            <w:noWrap/>
            <w:vAlign w:val="center"/>
          </w:tcPr>
          <w:p w14:paraId="484D30F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793" w:type="dxa"/>
            <w:shd w:val="clear" w:color="auto" w:fill="C6EFCE"/>
            <w:noWrap/>
            <w:vAlign w:val="center"/>
          </w:tcPr>
          <w:p w14:paraId="545D449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 kv</w:t>
            </w:r>
          </w:p>
        </w:tc>
        <w:tc>
          <w:tcPr>
            <w:tcW w:w="625" w:type="dxa"/>
            <w:shd w:val="clear" w:color="auto" w:fill="C6EFCE"/>
            <w:noWrap/>
            <w:vAlign w:val="center"/>
          </w:tcPr>
          <w:p w14:paraId="191DE15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2023</w:t>
            </w:r>
          </w:p>
        </w:tc>
        <w:tc>
          <w:tcPr>
            <w:tcW w:w="2584" w:type="dxa"/>
            <w:shd w:val="clear" w:color="auto" w:fill="C6EFCE"/>
            <w:noWrap/>
            <w:vAlign w:val="center"/>
          </w:tcPr>
          <w:p w14:paraId="2A5A0006"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Teade (kõikide) avalike osalemiskutsete sõlmimise kohta iga asjaomase avaliku halduse asutuse (kohalikud omavalitsused, koolid, kohalikud tervishoiuasutused) jaoks, et koguda ja hinnata rändekavasid. Kolme spetsiaalse projektikonkursi väljastamine võimaldab tehnoloogiliste uuenduste ja digiülemineku ministeeriumil hinnata iga asjaomase avaliku halduse liigi väga spetsiifilisi vajadusi.</w:t>
            </w:r>
          </w:p>
          <w:p w14:paraId="59BFBBF9"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Sõlmitud pakkumismenetlused (st rahastamiseks lubatud haldusasutuste nimekirja avaldamine) olid seotud kolme avaliku projektikonkursiga vastavalt omavalitsustele, koolidele ja kohalikele tervishoiuasutustele, et koguda ja hinnata üleminekukavasid kooskõlas tehniliste suunistega „Mitte tekitada olulist kahju“ (2021/C58/01), kasutades kõrvalejätmise loetelu ning nõuet järgida asjakohaseid ELi ja riiklikke keskkonnaalaseid õigusakte.</w:t>
            </w:r>
          </w:p>
        </w:tc>
      </w:tr>
      <w:tr w:rsidR="005F0490" w:rsidRPr="00D90835" w14:paraId="1E3681DE" w14:textId="77777777">
        <w:trPr>
          <w:trHeight w:val="309"/>
        </w:trPr>
        <w:tc>
          <w:tcPr>
            <w:tcW w:w="1284" w:type="dxa"/>
            <w:shd w:val="clear" w:color="auto" w:fill="C6EFCE"/>
            <w:noWrap/>
            <w:vAlign w:val="center"/>
          </w:tcPr>
          <w:p w14:paraId="7806ABB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M1C1-126</w:t>
            </w:r>
          </w:p>
        </w:tc>
        <w:tc>
          <w:tcPr>
            <w:tcW w:w="1746" w:type="dxa"/>
            <w:shd w:val="clear" w:color="auto" w:fill="C6EFCE"/>
            <w:noWrap/>
            <w:vAlign w:val="center"/>
          </w:tcPr>
          <w:p w14:paraId="32F5F8C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1.4.3. PagoPA platvormi teenuste ja rakenduse „IO“ kasutuselevõtmine</w:t>
            </w:r>
          </w:p>
        </w:tc>
        <w:tc>
          <w:tcPr>
            <w:tcW w:w="992" w:type="dxa"/>
            <w:shd w:val="clear" w:color="auto" w:fill="C6EFCE"/>
            <w:noWrap/>
            <w:vAlign w:val="center"/>
          </w:tcPr>
          <w:p w14:paraId="2154A80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2126" w:type="dxa"/>
            <w:shd w:val="clear" w:color="auto" w:fill="C6EFCE"/>
            <w:noWrap/>
            <w:vAlign w:val="center"/>
          </w:tcPr>
          <w:p w14:paraId="47BE086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PagoPA platvormi teenuste T1 kasutuselevõtu suurendamine</w:t>
            </w:r>
          </w:p>
        </w:tc>
        <w:tc>
          <w:tcPr>
            <w:tcW w:w="1701" w:type="dxa"/>
            <w:shd w:val="clear" w:color="auto" w:fill="C6EFCE"/>
            <w:noWrap/>
            <w:vAlign w:val="center"/>
          </w:tcPr>
          <w:p w14:paraId="6056242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63B69F5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1276" w:type="dxa"/>
            <w:shd w:val="clear" w:color="auto" w:fill="C6EFCE"/>
            <w:noWrap/>
            <w:vAlign w:val="center"/>
          </w:tcPr>
          <w:p w14:paraId="700CF53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9 000</w:t>
            </w:r>
          </w:p>
        </w:tc>
        <w:tc>
          <w:tcPr>
            <w:tcW w:w="1417" w:type="dxa"/>
            <w:shd w:val="clear" w:color="auto" w:fill="C6EFCE"/>
            <w:noWrap/>
            <w:vAlign w:val="center"/>
          </w:tcPr>
          <w:p w14:paraId="3C28734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11 450 </w:t>
            </w:r>
          </w:p>
        </w:tc>
        <w:tc>
          <w:tcPr>
            <w:tcW w:w="793" w:type="dxa"/>
            <w:shd w:val="clear" w:color="auto" w:fill="C6EFCE"/>
            <w:noWrap/>
            <w:vAlign w:val="center"/>
          </w:tcPr>
          <w:p w14:paraId="76DA860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625" w:type="dxa"/>
            <w:shd w:val="clear" w:color="auto" w:fill="C6EFCE"/>
            <w:noWrap/>
            <w:vAlign w:val="center"/>
          </w:tcPr>
          <w:p w14:paraId="3854158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2023</w:t>
            </w:r>
          </w:p>
        </w:tc>
        <w:tc>
          <w:tcPr>
            <w:tcW w:w="2584" w:type="dxa"/>
            <w:shd w:val="clear" w:color="auto" w:fill="C6EFCE"/>
            <w:noWrap/>
            <w:vAlign w:val="center"/>
          </w:tcPr>
          <w:p w14:paraId="0CCAC060"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Tagada platvormi integreeritud teenuste arvu suurenemine järgmiste teenuste puhul:</w:t>
            </w:r>
          </w:p>
          <w:p w14:paraId="5942DEAB"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riigiasutused, mis on juba baasstsenaariumis (9 000 üksust)</w:t>
            </w:r>
          </w:p>
          <w:p w14:paraId="75651E02"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 platvormiga ühinevad uued haldusasutused (2 450 uut üksust).</w:t>
            </w:r>
          </w:p>
          <w:p w14:paraId="433D3567"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Mõlemal juhul peab platvormiga ühinevate haldusasutuste teenuste koguarv suurenema vähemalt 20 % võrreldes 2021. aasta teenuste lähtetasemega (31.3.2021). Integreeritavate teenuste arv sõltub haldusliigist (2026. aasta lõppeesmärk on pakkuda keskmiselt 35 teenust omavalitsustele, 15 teenust piirkondadele, 15 teenust tervishoiuasutustele, 8 teenust koolidele ja ülikoolidele).</w:t>
            </w:r>
          </w:p>
        </w:tc>
      </w:tr>
      <w:tr w:rsidR="005F0490" w:rsidRPr="00D90835" w14:paraId="25F5EFD4" w14:textId="77777777">
        <w:trPr>
          <w:trHeight w:val="309"/>
        </w:trPr>
        <w:tc>
          <w:tcPr>
            <w:tcW w:w="1284" w:type="dxa"/>
            <w:shd w:val="clear" w:color="auto" w:fill="C6EFCE"/>
            <w:noWrap/>
            <w:vAlign w:val="center"/>
          </w:tcPr>
          <w:p w14:paraId="2C20E62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M1C1-127</w:t>
            </w:r>
          </w:p>
        </w:tc>
        <w:tc>
          <w:tcPr>
            <w:tcW w:w="1746" w:type="dxa"/>
            <w:shd w:val="clear" w:color="auto" w:fill="C6EFCE"/>
            <w:noWrap/>
            <w:vAlign w:val="center"/>
          </w:tcPr>
          <w:p w14:paraId="052980F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1.4.3. PagoPA platvormi teenuste ja rakenduse „IO“ kasutuselevõtmine</w:t>
            </w:r>
          </w:p>
        </w:tc>
        <w:tc>
          <w:tcPr>
            <w:tcW w:w="992" w:type="dxa"/>
            <w:shd w:val="clear" w:color="auto" w:fill="C6EFCE"/>
            <w:noWrap/>
            <w:vAlign w:val="center"/>
          </w:tcPr>
          <w:p w14:paraId="2444682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2126" w:type="dxa"/>
            <w:shd w:val="clear" w:color="auto" w:fill="C6EFCE"/>
            <w:noWrap/>
            <w:vAlign w:val="center"/>
          </w:tcPr>
          <w:p w14:paraId="6F5D834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Rakenduse „IO“ rakenduse T1 vastuvõtmise suurendamine</w:t>
            </w:r>
          </w:p>
        </w:tc>
        <w:tc>
          <w:tcPr>
            <w:tcW w:w="1701" w:type="dxa"/>
            <w:shd w:val="clear" w:color="auto" w:fill="C6EFCE"/>
            <w:noWrap/>
            <w:vAlign w:val="center"/>
          </w:tcPr>
          <w:p w14:paraId="7181269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02B2178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1276" w:type="dxa"/>
            <w:shd w:val="clear" w:color="auto" w:fill="C6EFCE"/>
            <w:noWrap/>
            <w:vAlign w:val="center"/>
          </w:tcPr>
          <w:p w14:paraId="053DFB4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2 700</w:t>
            </w:r>
          </w:p>
        </w:tc>
        <w:tc>
          <w:tcPr>
            <w:tcW w:w="1417" w:type="dxa"/>
            <w:shd w:val="clear" w:color="auto" w:fill="C6EFCE"/>
            <w:noWrap/>
            <w:vAlign w:val="center"/>
          </w:tcPr>
          <w:p w14:paraId="35DC923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7 000</w:t>
            </w:r>
          </w:p>
        </w:tc>
        <w:tc>
          <w:tcPr>
            <w:tcW w:w="793" w:type="dxa"/>
            <w:shd w:val="clear" w:color="auto" w:fill="C6EFCE"/>
            <w:noWrap/>
            <w:vAlign w:val="center"/>
          </w:tcPr>
          <w:p w14:paraId="69E2B2F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625" w:type="dxa"/>
            <w:shd w:val="clear" w:color="auto" w:fill="C6EFCE"/>
            <w:noWrap/>
            <w:vAlign w:val="center"/>
          </w:tcPr>
          <w:p w14:paraId="38F7D07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2023</w:t>
            </w:r>
          </w:p>
        </w:tc>
        <w:tc>
          <w:tcPr>
            <w:tcW w:w="2584" w:type="dxa"/>
            <w:shd w:val="clear" w:color="auto" w:fill="C6EFCE"/>
            <w:noWrap/>
            <w:vAlign w:val="center"/>
          </w:tcPr>
          <w:p w14:paraId="160479C9"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Tagada rakendusse „IO“ integreeritud teenuste arvu suurenemine:</w:t>
            </w:r>
          </w:p>
          <w:p w14:paraId="44C0DBBA"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 riigiasutused, mis on juba baasstsenaariumis (2 700 üksust)</w:t>
            </w:r>
          </w:p>
          <w:p w14:paraId="35BA41E4"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 platvormiga ühinevad uued haldusasutused (4 300 uut üksust).</w:t>
            </w:r>
          </w:p>
          <w:p w14:paraId="457EA111"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Mõlemal juhul peab platvormiga ühinevate haldusasutuste teenuste koguarv suurenema vähemalt 20 % võrreldes 2021. aasta teenuste lähtetasemega (31.3.2021). Integreeritavate teenuste arv sõltub haldusliigist (2026. aasta lõppeesmärk on pakkuda keskmiselt 35 teenust omavalitsustele, 15 teenust piirkondadele, 15 teenust tervishoiuasutustele, 8 teenust koolidele ja ülikoolidele).</w:t>
            </w:r>
          </w:p>
        </w:tc>
      </w:tr>
      <w:tr w:rsidR="005F0490" w:rsidRPr="00D90835" w14:paraId="5E064837" w14:textId="77777777">
        <w:trPr>
          <w:trHeight w:val="309"/>
        </w:trPr>
        <w:tc>
          <w:tcPr>
            <w:tcW w:w="1284" w:type="dxa"/>
            <w:shd w:val="clear" w:color="auto" w:fill="C6EFCE"/>
            <w:noWrap/>
            <w:vAlign w:val="center"/>
          </w:tcPr>
          <w:p w14:paraId="66FE6C0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M1C1-128</w:t>
            </w:r>
          </w:p>
        </w:tc>
        <w:tc>
          <w:tcPr>
            <w:tcW w:w="1746" w:type="dxa"/>
            <w:shd w:val="clear" w:color="auto" w:fill="C6EFCE"/>
            <w:noWrap/>
            <w:vAlign w:val="center"/>
          </w:tcPr>
          <w:p w14:paraId="49827A5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1.4.5. Avalike teadete digitaliseerimine</w:t>
            </w:r>
          </w:p>
        </w:tc>
        <w:tc>
          <w:tcPr>
            <w:tcW w:w="992" w:type="dxa"/>
            <w:shd w:val="clear" w:color="auto" w:fill="C6EFCE"/>
            <w:noWrap/>
            <w:vAlign w:val="center"/>
          </w:tcPr>
          <w:p w14:paraId="2D9B5D5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2126" w:type="dxa"/>
            <w:shd w:val="clear" w:color="auto" w:fill="C6EFCE"/>
            <w:noWrap/>
            <w:vAlign w:val="center"/>
          </w:tcPr>
          <w:p w14:paraId="3C591D1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Digitaalsete avalike teadete T1 kasutuselevõtu suurendamine</w:t>
            </w:r>
          </w:p>
        </w:tc>
        <w:tc>
          <w:tcPr>
            <w:tcW w:w="1701" w:type="dxa"/>
            <w:shd w:val="clear" w:color="auto" w:fill="C6EFCE"/>
            <w:noWrap/>
            <w:vAlign w:val="center"/>
          </w:tcPr>
          <w:p w14:paraId="41BCC0B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0139CE0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1276" w:type="dxa"/>
            <w:shd w:val="clear" w:color="auto" w:fill="C6EFCE"/>
            <w:noWrap/>
            <w:vAlign w:val="center"/>
          </w:tcPr>
          <w:p w14:paraId="21A28A9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1417" w:type="dxa"/>
            <w:shd w:val="clear" w:color="auto" w:fill="C6EFCE"/>
            <w:noWrap/>
            <w:vAlign w:val="center"/>
          </w:tcPr>
          <w:p w14:paraId="73AB695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800</w:t>
            </w:r>
          </w:p>
        </w:tc>
        <w:tc>
          <w:tcPr>
            <w:tcW w:w="793" w:type="dxa"/>
            <w:shd w:val="clear" w:color="auto" w:fill="C6EFCE"/>
            <w:noWrap/>
            <w:vAlign w:val="center"/>
          </w:tcPr>
          <w:p w14:paraId="11F62E6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625" w:type="dxa"/>
            <w:shd w:val="clear" w:color="auto" w:fill="C6EFCE"/>
            <w:noWrap/>
            <w:vAlign w:val="center"/>
          </w:tcPr>
          <w:p w14:paraId="2C5FE3C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2023</w:t>
            </w:r>
          </w:p>
        </w:tc>
        <w:tc>
          <w:tcPr>
            <w:tcW w:w="2584" w:type="dxa"/>
            <w:shd w:val="clear" w:color="auto" w:fill="C6EFCE"/>
            <w:noWrap/>
            <w:vAlign w:val="center"/>
          </w:tcPr>
          <w:p w14:paraId="75B28E34"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Vähemalt 800 keskvalitsust ja omavalitsust esitavad seoses digitaalse teavitusplatvormiga kodanikele, juriidilistele isikutele, ühendustele ja muudele avalik-õiguslikele või eraõiguslikele üksustele digitaalsed õiguslikult siduvad teated.</w:t>
            </w:r>
          </w:p>
        </w:tc>
      </w:tr>
      <w:tr w:rsidR="005F0490" w:rsidRPr="00D90835" w14:paraId="65CD4962" w14:textId="77777777">
        <w:trPr>
          <w:trHeight w:val="309"/>
        </w:trPr>
        <w:tc>
          <w:tcPr>
            <w:tcW w:w="1284" w:type="dxa"/>
            <w:shd w:val="clear" w:color="auto" w:fill="C6EFCE"/>
            <w:noWrap/>
            <w:vAlign w:val="center"/>
          </w:tcPr>
          <w:p w14:paraId="320D526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M1C1-129</w:t>
            </w:r>
          </w:p>
        </w:tc>
        <w:tc>
          <w:tcPr>
            <w:tcW w:w="1746" w:type="dxa"/>
            <w:shd w:val="clear" w:color="auto" w:fill="C6EFCE"/>
            <w:noWrap/>
            <w:vAlign w:val="center"/>
          </w:tcPr>
          <w:p w14:paraId="441F0CE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1.6.1. Siseministeeriumi digiteerimine</w:t>
            </w:r>
          </w:p>
        </w:tc>
        <w:tc>
          <w:tcPr>
            <w:tcW w:w="992" w:type="dxa"/>
            <w:shd w:val="clear" w:color="auto" w:fill="C6EFCE"/>
            <w:noWrap/>
            <w:vAlign w:val="center"/>
          </w:tcPr>
          <w:p w14:paraId="763E47A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2126" w:type="dxa"/>
            <w:shd w:val="clear" w:color="auto" w:fill="C6EFCE"/>
            <w:noWrap/>
            <w:vAlign w:val="center"/>
          </w:tcPr>
          <w:p w14:paraId="4E4F3CF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Siseministeerium – täielikult ümberkujundatud ja digiteeritud protsessid T1</w:t>
            </w:r>
          </w:p>
        </w:tc>
        <w:tc>
          <w:tcPr>
            <w:tcW w:w="1701" w:type="dxa"/>
            <w:shd w:val="clear" w:color="auto" w:fill="C6EFCE"/>
            <w:noWrap/>
            <w:vAlign w:val="center"/>
          </w:tcPr>
          <w:p w14:paraId="50E38AA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444B133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1276" w:type="dxa"/>
            <w:shd w:val="clear" w:color="auto" w:fill="C6EFCE"/>
            <w:noWrap/>
            <w:vAlign w:val="center"/>
          </w:tcPr>
          <w:p w14:paraId="0F2D0A1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1417" w:type="dxa"/>
            <w:shd w:val="clear" w:color="auto" w:fill="C6EFCE"/>
            <w:noWrap/>
            <w:vAlign w:val="center"/>
          </w:tcPr>
          <w:p w14:paraId="4DE7BC9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7</w:t>
            </w:r>
          </w:p>
        </w:tc>
        <w:tc>
          <w:tcPr>
            <w:tcW w:w="793" w:type="dxa"/>
            <w:shd w:val="clear" w:color="auto" w:fill="C6EFCE"/>
            <w:noWrap/>
            <w:vAlign w:val="center"/>
          </w:tcPr>
          <w:p w14:paraId="4E39B55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625" w:type="dxa"/>
            <w:shd w:val="clear" w:color="auto" w:fill="C6EFCE"/>
            <w:noWrap/>
            <w:vAlign w:val="center"/>
          </w:tcPr>
          <w:p w14:paraId="16EF441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2023</w:t>
            </w:r>
          </w:p>
        </w:tc>
        <w:tc>
          <w:tcPr>
            <w:tcW w:w="2584" w:type="dxa"/>
            <w:shd w:val="clear" w:color="auto" w:fill="C6EFCE"/>
            <w:noWrap/>
            <w:vAlign w:val="center"/>
          </w:tcPr>
          <w:p w14:paraId="7415077D"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Sisemenetlused ja -protsessid on täielikult ümber kujundatud (kuni 31. detsembrini 2023 kokku 7 protsessi) ja neid on võimalik täielikult veebis lõpule viia (nt bürooautomaatika, liikuvusteenused ja e-õpe).</w:t>
            </w:r>
          </w:p>
        </w:tc>
      </w:tr>
      <w:tr w:rsidR="005F0490" w:rsidRPr="00D90835" w14:paraId="181ADB26" w14:textId="77777777">
        <w:trPr>
          <w:trHeight w:val="309"/>
        </w:trPr>
        <w:tc>
          <w:tcPr>
            <w:tcW w:w="1284" w:type="dxa"/>
            <w:shd w:val="clear" w:color="auto" w:fill="C6EFCE"/>
            <w:noWrap/>
            <w:vAlign w:val="center"/>
          </w:tcPr>
          <w:p w14:paraId="0F8521E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M1C1-130</w:t>
            </w:r>
          </w:p>
        </w:tc>
        <w:tc>
          <w:tcPr>
            <w:tcW w:w="1746" w:type="dxa"/>
            <w:shd w:val="clear" w:color="auto" w:fill="C6EFCE"/>
            <w:noWrap/>
            <w:vAlign w:val="center"/>
          </w:tcPr>
          <w:p w14:paraId="0173351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1.6.2. Justiitsministeeriumi digiteerimine</w:t>
            </w:r>
          </w:p>
        </w:tc>
        <w:tc>
          <w:tcPr>
            <w:tcW w:w="992" w:type="dxa"/>
            <w:shd w:val="clear" w:color="auto" w:fill="C6EFCE"/>
            <w:noWrap/>
            <w:vAlign w:val="center"/>
          </w:tcPr>
          <w:p w14:paraId="3BC8DC2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2126" w:type="dxa"/>
            <w:shd w:val="clear" w:color="auto" w:fill="C6EFCE"/>
            <w:noWrap/>
            <w:vAlign w:val="center"/>
          </w:tcPr>
          <w:p w14:paraId="23B3408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Digiteeritud kohtutoimikud T1</w:t>
            </w:r>
          </w:p>
        </w:tc>
        <w:tc>
          <w:tcPr>
            <w:tcW w:w="1701" w:type="dxa"/>
            <w:shd w:val="clear" w:color="auto" w:fill="C6EFCE"/>
            <w:noWrap/>
            <w:vAlign w:val="center"/>
          </w:tcPr>
          <w:p w14:paraId="2EBF575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7D870F8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1276" w:type="dxa"/>
            <w:shd w:val="clear" w:color="auto" w:fill="C6EFCE"/>
            <w:noWrap/>
            <w:vAlign w:val="center"/>
          </w:tcPr>
          <w:p w14:paraId="416AB2B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1417" w:type="dxa"/>
            <w:shd w:val="clear" w:color="auto" w:fill="C6EFCE"/>
            <w:noWrap/>
            <w:vAlign w:val="center"/>
          </w:tcPr>
          <w:p w14:paraId="3556CAD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3 500 000.</w:t>
            </w:r>
          </w:p>
        </w:tc>
        <w:tc>
          <w:tcPr>
            <w:tcW w:w="793" w:type="dxa"/>
            <w:shd w:val="clear" w:color="auto" w:fill="C6EFCE"/>
            <w:noWrap/>
            <w:vAlign w:val="center"/>
          </w:tcPr>
          <w:p w14:paraId="5DB10C1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625" w:type="dxa"/>
            <w:shd w:val="clear" w:color="auto" w:fill="C6EFCE"/>
            <w:noWrap/>
            <w:vAlign w:val="center"/>
          </w:tcPr>
          <w:p w14:paraId="6C2AF5E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2023</w:t>
            </w:r>
          </w:p>
        </w:tc>
        <w:tc>
          <w:tcPr>
            <w:tcW w:w="2584" w:type="dxa"/>
            <w:shd w:val="clear" w:color="auto" w:fill="C6EFCE"/>
            <w:noWrap/>
            <w:vAlign w:val="center"/>
          </w:tcPr>
          <w:p w14:paraId="472957D2"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Viimase 20 aasta 3 500 000 kohtutoimiku digiüleminek (1.1.2006–30.6.2026), mis on seotud lõpetatud või käimasolevate kohtumenetlustega kohtutes.</w:t>
            </w:r>
          </w:p>
        </w:tc>
      </w:tr>
      <w:tr w:rsidR="005F0490" w:rsidRPr="00D90835" w14:paraId="4E96FB3F" w14:textId="77777777">
        <w:trPr>
          <w:trHeight w:val="309"/>
        </w:trPr>
        <w:tc>
          <w:tcPr>
            <w:tcW w:w="1284" w:type="dxa"/>
            <w:shd w:val="clear" w:color="auto" w:fill="C6EFCE"/>
            <w:noWrap/>
            <w:vAlign w:val="center"/>
          </w:tcPr>
          <w:p w14:paraId="5955FBB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M1C1-131</w:t>
            </w:r>
          </w:p>
        </w:tc>
        <w:tc>
          <w:tcPr>
            <w:tcW w:w="1746" w:type="dxa"/>
            <w:shd w:val="clear" w:color="auto" w:fill="C6EFCE"/>
            <w:noWrap/>
            <w:vAlign w:val="center"/>
          </w:tcPr>
          <w:p w14:paraId="52A5D30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1.6.2. Justiitsministeeriumi digiteerimine</w:t>
            </w:r>
          </w:p>
        </w:tc>
        <w:tc>
          <w:tcPr>
            <w:tcW w:w="992" w:type="dxa"/>
            <w:shd w:val="clear" w:color="auto" w:fill="C6EFCE"/>
            <w:noWrap/>
            <w:vAlign w:val="center"/>
          </w:tcPr>
          <w:p w14:paraId="3E9D749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2126" w:type="dxa"/>
            <w:shd w:val="clear" w:color="auto" w:fill="C6EFCE"/>
            <w:noWrap/>
            <w:vAlign w:val="center"/>
          </w:tcPr>
          <w:p w14:paraId="398E451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Õigusalased andmebaasid T1</w:t>
            </w:r>
          </w:p>
        </w:tc>
        <w:tc>
          <w:tcPr>
            <w:tcW w:w="1701" w:type="dxa"/>
            <w:shd w:val="clear" w:color="auto" w:fill="C6EFCE"/>
            <w:noWrap/>
            <w:vAlign w:val="center"/>
          </w:tcPr>
          <w:p w14:paraId="21FCFF03" w14:textId="1D48AD5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Lepingu täitmise algust tõendav aruanne </w:t>
            </w:r>
          </w:p>
        </w:tc>
        <w:tc>
          <w:tcPr>
            <w:tcW w:w="1134" w:type="dxa"/>
            <w:shd w:val="clear" w:color="auto" w:fill="C6EFCE"/>
            <w:noWrap/>
            <w:vAlign w:val="center"/>
          </w:tcPr>
          <w:p w14:paraId="01CFDB6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276" w:type="dxa"/>
            <w:shd w:val="clear" w:color="auto" w:fill="C6EFCE"/>
            <w:noWrap/>
            <w:vAlign w:val="center"/>
          </w:tcPr>
          <w:p w14:paraId="1E20B29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417" w:type="dxa"/>
            <w:shd w:val="clear" w:color="auto" w:fill="C6EFCE"/>
            <w:noWrap/>
            <w:vAlign w:val="center"/>
          </w:tcPr>
          <w:p w14:paraId="676F4EB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793" w:type="dxa"/>
            <w:shd w:val="clear" w:color="auto" w:fill="C6EFCE"/>
            <w:noWrap/>
            <w:vAlign w:val="center"/>
          </w:tcPr>
          <w:p w14:paraId="342B1AB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625" w:type="dxa"/>
            <w:shd w:val="clear" w:color="auto" w:fill="C6EFCE"/>
            <w:noWrap/>
            <w:vAlign w:val="center"/>
          </w:tcPr>
          <w:p w14:paraId="74ABE73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2023</w:t>
            </w:r>
          </w:p>
        </w:tc>
        <w:tc>
          <w:tcPr>
            <w:tcW w:w="2584" w:type="dxa"/>
            <w:shd w:val="clear" w:color="auto" w:fill="C6EFCE"/>
            <w:noWrap/>
            <w:vAlign w:val="center"/>
          </w:tcPr>
          <w:p w14:paraId="01D13C6A"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Lepingu täitmise algus kuue uue andmejärve teadmussüsteemi loomiseks:</w:t>
            </w:r>
          </w:p>
          <w:p w14:paraId="53075A7D" w14:textId="77777777" w:rsidR="0084326C" w:rsidRPr="005D68A0" w:rsidRDefault="0084326C">
            <w:pPr>
              <w:pStyle w:val="ListParagraph"/>
              <w:numPr>
                <w:ilvl w:val="0"/>
                <w:numId w:val="79"/>
              </w:numPr>
              <w:spacing w:before="0"/>
              <w:ind w:left="357" w:hanging="357"/>
              <w:jc w:val="left"/>
              <w:rPr>
                <w:rFonts w:ascii="Arial Narrow" w:hAnsi="Arial Narrow"/>
                <w:noProof/>
                <w:color w:val="006100"/>
                <w:sz w:val="20"/>
                <w:szCs w:val="20"/>
              </w:rPr>
            </w:pPr>
            <w:r>
              <w:rPr>
                <w:rFonts w:ascii="Arial Narrow" w:hAnsi="Arial Narrow"/>
                <w:noProof/>
                <w:color w:val="006100"/>
                <w:sz w:val="20"/>
              </w:rPr>
              <w:t>Tsiviil- ja kriminaalkaristuste anonüümimise süsteem</w:t>
            </w:r>
          </w:p>
          <w:p w14:paraId="5C275F27" w14:textId="77777777" w:rsidR="0084326C" w:rsidRPr="005D68A0" w:rsidRDefault="0084326C">
            <w:pPr>
              <w:pStyle w:val="ListParagraph"/>
              <w:numPr>
                <w:ilvl w:val="0"/>
                <w:numId w:val="79"/>
              </w:numPr>
              <w:spacing w:before="0"/>
              <w:ind w:left="357" w:hanging="357"/>
              <w:jc w:val="left"/>
              <w:rPr>
                <w:rFonts w:ascii="Arial Narrow" w:hAnsi="Arial Narrow"/>
                <w:noProof/>
                <w:color w:val="006100"/>
                <w:sz w:val="20"/>
                <w:szCs w:val="20"/>
              </w:rPr>
            </w:pPr>
            <w:r>
              <w:rPr>
                <w:rFonts w:ascii="Arial Narrow" w:hAnsi="Arial Narrow"/>
                <w:noProof/>
                <w:color w:val="006100"/>
                <w:sz w:val="20"/>
              </w:rPr>
              <w:t>Integreeritud juhtimissüsteem</w:t>
            </w:r>
          </w:p>
          <w:p w14:paraId="6D7A41AB" w14:textId="77777777" w:rsidR="0084326C" w:rsidRPr="005D68A0" w:rsidRDefault="0084326C">
            <w:pPr>
              <w:pStyle w:val="ListParagraph"/>
              <w:numPr>
                <w:ilvl w:val="0"/>
                <w:numId w:val="79"/>
              </w:numPr>
              <w:spacing w:before="0"/>
              <w:ind w:left="357" w:hanging="357"/>
              <w:jc w:val="left"/>
              <w:rPr>
                <w:rFonts w:ascii="Arial Narrow" w:hAnsi="Arial Narrow"/>
                <w:noProof/>
                <w:color w:val="006100"/>
                <w:sz w:val="20"/>
                <w:szCs w:val="20"/>
              </w:rPr>
            </w:pPr>
            <w:r>
              <w:rPr>
                <w:rFonts w:ascii="Arial Narrow" w:hAnsi="Arial Narrow"/>
                <w:noProof/>
                <w:color w:val="006100"/>
                <w:sz w:val="20"/>
              </w:rPr>
              <w:t>Tsiviilmenetluste juhtimis- ja analüüsisüsteem</w:t>
            </w:r>
          </w:p>
          <w:p w14:paraId="0636298C" w14:textId="77777777" w:rsidR="0084326C" w:rsidRPr="005D68A0" w:rsidRDefault="0084326C">
            <w:pPr>
              <w:pStyle w:val="ListParagraph"/>
              <w:numPr>
                <w:ilvl w:val="0"/>
                <w:numId w:val="79"/>
              </w:numPr>
              <w:spacing w:before="0"/>
              <w:ind w:left="357" w:hanging="357"/>
              <w:jc w:val="left"/>
              <w:rPr>
                <w:rFonts w:ascii="Arial Narrow" w:hAnsi="Arial Narrow"/>
                <w:noProof/>
                <w:color w:val="006100"/>
                <w:sz w:val="20"/>
                <w:szCs w:val="20"/>
              </w:rPr>
            </w:pPr>
            <w:r>
              <w:rPr>
                <w:rFonts w:ascii="Arial Narrow" w:hAnsi="Arial Narrow"/>
                <w:noProof/>
                <w:color w:val="006100"/>
                <w:sz w:val="20"/>
              </w:rPr>
              <w:t>Kriminaalmenetluste juhtimis- ja analüüsisüsteem</w:t>
            </w:r>
          </w:p>
          <w:p w14:paraId="66E48D0A" w14:textId="77777777" w:rsidR="0084326C" w:rsidRPr="005D68A0" w:rsidRDefault="0084326C">
            <w:pPr>
              <w:pStyle w:val="ListParagraph"/>
              <w:numPr>
                <w:ilvl w:val="0"/>
                <w:numId w:val="79"/>
              </w:numPr>
              <w:spacing w:before="0"/>
              <w:ind w:left="357" w:hanging="357"/>
              <w:jc w:val="left"/>
              <w:rPr>
                <w:rFonts w:ascii="Arial Narrow" w:hAnsi="Arial Narrow"/>
                <w:noProof/>
                <w:color w:val="006100"/>
                <w:sz w:val="20"/>
                <w:szCs w:val="20"/>
              </w:rPr>
            </w:pPr>
            <w:r>
              <w:rPr>
                <w:rFonts w:ascii="Arial Narrow" w:hAnsi="Arial Narrow"/>
                <w:noProof/>
                <w:color w:val="006100"/>
                <w:sz w:val="20"/>
              </w:rPr>
              <w:t>Tsiviil- ja kriminaalmenetluste täiustatud statistikasüsteem</w:t>
            </w:r>
          </w:p>
          <w:p w14:paraId="6903A6C6" w14:textId="77777777" w:rsidR="0084326C" w:rsidRPr="005D68A0" w:rsidRDefault="0084326C">
            <w:pPr>
              <w:pStyle w:val="ListParagraph"/>
              <w:numPr>
                <w:ilvl w:val="0"/>
                <w:numId w:val="79"/>
              </w:numPr>
              <w:spacing w:before="0"/>
              <w:ind w:left="357" w:hanging="357"/>
              <w:jc w:val="left"/>
              <w:rPr>
                <w:rFonts w:ascii="Arial Narrow" w:hAnsi="Arial Narrow"/>
                <w:noProof/>
                <w:color w:val="006100"/>
                <w:sz w:val="20"/>
                <w:szCs w:val="20"/>
              </w:rPr>
            </w:pPr>
            <w:r>
              <w:rPr>
                <w:rFonts w:ascii="Arial Narrow" w:hAnsi="Arial Narrow"/>
                <w:noProof/>
                <w:color w:val="006100"/>
                <w:sz w:val="20"/>
              </w:rPr>
              <w:t xml:space="preserve">Automaatne süsteem ohvri ja süü vahelise suhte tuvastamiseks. </w:t>
            </w:r>
          </w:p>
          <w:p w14:paraId="4C21FA95"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Iga hankelepingu täitmine algab menetluse eest vastutava konkreetse haldusaktiga, mida nimetatakse „täitmise alustamiseks“.</w:t>
            </w:r>
          </w:p>
        </w:tc>
      </w:tr>
      <w:tr w:rsidR="005F0490" w:rsidRPr="00D90835" w14:paraId="04EE245A" w14:textId="77777777">
        <w:trPr>
          <w:trHeight w:val="309"/>
        </w:trPr>
        <w:tc>
          <w:tcPr>
            <w:tcW w:w="1284" w:type="dxa"/>
            <w:shd w:val="clear" w:color="auto" w:fill="C6EFCE"/>
            <w:noWrap/>
            <w:vAlign w:val="center"/>
          </w:tcPr>
          <w:p w14:paraId="113186E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M1C1-132</w:t>
            </w:r>
          </w:p>
        </w:tc>
        <w:tc>
          <w:tcPr>
            <w:tcW w:w="1746" w:type="dxa"/>
            <w:shd w:val="clear" w:color="auto" w:fill="C6EFCE"/>
            <w:noWrap/>
            <w:vAlign w:val="center"/>
          </w:tcPr>
          <w:p w14:paraId="34118F7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1.6.3. Riikliku sotsiaalkindlustusameti (INPS) ja riikliku tööõnnetuste vastu kindlustamise instituudi (INAIL) digitaliseerimine</w:t>
            </w:r>
          </w:p>
        </w:tc>
        <w:tc>
          <w:tcPr>
            <w:tcW w:w="992" w:type="dxa"/>
            <w:shd w:val="clear" w:color="auto" w:fill="C6EFCE"/>
            <w:noWrap/>
            <w:vAlign w:val="center"/>
          </w:tcPr>
          <w:p w14:paraId="20BA3EA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2126" w:type="dxa"/>
            <w:shd w:val="clear" w:color="auto" w:fill="C6EFCE"/>
            <w:noWrap/>
            <w:vAlign w:val="center"/>
          </w:tcPr>
          <w:p w14:paraId="24030FE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INPS – „One click by design“ teenused/sisu T2</w:t>
            </w:r>
          </w:p>
        </w:tc>
        <w:tc>
          <w:tcPr>
            <w:tcW w:w="1701" w:type="dxa"/>
            <w:shd w:val="clear" w:color="auto" w:fill="C6EFCE"/>
            <w:noWrap/>
            <w:vAlign w:val="center"/>
          </w:tcPr>
          <w:p w14:paraId="2486967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5A483DB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1276" w:type="dxa"/>
            <w:shd w:val="clear" w:color="auto" w:fill="C6EFCE"/>
            <w:noWrap/>
            <w:vAlign w:val="center"/>
          </w:tcPr>
          <w:p w14:paraId="2075269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35</w:t>
            </w:r>
          </w:p>
        </w:tc>
        <w:tc>
          <w:tcPr>
            <w:tcW w:w="1417" w:type="dxa"/>
            <w:shd w:val="clear" w:color="auto" w:fill="C6EFCE"/>
            <w:noWrap/>
            <w:vAlign w:val="center"/>
          </w:tcPr>
          <w:p w14:paraId="4956722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70</w:t>
            </w:r>
          </w:p>
        </w:tc>
        <w:tc>
          <w:tcPr>
            <w:tcW w:w="793" w:type="dxa"/>
            <w:shd w:val="clear" w:color="auto" w:fill="C6EFCE"/>
            <w:noWrap/>
            <w:vAlign w:val="center"/>
          </w:tcPr>
          <w:p w14:paraId="14653ED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625" w:type="dxa"/>
            <w:shd w:val="clear" w:color="auto" w:fill="C6EFCE"/>
            <w:noWrap/>
            <w:vAlign w:val="center"/>
          </w:tcPr>
          <w:p w14:paraId="0B27C82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2023</w:t>
            </w:r>
          </w:p>
        </w:tc>
        <w:tc>
          <w:tcPr>
            <w:tcW w:w="2584" w:type="dxa"/>
            <w:shd w:val="clear" w:color="auto" w:fill="C6EFCE"/>
            <w:noWrap/>
            <w:vAlign w:val="center"/>
          </w:tcPr>
          <w:p w14:paraId="1036F736" w14:textId="4F01079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Inps’i institutsioonide veebisaidil (</w:t>
            </w:r>
            <w:hyperlink r:id="rId37" w:history="1">
              <w:r>
                <w:rPr>
                  <w:rStyle w:val="Hyperlink"/>
                  <w:rFonts w:ascii="Arial Narrow" w:hAnsi="Arial Narrow"/>
                  <w:noProof/>
                  <w:sz w:val="20"/>
                </w:rPr>
                <w:t>www.inps.it</w:t>
              </w:r>
            </w:hyperlink>
            <w:r>
              <w:rPr>
                <w:rFonts w:ascii="Arial Narrow" w:hAnsi="Arial Narrow"/>
                <w:noProof/>
                <w:color w:val="006100"/>
                <w:sz w:val="20"/>
              </w:rPr>
              <w:t>) on kasutusele võetud 35 lisateenust.</w:t>
            </w:r>
          </w:p>
          <w:p w14:paraId="27B68113"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Teenused peavad olema institutsiooni veebisaidil kättesaadavad asjakohase profiilianalüüsi loogika alusel (süsteem pakub välja huvipakkuvaid teenuseid, mis põhinevad vanusel, töö omadustel, eeldataval kasul ja kasutajate ajalool).</w:t>
            </w:r>
          </w:p>
          <w:p w14:paraId="1F82810F" w14:textId="77777777" w:rsidR="0084326C" w:rsidRPr="005D68A0" w:rsidRDefault="0084326C">
            <w:pPr>
              <w:spacing w:before="120"/>
              <w:rPr>
                <w:rFonts w:ascii="Arial Narrow" w:hAnsi="Arial Narrow"/>
                <w:noProof/>
                <w:color w:val="006100"/>
                <w:sz w:val="20"/>
                <w:szCs w:val="20"/>
              </w:rPr>
            </w:pPr>
            <w:r>
              <w:rPr>
                <w:rFonts w:ascii="Arial Narrow" w:hAnsi="Arial Narrow"/>
                <w:noProof/>
                <w:color w:val="006100"/>
                <w:sz w:val="20"/>
              </w:rPr>
              <w:t>35 teenust on seotud järgmiste INPSi institutsiooniliste valdkondadega:</w:t>
            </w:r>
          </w:p>
          <w:p w14:paraId="6C9DD70A" w14:textId="77777777" w:rsidR="0084326C" w:rsidRPr="005D68A0" w:rsidRDefault="0084326C">
            <w:pPr>
              <w:ind w:left="292" w:hanging="76"/>
              <w:rPr>
                <w:rFonts w:ascii="Arial Narrow" w:hAnsi="Arial Narrow"/>
                <w:noProof/>
                <w:color w:val="006100"/>
                <w:sz w:val="20"/>
                <w:szCs w:val="20"/>
              </w:rPr>
            </w:pPr>
            <w:r>
              <w:rPr>
                <w:rFonts w:ascii="Arial Narrow" w:hAnsi="Arial Narrow"/>
                <w:noProof/>
                <w:color w:val="006100"/>
                <w:sz w:val="20"/>
              </w:rPr>
              <w:t>•Pensionihüvitised</w:t>
            </w:r>
          </w:p>
          <w:p w14:paraId="7E4F9C7B" w14:textId="77777777" w:rsidR="0084326C" w:rsidRPr="005D68A0" w:rsidRDefault="0084326C">
            <w:pPr>
              <w:ind w:left="292" w:hanging="76"/>
              <w:rPr>
                <w:rFonts w:ascii="Arial Narrow" w:hAnsi="Arial Narrow"/>
                <w:noProof/>
                <w:color w:val="006100"/>
                <w:sz w:val="20"/>
                <w:szCs w:val="20"/>
              </w:rPr>
            </w:pPr>
            <w:r>
              <w:rPr>
                <w:rFonts w:ascii="Arial Narrow" w:hAnsi="Arial Narrow"/>
                <w:noProof/>
                <w:color w:val="006100"/>
                <w:sz w:val="20"/>
              </w:rPr>
              <w:t>•Sotsiaalsed puhvrid</w:t>
            </w:r>
          </w:p>
          <w:p w14:paraId="4F3312A5" w14:textId="77777777" w:rsidR="0084326C" w:rsidRPr="005D68A0" w:rsidRDefault="0084326C">
            <w:pPr>
              <w:ind w:left="292" w:hanging="76"/>
              <w:rPr>
                <w:rFonts w:ascii="Arial Narrow" w:hAnsi="Arial Narrow"/>
                <w:noProof/>
                <w:color w:val="006100"/>
                <w:sz w:val="20"/>
                <w:szCs w:val="20"/>
              </w:rPr>
            </w:pPr>
            <w:r>
              <w:rPr>
                <w:rFonts w:ascii="Arial Narrow" w:hAnsi="Arial Narrow"/>
                <w:noProof/>
                <w:color w:val="006100"/>
                <w:sz w:val="20"/>
              </w:rPr>
              <w:t>•Töötushüvitised</w:t>
            </w:r>
          </w:p>
          <w:p w14:paraId="755F166F" w14:textId="77777777" w:rsidR="0084326C" w:rsidRPr="005D68A0" w:rsidRDefault="0084326C">
            <w:pPr>
              <w:ind w:left="292" w:hanging="76"/>
              <w:rPr>
                <w:rFonts w:ascii="Arial Narrow" w:hAnsi="Arial Narrow"/>
                <w:noProof/>
                <w:color w:val="006100"/>
                <w:sz w:val="20"/>
                <w:szCs w:val="20"/>
              </w:rPr>
            </w:pPr>
            <w:r>
              <w:rPr>
                <w:rFonts w:ascii="Arial Narrow" w:hAnsi="Arial Narrow"/>
                <w:noProof/>
                <w:color w:val="006100"/>
                <w:sz w:val="20"/>
              </w:rPr>
              <w:t>•Invaliidsushüvitised</w:t>
            </w:r>
          </w:p>
          <w:p w14:paraId="5BECA000" w14:textId="77777777" w:rsidR="0084326C" w:rsidRPr="005D68A0" w:rsidRDefault="0084326C">
            <w:pPr>
              <w:ind w:left="292" w:hanging="76"/>
              <w:rPr>
                <w:rFonts w:ascii="Arial Narrow" w:hAnsi="Arial Narrow"/>
                <w:noProof/>
                <w:color w:val="006100"/>
                <w:sz w:val="20"/>
                <w:szCs w:val="20"/>
              </w:rPr>
            </w:pPr>
            <w:r>
              <w:rPr>
                <w:rFonts w:ascii="Arial Narrow" w:hAnsi="Arial Narrow"/>
                <w:noProof/>
                <w:color w:val="006100"/>
                <w:sz w:val="20"/>
              </w:rPr>
              <w:t>•Vabastamine</w:t>
            </w:r>
          </w:p>
          <w:p w14:paraId="1FC30D9F" w14:textId="77777777" w:rsidR="0084326C" w:rsidRPr="005D68A0" w:rsidRDefault="0084326C">
            <w:pPr>
              <w:ind w:left="292" w:hanging="76"/>
              <w:rPr>
                <w:rFonts w:ascii="Arial Narrow" w:hAnsi="Arial Narrow"/>
                <w:noProof/>
                <w:color w:val="006100"/>
                <w:sz w:val="20"/>
                <w:szCs w:val="20"/>
              </w:rPr>
            </w:pPr>
            <w:r>
              <w:rPr>
                <w:rFonts w:ascii="Arial Narrow" w:hAnsi="Arial Narrow"/>
                <w:noProof/>
                <w:color w:val="006100"/>
                <w:sz w:val="20"/>
              </w:rPr>
              <w:t>•Toetuse kogumine ettevõtete poolt</w:t>
            </w:r>
          </w:p>
          <w:p w14:paraId="18EE5CA3" w14:textId="77777777" w:rsidR="0084326C" w:rsidRPr="005D68A0" w:rsidRDefault="0084326C">
            <w:pPr>
              <w:ind w:left="292" w:hanging="76"/>
              <w:rPr>
                <w:rFonts w:ascii="Arial Narrow" w:hAnsi="Arial Narrow"/>
                <w:noProof/>
                <w:color w:val="006100"/>
                <w:sz w:val="20"/>
                <w:szCs w:val="20"/>
              </w:rPr>
            </w:pPr>
            <w:r>
              <w:rPr>
                <w:rFonts w:ascii="Arial Narrow" w:hAnsi="Arial Narrow"/>
                <w:noProof/>
                <w:color w:val="006100"/>
                <w:sz w:val="20"/>
              </w:rPr>
              <w:t>•Põllumajandustöötajate teenused</w:t>
            </w:r>
          </w:p>
          <w:p w14:paraId="0B64A4D2" w14:textId="77777777" w:rsidR="0084326C" w:rsidRPr="005D68A0" w:rsidRDefault="0084326C">
            <w:pPr>
              <w:ind w:left="292" w:hanging="76"/>
              <w:rPr>
                <w:rFonts w:ascii="Arial Narrow" w:hAnsi="Arial Narrow"/>
                <w:noProof/>
                <w:color w:val="006100"/>
                <w:sz w:val="20"/>
                <w:szCs w:val="20"/>
              </w:rPr>
            </w:pPr>
            <w:r>
              <w:rPr>
                <w:rFonts w:ascii="Arial Narrow" w:hAnsi="Arial Narrow"/>
                <w:noProof/>
                <w:color w:val="006100"/>
                <w:sz w:val="20"/>
              </w:rPr>
              <w:t>•Pettustevastase võitluse, korruptsiooni ja läbipaistvuse teenistused</w:t>
            </w:r>
          </w:p>
          <w:p w14:paraId="2F13CA55" w14:textId="77777777" w:rsidR="0084326C" w:rsidRPr="005D68A0" w:rsidRDefault="0084326C">
            <w:pPr>
              <w:spacing w:before="120"/>
              <w:rPr>
                <w:rFonts w:ascii="Arial Narrow" w:hAnsi="Arial Narrow"/>
                <w:noProof/>
                <w:color w:val="006100"/>
                <w:sz w:val="20"/>
                <w:szCs w:val="20"/>
              </w:rPr>
            </w:pPr>
            <w:r>
              <w:rPr>
                <w:rFonts w:ascii="Arial Narrow" w:hAnsi="Arial Narrow"/>
                <w:noProof/>
                <w:color w:val="006100"/>
                <w:sz w:val="20"/>
              </w:rPr>
              <w:t>Loetletud institutsioonilistes valdkondades on rakendatavad teenused seotud teenuste taotluste digitaalse esitamisega, kasu saamise nõuete kontrollimisega, kasutajate poolse tava seisundi jälgimisega, kasutajate vajadustel põhinevate teenuste proaktiivse pakkumisega, kasu automaatse pikendamisega, ilma et oleks vaja uusi rakendusi.</w:t>
            </w:r>
          </w:p>
          <w:p w14:paraId="2545E1A4"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Lõpuks on olemas järelevalvetabelid, mis võimaldavad INPSil jälgida pakutavat kasu ja pakkuda poliitikakujundajate otsustele andmepõhist tuge.</w:t>
            </w:r>
          </w:p>
        </w:tc>
      </w:tr>
      <w:tr w:rsidR="005F0490" w:rsidRPr="00D90835" w14:paraId="13CE9F11" w14:textId="77777777">
        <w:trPr>
          <w:trHeight w:val="4119"/>
        </w:trPr>
        <w:tc>
          <w:tcPr>
            <w:tcW w:w="1284" w:type="dxa"/>
            <w:shd w:val="clear" w:color="auto" w:fill="C6EFCE"/>
            <w:noWrap/>
            <w:vAlign w:val="center"/>
          </w:tcPr>
          <w:p w14:paraId="3EF5470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M1C1-133</w:t>
            </w:r>
          </w:p>
        </w:tc>
        <w:tc>
          <w:tcPr>
            <w:tcW w:w="1746" w:type="dxa"/>
            <w:shd w:val="clear" w:color="auto" w:fill="C6EFCE"/>
            <w:noWrap/>
            <w:vAlign w:val="center"/>
          </w:tcPr>
          <w:p w14:paraId="62B258B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1.6.3. Riikliku sotsiaalkindlustusameti (INPS) ja riikliku tööõnnetuste vastu kindlustamise instituudi (INAIL) digitaliseerimine</w:t>
            </w:r>
          </w:p>
        </w:tc>
        <w:tc>
          <w:tcPr>
            <w:tcW w:w="992" w:type="dxa"/>
            <w:shd w:val="clear" w:color="auto" w:fill="C6EFCE"/>
            <w:noWrap/>
            <w:vAlign w:val="center"/>
          </w:tcPr>
          <w:p w14:paraId="6F03474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2126" w:type="dxa"/>
            <w:shd w:val="clear" w:color="auto" w:fill="C6EFCE"/>
            <w:noWrap/>
            <w:vAlign w:val="center"/>
          </w:tcPr>
          <w:p w14:paraId="6BD1D82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INPS - parema info- ja kommunikatsioonitehnoloogia (IKT) oskustega töötajad T2</w:t>
            </w:r>
          </w:p>
        </w:tc>
        <w:tc>
          <w:tcPr>
            <w:tcW w:w="1701" w:type="dxa"/>
            <w:shd w:val="clear" w:color="auto" w:fill="C6EFCE"/>
            <w:noWrap/>
            <w:vAlign w:val="center"/>
          </w:tcPr>
          <w:p w14:paraId="6C5EA2C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0598100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1276" w:type="dxa"/>
            <w:shd w:val="clear" w:color="auto" w:fill="C6EFCE"/>
            <w:noWrap/>
            <w:vAlign w:val="center"/>
          </w:tcPr>
          <w:p w14:paraId="35AAAA2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4 250</w:t>
            </w:r>
          </w:p>
        </w:tc>
        <w:tc>
          <w:tcPr>
            <w:tcW w:w="1417" w:type="dxa"/>
            <w:shd w:val="clear" w:color="auto" w:fill="C6EFCE"/>
            <w:noWrap/>
            <w:vAlign w:val="center"/>
          </w:tcPr>
          <w:p w14:paraId="6F4DEE4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8 500</w:t>
            </w:r>
          </w:p>
        </w:tc>
        <w:tc>
          <w:tcPr>
            <w:tcW w:w="793" w:type="dxa"/>
            <w:shd w:val="clear" w:color="auto" w:fill="C6EFCE"/>
            <w:noWrap/>
            <w:vAlign w:val="center"/>
          </w:tcPr>
          <w:p w14:paraId="1BBA493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625" w:type="dxa"/>
            <w:shd w:val="clear" w:color="auto" w:fill="C6EFCE"/>
            <w:noWrap/>
            <w:vAlign w:val="center"/>
          </w:tcPr>
          <w:p w14:paraId="5498C5A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2023</w:t>
            </w:r>
          </w:p>
        </w:tc>
        <w:tc>
          <w:tcPr>
            <w:tcW w:w="2584" w:type="dxa"/>
            <w:shd w:val="clear" w:color="auto" w:fill="C6EFCE"/>
            <w:noWrap/>
            <w:vAlign w:val="center"/>
          </w:tcPr>
          <w:p w14:paraId="03E4B593"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Lisaks 4 250 INPSi töötajat, kellel on tõendatud paremad oskused järgmistes Euroopa e-pädevuse raamistiku valdkondades: i) kavandamine; ii) ehitus; iii) juhtimine (iv) võimaldamine; v) haldamine.</w:t>
            </w:r>
          </w:p>
          <w:p w14:paraId="78168A90"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Pädevuste parandamise valdkonnad määratakse kindlaks vastavalt õppijate sihtrühmale.</w:t>
            </w:r>
          </w:p>
        </w:tc>
      </w:tr>
      <w:tr w:rsidR="005F0490" w:rsidRPr="005D68A0" w14:paraId="05E46EED" w14:textId="77777777">
        <w:trPr>
          <w:trHeight w:val="3086"/>
        </w:trPr>
        <w:tc>
          <w:tcPr>
            <w:tcW w:w="128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B9004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M1C1-134</w:t>
            </w:r>
          </w:p>
        </w:tc>
        <w:tc>
          <w:tcPr>
            <w:tcW w:w="174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C4B967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1.6.3. Riikliku sotsiaalkindlustusameti (INPS) ja riikliku tööõnnetuste vastu kindlustamise instituudi (INAIL) digitaliseerimine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AD8B0A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212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5FD7A3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INAIL – täielikult ümberkavandatud ja digiteeritud protsessid/teenused T1</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4571E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B2EBAE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AC4F4A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29</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E98D9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53</w:t>
            </w:r>
          </w:p>
        </w:tc>
        <w:tc>
          <w:tcPr>
            <w:tcW w:w="79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AEACB0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6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7BA33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2023</w:t>
            </w:r>
          </w:p>
        </w:tc>
        <w:tc>
          <w:tcPr>
            <w:tcW w:w="258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311607"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 xml:space="preserve">Eesmärk on saavutada 53 (52 %) ümberkujundatud institutsioonilised protsessid ja teenused, et need täielikult digiteerida. </w:t>
            </w:r>
          </w:p>
          <w:p w14:paraId="0C26C1FE"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INAILi asjaomased piirkonnad on: Kindlustus-, sotsiaal- ja tervishoiuteenused, ennetus- ja ohutustööd, sertifitseerimine ja kontrollimine.</w:t>
            </w:r>
          </w:p>
          <w:p w14:paraId="45ECF0A2"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 xml:space="preserve">Eelkõige on iga piirkonna eeldatav eesmärk väljendatud eespool: </w:t>
            </w:r>
          </w:p>
          <w:p w14:paraId="2DD85C02" w14:textId="77777777" w:rsidR="0084326C" w:rsidRPr="005D68A0" w:rsidRDefault="0084326C">
            <w:pPr>
              <w:pStyle w:val="ListParagraph"/>
              <w:numPr>
                <w:ilvl w:val="0"/>
                <w:numId w:val="84"/>
              </w:numPr>
              <w:ind w:left="377" w:hanging="283"/>
              <w:jc w:val="left"/>
              <w:rPr>
                <w:rFonts w:ascii="Arial Narrow" w:hAnsi="Arial Narrow"/>
                <w:noProof/>
                <w:color w:val="006100"/>
                <w:sz w:val="20"/>
                <w:szCs w:val="20"/>
              </w:rPr>
            </w:pPr>
            <w:r>
              <w:rPr>
                <w:rFonts w:ascii="Arial Narrow" w:hAnsi="Arial Narrow"/>
                <w:noProof/>
                <w:color w:val="006100"/>
                <w:sz w:val="20"/>
              </w:rPr>
              <w:t xml:space="preserve">Kindlustus: 8 (25 %) </w:t>
            </w:r>
          </w:p>
          <w:p w14:paraId="604E7471" w14:textId="77777777" w:rsidR="0084326C" w:rsidRPr="005D68A0" w:rsidRDefault="0084326C">
            <w:pPr>
              <w:pStyle w:val="ListParagraph"/>
              <w:numPr>
                <w:ilvl w:val="0"/>
                <w:numId w:val="84"/>
              </w:numPr>
              <w:ind w:left="377" w:hanging="283"/>
              <w:jc w:val="left"/>
              <w:rPr>
                <w:rFonts w:ascii="Arial Narrow" w:hAnsi="Arial Narrow"/>
                <w:noProof/>
                <w:color w:val="006100"/>
                <w:sz w:val="20"/>
                <w:szCs w:val="20"/>
              </w:rPr>
            </w:pPr>
            <w:r>
              <w:rPr>
                <w:rFonts w:ascii="Arial Narrow" w:hAnsi="Arial Narrow"/>
                <w:noProof/>
                <w:color w:val="006100"/>
                <w:sz w:val="20"/>
              </w:rPr>
              <w:t>Sotsiaal- ja tervishoiuteenused 18 (50 %)</w:t>
            </w:r>
          </w:p>
          <w:p w14:paraId="3CD60A56" w14:textId="77777777" w:rsidR="0084326C" w:rsidRPr="005D68A0" w:rsidRDefault="0084326C">
            <w:pPr>
              <w:pStyle w:val="ListParagraph"/>
              <w:numPr>
                <w:ilvl w:val="0"/>
                <w:numId w:val="84"/>
              </w:numPr>
              <w:ind w:left="377" w:hanging="283"/>
              <w:jc w:val="left"/>
              <w:rPr>
                <w:rFonts w:ascii="Arial Narrow" w:hAnsi="Arial Narrow"/>
                <w:noProof/>
                <w:color w:val="006100"/>
                <w:sz w:val="20"/>
                <w:szCs w:val="20"/>
              </w:rPr>
            </w:pPr>
            <w:r>
              <w:rPr>
                <w:rFonts w:ascii="Arial Narrow" w:hAnsi="Arial Narrow"/>
                <w:noProof/>
                <w:color w:val="006100"/>
                <w:sz w:val="20"/>
              </w:rPr>
              <w:t>Ennetus- ja ohutustöö: 9 (80 %)</w:t>
            </w:r>
          </w:p>
          <w:p w14:paraId="7A5765AC" w14:textId="77777777" w:rsidR="0084326C" w:rsidRPr="005D68A0" w:rsidRDefault="0084326C">
            <w:pPr>
              <w:pStyle w:val="ListParagraph"/>
              <w:numPr>
                <w:ilvl w:val="0"/>
                <w:numId w:val="84"/>
              </w:numPr>
              <w:ind w:left="377" w:hanging="283"/>
              <w:jc w:val="left"/>
              <w:rPr>
                <w:rFonts w:ascii="Arial Narrow" w:hAnsi="Arial Narrow"/>
                <w:noProof/>
                <w:sz w:val="20"/>
                <w:szCs w:val="20"/>
              </w:rPr>
            </w:pPr>
            <w:r>
              <w:rPr>
                <w:rFonts w:ascii="Arial Narrow" w:hAnsi="Arial Narrow"/>
                <w:noProof/>
                <w:color w:val="006100"/>
                <w:sz w:val="20"/>
              </w:rPr>
              <w:t>Sertifikaadid ja kontrollid: 18 (80 %).</w:t>
            </w:r>
          </w:p>
        </w:tc>
      </w:tr>
      <w:tr w:rsidR="005F0490" w:rsidRPr="00D90835" w14:paraId="73DB1184" w14:textId="77777777">
        <w:trPr>
          <w:trHeight w:val="309"/>
        </w:trPr>
        <w:tc>
          <w:tcPr>
            <w:tcW w:w="1284" w:type="dxa"/>
            <w:shd w:val="clear" w:color="auto" w:fill="C6EFCE"/>
            <w:noWrap/>
            <w:vAlign w:val="center"/>
          </w:tcPr>
          <w:p w14:paraId="27801BE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M1C1-135</w:t>
            </w:r>
          </w:p>
        </w:tc>
        <w:tc>
          <w:tcPr>
            <w:tcW w:w="1746" w:type="dxa"/>
            <w:shd w:val="clear" w:color="auto" w:fill="C6EFCE"/>
            <w:noWrap/>
            <w:vAlign w:val="center"/>
          </w:tcPr>
          <w:p w14:paraId="78BAD09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1.6.4. Kaitseministeeriumi digiteerimine</w:t>
            </w:r>
          </w:p>
        </w:tc>
        <w:tc>
          <w:tcPr>
            <w:tcW w:w="992" w:type="dxa"/>
            <w:shd w:val="clear" w:color="auto" w:fill="C6EFCE"/>
            <w:noWrap/>
            <w:vAlign w:val="center"/>
          </w:tcPr>
          <w:p w14:paraId="31E13E1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2126" w:type="dxa"/>
            <w:shd w:val="clear" w:color="auto" w:fill="C6EFCE"/>
            <w:noWrap/>
            <w:vAlign w:val="center"/>
          </w:tcPr>
          <w:p w14:paraId="291807B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Kaitseministeerium – protseduuride digiteerimine T1</w:t>
            </w:r>
          </w:p>
        </w:tc>
        <w:tc>
          <w:tcPr>
            <w:tcW w:w="1701" w:type="dxa"/>
            <w:shd w:val="clear" w:color="auto" w:fill="C6EFCE"/>
            <w:noWrap/>
            <w:vAlign w:val="center"/>
          </w:tcPr>
          <w:p w14:paraId="19EBFD8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0D68D61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1276" w:type="dxa"/>
            <w:shd w:val="clear" w:color="auto" w:fill="C6EFCE"/>
            <w:noWrap/>
            <w:vAlign w:val="center"/>
          </w:tcPr>
          <w:p w14:paraId="09E9175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w:t>
            </w:r>
          </w:p>
        </w:tc>
        <w:tc>
          <w:tcPr>
            <w:tcW w:w="1417" w:type="dxa"/>
            <w:shd w:val="clear" w:color="auto" w:fill="C6EFCE"/>
            <w:noWrap/>
            <w:vAlign w:val="center"/>
          </w:tcPr>
          <w:p w14:paraId="4E31B4F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15</w:t>
            </w:r>
          </w:p>
        </w:tc>
        <w:tc>
          <w:tcPr>
            <w:tcW w:w="793" w:type="dxa"/>
            <w:shd w:val="clear" w:color="auto" w:fill="C6EFCE"/>
            <w:noWrap/>
            <w:vAlign w:val="center"/>
          </w:tcPr>
          <w:p w14:paraId="63F8E07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625" w:type="dxa"/>
            <w:shd w:val="clear" w:color="auto" w:fill="C6EFCE"/>
            <w:noWrap/>
            <w:vAlign w:val="center"/>
          </w:tcPr>
          <w:p w14:paraId="5DC91D6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2023</w:t>
            </w:r>
          </w:p>
        </w:tc>
        <w:tc>
          <w:tcPr>
            <w:tcW w:w="2584" w:type="dxa"/>
            <w:shd w:val="clear" w:color="auto" w:fill="C6EFCE"/>
            <w:noWrap/>
            <w:vAlign w:val="center"/>
          </w:tcPr>
          <w:p w14:paraId="077A249B"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Kaitsepersonali juhtimisega seotud 15 menetluse (nagu värbamine, tööhõive ja pensionile jäämine, töötajate tervis) digiteerimine, läbivaatamine ja automatiseerimine, alustades neljast juba digiteeritud menetlusest.</w:t>
            </w:r>
          </w:p>
        </w:tc>
      </w:tr>
      <w:tr w:rsidR="005F0490" w:rsidRPr="00D90835" w14:paraId="4ACB8AC4" w14:textId="77777777">
        <w:trPr>
          <w:trHeight w:val="309"/>
        </w:trPr>
        <w:tc>
          <w:tcPr>
            <w:tcW w:w="1284" w:type="dxa"/>
            <w:shd w:val="clear" w:color="auto" w:fill="C6EFCE"/>
            <w:noWrap/>
            <w:vAlign w:val="center"/>
          </w:tcPr>
          <w:p w14:paraId="363BF28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M1C1-136</w:t>
            </w:r>
          </w:p>
        </w:tc>
        <w:tc>
          <w:tcPr>
            <w:tcW w:w="1746" w:type="dxa"/>
            <w:shd w:val="clear" w:color="auto" w:fill="C6EFCE"/>
            <w:noWrap/>
            <w:vAlign w:val="center"/>
          </w:tcPr>
          <w:p w14:paraId="34D435B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1.6.4. Kaitseministeeriumi digiteerimine</w:t>
            </w:r>
          </w:p>
        </w:tc>
        <w:tc>
          <w:tcPr>
            <w:tcW w:w="992" w:type="dxa"/>
            <w:shd w:val="clear" w:color="auto" w:fill="C6EFCE"/>
            <w:noWrap/>
            <w:vAlign w:val="center"/>
          </w:tcPr>
          <w:p w14:paraId="4C1E171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2126" w:type="dxa"/>
            <w:shd w:val="clear" w:color="auto" w:fill="C6EFCE"/>
            <w:noWrap/>
            <w:vAlign w:val="center"/>
          </w:tcPr>
          <w:p w14:paraId="39694E4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Kaitseministeerium – sertifikaatide T1 digiteerimine</w:t>
            </w:r>
          </w:p>
        </w:tc>
        <w:tc>
          <w:tcPr>
            <w:tcW w:w="1701" w:type="dxa"/>
            <w:shd w:val="clear" w:color="auto" w:fill="C6EFCE"/>
            <w:noWrap/>
            <w:vAlign w:val="center"/>
          </w:tcPr>
          <w:p w14:paraId="17ED1A7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7E1C254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Digiteeritud sertifikaatide arv</w:t>
            </w:r>
          </w:p>
        </w:tc>
        <w:tc>
          <w:tcPr>
            <w:tcW w:w="1276" w:type="dxa"/>
            <w:shd w:val="clear" w:color="auto" w:fill="C6EFCE"/>
            <w:noWrap/>
            <w:vAlign w:val="center"/>
          </w:tcPr>
          <w:p w14:paraId="18D033C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190 000</w:t>
            </w:r>
          </w:p>
        </w:tc>
        <w:tc>
          <w:tcPr>
            <w:tcW w:w="1417" w:type="dxa"/>
            <w:shd w:val="clear" w:color="auto" w:fill="C6EFCE"/>
            <w:noWrap/>
            <w:vAlign w:val="center"/>
          </w:tcPr>
          <w:p w14:paraId="065DFD8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450 000</w:t>
            </w:r>
          </w:p>
        </w:tc>
        <w:tc>
          <w:tcPr>
            <w:tcW w:w="793" w:type="dxa"/>
            <w:shd w:val="clear" w:color="auto" w:fill="C6EFCE"/>
            <w:noWrap/>
            <w:vAlign w:val="center"/>
          </w:tcPr>
          <w:p w14:paraId="5ED4076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625" w:type="dxa"/>
            <w:shd w:val="clear" w:color="auto" w:fill="C6EFCE"/>
            <w:noWrap/>
            <w:vAlign w:val="center"/>
          </w:tcPr>
          <w:p w14:paraId="072CA85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2023</w:t>
            </w:r>
          </w:p>
        </w:tc>
        <w:tc>
          <w:tcPr>
            <w:tcW w:w="2584" w:type="dxa"/>
            <w:shd w:val="clear" w:color="auto" w:fill="C6EFCE"/>
            <w:noWrap/>
            <w:vAlign w:val="center"/>
          </w:tcPr>
          <w:p w14:paraId="5743456F"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Selliste digiteeritud isikut tõendavate dokumentide arv (450 000), mille on välja andnud kaitseministeerium ja mis liiguvad taristusse, mida täiendab avariitaastekoht, alates 190 000 juba digiteeritud sertifikaadist.</w:t>
            </w:r>
          </w:p>
        </w:tc>
      </w:tr>
      <w:tr w:rsidR="005F0490" w:rsidRPr="00D90835" w14:paraId="03C24874" w14:textId="77777777">
        <w:trPr>
          <w:trHeight w:val="309"/>
        </w:trPr>
        <w:tc>
          <w:tcPr>
            <w:tcW w:w="1284" w:type="dxa"/>
            <w:shd w:val="clear" w:color="auto" w:fill="C6EFCE"/>
            <w:noWrap/>
            <w:vAlign w:val="center"/>
          </w:tcPr>
          <w:p w14:paraId="7D975A1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M1C1-137</w:t>
            </w:r>
          </w:p>
        </w:tc>
        <w:tc>
          <w:tcPr>
            <w:tcW w:w="1746" w:type="dxa"/>
            <w:shd w:val="clear" w:color="auto" w:fill="C6EFCE"/>
            <w:noWrap/>
            <w:vAlign w:val="center"/>
          </w:tcPr>
          <w:p w14:paraId="3267285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1.6.4. Kaitseministeeriumi digiteerimine</w:t>
            </w:r>
          </w:p>
        </w:tc>
        <w:tc>
          <w:tcPr>
            <w:tcW w:w="992" w:type="dxa"/>
            <w:shd w:val="clear" w:color="auto" w:fill="C6EFCE"/>
            <w:noWrap/>
            <w:vAlign w:val="center"/>
          </w:tcPr>
          <w:p w14:paraId="3A83C70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2126" w:type="dxa"/>
            <w:shd w:val="clear" w:color="auto" w:fill="C6EFCE"/>
            <w:noWrap/>
            <w:vAlign w:val="center"/>
          </w:tcPr>
          <w:p w14:paraId="6C76680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Kaitseministeerium – institutsiooniliste veebiportaalide ja intranetiportaalide haldamine</w:t>
            </w:r>
          </w:p>
        </w:tc>
        <w:tc>
          <w:tcPr>
            <w:tcW w:w="1701" w:type="dxa"/>
            <w:shd w:val="clear" w:color="auto" w:fill="C6EFCE"/>
            <w:noWrap/>
            <w:vAlign w:val="center"/>
          </w:tcPr>
          <w:p w14:paraId="158289C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Täielikult toimivad institutsioonilised veebiportaalid ja intraneti veebiportaalid</w:t>
            </w:r>
          </w:p>
        </w:tc>
        <w:tc>
          <w:tcPr>
            <w:tcW w:w="1134" w:type="dxa"/>
            <w:shd w:val="clear" w:color="auto" w:fill="C6EFCE"/>
            <w:noWrap/>
            <w:vAlign w:val="center"/>
          </w:tcPr>
          <w:p w14:paraId="4BEC3CA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276" w:type="dxa"/>
            <w:shd w:val="clear" w:color="auto" w:fill="C6EFCE"/>
            <w:noWrap/>
            <w:vAlign w:val="center"/>
          </w:tcPr>
          <w:p w14:paraId="40E0D18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417" w:type="dxa"/>
            <w:shd w:val="clear" w:color="auto" w:fill="C6EFCE"/>
            <w:noWrap/>
            <w:vAlign w:val="center"/>
          </w:tcPr>
          <w:p w14:paraId="0BD3EF1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793" w:type="dxa"/>
            <w:shd w:val="clear" w:color="auto" w:fill="C6EFCE"/>
            <w:noWrap/>
            <w:vAlign w:val="center"/>
          </w:tcPr>
          <w:p w14:paraId="5C88B35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625" w:type="dxa"/>
            <w:shd w:val="clear" w:color="auto" w:fill="C6EFCE"/>
            <w:noWrap/>
            <w:vAlign w:val="center"/>
          </w:tcPr>
          <w:p w14:paraId="0354732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2023</w:t>
            </w:r>
          </w:p>
        </w:tc>
        <w:tc>
          <w:tcPr>
            <w:tcW w:w="2584" w:type="dxa"/>
            <w:shd w:val="clear" w:color="auto" w:fill="C6EFCE"/>
            <w:noWrap/>
            <w:vAlign w:val="center"/>
          </w:tcPr>
          <w:p w14:paraId="59D2B6F9"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Arendada ja rakendada i) institutsioonilisi veebiportaale ja ii) intranetiportaale sisekommunikatsiooni erivajaduste rahuldamiseks.</w:t>
            </w:r>
          </w:p>
        </w:tc>
      </w:tr>
      <w:tr w:rsidR="005F0490" w:rsidRPr="00D90835" w14:paraId="0D467264" w14:textId="77777777">
        <w:trPr>
          <w:trHeight w:val="309"/>
        </w:trPr>
        <w:tc>
          <w:tcPr>
            <w:tcW w:w="1284" w:type="dxa"/>
            <w:shd w:val="clear" w:color="auto" w:fill="C6EFCE"/>
            <w:noWrap/>
            <w:vAlign w:val="center"/>
          </w:tcPr>
          <w:p w14:paraId="4F62340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M1C1-138</w:t>
            </w:r>
          </w:p>
        </w:tc>
        <w:tc>
          <w:tcPr>
            <w:tcW w:w="1746" w:type="dxa"/>
            <w:shd w:val="clear" w:color="auto" w:fill="C6EFCE"/>
            <w:noWrap/>
            <w:vAlign w:val="center"/>
          </w:tcPr>
          <w:p w14:paraId="0572B8A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1.6.4. Kaitseministeeriumi digiteerimine</w:t>
            </w:r>
          </w:p>
        </w:tc>
        <w:tc>
          <w:tcPr>
            <w:tcW w:w="992" w:type="dxa"/>
            <w:shd w:val="clear" w:color="auto" w:fill="C6EFCE"/>
            <w:noWrap/>
            <w:vAlign w:val="center"/>
          </w:tcPr>
          <w:p w14:paraId="1D21A1E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2126" w:type="dxa"/>
            <w:shd w:val="clear" w:color="auto" w:fill="C6EFCE"/>
            <w:noWrap/>
            <w:vAlign w:val="center"/>
          </w:tcPr>
          <w:p w14:paraId="2E4DC5B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Kaitseministeerium – missiooniväliste elutähtsate rakenduste migratsioon infrastruktuuri avatusest tuleneva täieliku teabekaitse lahendusesse (S.C.I.P.I.O.). T1</w:t>
            </w:r>
          </w:p>
        </w:tc>
        <w:tc>
          <w:tcPr>
            <w:tcW w:w="1701" w:type="dxa"/>
            <w:shd w:val="clear" w:color="auto" w:fill="C6EFCE"/>
            <w:noWrap/>
            <w:vAlign w:val="center"/>
          </w:tcPr>
          <w:p w14:paraId="78A77F7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4CD1944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1276" w:type="dxa"/>
            <w:shd w:val="clear" w:color="auto" w:fill="C6EFCE"/>
            <w:noWrap/>
            <w:vAlign w:val="center"/>
          </w:tcPr>
          <w:p w14:paraId="1F31590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1417" w:type="dxa"/>
            <w:shd w:val="clear" w:color="auto" w:fill="C6EFCE"/>
            <w:noWrap/>
            <w:vAlign w:val="center"/>
          </w:tcPr>
          <w:p w14:paraId="433246F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10</w:t>
            </w:r>
          </w:p>
        </w:tc>
        <w:tc>
          <w:tcPr>
            <w:tcW w:w="793" w:type="dxa"/>
            <w:shd w:val="clear" w:color="auto" w:fill="C6EFCE"/>
            <w:noWrap/>
            <w:vAlign w:val="center"/>
          </w:tcPr>
          <w:p w14:paraId="7AD8C27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625" w:type="dxa"/>
            <w:shd w:val="clear" w:color="auto" w:fill="C6EFCE"/>
            <w:noWrap/>
            <w:vAlign w:val="center"/>
          </w:tcPr>
          <w:p w14:paraId="68A89E6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2023</w:t>
            </w:r>
          </w:p>
        </w:tc>
        <w:tc>
          <w:tcPr>
            <w:tcW w:w="2584" w:type="dxa"/>
            <w:shd w:val="clear" w:color="auto" w:fill="C6EFCE"/>
            <w:noWrap/>
            <w:vAlign w:val="center"/>
          </w:tcPr>
          <w:p w14:paraId="27D0B898"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Esialgne üleminek uuele avatud lähtekoodiga taristule ja selle kriitilise tähtsusega rakenduste operatiivne kättesaadavus. See hõlmab riistvarakeskkonna rakendamist, vahevara avatud lähtekoodiga komponentide paigaldamist ja rakenduste ümberkavandamist.</w:t>
            </w:r>
          </w:p>
        </w:tc>
      </w:tr>
      <w:tr w:rsidR="005F0490" w:rsidRPr="00D90835" w14:paraId="1462949B" w14:textId="77777777">
        <w:trPr>
          <w:trHeight w:val="309"/>
        </w:trPr>
        <w:tc>
          <w:tcPr>
            <w:tcW w:w="1284" w:type="dxa"/>
            <w:shd w:val="clear" w:color="auto" w:fill="C6EFCE"/>
            <w:noWrap/>
            <w:vAlign w:val="center"/>
          </w:tcPr>
          <w:p w14:paraId="629F31A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M1C1-139</w:t>
            </w:r>
          </w:p>
        </w:tc>
        <w:tc>
          <w:tcPr>
            <w:tcW w:w="1746" w:type="dxa"/>
            <w:shd w:val="clear" w:color="auto" w:fill="C6EFCE"/>
            <w:noWrap/>
            <w:vAlign w:val="center"/>
          </w:tcPr>
          <w:p w14:paraId="103FDC6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1.2. Pilvandmetöötlus kohalikule makseasutusele</w:t>
            </w:r>
          </w:p>
        </w:tc>
        <w:tc>
          <w:tcPr>
            <w:tcW w:w="992" w:type="dxa"/>
            <w:shd w:val="clear" w:color="auto" w:fill="C6EFCE"/>
            <w:noWrap/>
            <w:vAlign w:val="center"/>
          </w:tcPr>
          <w:p w14:paraId="7CF66ED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2126" w:type="dxa"/>
            <w:shd w:val="clear" w:color="auto" w:fill="C6EFCE"/>
            <w:noWrap/>
            <w:vAlign w:val="center"/>
          </w:tcPr>
          <w:p w14:paraId="15074D1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Pilvandmetöötlus kohalikule avalikule haldusele T1</w:t>
            </w:r>
          </w:p>
        </w:tc>
        <w:tc>
          <w:tcPr>
            <w:tcW w:w="1701" w:type="dxa"/>
            <w:shd w:val="clear" w:color="auto" w:fill="C6EFCE"/>
            <w:noWrap/>
            <w:vAlign w:val="center"/>
          </w:tcPr>
          <w:p w14:paraId="5425C95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48AAFCB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1276" w:type="dxa"/>
            <w:shd w:val="clear" w:color="auto" w:fill="C6EFCE"/>
            <w:noWrap/>
            <w:vAlign w:val="center"/>
          </w:tcPr>
          <w:p w14:paraId="62AD724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1417" w:type="dxa"/>
            <w:shd w:val="clear" w:color="auto" w:fill="C6EFCE"/>
            <w:noWrap/>
            <w:vAlign w:val="center"/>
          </w:tcPr>
          <w:p w14:paraId="33054B4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4 083</w:t>
            </w:r>
          </w:p>
        </w:tc>
        <w:tc>
          <w:tcPr>
            <w:tcW w:w="793" w:type="dxa"/>
            <w:shd w:val="clear" w:color="auto" w:fill="C6EFCE"/>
            <w:noWrap/>
            <w:vAlign w:val="center"/>
          </w:tcPr>
          <w:p w14:paraId="6D24F16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3. kv</w:t>
            </w:r>
          </w:p>
        </w:tc>
        <w:tc>
          <w:tcPr>
            <w:tcW w:w="625" w:type="dxa"/>
            <w:shd w:val="clear" w:color="auto" w:fill="C6EFCE"/>
            <w:noWrap/>
            <w:vAlign w:val="center"/>
          </w:tcPr>
          <w:p w14:paraId="3D4EC34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2024</w:t>
            </w:r>
          </w:p>
        </w:tc>
        <w:tc>
          <w:tcPr>
            <w:tcW w:w="2584" w:type="dxa"/>
            <w:shd w:val="clear" w:color="auto" w:fill="C6EFCE"/>
            <w:noWrap/>
            <w:vAlign w:val="center"/>
          </w:tcPr>
          <w:p w14:paraId="11A57ABE"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4 083 kohaliku ametiasutuse migratsioon sertifitseeritud pilvekeskkonda loetakse saavutatuks, kui igasse migratsioonikavasse lisatud kõikide süsteemide, andmekogumite ja rakenduste migratsioon on olnud edukas.</w:t>
            </w:r>
          </w:p>
        </w:tc>
      </w:tr>
      <w:tr w:rsidR="005F0490" w:rsidRPr="00D90835" w14:paraId="28144630" w14:textId="77777777">
        <w:trPr>
          <w:trHeight w:val="309"/>
        </w:trPr>
        <w:tc>
          <w:tcPr>
            <w:tcW w:w="1284" w:type="dxa"/>
            <w:shd w:val="clear" w:color="auto" w:fill="C6EFCE"/>
            <w:noWrap/>
            <w:vAlign w:val="center"/>
          </w:tcPr>
          <w:p w14:paraId="24EBC00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M1C1-140</w:t>
            </w:r>
          </w:p>
        </w:tc>
        <w:tc>
          <w:tcPr>
            <w:tcW w:w="1746" w:type="dxa"/>
            <w:shd w:val="clear" w:color="auto" w:fill="C6EFCE"/>
            <w:noWrap/>
            <w:vAlign w:val="center"/>
          </w:tcPr>
          <w:p w14:paraId="0332652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1.4.1. Kodaniku kogemused – digitaalsete avalike teenuste kvaliteedi ja kasutatavuse parandamine</w:t>
            </w:r>
          </w:p>
        </w:tc>
        <w:tc>
          <w:tcPr>
            <w:tcW w:w="992" w:type="dxa"/>
            <w:shd w:val="clear" w:color="auto" w:fill="C6EFCE"/>
            <w:noWrap/>
            <w:vAlign w:val="center"/>
          </w:tcPr>
          <w:p w14:paraId="3F5E1FE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2126" w:type="dxa"/>
            <w:shd w:val="clear" w:color="auto" w:fill="C6EFCE"/>
            <w:noWrap/>
            <w:vAlign w:val="center"/>
          </w:tcPr>
          <w:p w14:paraId="18FB430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Digitaalsete avalike teenuste T1 kvaliteedi ja kasutatavuse parandamine</w:t>
            </w:r>
          </w:p>
        </w:tc>
        <w:tc>
          <w:tcPr>
            <w:tcW w:w="1701" w:type="dxa"/>
            <w:shd w:val="clear" w:color="auto" w:fill="C6EFCE"/>
            <w:noWrap/>
            <w:vAlign w:val="center"/>
          </w:tcPr>
          <w:p w14:paraId="7A4841E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4115489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Protsent</w:t>
            </w:r>
          </w:p>
        </w:tc>
        <w:tc>
          <w:tcPr>
            <w:tcW w:w="1276" w:type="dxa"/>
            <w:shd w:val="clear" w:color="auto" w:fill="C6EFCE"/>
            <w:noWrap/>
            <w:vAlign w:val="center"/>
          </w:tcPr>
          <w:p w14:paraId="688F4EBA" w14:textId="58775B6E"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0,1</w:t>
            </w:r>
          </w:p>
        </w:tc>
        <w:tc>
          <w:tcPr>
            <w:tcW w:w="1417" w:type="dxa"/>
            <w:shd w:val="clear" w:color="auto" w:fill="C6EFCE"/>
            <w:noWrap/>
            <w:vAlign w:val="center"/>
          </w:tcPr>
          <w:p w14:paraId="5CCC2F6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40</w:t>
            </w:r>
          </w:p>
        </w:tc>
        <w:tc>
          <w:tcPr>
            <w:tcW w:w="793" w:type="dxa"/>
            <w:shd w:val="clear" w:color="auto" w:fill="C6EFCE"/>
            <w:noWrap/>
            <w:vAlign w:val="center"/>
          </w:tcPr>
          <w:p w14:paraId="2043699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625" w:type="dxa"/>
            <w:shd w:val="clear" w:color="auto" w:fill="C6EFCE"/>
            <w:noWrap/>
            <w:vAlign w:val="center"/>
          </w:tcPr>
          <w:p w14:paraId="5536CAA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2024</w:t>
            </w:r>
          </w:p>
        </w:tc>
        <w:tc>
          <w:tcPr>
            <w:tcW w:w="2584" w:type="dxa"/>
            <w:shd w:val="clear" w:color="auto" w:fill="C6EFCE"/>
            <w:noWrap/>
            <w:vAlign w:val="center"/>
          </w:tcPr>
          <w:p w14:paraId="3208573C"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 xml:space="preserve">Haldusasutused (omavalitsused, esimese ja teise astme haridusasutuste põhi- ja keskkoolid ning konkreetsed katsetatud tervishoiu- ja kultuuripärandiasutused), kes järgivad ühist mudelit ja disainisüsteemi, lihtsustavad kasutajate suhtlust ja lihtsustavad hooldust järgnevatel aastatel. </w:t>
            </w:r>
          </w:p>
          <w:p w14:paraId="05075CFC"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 xml:space="preserve">Veebisaitide/teenuste komponentide ühtsest ülesehitusest/mudelist kinnipidamine hõlmab järgmist: </w:t>
            </w:r>
          </w:p>
          <w:p w14:paraId="0686EE44"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1) Esitatud projektide hindamine;</w:t>
            </w:r>
          </w:p>
          <w:p w14:paraId="016F5B75"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2) Projekti lõpuleviimise hindamine peamiste kasutatavusnäitajate (digitaalse kasutatavuse hinded) alusel, kasutades selleks juba olemasolevat spetsiaalset platvormi.</w:t>
            </w:r>
          </w:p>
        </w:tc>
      </w:tr>
      <w:tr w:rsidR="005F0490" w:rsidRPr="00D90835" w14:paraId="62F66F6D" w14:textId="77777777">
        <w:trPr>
          <w:trHeight w:val="309"/>
        </w:trPr>
        <w:tc>
          <w:tcPr>
            <w:tcW w:w="1284" w:type="dxa"/>
            <w:shd w:val="clear" w:color="auto" w:fill="C6EFCE"/>
            <w:noWrap/>
            <w:vAlign w:val="center"/>
          </w:tcPr>
          <w:p w14:paraId="2CD5592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M1C1-141</w:t>
            </w:r>
          </w:p>
        </w:tc>
        <w:tc>
          <w:tcPr>
            <w:tcW w:w="1746" w:type="dxa"/>
            <w:shd w:val="clear" w:color="auto" w:fill="C6EFCE"/>
            <w:noWrap/>
            <w:vAlign w:val="center"/>
          </w:tcPr>
          <w:p w14:paraId="0FC94D7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1.6.4. Kaitseministeeriumi digiteerimine</w:t>
            </w:r>
          </w:p>
        </w:tc>
        <w:tc>
          <w:tcPr>
            <w:tcW w:w="992" w:type="dxa"/>
            <w:shd w:val="clear" w:color="auto" w:fill="C6EFCE"/>
            <w:noWrap/>
            <w:vAlign w:val="center"/>
          </w:tcPr>
          <w:p w14:paraId="38ACF9A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2126" w:type="dxa"/>
            <w:shd w:val="clear" w:color="auto" w:fill="C6EFCE"/>
            <w:noWrap/>
            <w:vAlign w:val="center"/>
          </w:tcPr>
          <w:p w14:paraId="5EF3293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Kaitseministeeriumi menetluste digiteerimine T2</w:t>
            </w:r>
          </w:p>
        </w:tc>
        <w:tc>
          <w:tcPr>
            <w:tcW w:w="1701" w:type="dxa"/>
            <w:shd w:val="clear" w:color="auto" w:fill="C6EFCE"/>
            <w:noWrap/>
            <w:vAlign w:val="center"/>
          </w:tcPr>
          <w:p w14:paraId="3181108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3F63D3F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1276" w:type="dxa"/>
            <w:shd w:val="clear" w:color="auto" w:fill="C6EFCE"/>
            <w:noWrap/>
            <w:vAlign w:val="center"/>
          </w:tcPr>
          <w:p w14:paraId="73C6E10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15</w:t>
            </w:r>
          </w:p>
        </w:tc>
        <w:tc>
          <w:tcPr>
            <w:tcW w:w="1417" w:type="dxa"/>
            <w:shd w:val="clear" w:color="auto" w:fill="C6EFCE"/>
            <w:noWrap/>
            <w:vAlign w:val="center"/>
          </w:tcPr>
          <w:p w14:paraId="2FB2A10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w:t>
            </w:r>
          </w:p>
        </w:tc>
        <w:tc>
          <w:tcPr>
            <w:tcW w:w="793" w:type="dxa"/>
            <w:shd w:val="clear" w:color="auto" w:fill="C6EFCE"/>
            <w:noWrap/>
            <w:vAlign w:val="center"/>
          </w:tcPr>
          <w:p w14:paraId="72D8764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625" w:type="dxa"/>
            <w:shd w:val="clear" w:color="auto" w:fill="C6EFCE"/>
            <w:noWrap/>
            <w:vAlign w:val="center"/>
          </w:tcPr>
          <w:p w14:paraId="753DD7A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2024</w:t>
            </w:r>
          </w:p>
        </w:tc>
        <w:tc>
          <w:tcPr>
            <w:tcW w:w="2584" w:type="dxa"/>
            <w:shd w:val="clear" w:color="auto" w:fill="C6EFCE"/>
            <w:noWrap/>
            <w:vAlign w:val="center"/>
          </w:tcPr>
          <w:p w14:paraId="60882B6A"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Kaitsepersonali juhtimisega seotud 20 menetluse (nagu värbamine, tööhõive ja pensionile jäämine, töötajate tervis) digiteerimine, läbivaatamine ja automatiseerimine, alustades viieteistkümnest juba digiteeritud menetlusest, mille eesmärk on 1.</w:t>
            </w:r>
          </w:p>
        </w:tc>
      </w:tr>
      <w:tr w:rsidR="005F0490" w:rsidRPr="00D90835" w14:paraId="093E78EC" w14:textId="77777777">
        <w:trPr>
          <w:trHeight w:val="309"/>
        </w:trPr>
        <w:tc>
          <w:tcPr>
            <w:tcW w:w="1284" w:type="dxa"/>
            <w:shd w:val="clear" w:color="auto" w:fill="C6EFCE"/>
            <w:noWrap/>
            <w:vAlign w:val="center"/>
          </w:tcPr>
          <w:p w14:paraId="231D945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M1C1-142</w:t>
            </w:r>
          </w:p>
        </w:tc>
        <w:tc>
          <w:tcPr>
            <w:tcW w:w="1746" w:type="dxa"/>
            <w:shd w:val="clear" w:color="auto" w:fill="C6EFCE"/>
            <w:noWrap/>
            <w:vAlign w:val="center"/>
          </w:tcPr>
          <w:p w14:paraId="40D0D57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1.6.4. Kaitseministeeriumi digiteerimine</w:t>
            </w:r>
          </w:p>
        </w:tc>
        <w:tc>
          <w:tcPr>
            <w:tcW w:w="992" w:type="dxa"/>
            <w:shd w:val="clear" w:color="auto" w:fill="C6EFCE"/>
            <w:noWrap/>
            <w:vAlign w:val="center"/>
          </w:tcPr>
          <w:p w14:paraId="269982A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2126" w:type="dxa"/>
            <w:shd w:val="clear" w:color="auto" w:fill="C6EFCE"/>
            <w:noWrap/>
            <w:vAlign w:val="center"/>
          </w:tcPr>
          <w:p w14:paraId="6A37283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Kaitseministeeriumi tunnistuste T2 digiteerimine</w:t>
            </w:r>
          </w:p>
        </w:tc>
        <w:tc>
          <w:tcPr>
            <w:tcW w:w="1701" w:type="dxa"/>
            <w:shd w:val="clear" w:color="auto" w:fill="C6EFCE"/>
            <w:noWrap/>
            <w:vAlign w:val="center"/>
          </w:tcPr>
          <w:p w14:paraId="610FED5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3B106D5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Digiteeritud sertifikaatide arv</w:t>
            </w:r>
          </w:p>
        </w:tc>
        <w:tc>
          <w:tcPr>
            <w:tcW w:w="1276" w:type="dxa"/>
            <w:shd w:val="clear" w:color="auto" w:fill="C6EFCE"/>
            <w:noWrap/>
            <w:vAlign w:val="center"/>
          </w:tcPr>
          <w:p w14:paraId="003F2A1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450 000</w:t>
            </w:r>
          </w:p>
        </w:tc>
        <w:tc>
          <w:tcPr>
            <w:tcW w:w="1417" w:type="dxa"/>
            <w:shd w:val="clear" w:color="auto" w:fill="C6EFCE"/>
            <w:noWrap/>
            <w:vAlign w:val="center"/>
          </w:tcPr>
          <w:p w14:paraId="123EE13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750 000</w:t>
            </w:r>
          </w:p>
        </w:tc>
        <w:tc>
          <w:tcPr>
            <w:tcW w:w="793" w:type="dxa"/>
            <w:shd w:val="clear" w:color="auto" w:fill="C6EFCE"/>
            <w:noWrap/>
            <w:vAlign w:val="center"/>
          </w:tcPr>
          <w:p w14:paraId="1152D68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625" w:type="dxa"/>
            <w:shd w:val="clear" w:color="auto" w:fill="C6EFCE"/>
            <w:noWrap/>
            <w:vAlign w:val="center"/>
          </w:tcPr>
          <w:p w14:paraId="31FD795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2024</w:t>
            </w:r>
          </w:p>
        </w:tc>
        <w:tc>
          <w:tcPr>
            <w:tcW w:w="2584" w:type="dxa"/>
            <w:shd w:val="clear" w:color="auto" w:fill="C6EFCE"/>
            <w:noWrap/>
            <w:vAlign w:val="center"/>
          </w:tcPr>
          <w:p w14:paraId="64256271"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Selliste digiteeritud isikut tõendavate dokumentide arv (750 000), mille on välja andnud kaitseministeerium ja mis liiguvad taristusse, mida täiendab avariitaastekoht, alates 450 000 juba digiteeritud sertifikaadist, mille eesmärk on 1.</w:t>
            </w:r>
          </w:p>
        </w:tc>
      </w:tr>
      <w:tr w:rsidR="005F0490" w:rsidRPr="00D90835" w14:paraId="7E0A3CD5" w14:textId="77777777">
        <w:trPr>
          <w:trHeight w:val="309"/>
        </w:trPr>
        <w:tc>
          <w:tcPr>
            <w:tcW w:w="1284" w:type="dxa"/>
            <w:shd w:val="clear" w:color="auto" w:fill="C6EFCE"/>
            <w:noWrap/>
            <w:vAlign w:val="center"/>
          </w:tcPr>
          <w:p w14:paraId="3CB1B07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M1C1-143</w:t>
            </w:r>
          </w:p>
        </w:tc>
        <w:tc>
          <w:tcPr>
            <w:tcW w:w="1746" w:type="dxa"/>
            <w:shd w:val="clear" w:color="auto" w:fill="C6EFCE"/>
            <w:noWrap/>
            <w:vAlign w:val="center"/>
          </w:tcPr>
          <w:p w14:paraId="07CC21C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1.6.4. Kaitseministeeriumi digiteerimine</w:t>
            </w:r>
          </w:p>
        </w:tc>
        <w:tc>
          <w:tcPr>
            <w:tcW w:w="992" w:type="dxa"/>
            <w:shd w:val="clear" w:color="auto" w:fill="C6EFCE"/>
            <w:noWrap/>
            <w:vAlign w:val="center"/>
          </w:tcPr>
          <w:p w14:paraId="3D3765A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2126" w:type="dxa"/>
            <w:shd w:val="clear" w:color="auto" w:fill="C6EFCE"/>
            <w:noWrap/>
            <w:vAlign w:val="center"/>
          </w:tcPr>
          <w:p w14:paraId="11441D5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Kaitseministeerium – missiooniväliste elutähtsate rakenduste migratsioon infrastruktuuri avatusest tuleneva täieliku teabekaitse lahendusesse (S.C.I.P.I.O.). T2</w:t>
            </w:r>
          </w:p>
        </w:tc>
        <w:tc>
          <w:tcPr>
            <w:tcW w:w="1701" w:type="dxa"/>
            <w:shd w:val="clear" w:color="auto" w:fill="C6EFCE"/>
            <w:noWrap/>
            <w:vAlign w:val="center"/>
          </w:tcPr>
          <w:p w14:paraId="7D25C89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2D8C9DE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1276" w:type="dxa"/>
            <w:shd w:val="clear" w:color="auto" w:fill="C6EFCE"/>
            <w:noWrap/>
            <w:vAlign w:val="center"/>
          </w:tcPr>
          <w:p w14:paraId="06933D9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10</w:t>
            </w:r>
          </w:p>
        </w:tc>
        <w:tc>
          <w:tcPr>
            <w:tcW w:w="1417" w:type="dxa"/>
            <w:shd w:val="clear" w:color="auto" w:fill="C6EFCE"/>
            <w:noWrap/>
            <w:vAlign w:val="center"/>
          </w:tcPr>
          <w:p w14:paraId="59AE1E3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15</w:t>
            </w:r>
          </w:p>
        </w:tc>
        <w:tc>
          <w:tcPr>
            <w:tcW w:w="793" w:type="dxa"/>
            <w:shd w:val="clear" w:color="auto" w:fill="C6EFCE"/>
            <w:noWrap/>
            <w:vAlign w:val="center"/>
          </w:tcPr>
          <w:p w14:paraId="07CB3BA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625" w:type="dxa"/>
            <w:shd w:val="clear" w:color="auto" w:fill="C6EFCE"/>
            <w:noWrap/>
            <w:vAlign w:val="center"/>
          </w:tcPr>
          <w:p w14:paraId="1ABCCE5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2024</w:t>
            </w:r>
          </w:p>
        </w:tc>
        <w:tc>
          <w:tcPr>
            <w:tcW w:w="2584" w:type="dxa"/>
            <w:shd w:val="clear" w:color="auto" w:fill="C6EFCE"/>
            <w:noWrap/>
            <w:vAlign w:val="center"/>
          </w:tcPr>
          <w:p w14:paraId="584584F3"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Nelja missiooni kriitilise tähtsusega ja üheteistkümne missiooniga mitteseotud kriitilise tähtsusega rakenduse lõplik üleviimine uude avatud lähtekoodiga taristusse, mis hõlmab riistvara keskkonna rakendamist, vahevara avatud lähtekoodiga komponentide paigaldamist, rakenduste ümberkavandamist, alustades lähteolukorrast, milleks on kümme juba üle viidud 1. eesmärgiga.</w:t>
            </w:r>
          </w:p>
        </w:tc>
      </w:tr>
      <w:tr w:rsidR="005F0490" w:rsidRPr="00D90835" w14:paraId="61F4E9CE" w14:textId="77777777">
        <w:trPr>
          <w:trHeight w:val="309"/>
        </w:trPr>
        <w:tc>
          <w:tcPr>
            <w:tcW w:w="1284" w:type="dxa"/>
            <w:shd w:val="clear" w:color="auto" w:fill="C6EFCE"/>
            <w:noWrap/>
            <w:vAlign w:val="center"/>
          </w:tcPr>
          <w:p w14:paraId="69CCC06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M1C1-144</w:t>
            </w:r>
          </w:p>
        </w:tc>
        <w:tc>
          <w:tcPr>
            <w:tcW w:w="1746" w:type="dxa"/>
            <w:shd w:val="clear" w:color="auto" w:fill="C6EFCE"/>
            <w:noWrap/>
            <w:vAlign w:val="center"/>
          </w:tcPr>
          <w:p w14:paraId="6EFED19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1.4.2. Kodaniku kaasamine – Digitaalsete avalike teenuste kättesaadavuse parandamine</w:t>
            </w:r>
          </w:p>
        </w:tc>
        <w:tc>
          <w:tcPr>
            <w:tcW w:w="992" w:type="dxa"/>
            <w:shd w:val="clear" w:color="auto" w:fill="C6EFCE"/>
            <w:noWrap/>
            <w:vAlign w:val="center"/>
          </w:tcPr>
          <w:p w14:paraId="40BC60D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2126" w:type="dxa"/>
            <w:shd w:val="clear" w:color="auto" w:fill="C6EFCE"/>
            <w:noWrap/>
            <w:vAlign w:val="center"/>
          </w:tcPr>
          <w:p w14:paraId="15DB9B5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Digitaalsete avalike teenuste kättesaadavuse parandamine</w:t>
            </w:r>
          </w:p>
        </w:tc>
        <w:tc>
          <w:tcPr>
            <w:tcW w:w="1701" w:type="dxa"/>
            <w:shd w:val="clear" w:color="auto" w:fill="C6EFCE"/>
            <w:noWrap/>
            <w:vAlign w:val="center"/>
          </w:tcPr>
          <w:p w14:paraId="24E2B81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28BD044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1276" w:type="dxa"/>
            <w:shd w:val="clear" w:color="auto" w:fill="C6EFCE"/>
            <w:noWrap/>
            <w:vAlign w:val="center"/>
          </w:tcPr>
          <w:p w14:paraId="7659DAE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1417" w:type="dxa"/>
            <w:shd w:val="clear" w:color="auto" w:fill="C6EFCE"/>
            <w:noWrap/>
            <w:vAlign w:val="center"/>
          </w:tcPr>
          <w:p w14:paraId="7030ACB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55</w:t>
            </w:r>
          </w:p>
        </w:tc>
        <w:tc>
          <w:tcPr>
            <w:tcW w:w="793" w:type="dxa"/>
            <w:shd w:val="clear" w:color="auto" w:fill="C6EFCE"/>
            <w:noWrap/>
            <w:vAlign w:val="center"/>
          </w:tcPr>
          <w:p w14:paraId="165E8A4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625" w:type="dxa"/>
            <w:shd w:val="clear" w:color="auto" w:fill="C6EFCE"/>
            <w:noWrap/>
            <w:vAlign w:val="center"/>
          </w:tcPr>
          <w:p w14:paraId="43EB764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2025</w:t>
            </w:r>
          </w:p>
        </w:tc>
        <w:tc>
          <w:tcPr>
            <w:tcW w:w="2584" w:type="dxa"/>
            <w:shd w:val="clear" w:color="auto" w:fill="C6EFCE"/>
            <w:noWrap/>
            <w:vAlign w:val="center"/>
          </w:tcPr>
          <w:p w14:paraId="3B2522E9"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2025. aasta teiseks kvartaliks toetab AgID 55 kohalikku avalikku haldust, et:</w:t>
            </w:r>
          </w:p>
          <w:p w14:paraId="1AB9296D"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 Pakkuda 28 tehnilist ja erialast eksperti</w:t>
            </w:r>
          </w:p>
          <w:p w14:paraId="4C76F9D6"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 Vähendada vigade arvu 50 % võrra vähemalt kahe iga administratsiooni osutatava digitaalteenuse puhul.</w:t>
            </w:r>
          </w:p>
          <w:p w14:paraId="0B5B6C46"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 Levitada ja koolitada vähemalt 3 vahendit, mille eesmärk on ümber kujundada ja arendada kõige enam kasutatavaid digiteenuseid, mis kuuluvad igale ametiasutusele;</w:t>
            </w:r>
          </w:p>
          <w:p w14:paraId="4D5571A0"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 Tagada, et vähemalt 50 % tugitehnoloogiatest ja tarkvaravajadustest pühendatakse puuetega töötajatele.</w:t>
            </w:r>
          </w:p>
        </w:tc>
      </w:tr>
      <w:tr w:rsidR="005F0490" w:rsidRPr="00D90835" w14:paraId="7052556B" w14:textId="77777777">
        <w:trPr>
          <w:trHeight w:val="309"/>
        </w:trPr>
        <w:tc>
          <w:tcPr>
            <w:tcW w:w="1284" w:type="dxa"/>
            <w:shd w:val="clear" w:color="auto" w:fill="C6EFCE"/>
            <w:noWrap/>
            <w:vAlign w:val="center"/>
          </w:tcPr>
          <w:p w14:paraId="0BBA662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M1C1-145</w:t>
            </w:r>
          </w:p>
        </w:tc>
        <w:tc>
          <w:tcPr>
            <w:tcW w:w="1746" w:type="dxa"/>
            <w:shd w:val="clear" w:color="auto" w:fill="C6EFCE"/>
            <w:noWrap/>
            <w:vAlign w:val="center"/>
          </w:tcPr>
          <w:p w14:paraId="08ED58E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1.4.4. Riiklike digitaalse identiteedi platvormide (SPID, CIE) ja riikliku registri (ANPR) kasutuselevõtmine</w:t>
            </w:r>
          </w:p>
        </w:tc>
        <w:tc>
          <w:tcPr>
            <w:tcW w:w="992" w:type="dxa"/>
            <w:shd w:val="clear" w:color="auto" w:fill="C6EFCE"/>
            <w:noWrap/>
            <w:vAlign w:val="center"/>
          </w:tcPr>
          <w:p w14:paraId="1478905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2126" w:type="dxa"/>
            <w:shd w:val="clear" w:color="auto" w:fill="C6EFCE"/>
            <w:noWrap/>
            <w:vAlign w:val="center"/>
          </w:tcPr>
          <w:p w14:paraId="70469EE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Riiklikud digitaalse identiteedi platvormid (SPID, CIE) ja riiklik register (ANPR)</w:t>
            </w:r>
          </w:p>
        </w:tc>
        <w:tc>
          <w:tcPr>
            <w:tcW w:w="1701" w:type="dxa"/>
            <w:shd w:val="clear" w:color="auto" w:fill="C6EFCE"/>
            <w:noWrap/>
            <w:vAlign w:val="center"/>
          </w:tcPr>
          <w:p w14:paraId="604A74A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2369429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E-identimist omavate kodanike arv</w:t>
            </w:r>
          </w:p>
        </w:tc>
        <w:tc>
          <w:tcPr>
            <w:tcW w:w="1276" w:type="dxa"/>
            <w:shd w:val="clear" w:color="auto" w:fill="C6EFCE"/>
            <w:noWrap/>
            <w:vAlign w:val="center"/>
          </w:tcPr>
          <w:p w14:paraId="182C8F9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17 500 000</w:t>
            </w:r>
          </w:p>
        </w:tc>
        <w:tc>
          <w:tcPr>
            <w:tcW w:w="1417" w:type="dxa"/>
            <w:shd w:val="clear" w:color="auto" w:fill="C6EFCE"/>
            <w:noWrap/>
            <w:vAlign w:val="center"/>
          </w:tcPr>
          <w:p w14:paraId="008D93E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42 300 000</w:t>
            </w:r>
          </w:p>
        </w:tc>
        <w:tc>
          <w:tcPr>
            <w:tcW w:w="793" w:type="dxa"/>
            <w:shd w:val="clear" w:color="auto" w:fill="C6EFCE"/>
            <w:noWrap/>
            <w:vAlign w:val="center"/>
          </w:tcPr>
          <w:p w14:paraId="5270156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625" w:type="dxa"/>
            <w:shd w:val="clear" w:color="auto" w:fill="C6EFCE"/>
            <w:noWrap/>
            <w:vAlign w:val="center"/>
          </w:tcPr>
          <w:p w14:paraId="30F10BD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2025</w:t>
            </w:r>
          </w:p>
        </w:tc>
        <w:tc>
          <w:tcPr>
            <w:tcW w:w="2584" w:type="dxa"/>
            <w:shd w:val="clear" w:color="auto" w:fill="C6EFCE"/>
            <w:noWrap/>
            <w:vAlign w:val="center"/>
          </w:tcPr>
          <w:p w14:paraId="2A6142F4"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Kehtiva digitaalse identiteediga Itaalia kodanike arv riiklikul digitaalse identiteedi platvormil.</w:t>
            </w:r>
          </w:p>
        </w:tc>
      </w:tr>
      <w:tr w:rsidR="005F0490" w:rsidRPr="00D90835" w14:paraId="0A1732B8" w14:textId="77777777">
        <w:trPr>
          <w:trHeight w:val="309"/>
        </w:trPr>
        <w:tc>
          <w:tcPr>
            <w:tcW w:w="1284" w:type="dxa"/>
            <w:shd w:val="clear" w:color="auto" w:fill="C6EFCE"/>
            <w:noWrap/>
            <w:vAlign w:val="center"/>
          </w:tcPr>
          <w:p w14:paraId="21A3CE5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M1C1-146</w:t>
            </w:r>
          </w:p>
        </w:tc>
        <w:tc>
          <w:tcPr>
            <w:tcW w:w="1746" w:type="dxa"/>
            <w:shd w:val="clear" w:color="auto" w:fill="C6EFCE"/>
            <w:noWrap/>
            <w:vAlign w:val="center"/>
          </w:tcPr>
          <w:p w14:paraId="24301C8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1.4.4. Riiklike digitaalse identiteedi platvormide (SPID, CIE) ja riikliku registri (ANPR) kasutuselevõtmine</w:t>
            </w:r>
          </w:p>
        </w:tc>
        <w:tc>
          <w:tcPr>
            <w:tcW w:w="992" w:type="dxa"/>
            <w:shd w:val="clear" w:color="auto" w:fill="C6EFCE"/>
            <w:noWrap/>
            <w:vAlign w:val="center"/>
          </w:tcPr>
          <w:p w14:paraId="64C2311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2126" w:type="dxa"/>
            <w:shd w:val="clear" w:color="auto" w:fill="C6EFCE"/>
            <w:noWrap/>
            <w:vAlign w:val="center"/>
          </w:tcPr>
          <w:p w14:paraId="08E324D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Riiklikud digitaalse identiteedi platvormid (SPID, CIE) ja riiklik register (ANPR)</w:t>
            </w:r>
          </w:p>
        </w:tc>
        <w:tc>
          <w:tcPr>
            <w:tcW w:w="1701" w:type="dxa"/>
            <w:shd w:val="clear" w:color="auto" w:fill="C6EFCE"/>
            <w:noWrap/>
            <w:vAlign w:val="center"/>
          </w:tcPr>
          <w:p w14:paraId="0D0916E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30BFC09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1276" w:type="dxa"/>
            <w:shd w:val="clear" w:color="auto" w:fill="C6EFCE"/>
            <w:noWrap/>
            <w:vAlign w:val="center"/>
          </w:tcPr>
          <w:p w14:paraId="474BDDD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6 283</w:t>
            </w:r>
          </w:p>
        </w:tc>
        <w:tc>
          <w:tcPr>
            <w:tcW w:w="1417" w:type="dxa"/>
            <w:shd w:val="clear" w:color="auto" w:fill="C6EFCE"/>
            <w:noWrap/>
            <w:vAlign w:val="center"/>
          </w:tcPr>
          <w:p w14:paraId="448B109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16 500</w:t>
            </w:r>
          </w:p>
        </w:tc>
        <w:tc>
          <w:tcPr>
            <w:tcW w:w="793" w:type="dxa"/>
            <w:shd w:val="clear" w:color="auto" w:fill="C6EFCE"/>
            <w:noWrap/>
            <w:vAlign w:val="center"/>
          </w:tcPr>
          <w:p w14:paraId="26078E1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 kv</w:t>
            </w:r>
          </w:p>
        </w:tc>
        <w:tc>
          <w:tcPr>
            <w:tcW w:w="625" w:type="dxa"/>
            <w:shd w:val="clear" w:color="auto" w:fill="C6EFCE"/>
            <w:noWrap/>
            <w:vAlign w:val="center"/>
          </w:tcPr>
          <w:p w14:paraId="0AE345D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2584" w:type="dxa"/>
            <w:shd w:val="clear" w:color="auto" w:fill="C6EFCE"/>
            <w:noWrap/>
            <w:vAlign w:val="center"/>
          </w:tcPr>
          <w:p w14:paraId="4BFB7DD5"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E-identimist (SPID või CIE) kasutavate haldusasutuste arv (kokku 16 500st).</w:t>
            </w:r>
          </w:p>
        </w:tc>
      </w:tr>
      <w:tr w:rsidR="005F0490" w:rsidRPr="00D90835" w14:paraId="3CC1EA65" w14:textId="77777777">
        <w:trPr>
          <w:trHeight w:val="309"/>
        </w:trPr>
        <w:tc>
          <w:tcPr>
            <w:tcW w:w="1284" w:type="dxa"/>
            <w:shd w:val="clear" w:color="auto" w:fill="C6EFCE"/>
            <w:noWrap/>
            <w:vAlign w:val="center"/>
          </w:tcPr>
          <w:p w14:paraId="3701644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M1C1-147</w:t>
            </w:r>
          </w:p>
        </w:tc>
        <w:tc>
          <w:tcPr>
            <w:tcW w:w="1746" w:type="dxa"/>
            <w:shd w:val="clear" w:color="auto" w:fill="C6EFCE"/>
            <w:noWrap/>
            <w:vAlign w:val="center"/>
          </w:tcPr>
          <w:p w14:paraId="4B70004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1.2. Pilvandmetöötlus kohalikule makseasutusele</w:t>
            </w:r>
          </w:p>
        </w:tc>
        <w:tc>
          <w:tcPr>
            <w:tcW w:w="992" w:type="dxa"/>
            <w:shd w:val="clear" w:color="auto" w:fill="C6EFCE"/>
            <w:noWrap/>
            <w:vAlign w:val="center"/>
          </w:tcPr>
          <w:p w14:paraId="22C7AED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2126" w:type="dxa"/>
            <w:shd w:val="clear" w:color="auto" w:fill="C6EFCE"/>
            <w:noWrap/>
            <w:vAlign w:val="center"/>
          </w:tcPr>
          <w:p w14:paraId="618C0C8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Pilvandmetöötlus kohalikule avalikule haldusele T2</w:t>
            </w:r>
          </w:p>
        </w:tc>
        <w:tc>
          <w:tcPr>
            <w:tcW w:w="1701" w:type="dxa"/>
            <w:shd w:val="clear" w:color="auto" w:fill="C6EFCE"/>
            <w:noWrap/>
            <w:vAlign w:val="center"/>
          </w:tcPr>
          <w:p w14:paraId="54CA8D3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799914F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1276" w:type="dxa"/>
            <w:shd w:val="clear" w:color="auto" w:fill="C6EFCE"/>
            <w:noWrap/>
            <w:vAlign w:val="center"/>
          </w:tcPr>
          <w:p w14:paraId="00C6C76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4 083</w:t>
            </w:r>
          </w:p>
        </w:tc>
        <w:tc>
          <w:tcPr>
            <w:tcW w:w="1417" w:type="dxa"/>
            <w:shd w:val="clear" w:color="auto" w:fill="C6EFCE"/>
            <w:noWrap/>
            <w:vAlign w:val="center"/>
          </w:tcPr>
          <w:p w14:paraId="64DBF18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12 464</w:t>
            </w:r>
          </w:p>
        </w:tc>
        <w:tc>
          <w:tcPr>
            <w:tcW w:w="793" w:type="dxa"/>
            <w:shd w:val="clear" w:color="auto" w:fill="C6EFCE"/>
            <w:noWrap/>
            <w:vAlign w:val="center"/>
          </w:tcPr>
          <w:p w14:paraId="64CD128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625" w:type="dxa"/>
            <w:shd w:val="clear" w:color="auto" w:fill="C6EFCE"/>
            <w:noWrap/>
            <w:vAlign w:val="center"/>
          </w:tcPr>
          <w:p w14:paraId="2A4D4FA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2584" w:type="dxa"/>
            <w:shd w:val="clear" w:color="auto" w:fill="C6EFCE"/>
            <w:noWrap/>
            <w:vAlign w:val="center"/>
          </w:tcPr>
          <w:p w14:paraId="72F504B1"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12 464 kohaliku ametiasutuse migratsioon sertifitseeritud pilvekeskkonda loetakse saavutatuks, kui igasse migratsioonikavasse lisatud kõikide süsteemide, andmekogumite ja rakenduste migratsioon on olnud edukas.</w:t>
            </w:r>
          </w:p>
        </w:tc>
      </w:tr>
      <w:tr w:rsidR="005F0490" w:rsidRPr="00D90835" w14:paraId="2B77123C" w14:textId="77777777">
        <w:trPr>
          <w:trHeight w:val="309"/>
        </w:trPr>
        <w:tc>
          <w:tcPr>
            <w:tcW w:w="1284" w:type="dxa"/>
            <w:shd w:val="clear" w:color="auto" w:fill="C6EFCE"/>
            <w:noWrap/>
            <w:vAlign w:val="center"/>
          </w:tcPr>
          <w:p w14:paraId="7649F45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M1C1-148</w:t>
            </w:r>
          </w:p>
        </w:tc>
        <w:tc>
          <w:tcPr>
            <w:tcW w:w="1746" w:type="dxa"/>
            <w:shd w:val="clear" w:color="auto" w:fill="C6EFCE"/>
            <w:noWrap/>
            <w:vAlign w:val="center"/>
          </w:tcPr>
          <w:p w14:paraId="0E2F8AA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1.4.1. Kodaniku kogemused – digitaalsete avalike teenuste kvaliteedi ja kasutatavuse parandamine</w:t>
            </w:r>
          </w:p>
        </w:tc>
        <w:tc>
          <w:tcPr>
            <w:tcW w:w="992" w:type="dxa"/>
            <w:shd w:val="clear" w:color="auto" w:fill="C6EFCE"/>
            <w:noWrap/>
            <w:vAlign w:val="center"/>
          </w:tcPr>
          <w:p w14:paraId="50E78CA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2126" w:type="dxa"/>
            <w:shd w:val="clear" w:color="auto" w:fill="C6EFCE"/>
            <w:noWrap/>
            <w:vAlign w:val="center"/>
          </w:tcPr>
          <w:p w14:paraId="5E0C986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Digitaalsete avalike teenuste kvaliteedi ja kasutatavuse parandamine T2</w:t>
            </w:r>
          </w:p>
        </w:tc>
        <w:tc>
          <w:tcPr>
            <w:tcW w:w="1701" w:type="dxa"/>
            <w:shd w:val="clear" w:color="auto" w:fill="C6EFCE"/>
            <w:noWrap/>
            <w:vAlign w:val="center"/>
          </w:tcPr>
          <w:p w14:paraId="24403D5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4F7D8E0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Protsent</w:t>
            </w:r>
          </w:p>
        </w:tc>
        <w:tc>
          <w:tcPr>
            <w:tcW w:w="1276" w:type="dxa"/>
            <w:shd w:val="clear" w:color="auto" w:fill="C6EFCE"/>
            <w:noWrap/>
            <w:vAlign w:val="center"/>
          </w:tcPr>
          <w:p w14:paraId="1EBEFD4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40</w:t>
            </w:r>
          </w:p>
        </w:tc>
        <w:tc>
          <w:tcPr>
            <w:tcW w:w="1417" w:type="dxa"/>
            <w:shd w:val="clear" w:color="auto" w:fill="C6EFCE"/>
            <w:noWrap/>
            <w:vAlign w:val="center"/>
          </w:tcPr>
          <w:p w14:paraId="2006AED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80</w:t>
            </w:r>
          </w:p>
        </w:tc>
        <w:tc>
          <w:tcPr>
            <w:tcW w:w="793" w:type="dxa"/>
            <w:shd w:val="clear" w:color="auto" w:fill="C6EFCE"/>
            <w:noWrap/>
            <w:vAlign w:val="center"/>
          </w:tcPr>
          <w:p w14:paraId="3B6E03C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625" w:type="dxa"/>
            <w:shd w:val="clear" w:color="auto" w:fill="C6EFCE"/>
            <w:noWrap/>
            <w:vAlign w:val="center"/>
          </w:tcPr>
          <w:p w14:paraId="0693164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2584" w:type="dxa"/>
            <w:shd w:val="clear" w:color="auto" w:fill="C6EFCE"/>
            <w:noWrap/>
            <w:vAlign w:val="center"/>
          </w:tcPr>
          <w:p w14:paraId="53CA4B61"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Haldusasutused (omavalitsused, esimese ja teise astme haridusasutuste põhi- ja keskkoolid ning konkreetsed katsetatud tervishoiu- ja kultuuripärandiasutused), kes järgivad ühist mudelit ja disainisüsteemi, lihtsustavad kasutajate suhtlust ja lihtsustavad hooldust järgnevatel aastatel.</w:t>
            </w:r>
          </w:p>
          <w:p w14:paraId="12BA9AD0"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 xml:space="preserve">Veebisaitide/teenuste komponentide ühtsest ülesehitusest/mudelist kinnipidamine hõlmab järgmist: </w:t>
            </w:r>
          </w:p>
          <w:p w14:paraId="1BD1D77C"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1) Esitatud projektide hindamine;</w:t>
            </w:r>
          </w:p>
          <w:p w14:paraId="5C44732E"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2) Projekti lõpuleviimise hindamine peamiste kasutatavusnäitajate (digitaalse kasutatavuse hinded) alusel, kasutades selleks juba olemasolevat spetsiaalset platvormi.</w:t>
            </w:r>
          </w:p>
          <w:p w14:paraId="4903A252"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Omavalitsused peavad tagama, et kõigi eesmärgi saavutamisele kaasaaitavate omavalitsuste seas järgitakse vähemalt 3,5 teenuse puhul ühist projekteerimisteenuste mudelit.</w:t>
            </w:r>
          </w:p>
        </w:tc>
      </w:tr>
      <w:tr w:rsidR="005F0490" w:rsidRPr="00D90835" w14:paraId="7E0A59D6" w14:textId="77777777">
        <w:trPr>
          <w:trHeight w:val="309"/>
        </w:trPr>
        <w:tc>
          <w:tcPr>
            <w:tcW w:w="1284" w:type="dxa"/>
            <w:shd w:val="clear" w:color="auto" w:fill="C6EFCE"/>
            <w:noWrap/>
            <w:vAlign w:val="center"/>
          </w:tcPr>
          <w:p w14:paraId="1203579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M1C1-149</w:t>
            </w:r>
          </w:p>
        </w:tc>
        <w:tc>
          <w:tcPr>
            <w:tcW w:w="1746" w:type="dxa"/>
            <w:shd w:val="clear" w:color="auto" w:fill="C6EFCE"/>
            <w:noWrap/>
            <w:vAlign w:val="center"/>
          </w:tcPr>
          <w:p w14:paraId="25444D3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1.4.3. PagoPA platvormi teenuste ja rakenduse „IO“ kasutuselevõtmine</w:t>
            </w:r>
          </w:p>
        </w:tc>
        <w:tc>
          <w:tcPr>
            <w:tcW w:w="992" w:type="dxa"/>
            <w:shd w:val="clear" w:color="auto" w:fill="C6EFCE"/>
            <w:noWrap/>
            <w:vAlign w:val="center"/>
          </w:tcPr>
          <w:p w14:paraId="48531F8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2126" w:type="dxa"/>
            <w:shd w:val="clear" w:color="auto" w:fill="C6EFCE"/>
            <w:noWrap/>
            <w:vAlign w:val="center"/>
          </w:tcPr>
          <w:p w14:paraId="37EC809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PagoPA platvormi teenuste T2 kasutuselevõtu suurendamine</w:t>
            </w:r>
          </w:p>
        </w:tc>
        <w:tc>
          <w:tcPr>
            <w:tcW w:w="1701" w:type="dxa"/>
            <w:shd w:val="clear" w:color="auto" w:fill="C6EFCE"/>
            <w:noWrap/>
            <w:vAlign w:val="center"/>
          </w:tcPr>
          <w:p w14:paraId="070EDE5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6074077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1276" w:type="dxa"/>
            <w:shd w:val="clear" w:color="auto" w:fill="C6EFCE"/>
            <w:noWrap/>
            <w:vAlign w:val="center"/>
          </w:tcPr>
          <w:p w14:paraId="5E4E6C7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11 450</w:t>
            </w:r>
          </w:p>
        </w:tc>
        <w:tc>
          <w:tcPr>
            <w:tcW w:w="1417" w:type="dxa"/>
            <w:shd w:val="clear" w:color="auto" w:fill="C6EFCE"/>
            <w:noWrap/>
            <w:vAlign w:val="center"/>
          </w:tcPr>
          <w:p w14:paraId="01A3F91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14 100</w:t>
            </w:r>
          </w:p>
        </w:tc>
        <w:tc>
          <w:tcPr>
            <w:tcW w:w="793" w:type="dxa"/>
            <w:shd w:val="clear" w:color="auto" w:fill="C6EFCE"/>
            <w:noWrap/>
            <w:vAlign w:val="center"/>
          </w:tcPr>
          <w:p w14:paraId="0A976B0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625" w:type="dxa"/>
            <w:shd w:val="clear" w:color="auto" w:fill="C6EFCE"/>
            <w:noWrap/>
            <w:vAlign w:val="center"/>
          </w:tcPr>
          <w:p w14:paraId="6DF1C18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2584" w:type="dxa"/>
            <w:shd w:val="clear" w:color="auto" w:fill="C6EFCE"/>
            <w:noWrap/>
            <w:vAlign w:val="center"/>
          </w:tcPr>
          <w:p w14:paraId="6E9B845E"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Tagada platvormi integreeritud teenuste arvu suurenemine järgmiste teenuste puhul:</w:t>
            </w:r>
          </w:p>
          <w:p w14:paraId="5F3204A8"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 haldusasutused juba ühinevad platvormiga (11 450 üksust);</w:t>
            </w:r>
          </w:p>
          <w:p w14:paraId="1CE97A46"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 platvormiga ühinevad uued haldusasutused (2 650 uut üksust).</w:t>
            </w:r>
          </w:p>
          <w:p w14:paraId="44048FB8"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Integreeritavate teenuste arv sõltub haldusliigist (lõppeesmärk on pakkuda keskmiselt 35 teenust omavalitsustele, 15 teenust piirkondadele, 15 teenust tervishoiuasutustele, 8 teenust koolidele ja ülikoolidele).</w:t>
            </w:r>
          </w:p>
        </w:tc>
      </w:tr>
      <w:tr w:rsidR="005F0490" w:rsidRPr="00D90835" w14:paraId="045CD40D" w14:textId="77777777">
        <w:trPr>
          <w:trHeight w:val="309"/>
        </w:trPr>
        <w:tc>
          <w:tcPr>
            <w:tcW w:w="1284" w:type="dxa"/>
            <w:shd w:val="clear" w:color="auto" w:fill="C6EFCE"/>
            <w:noWrap/>
            <w:vAlign w:val="center"/>
          </w:tcPr>
          <w:p w14:paraId="6E25585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M1C1-150</w:t>
            </w:r>
          </w:p>
        </w:tc>
        <w:tc>
          <w:tcPr>
            <w:tcW w:w="1746" w:type="dxa"/>
            <w:shd w:val="clear" w:color="auto" w:fill="C6EFCE"/>
            <w:noWrap/>
            <w:vAlign w:val="center"/>
          </w:tcPr>
          <w:p w14:paraId="29BA9CC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1.4.3. PagoPA platvormi teenuste ja rakenduse „IO“ kasutuselevõtmine</w:t>
            </w:r>
          </w:p>
        </w:tc>
        <w:tc>
          <w:tcPr>
            <w:tcW w:w="992" w:type="dxa"/>
            <w:shd w:val="clear" w:color="auto" w:fill="C6EFCE"/>
            <w:noWrap/>
            <w:vAlign w:val="center"/>
          </w:tcPr>
          <w:p w14:paraId="771E624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2126" w:type="dxa"/>
            <w:shd w:val="clear" w:color="auto" w:fill="C6EFCE"/>
            <w:noWrap/>
            <w:vAlign w:val="center"/>
          </w:tcPr>
          <w:p w14:paraId="63AD16A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Rakenduse „IO“ rakenduse T2 vastuvõtmise suurendamine</w:t>
            </w:r>
          </w:p>
        </w:tc>
        <w:tc>
          <w:tcPr>
            <w:tcW w:w="1701" w:type="dxa"/>
            <w:shd w:val="clear" w:color="auto" w:fill="C6EFCE"/>
            <w:noWrap/>
            <w:vAlign w:val="center"/>
          </w:tcPr>
          <w:p w14:paraId="024B155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157F143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1276" w:type="dxa"/>
            <w:shd w:val="clear" w:color="auto" w:fill="C6EFCE"/>
            <w:noWrap/>
            <w:vAlign w:val="center"/>
          </w:tcPr>
          <w:p w14:paraId="473802E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7 000</w:t>
            </w:r>
          </w:p>
        </w:tc>
        <w:tc>
          <w:tcPr>
            <w:tcW w:w="1417" w:type="dxa"/>
            <w:shd w:val="clear" w:color="auto" w:fill="C6EFCE"/>
            <w:noWrap/>
            <w:vAlign w:val="center"/>
          </w:tcPr>
          <w:p w14:paraId="4AD48F9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14 100</w:t>
            </w:r>
          </w:p>
        </w:tc>
        <w:tc>
          <w:tcPr>
            <w:tcW w:w="793" w:type="dxa"/>
            <w:shd w:val="clear" w:color="auto" w:fill="C6EFCE"/>
            <w:noWrap/>
            <w:vAlign w:val="center"/>
          </w:tcPr>
          <w:p w14:paraId="57948F3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625" w:type="dxa"/>
            <w:shd w:val="clear" w:color="auto" w:fill="C6EFCE"/>
            <w:noWrap/>
            <w:vAlign w:val="center"/>
          </w:tcPr>
          <w:p w14:paraId="7947B74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2584" w:type="dxa"/>
            <w:shd w:val="clear" w:color="auto" w:fill="C6EFCE"/>
            <w:noWrap/>
            <w:vAlign w:val="center"/>
          </w:tcPr>
          <w:p w14:paraId="4F500241"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Tagada rakendusse „IO“ integreeritud teenuste arvu suurenemine:</w:t>
            </w:r>
          </w:p>
          <w:p w14:paraId="4B734610"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 haldusorganid, mis juba kasutavad IOd (7 000 üksust);</w:t>
            </w:r>
          </w:p>
          <w:p w14:paraId="2053B479"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 platvormiga ühinevad uued haldusasutused (umbes 7 100 uut üksust).</w:t>
            </w:r>
          </w:p>
          <w:p w14:paraId="463F4592"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Integreeritavate teenuste arv sõltub haldusliigist (lõppeesmärk on pakkuda keskmiselt 35 teenust omavalitsustele, 15 teenust piirkondadele, 15 teenust tervishoiuasutustele, 8 teenust koolidele ja ülikoolidele).</w:t>
            </w:r>
          </w:p>
        </w:tc>
      </w:tr>
      <w:tr w:rsidR="005F0490" w:rsidRPr="00D90835" w14:paraId="295E476A" w14:textId="77777777">
        <w:trPr>
          <w:trHeight w:val="309"/>
        </w:trPr>
        <w:tc>
          <w:tcPr>
            <w:tcW w:w="1284" w:type="dxa"/>
            <w:shd w:val="clear" w:color="auto" w:fill="C6EFCE"/>
            <w:noWrap/>
            <w:vAlign w:val="center"/>
          </w:tcPr>
          <w:p w14:paraId="783F9A4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M1C1-151</w:t>
            </w:r>
          </w:p>
        </w:tc>
        <w:tc>
          <w:tcPr>
            <w:tcW w:w="1746" w:type="dxa"/>
            <w:shd w:val="clear" w:color="auto" w:fill="C6EFCE"/>
            <w:noWrap/>
            <w:vAlign w:val="center"/>
          </w:tcPr>
          <w:p w14:paraId="3B0FD39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1.4.5. Avalike teadete digitaliseerimine</w:t>
            </w:r>
          </w:p>
        </w:tc>
        <w:tc>
          <w:tcPr>
            <w:tcW w:w="992" w:type="dxa"/>
            <w:shd w:val="clear" w:color="auto" w:fill="C6EFCE"/>
            <w:noWrap/>
            <w:vAlign w:val="center"/>
          </w:tcPr>
          <w:p w14:paraId="6936253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2126" w:type="dxa"/>
            <w:shd w:val="clear" w:color="auto" w:fill="C6EFCE"/>
            <w:noWrap/>
            <w:vAlign w:val="center"/>
          </w:tcPr>
          <w:p w14:paraId="5D3FBB5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Digitaalsete avalike teadete T2 kasutuselevõtu suurendamine</w:t>
            </w:r>
          </w:p>
        </w:tc>
        <w:tc>
          <w:tcPr>
            <w:tcW w:w="1701" w:type="dxa"/>
            <w:shd w:val="clear" w:color="auto" w:fill="C6EFCE"/>
            <w:noWrap/>
            <w:vAlign w:val="center"/>
          </w:tcPr>
          <w:p w14:paraId="710340E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24DD327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1276" w:type="dxa"/>
            <w:shd w:val="clear" w:color="auto" w:fill="C6EFCE"/>
            <w:noWrap/>
            <w:vAlign w:val="center"/>
          </w:tcPr>
          <w:p w14:paraId="54E5A53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800</w:t>
            </w:r>
          </w:p>
        </w:tc>
        <w:tc>
          <w:tcPr>
            <w:tcW w:w="1417" w:type="dxa"/>
            <w:shd w:val="clear" w:color="auto" w:fill="C6EFCE"/>
            <w:noWrap/>
            <w:vAlign w:val="center"/>
          </w:tcPr>
          <w:p w14:paraId="090032B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6 400</w:t>
            </w:r>
          </w:p>
        </w:tc>
        <w:tc>
          <w:tcPr>
            <w:tcW w:w="793" w:type="dxa"/>
            <w:shd w:val="clear" w:color="auto" w:fill="C6EFCE"/>
            <w:noWrap/>
            <w:vAlign w:val="center"/>
          </w:tcPr>
          <w:p w14:paraId="67A609A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625" w:type="dxa"/>
            <w:shd w:val="clear" w:color="auto" w:fill="C6EFCE"/>
            <w:noWrap/>
            <w:vAlign w:val="center"/>
          </w:tcPr>
          <w:p w14:paraId="67CDBCA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2584" w:type="dxa"/>
            <w:shd w:val="clear" w:color="auto" w:fill="C6EFCE"/>
            <w:noWrap/>
            <w:vAlign w:val="center"/>
          </w:tcPr>
          <w:p w14:paraId="5ACA990C"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Vähemalt 6 400 keskvalitsust ja omavalitsust esitavad seoses digitaalse teavitusplatvormiga kodanikele, juriidilistele isikutele, ühendustele ja muudele avalik-õiguslikele või eraõiguslikele üksustele digitaalsed õiguslikult siduvad teated.</w:t>
            </w:r>
          </w:p>
        </w:tc>
      </w:tr>
      <w:tr w:rsidR="005F0490" w:rsidRPr="00D90835" w14:paraId="11F675DD" w14:textId="77777777">
        <w:trPr>
          <w:trHeight w:val="309"/>
        </w:trPr>
        <w:tc>
          <w:tcPr>
            <w:tcW w:w="1284" w:type="dxa"/>
            <w:shd w:val="clear" w:color="auto" w:fill="C6EFCE"/>
            <w:noWrap/>
            <w:vAlign w:val="center"/>
            <w:hideMark/>
          </w:tcPr>
          <w:p w14:paraId="20E6701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M1C1-152</w:t>
            </w:r>
          </w:p>
        </w:tc>
        <w:tc>
          <w:tcPr>
            <w:tcW w:w="1746" w:type="dxa"/>
            <w:shd w:val="clear" w:color="auto" w:fill="C6EFCE"/>
            <w:noWrap/>
            <w:vAlign w:val="center"/>
            <w:hideMark/>
          </w:tcPr>
          <w:p w14:paraId="43681B1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1.6.1. Siseministeeriumi digiteerimine</w:t>
            </w:r>
          </w:p>
        </w:tc>
        <w:tc>
          <w:tcPr>
            <w:tcW w:w="992" w:type="dxa"/>
            <w:shd w:val="clear" w:color="auto" w:fill="C6EFCE"/>
            <w:noWrap/>
            <w:vAlign w:val="center"/>
            <w:hideMark/>
          </w:tcPr>
          <w:p w14:paraId="0BE44CA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2126" w:type="dxa"/>
            <w:shd w:val="clear" w:color="auto" w:fill="C6EFCE"/>
            <w:noWrap/>
            <w:vAlign w:val="center"/>
            <w:hideMark/>
          </w:tcPr>
          <w:p w14:paraId="505D497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Siseministeerium – täielikult ümberkujundatud ja digiteeritud protsessid T2</w:t>
            </w:r>
          </w:p>
        </w:tc>
        <w:tc>
          <w:tcPr>
            <w:tcW w:w="1701" w:type="dxa"/>
            <w:shd w:val="clear" w:color="auto" w:fill="C6EFCE"/>
            <w:noWrap/>
            <w:vAlign w:val="center"/>
            <w:hideMark/>
          </w:tcPr>
          <w:p w14:paraId="25D8D0F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hideMark/>
          </w:tcPr>
          <w:p w14:paraId="09D5996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1276" w:type="dxa"/>
            <w:shd w:val="clear" w:color="auto" w:fill="C6EFCE"/>
            <w:noWrap/>
            <w:vAlign w:val="center"/>
            <w:hideMark/>
          </w:tcPr>
          <w:p w14:paraId="626AE00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7</w:t>
            </w:r>
          </w:p>
        </w:tc>
        <w:tc>
          <w:tcPr>
            <w:tcW w:w="1417" w:type="dxa"/>
            <w:shd w:val="clear" w:color="auto" w:fill="C6EFCE"/>
            <w:noWrap/>
            <w:vAlign w:val="center"/>
            <w:hideMark/>
          </w:tcPr>
          <w:p w14:paraId="3922588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45</w:t>
            </w:r>
          </w:p>
        </w:tc>
        <w:tc>
          <w:tcPr>
            <w:tcW w:w="793" w:type="dxa"/>
            <w:shd w:val="clear" w:color="auto" w:fill="C6EFCE"/>
            <w:noWrap/>
            <w:vAlign w:val="center"/>
            <w:hideMark/>
          </w:tcPr>
          <w:p w14:paraId="75ABB61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625" w:type="dxa"/>
            <w:shd w:val="clear" w:color="auto" w:fill="C6EFCE"/>
            <w:noWrap/>
            <w:vAlign w:val="center"/>
            <w:hideMark/>
          </w:tcPr>
          <w:p w14:paraId="5774A7C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2584" w:type="dxa"/>
            <w:shd w:val="clear" w:color="auto" w:fill="C6EFCE"/>
            <w:noWrap/>
            <w:vAlign w:val="center"/>
            <w:hideMark/>
          </w:tcPr>
          <w:p w14:paraId="31548170"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Sisemenetlused ja -protsessid on täielikult ümber kujundatud (31. augustiks 2026 kokku 45 protsessi), mida on võimalik täielikult veebis lõpule viia (nt bürooautomaatika, liikuvusteenused ja e-õpe).</w:t>
            </w:r>
          </w:p>
        </w:tc>
      </w:tr>
      <w:tr w:rsidR="005F0490" w:rsidRPr="00D90835" w14:paraId="38F96557" w14:textId="77777777">
        <w:trPr>
          <w:trHeight w:val="309"/>
        </w:trPr>
        <w:tc>
          <w:tcPr>
            <w:tcW w:w="1284" w:type="dxa"/>
            <w:shd w:val="clear" w:color="auto" w:fill="C6EFCE"/>
            <w:noWrap/>
            <w:vAlign w:val="center"/>
            <w:hideMark/>
          </w:tcPr>
          <w:p w14:paraId="3714606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M1C1-153</w:t>
            </w:r>
          </w:p>
        </w:tc>
        <w:tc>
          <w:tcPr>
            <w:tcW w:w="1746" w:type="dxa"/>
            <w:shd w:val="clear" w:color="auto" w:fill="C6EFCE"/>
            <w:noWrap/>
            <w:vAlign w:val="center"/>
            <w:hideMark/>
          </w:tcPr>
          <w:p w14:paraId="23C2FCF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1.6.2. Justiitsministeeriumi digiteerimine</w:t>
            </w:r>
          </w:p>
        </w:tc>
        <w:tc>
          <w:tcPr>
            <w:tcW w:w="992" w:type="dxa"/>
            <w:shd w:val="clear" w:color="auto" w:fill="C6EFCE"/>
            <w:noWrap/>
            <w:vAlign w:val="center"/>
            <w:hideMark/>
          </w:tcPr>
          <w:p w14:paraId="0A6FC71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2126" w:type="dxa"/>
            <w:shd w:val="clear" w:color="auto" w:fill="C6EFCE"/>
            <w:noWrap/>
            <w:vAlign w:val="center"/>
            <w:hideMark/>
          </w:tcPr>
          <w:p w14:paraId="7D35364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Digiteeritud kohtutoimikud T2</w:t>
            </w:r>
          </w:p>
        </w:tc>
        <w:tc>
          <w:tcPr>
            <w:tcW w:w="1701" w:type="dxa"/>
            <w:shd w:val="clear" w:color="auto" w:fill="C6EFCE"/>
            <w:noWrap/>
            <w:vAlign w:val="center"/>
            <w:hideMark/>
          </w:tcPr>
          <w:p w14:paraId="7D71720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hideMark/>
          </w:tcPr>
          <w:p w14:paraId="0431589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1276" w:type="dxa"/>
            <w:shd w:val="clear" w:color="auto" w:fill="C6EFCE"/>
            <w:noWrap/>
            <w:vAlign w:val="center"/>
            <w:hideMark/>
          </w:tcPr>
          <w:p w14:paraId="7420095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3 500 000</w:t>
            </w:r>
          </w:p>
        </w:tc>
        <w:tc>
          <w:tcPr>
            <w:tcW w:w="1417" w:type="dxa"/>
            <w:shd w:val="clear" w:color="auto" w:fill="C6EFCE"/>
            <w:noWrap/>
            <w:vAlign w:val="center"/>
            <w:hideMark/>
          </w:tcPr>
          <w:p w14:paraId="0C135E2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7 750 000</w:t>
            </w:r>
          </w:p>
        </w:tc>
        <w:tc>
          <w:tcPr>
            <w:tcW w:w="793" w:type="dxa"/>
            <w:shd w:val="clear" w:color="auto" w:fill="C6EFCE"/>
            <w:noWrap/>
            <w:vAlign w:val="center"/>
            <w:hideMark/>
          </w:tcPr>
          <w:p w14:paraId="5E10725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625" w:type="dxa"/>
            <w:shd w:val="clear" w:color="auto" w:fill="C6EFCE"/>
            <w:noWrap/>
            <w:vAlign w:val="center"/>
            <w:hideMark/>
          </w:tcPr>
          <w:p w14:paraId="38000BF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2584" w:type="dxa"/>
            <w:shd w:val="clear" w:color="auto" w:fill="C6EFCE"/>
            <w:noWrap/>
            <w:vAlign w:val="center"/>
            <w:hideMark/>
          </w:tcPr>
          <w:p w14:paraId="74D8B735" w14:textId="3037806B"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Viimase 20 aasta (01.01.2026–30.06.2026) 7750 000 kohtutoimiku digitaliseerimine, mis on seotud lõpetatud või käimasolevate kohtumenetlustega kohtutes.</w:t>
            </w:r>
          </w:p>
        </w:tc>
      </w:tr>
      <w:tr w:rsidR="005F0490" w:rsidRPr="00D90835" w14:paraId="1FE993C9" w14:textId="77777777">
        <w:trPr>
          <w:trHeight w:val="309"/>
        </w:trPr>
        <w:tc>
          <w:tcPr>
            <w:tcW w:w="1284" w:type="dxa"/>
            <w:shd w:val="clear" w:color="auto" w:fill="C6EFCE"/>
            <w:noWrap/>
            <w:vAlign w:val="center"/>
          </w:tcPr>
          <w:p w14:paraId="52B1827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M1C1-154</w:t>
            </w:r>
          </w:p>
        </w:tc>
        <w:tc>
          <w:tcPr>
            <w:tcW w:w="1746" w:type="dxa"/>
            <w:shd w:val="clear" w:color="auto" w:fill="C6EFCE"/>
            <w:noWrap/>
            <w:vAlign w:val="center"/>
          </w:tcPr>
          <w:p w14:paraId="7EE6CA1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1.6.2. Justiitsministeeriumi digiteerimine</w:t>
            </w:r>
          </w:p>
        </w:tc>
        <w:tc>
          <w:tcPr>
            <w:tcW w:w="992" w:type="dxa"/>
            <w:shd w:val="clear" w:color="auto" w:fill="C6EFCE"/>
            <w:noWrap/>
            <w:vAlign w:val="center"/>
          </w:tcPr>
          <w:p w14:paraId="76E4FE9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2126" w:type="dxa"/>
            <w:shd w:val="clear" w:color="auto" w:fill="C6EFCE"/>
            <w:noWrap/>
            <w:vAlign w:val="center"/>
          </w:tcPr>
          <w:p w14:paraId="4A09013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Õigusalased andmebaasid T2</w:t>
            </w:r>
          </w:p>
        </w:tc>
        <w:tc>
          <w:tcPr>
            <w:tcW w:w="1701" w:type="dxa"/>
            <w:shd w:val="clear" w:color="auto" w:fill="C6EFCE"/>
            <w:noWrap/>
            <w:vAlign w:val="center"/>
          </w:tcPr>
          <w:p w14:paraId="5681552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3AACAAC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1276" w:type="dxa"/>
            <w:shd w:val="clear" w:color="auto" w:fill="C6EFCE"/>
            <w:noWrap/>
            <w:vAlign w:val="center"/>
          </w:tcPr>
          <w:p w14:paraId="0D1FBC6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1417" w:type="dxa"/>
            <w:shd w:val="clear" w:color="auto" w:fill="C6EFCE"/>
            <w:noWrap/>
            <w:vAlign w:val="center"/>
          </w:tcPr>
          <w:p w14:paraId="158B92C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6</w:t>
            </w:r>
          </w:p>
        </w:tc>
        <w:tc>
          <w:tcPr>
            <w:tcW w:w="793" w:type="dxa"/>
            <w:shd w:val="clear" w:color="auto" w:fill="C6EFCE"/>
            <w:noWrap/>
            <w:vAlign w:val="center"/>
          </w:tcPr>
          <w:p w14:paraId="268AFAE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625" w:type="dxa"/>
            <w:shd w:val="clear" w:color="auto" w:fill="C6EFCE"/>
            <w:noWrap/>
            <w:vAlign w:val="center"/>
          </w:tcPr>
          <w:p w14:paraId="3CC8D14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2584" w:type="dxa"/>
            <w:shd w:val="clear" w:color="auto" w:fill="C6EFCE"/>
            <w:noWrap/>
            <w:vAlign w:val="center"/>
          </w:tcPr>
          <w:p w14:paraId="7F125F32"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Kuue uue andmejärve teadmussüsteemi rakendamine.</w:t>
            </w:r>
          </w:p>
          <w:p w14:paraId="7EDAF466" w14:textId="77777777" w:rsidR="0084326C" w:rsidRPr="005D68A0" w:rsidRDefault="0084326C">
            <w:pPr>
              <w:pStyle w:val="ListParagraph"/>
              <w:numPr>
                <w:ilvl w:val="0"/>
                <w:numId w:val="81"/>
              </w:numPr>
              <w:spacing w:before="0" w:after="0"/>
              <w:ind w:left="357" w:hanging="357"/>
              <w:contextualSpacing w:val="0"/>
              <w:jc w:val="left"/>
              <w:rPr>
                <w:rFonts w:ascii="Arial Narrow" w:hAnsi="Arial Narrow"/>
                <w:noProof/>
                <w:color w:val="006100"/>
                <w:sz w:val="20"/>
                <w:szCs w:val="20"/>
              </w:rPr>
            </w:pPr>
            <w:r>
              <w:rPr>
                <w:rFonts w:ascii="Arial Narrow" w:hAnsi="Arial Narrow"/>
                <w:noProof/>
                <w:color w:val="006100"/>
                <w:sz w:val="20"/>
              </w:rPr>
              <w:t>Tsiviil- ja kriminaalkaristuste anonüümimise süsteem</w:t>
            </w:r>
          </w:p>
          <w:p w14:paraId="30DEFB58" w14:textId="77777777" w:rsidR="0084326C" w:rsidRPr="005D68A0" w:rsidRDefault="0084326C">
            <w:pPr>
              <w:pStyle w:val="ListParagraph"/>
              <w:numPr>
                <w:ilvl w:val="0"/>
                <w:numId w:val="81"/>
              </w:numPr>
              <w:spacing w:before="0" w:after="0"/>
              <w:ind w:left="357" w:hanging="357"/>
              <w:contextualSpacing w:val="0"/>
              <w:jc w:val="left"/>
              <w:rPr>
                <w:rFonts w:ascii="Arial Narrow" w:hAnsi="Arial Narrow"/>
                <w:noProof/>
                <w:color w:val="006100"/>
                <w:sz w:val="20"/>
                <w:szCs w:val="20"/>
              </w:rPr>
            </w:pPr>
            <w:r>
              <w:rPr>
                <w:rFonts w:ascii="Arial Narrow" w:hAnsi="Arial Narrow"/>
                <w:noProof/>
                <w:color w:val="006100"/>
                <w:sz w:val="20"/>
              </w:rPr>
              <w:t>Integreeritud juhtimissüsteem</w:t>
            </w:r>
          </w:p>
          <w:p w14:paraId="755D3668" w14:textId="77777777" w:rsidR="0084326C" w:rsidRPr="005D68A0" w:rsidRDefault="0084326C">
            <w:pPr>
              <w:pStyle w:val="ListParagraph"/>
              <w:numPr>
                <w:ilvl w:val="0"/>
                <w:numId w:val="81"/>
              </w:numPr>
              <w:spacing w:before="0" w:after="0"/>
              <w:ind w:left="357" w:hanging="357"/>
              <w:contextualSpacing w:val="0"/>
              <w:jc w:val="left"/>
              <w:rPr>
                <w:rFonts w:ascii="Arial Narrow" w:hAnsi="Arial Narrow"/>
                <w:noProof/>
                <w:color w:val="006100"/>
                <w:sz w:val="20"/>
                <w:szCs w:val="20"/>
              </w:rPr>
            </w:pPr>
            <w:r>
              <w:rPr>
                <w:rFonts w:ascii="Arial Narrow" w:hAnsi="Arial Narrow"/>
                <w:noProof/>
                <w:color w:val="006100"/>
                <w:sz w:val="20"/>
              </w:rPr>
              <w:t>Tsiviilmenetluste juhtimis- ja analüüsisüsteem</w:t>
            </w:r>
          </w:p>
          <w:p w14:paraId="13FD3303" w14:textId="77777777" w:rsidR="0084326C" w:rsidRPr="005D68A0" w:rsidRDefault="0084326C">
            <w:pPr>
              <w:pStyle w:val="ListParagraph"/>
              <w:numPr>
                <w:ilvl w:val="0"/>
                <w:numId w:val="81"/>
              </w:numPr>
              <w:spacing w:before="0" w:after="0"/>
              <w:ind w:left="357" w:hanging="357"/>
              <w:contextualSpacing w:val="0"/>
              <w:jc w:val="left"/>
              <w:rPr>
                <w:rFonts w:ascii="Arial Narrow" w:hAnsi="Arial Narrow"/>
                <w:noProof/>
                <w:color w:val="006100"/>
                <w:sz w:val="20"/>
                <w:szCs w:val="20"/>
              </w:rPr>
            </w:pPr>
            <w:r>
              <w:rPr>
                <w:rFonts w:ascii="Arial Narrow" w:hAnsi="Arial Narrow"/>
                <w:noProof/>
                <w:color w:val="006100"/>
                <w:sz w:val="20"/>
              </w:rPr>
              <w:t>Kriminaalmenetluste juhtimis- ja analüüsisüsteem</w:t>
            </w:r>
          </w:p>
          <w:p w14:paraId="739ABE0C" w14:textId="77777777" w:rsidR="0084326C" w:rsidRPr="005D68A0" w:rsidRDefault="0084326C">
            <w:pPr>
              <w:pStyle w:val="ListParagraph"/>
              <w:numPr>
                <w:ilvl w:val="0"/>
                <w:numId w:val="81"/>
              </w:numPr>
              <w:spacing w:before="0" w:after="0"/>
              <w:ind w:left="357" w:hanging="357"/>
              <w:contextualSpacing w:val="0"/>
              <w:jc w:val="left"/>
              <w:rPr>
                <w:rFonts w:ascii="Arial Narrow" w:hAnsi="Arial Narrow"/>
                <w:noProof/>
                <w:color w:val="006100"/>
                <w:sz w:val="20"/>
                <w:szCs w:val="20"/>
              </w:rPr>
            </w:pPr>
            <w:r>
              <w:rPr>
                <w:rFonts w:ascii="Arial Narrow" w:hAnsi="Arial Narrow"/>
                <w:noProof/>
                <w:color w:val="006100"/>
                <w:sz w:val="20"/>
              </w:rPr>
              <w:t>Tsiviil- ja kriminaalmenetluste täiustatud statistikasüsteem</w:t>
            </w:r>
          </w:p>
          <w:p w14:paraId="1279C8E6" w14:textId="77777777" w:rsidR="0084326C" w:rsidRPr="005D68A0" w:rsidRDefault="0084326C">
            <w:pPr>
              <w:pStyle w:val="ListParagraph"/>
              <w:numPr>
                <w:ilvl w:val="0"/>
                <w:numId w:val="81"/>
              </w:numPr>
              <w:spacing w:before="0" w:after="0"/>
              <w:ind w:left="357" w:hanging="357"/>
              <w:contextualSpacing w:val="0"/>
              <w:jc w:val="left"/>
              <w:rPr>
                <w:rFonts w:ascii="Arial Narrow" w:hAnsi="Arial Narrow"/>
                <w:noProof/>
                <w:color w:val="006100"/>
                <w:sz w:val="20"/>
                <w:szCs w:val="20"/>
              </w:rPr>
            </w:pPr>
            <w:r>
              <w:rPr>
                <w:rFonts w:ascii="Arial Narrow" w:hAnsi="Arial Narrow"/>
                <w:noProof/>
                <w:color w:val="006100"/>
                <w:sz w:val="20"/>
              </w:rPr>
              <w:t xml:space="preserve">Automaatne süsteem ohvri ja süü vahelise suhte tuvastamiseks. </w:t>
            </w:r>
          </w:p>
          <w:p w14:paraId="651CE0D1" w14:textId="77777777" w:rsidR="0084326C" w:rsidRPr="005D68A0" w:rsidRDefault="0084326C">
            <w:pPr>
              <w:spacing w:before="120"/>
              <w:rPr>
                <w:rFonts w:ascii="Arial Narrow" w:hAnsi="Arial Narrow"/>
                <w:noProof/>
                <w:color w:val="006100"/>
                <w:sz w:val="20"/>
                <w:szCs w:val="20"/>
              </w:rPr>
            </w:pPr>
            <w:r>
              <w:rPr>
                <w:rFonts w:ascii="Arial Narrow" w:hAnsi="Arial Narrow"/>
                <w:noProof/>
                <w:color w:val="006100"/>
                <w:sz w:val="20"/>
              </w:rPr>
              <w:t>Need kuus elementi on eraldi süsteemid, mis kasutavad sarnaseid tehnoloogiaid. Süsteemide raamistik on sama: sise- ja välisallikatest pärit andmete ja dokumentide ühendamine; süsteemide mudelid on kasutajate (nt tsiviil- ja kriminaalkohtunikud) ja eesmärkide (nt statistika ja kohtuotsused) lõikes erinevad.</w:t>
            </w:r>
          </w:p>
        </w:tc>
      </w:tr>
      <w:tr w:rsidR="005F0490" w:rsidRPr="005D68A0" w14:paraId="68FBB72F" w14:textId="77777777">
        <w:trPr>
          <w:trHeight w:val="309"/>
        </w:trPr>
        <w:tc>
          <w:tcPr>
            <w:tcW w:w="1284" w:type="dxa"/>
            <w:shd w:val="clear" w:color="auto" w:fill="C6EFCE"/>
            <w:noWrap/>
            <w:vAlign w:val="center"/>
          </w:tcPr>
          <w:p w14:paraId="5ED7420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M1C1-155</w:t>
            </w:r>
          </w:p>
        </w:tc>
        <w:tc>
          <w:tcPr>
            <w:tcW w:w="1746" w:type="dxa"/>
            <w:shd w:val="clear" w:color="auto" w:fill="C6EFCE"/>
            <w:noWrap/>
            <w:vAlign w:val="center"/>
          </w:tcPr>
          <w:p w14:paraId="030D401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1.6.3. Riikliku sotsiaalkindlustusameti (INPS) ja riikliku tööõnnetuste vastu kindlustamise instituudi (INAIL) digitaliseerimine</w:t>
            </w:r>
          </w:p>
        </w:tc>
        <w:tc>
          <w:tcPr>
            <w:tcW w:w="992" w:type="dxa"/>
            <w:shd w:val="clear" w:color="auto" w:fill="C6EFCE"/>
            <w:noWrap/>
            <w:vAlign w:val="center"/>
          </w:tcPr>
          <w:p w14:paraId="2E5F9C2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2126" w:type="dxa"/>
            <w:shd w:val="clear" w:color="auto" w:fill="C6EFCE"/>
            <w:noWrap/>
            <w:vAlign w:val="center"/>
          </w:tcPr>
          <w:p w14:paraId="24F54A3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INAIL – täielikult ümberkavandatud ja digiteeritud protsessid/teenused T2</w:t>
            </w:r>
          </w:p>
        </w:tc>
        <w:tc>
          <w:tcPr>
            <w:tcW w:w="1701" w:type="dxa"/>
            <w:shd w:val="clear" w:color="auto" w:fill="C6EFCE"/>
            <w:noWrap/>
            <w:vAlign w:val="center"/>
          </w:tcPr>
          <w:p w14:paraId="712C577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4D23B73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1276" w:type="dxa"/>
            <w:shd w:val="clear" w:color="auto" w:fill="C6EFCE"/>
            <w:noWrap/>
            <w:vAlign w:val="center"/>
          </w:tcPr>
          <w:p w14:paraId="6E3863C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53</w:t>
            </w:r>
          </w:p>
        </w:tc>
        <w:tc>
          <w:tcPr>
            <w:tcW w:w="1417" w:type="dxa"/>
            <w:shd w:val="clear" w:color="auto" w:fill="C6EFCE"/>
            <w:noWrap/>
            <w:vAlign w:val="center"/>
          </w:tcPr>
          <w:p w14:paraId="0458252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82</w:t>
            </w:r>
          </w:p>
        </w:tc>
        <w:tc>
          <w:tcPr>
            <w:tcW w:w="793" w:type="dxa"/>
            <w:shd w:val="clear" w:color="auto" w:fill="C6EFCE"/>
            <w:noWrap/>
            <w:vAlign w:val="center"/>
          </w:tcPr>
          <w:p w14:paraId="44971A9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625" w:type="dxa"/>
            <w:shd w:val="clear" w:color="auto" w:fill="C6EFCE"/>
            <w:noWrap/>
            <w:vAlign w:val="center"/>
          </w:tcPr>
          <w:p w14:paraId="73E32A1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2584" w:type="dxa"/>
            <w:shd w:val="clear" w:color="auto" w:fill="C6EFCE"/>
            <w:noWrap/>
            <w:vAlign w:val="center"/>
          </w:tcPr>
          <w:p w14:paraId="6CD32A31"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Eesmärk on saavutada 82 (80 %) ümberkujundatud institutsioonilised protsessid ja teenused, et need täielikult digiteerida. INAILi asjaomased piirkonnad on: Kindlustus-, sotsiaal- ja tervishoiuteenused, ennetus- ja ohutustööd, sertifitseerimine ja kontrollimine.</w:t>
            </w:r>
          </w:p>
          <w:p w14:paraId="7C0698A7"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Eelkõige on iga piirkonna eeldatav eesmärk väljendatud eespool: </w:t>
            </w:r>
          </w:p>
          <w:p w14:paraId="241B2C71" w14:textId="77777777" w:rsidR="0084326C" w:rsidRPr="005D68A0" w:rsidRDefault="0084326C">
            <w:pPr>
              <w:pStyle w:val="ListParagraph"/>
              <w:numPr>
                <w:ilvl w:val="0"/>
                <w:numId w:val="80"/>
              </w:numPr>
              <w:spacing w:after="0"/>
              <w:ind w:left="399" w:hanging="283"/>
              <w:jc w:val="left"/>
              <w:rPr>
                <w:rFonts w:ascii="Arial Narrow" w:hAnsi="Arial Narrow"/>
                <w:noProof/>
                <w:color w:val="006100"/>
                <w:sz w:val="20"/>
                <w:szCs w:val="20"/>
              </w:rPr>
            </w:pPr>
            <w:r>
              <w:rPr>
                <w:rFonts w:ascii="Arial Narrow" w:hAnsi="Arial Narrow"/>
                <w:noProof/>
                <w:color w:val="006100"/>
                <w:sz w:val="20"/>
              </w:rPr>
              <w:t>Kindlustus: 26 (80 %)</w:t>
            </w:r>
          </w:p>
          <w:p w14:paraId="4184A293" w14:textId="77777777" w:rsidR="0084326C" w:rsidRPr="005D68A0" w:rsidRDefault="0084326C">
            <w:pPr>
              <w:pStyle w:val="ListParagraph"/>
              <w:numPr>
                <w:ilvl w:val="0"/>
                <w:numId w:val="80"/>
              </w:numPr>
              <w:spacing w:after="0"/>
              <w:ind w:left="399" w:hanging="283"/>
              <w:jc w:val="left"/>
              <w:rPr>
                <w:rFonts w:ascii="Arial Narrow" w:hAnsi="Arial Narrow"/>
                <w:noProof/>
                <w:color w:val="006100"/>
                <w:sz w:val="20"/>
                <w:szCs w:val="20"/>
              </w:rPr>
            </w:pPr>
            <w:r>
              <w:rPr>
                <w:rFonts w:ascii="Arial Narrow" w:hAnsi="Arial Narrow"/>
                <w:noProof/>
                <w:color w:val="006100"/>
                <w:sz w:val="20"/>
              </w:rPr>
              <w:t>Sotsiaal- ja tervishoiuteenused 29 (80 %)</w:t>
            </w:r>
          </w:p>
          <w:p w14:paraId="185DABBC" w14:textId="77777777" w:rsidR="0084326C" w:rsidRPr="005D68A0" w:rsidRDefault="0084326C">
            <w:pPr>
              <w:pStyle w:val="ListParagraph"/>
              <w:numPr>
                <w:ilvl w:val="0"/>
                <w:numId w:val="80"/>
              </w:numPr>
              <w:spacing w:after="0"/>
              <w:ind w:left="399" w:hanging="283"/>
              <w:jc w:val="left"/>
              <w:rPr>
                <w:rFonts w:ascii="Arial Narrow" w:hAnsi="Arial Narrow"/>
                <w:noProof/>
                <w:color w:val="006100"/>
                <w:sz w:val="20"/>
                <w:szCs w:val="20"/>
              </w:rPr>
            </w:pPr>
            <w:r>
              <w:rPr>
                <w:rFonts w:ascii="Arial Narrow" w:hAnsi="Arial Narrow"/>
                <w:noProof/>
                <w:color w:val="006100"/>
                <w:sz w:val="20"/>
              </w:rPr>
              <w:t>Ennetus- ja ohutustöö: 9 (80 %)</w:t>
            </w:r>
          </w:p>
          <w:p w14:paraId="5C9205F7" w14:textId="77777777" w:rsidR="0084326C" w:rsidRPr="005D68A0" w:rsidRDefault="0084326C">
            <w:pPr>
              <w:pStyle w:val="ListParagraph"/>
              <w:numPr>
                <w:ilvl w:val="0"/>
                <w:numId w:val="80"/>
              </w:numPr>
              <w:ind w:left="397" w:hanging="284"/>
              <w:jc w:val="left"/>
              <w:rPr>
                <w:rFonts w:ascii="Arial Narrow" w:hAnsi="Arial Narrow"/>
                <w:noProof/>
                <w:color w:val="006100"/>
                <w:sz w:val="20"/>
                <w:szCs w:val="20"/>
              </w:rPr>
            </w:pPr>
            <w:r>
              <w:rPr>
                <w:rFonts w:ascii="Arial Narrow" w:hAnsi="Arial Narrow"/>
                <w:noProof/>
                <w:color w:val="006100"/>
                <w:sz w:val="20"/>
              </w:rPr>
              <w:t>Sertifikaadid ja kontrollid: 18 (80 %).</w:t>
            </w:r>
          </w:p>
        </w:tc>
      </w:tr>
    </w:tbl>
    <w:p w14:paraId="1BAF79D7" w14:textId="77777777" w:rsidR="0084326C" w:rsidRPr="005D68A0" w:rsidRDefault="0084326C" w:rsidP="0084326C">
      <w:pPr>
        <w:spacing w:before="120" w:after="120"/>
        <w:jc w:val="both"/>
        <w:rPr>
          <w:noProof/>
          <w:lang w:val="en-GB"/>
        </w:rPr>
      </w:pPr>
    </w:p>
    <w:p w14:paraId="35E1F8EF" w14:textId="77777777" w:rsidR="0084326C" w:rsidRPr="005D68A0" w:rsidRDefault="0084326C" w:rsidP="0084326C">
      <w:pPr>
        <w:spacing w:before="120" w:after="120"/>
        <w:jc w:val="both"/>
        <w:rPr>
          <w:noProof/>
          <w:lang w:val="en-GB"/>
        </w:rPr>
      </w:pPr>
    </w:p>
    <w:p w14:paraId="3917BBC5" w14:textId="77777777" w:rsidR="0084326C" w:rsidRPr="005D68A0" w:rsidRDefault="0084326C" w:rsidP="0084326C">
      <w:pPr>
        <w:spacing w:before="120" w:after="120"/>
        <w:jc w:val="both"/>
        <w:rPr>
          <w:noProof/>
          <w:lang w:val="en-GB"/>
        </w:rPr>
        <w:sectPr w:rsidR="0084326C" w:rsidRPr="005D68A0">
          <w:headerReference w:type="even" r:id="rId38"/>
          <w:headerReference w:type="default" r:id="rId39"/>
          <w:footerReference w:type="even" r:id="rId40"/>
          <w:footerReference w:type="default" r:id="rId41"/>
          <w:headerReference w:type="first" r:id="rId42"/>
          <w:footerReference w:type="first" r:id="rId43"/>
          <w:pgSz w:w="16839" w:h="11907" w:orient="landscape"/>
          <w:pgMar w:top="1134" w:right="1134" w:bottom="1134" w:left="1134" w:header="567" w:footer="567" w:gutter="0"/>
          <w:cols w:space="720"/>
          <w:docGrid w:linePitch="360"/>
        </w:sectPr>
      </w:pPr>
    </w:p>
    <w:p w14:paraId="5E8B5153" w14:textId="77777777" w:rsidR="0084326C" w:rsidRPr="005D68A0" w:rsidRDefault="0084326C" w:rsidP="0084326C">
      <w:pPr>
        <w:pStyle w:val="Heading2"/>
        <w:numPr>
          <w:ilvl w:val="1"/>
          <w:numId w:val="0"/>
        </w:numPr>
        <w:ind w:left="850" w:hanging="850"/>
        <w:rPr>
          <w:noProof/>
        </w:rPr>
      </w:pPr>
      <w:r>
        <w:rPr>
          <w:noProof/>
        </w:rPr>
        <w:t>B. ÜLESANNE 1 KOMPONENT 2.</w:t>
      </w:r>
    </w:p>
    <w:p w14:paraId="21BBD869" w14:textId="77777777" w:rsidR="0084326C" w:rsidRPr="005D68A0" w:rsidRDefault="0084326C" w:rsidP="0084326C">
      <w:pPr>
        <w:spacing w:before="120" w:after="120"/>
        <w:jc w:val="both"/>
        <w:rPr>
          <w:b/>
          <w:bCs/>
          <w:noProof/>
          <w:u w:val="single"/>
        </w:rPr>
      </w:pPr>
      <w:r>
        <w:rPr>
          <w:b/>
          <w:noProof/>
          <w:u w:val="single"/>
        </w:rPr>
        <w:t>Telg 1. Tootmissüsteemi digiteerimine, innovatsioon ja konkurentsivõime</w:t>
      </w:r>
    </w:p>
    <w:p w14:paraId="3E6A0644" w14:textId="77777777" w:rsidR="0084326C" w:rsidRPr="005D68A0" w:rsidRDefault="0084326C" w:rsidP="0084326C">
      <w:pPr>
        <w:spacing w:before="120" w:after="120"/>
        <w:jc w:val="both"/>
        <w:rPr>
          <w:noProof/>
        </w:rPr>
      </w:pPr>
      <w:r>
        <w:rPr>
          <w:noProof/>
        </w:rPr>
        <w:t>Itaalia taaste- ja vastupidavuskava eesmärgi 1 komponent 2 käsitleb investeeringuid ja reforme, mille peamine eesmärk on i) toetada digiüleminekut ja tootmissüsteemi innovatsiooni stiimulite kaudu, et investeerida tehnoloogiasse, teadus- ja arendustegevusse ning innovatsiooni; ii) Ülikiirete lairiba- ja 5G -võrkude kasutuselevõtt, et vähendada digitaalset lõhet ning satelliitside konstellatsioone ja -teenuseid; iii) strateegiliste väärtusahelate arendamise edendamine ja ettevõtete konkurentsivõime toetamine, keskendudes VKEdele.</w:t>
      </w:r>
    </w:p>
    <w:p w14:paraId="047F3B8B" w14:textId="77777777" w:rsidR="0084326C" w:rsidRPr="005D68A0" w:rsidRDefault="0084326C" w:rsidP="0084326C">
      <w:pPr>
        <w:spacing w:before="120" w:after="120"/>
        <w:jc w:val="both"/>
        <w:rPr>
          <w:noProof/>
        </w:rPr>
      </w:pPr>
      <w:r>
        <w:rPr>
          <w:noProof/>
        </w:rPr>
        <w:t>Selle komponendi raames võetavate meetmete eesmärk on tegeleda lünkadega, mis tulenevad digitaalmajanduse ja -ühiskonna indeksist (DESI) 2020 seoses ettevõtete digiülemineku ja ühenduvuse puudustega, et tugevdada riigi sotsiaalset ja majanduslikku vastupanuvõimet.</w:t>
      </w:r>
    </w:p>
    <w:p w14:paraId="201BF8FF" w14:textId="77777777" w:rsidR="0084326C" w:rsidRPr="005D68A0" w:rsidRDefault="0084326C" w:rsidP="0084326C">
      <w:pPr>
        <w:spacing w:before="120" w:after="120"/>
        <w:jc w:val="both"/>
        <w:rPr>
          <w:noProof/>
        </w:rPr>
      </w:pPr>
      <w:r>
        <w:rPr>
          <w:noProof/>
        </w:rPr>
        <w:t xml:space="preserve">Selle komponendi raames tehtavad investeeringud ja reformid aitavad täita Itaaliale 2020. ja 2019. aastal esitatud riigipõhiseid soovitusi, mis käsitlevad vajadust „tugevdada kaugõpet ja parandada oskusi, sealhulgas digivahendite vallas“ (2020. aasta riigipõhine soovitus nr 2), „keskenduda investeeringute tegemisel üleminekule rohelisele majandusele ja digitaaltehnoloogiale, eelkõige [...] paremale digitaristule, et tagada esmatähtsate teenuste pakkumine“ (2020. aasta riigipõhine soovitus nr 3), „soodustada täiendusõpet, sealhulgas digioskuste suurendamist“ (2019. aasta riigipõhine soovitus nr 2), „keskenduda investeeringutega seotud majanduspoliitikas teadusuuringutele ja innovatsioonile ning taristu kvaliteedile, võttes arvesse ka piirkondlikke erinevusi“ (2019. aasta riigipõhine soovitus nr 3), ning teatavas ulatuses „toetada uuenduslike ja väiksemate ettevõtete pankadevälist juurdepääsu rahastamisele“ (2019. aasta riigipõhine soovitus nr 5). </w:t>
      </w:r>
    </w:p>
    <w:p w14:paraId="6C2C1CA2" w14:textId="1AC3BADE" w:rsidR="0084326C" w:rsidRPr="005D68A0" w:rsidRDefault="0084326C" w:rsidP="0084326C">
      <w:pPr>
        <w:spacing w:before="120" w:after="120"/>
        <w:jc w:val="both"/>
        <w:rPr>
          <w:noProof/>
        </w:rPr>
      </w:pPr>
      <w:r>
        <w:rPr>
          <w:noProof/>
        </w:rPr>
        <w:t>Lähtudes meetmete kirjeldusest taaste- ja vastupidavuskavas ja võttes arvesse põhimõtte „Ei kahjusta oluliselt“ tehniliste suuniste (2021/C58/01) kohaseid leevendavaid samme, mis kavas on sätestatud, võib eeldada, et ükski selle komponendi meede ei kahjusta määruse (EL)</w:t>
      </w:r>
      <w:r w:rsidR="00326863">
        <w:rPr>
          <w:noProof/>
        </w:rPr>
        <w:t> </w:t>
      </w:r>
      <w:r>
        <w:rPr>
          <w:noProof/>
        </w:rPr>
        <w:t>2020/852 artikli 17 tähenduses oluliselt keskkonnaeesmärke.</w:t>
      </w:r>
    </w:p>
    <w:p w14:paraId="7353766C" w14:textId="77777777" w:rsidR="0084326C" w:rsidRPr="005D68A0" w:rsidRDefault="0084326C" w:rsidP="0084326C">
      <w:pPr>
        <w:spacing w:before="120" w:after="120"/>
        <w:jc w:val="both"/>
        <w:rPr>
          <w:b/>
          <w:bCs/>
          <w:noProof/>
          <w:u w:val="single"/>
        </w:rPr>
      </w:pPr>
      <w:r>
        <w:rPr>
          <w:b/>
          <w:noProof/>
          <w:u w:val="single"/>
        </w:rPr>
        <w:t>Telg 2. Ettevõtluskeskkonna ja konkurentsi parandamine</w:t>
      </w:r>
    </w:p>
    <w:p w14:paraId="63F30BF0" w14:textId="77777777" w:rsidR="0084326C" w:rsidRPr="005D68A0" w:rsidRDefault="0084326C" w:rsidP="0084326C">
      <w:pPr>
        <w:spacing w:before="120" w:after="120"/>
        <w:jc w:val="both"/>
        <w:rPr>
          <w:noProof/>
        </w:rPr>
      </w:pPr>
      <w:r>
        <w:rPr>
          <w:noProof/>
        </w:rPr>
        <w:t xml:space="preserve">Ülesande 1 komponendi 2 telje 2 peamine eesmärk on parandada ettevõtluskeskkonda, et hõlbustada ettevõtlust, ning konkurentsi raamtingimusi, et soodustada ressursside tõhusamat jaotamist ja tootlikkuse kasvu. Peamine vahend nende eesmärkide saavutamiseks on iga-aastane konkurentsiseadus, mis võetakse vastu igal aastal. </w:t>
      </w:r>
    </w:p>
    <w:p w14:paraId="7E1DD604" w14:textId="75FB7AAD" w:rsidR="0084326C" w:rsidRPr="005D68A0" w:rsidRDefault="0084326C" w:rsidP="0084326C">
      <w:pPr>
        <w:spacing w:before="120" w:after="120"/>
        <w:jc w:val="both"/>
        <w:rPr>
          <w:noProof/>
        </w:rPr>
      </w:pPr>
      <w:r>
        <w:rPr>
          <w:noProof/>
        </w:rPr>
        <w:t>Selle komponendi raames tehtavad investeeringud ja reformid aitavad kaasa Itaaliale 2019. aastal esitatud riigipõhiste soovituste täitmisele, seoses vajadusega „tegeleda konkurentsi piiravate asjaoludega, [...] muu hulgas uue iga-aastase konkurentsiseaduse kaudu“ (2019. aasta riigipõhine soovitus 3).</w:t>
      </w:r>
    </w:p>
    <w:p w14:paraId="59A863DE" w14:textId="77777777" w:rsidR="0084326C" w:rsidRPr="005D68A0" w:rsidRDefault="0084326C" w:rsidP="0084326C">
      <w:pPr>
        <w:pStyle w:val="Heading3"/>
        <w:numPr>
          <w:ilvl w:val="2"/>
          <w:numId w:val="0"/>
        </w:numPr>
        <w:ind w:left="850" w:hanging="850"/>
        <w:rPr>
          <w:b/>
          <w:bCs w:val="0"/>
          <w:i w:val="0"/>
          <w:iCs/>
          <w:noProof/>
          <w:u w:val="single"/>
        </w:rPr>
      </w:pPr>
      <w:r>
        <w:rPr>
          <w:b/>
          <w:i w:val="0"/>
          <w:noProof/>
          <w:u w:val="single"/>
        </w:rPr>
        <w:t xml:space="preserve">B.1. </w:t>
      </w:r>
      <w:r>
        <w:rPr>
          <w:noProof/>
        </w:rPr>
        <w:tab/>
      </w:r>
      <w:r>
        <w:rPr>
          <w:b/>
          <w:i w:val="0"/>
          <w:noProof/>
          <w:u w:val="single"/>
        </w:rPr>
        <w:t>Tagastamatu rahalise toetusega seotud reformide ja investeeringute kirjeldus</w:t>
      </w:r>
    </w:p>
    <w:p w14:paraId="2C0C24C6" w14:textId="77777777" w:rsidR="0084326C" w:rsidRPr="005D68A0" w:rsidRDefault="0084326C" w:rsidP="0084326C">
      <w:pPr>
        <w:spacing w:before="120" w:after="120"/>
        <w:jc w:val="both"/>
        <w:rPr>
          <w:i/>
          <w:iCs/>
          <w:noProof/>
          <w:color w:val="4472C4" w:themeColor="accent1"/>
        </w:rPr>
      </w:pPr>
      <w:r>
        <w:rPr>
          <w:i/>
          <w:noProof/>
        </w:rPr>
        <w:t xml:space="preserve">Telg 1. – </w:t>
      </w:r>
      <w:r>
        <w:rPr>
          <w:i/>
          <w:noProof/>
          <w:u w:val="single"/>
        </w:rPr>
        <w:t>Tootmissüsteemi digiteerimine, innovatsioon ja konkurentsivõime</w:t>
      </w:r>
    </w:p>
    <w:p w14:paraId="68EB93B3" w14:textId="77777777" w:rsidR="0084326C" w:rsidRPr="005D68A0" w:rsidRDefault="0084326C" w:rsidP="0084326C">
      <w:pPr>
        <w:spacing w:before="120" w:after="120"/>
        <w:jc w:val="both"/>
        <w:rPr>
          <w:b/>
          <w:bCs/>
          <w:i/>
          <w:iCs/>
          <w:noProof/>
        </w:rPr>
      </w:pPr>
      <w:r>
        <w:rPr>
          <w:b/>
          <w:noProof/>
        </w:rPr>
        <w:t>Investeering 1. Üleminek 4.0</w:t>
      </w:r>
    </w:p>
    <w:p w14:paraId="308E16B7" w14:textId="77777777" w:rsidR="0084326C" w:rsidRPr="005D68A0" w:rsidRDefault="0084326C" w:rsidP="0084326C">
      <w:pPr>
        <w:spacing w:before="120" w:after="120"/>
        <w:jc w:val="both"/>
        <w:rPr>
          <w:i/>
          <w:iCs/>
          <w:noProof/>
          <w:u w:val="single"/>
        </w:rPr>
      </w:pPr>
      <w:r>
        <w:rPr>
          <w:noProof/>
        </w:rPr>
        <w:t>Meetme eesmärk on toetada ettevõtete üleminekut digitehnoloogiale, stimuleerides erainvesteeringuid digiteerimist toetavatesse varadesse ja tegevustesse. Itaalia taaste- ja vastupidavuskava raames rahastatav meede on osa laiemast üleminekukavast 4.0, mis hõlmab muid riigi tasandil rahastatavaid toetusmeetmeid, et hoogustada ettevõtete üleminekut digitehnoloogiale.</w:t>
      </w:r>
    </w:p>
    <w:p w14:paraId="560A3868" w14:textId="77777777" w:rsidR="0084326C" w:rsidRPr="005D68A0" w:rsidRDefault="0084326C" w:rsidP="0084326C">
      <w:pPr>
        <w:spacing w:before="120" w:after="120"/>
        <w:jc w:val="both"/>
        <w:rPr>
          <w:noProof/>
        </w:rPr>
      </w:pPr>
      <w:r>
        <w:rPr>
          <w:noProof/>
        </w:rPr>
        <w:t xml:space="preserve">Meede koosneb maksu ümberarvutuse kavast ja hõlmab ajavahemikul 1. jaanuarist 2021 kuni 31. detsembrini 2023 (30. novembrini 2024 nende äriühingute puhul, kelle maksuaasta ei vasta kalendriaastale) esitatud maksudeklaratsioonides esitatavaid kulusid. Meede hõlmab ka maksukrediidi koodide määratlust, mis määratakse kindlaks maksuameti otsusega, et võimaldada toetusesaajatel kasutada maksukrediiti vastavalt F24 maksemudelile. </w:t>
      </w:r>
    </w:p>
    <w:p w14:paraId="6122C406" w14:textId="77777777" w:rsidR="0084326C" w:rsidRPr="005D68A0" w:rsidRDefault="0084326C" w:rsidP="0084326C">
      <w:pPr>
        <w:spacing w:before="120" w:after="120"/>
        <w:jc w:val="both"/>
        <w:rPr>
          <w:noProof/>
        </w:rPr>
      </w:pPr>
      <w:r>
        <w:rPr>
          <w:noProof/>
        </w:rPr>
        <w:t>Maksusoodustused hõlmavad järgmisi varasid ja tegevusi:</w:t>
      </w:r>
    </w:p>
    <w:p w14:paraId="0DC6F6A5" w14:textId="77777777" w:rsidR="0084326C" w:rsidRPr="005D68A0" w:rsidRDefault="0084326C" w:rsidP="0084326C">
      <w:pPr>
        <w:pStyle w:val="ListParagraph"/>
        <w:numPr>
          <w:ilvl w:val="0"/>
          <w:numId w:val="72"/>
        </w:numPr>
        <w:ind w:left="360"/>
        <w:rPr>
          <w:rFonts w:eastAsiaTheme="minorEastAsia"/>
          <w:noProof/>
        </w:rPr>
      </w:pPr>
      <w:r>
        <w:rPr>
          <w:noProof/>
        </w:rPr>
        <w:t xml:space="preserve">kapitalikaubad, mis koosnevad: i) 4.0 (st tehnoloogiliselt arenenud) materiaalsed kapitalikaubad, näiteks tootmismasinad, mille tegevust kontrollivad arvutisüsteemid või andurid/liidrid, masinad ja süsteemid, mida kasutatakse toodete või protsesside kontrollimiseks, ning interaktiivsed süsteemid; neid kõiki iseloomustavad digifunktsioonid, nagu automatiseeritud integratsioon ja inimene-masin liides; ii) 4.0 immateriaalsed kapitalikaubad, nagu 3D mudelid, tehasesisesed sidesüsteemid ning tehisintellekt ja masinõppe tarkvara, süsteemid, platvormid ja rakendused; iii) standardsed immateriaalsed kapitalikaubad, näiteks ärijuhtimisega seotud tarkvara. See hõlmab maksu ümberarvutusi, mis on esitatud maksudeklaratsioonides ajavahemikul 1. jaanuarist 2021 kuni 31. detsembrini 2023 (äriühingute puhul, mille maksuaasta ei vasta kalendriaastale, 30. novembril 2024). </w:t>
      </w:r>
    </w:p>
    <w:p w14:paraId="24F0D0F7" w14:textId="77777777" w:rsidR="0084326C" w:rsidRPr="005D68A0" w:rsidRDefault="0084326C" w:rsidP="0084326C">
      <w:pPr>
        <w:pStyle w:val="ListParagraph"/>
        <w:numPr>
          <w:ilvl w:val="0"/>
          <w:numId w:val="72"/>
        </w:numPr>
        <w:ind w:left="360"/>
        <w:rPr>
          <w:rFonts w:eastAsiaTheme="minorEastAsia"/>
          <w:noProof/>
        </w:rPr>
      </w:pPr>
      <w:r>
        <w:rPr>
          <w:noProof/>
        </w:rPr>
        <w:t xml:space="preserve">Teadus-, arendus- ja innovatsioonitegevus, mis koosneb teadus- ja arendustegevusest, tehnoloogilisest innovatsioonist, keskkonnasäästlikust ja digitaalsest innovatsioonist ning disainitegevusest. See hõlmab maksu ümberarvutusi, mis on esitatud maksudeklaratsioonides ajavahemikul 1. jaanuarist 2022 kuni 31. detsembrini 2023 (äriühingute puhul, mille maksuaasta ei vasta kalendriaastale, 30. novembril 2024). </w:t>
      </w:r>
    </w:p>
    <w:p w14:paraId="458D4FF9" w14:textId="77777777" w:rsidR="0084326C" w:rsidRPr="005D68A0" w:rsidRDefault="0084326C" w:rsidP="0084326C">
      <w:pPr>
        <w:pStyle w:val="ListParagraph"/>
        <w:numPr>
          <w:ilvl w:val="0"/>
          <w:numId w:val="72"/>
        </w:numPr>
        <w:ind w:left="360"/>
        <w:rPr>
          <w:rFonts w:eastAsiaTheme="minorEastAsia"/>
          <w:noProof/>
        </w:rPr>
      </w:pPr>
      <w:r>
        <w:rPr>
          <w:noProof/>
        </w:rPr>
        <w:t xml:space="preserve">koolitustegevus, mille eesmärk on omandada või konsolideerida teadmisi asjakohaste tehnoloogiate kohta, nagu suurandmed ja andmeanalüüs, inimene-masin liides, asjade internet, äriprotsesside digitaalne integreerimine, küberturvalisus. See hõlmab maksu ümberarvutusi, mis on esitatud maksudeklaratsioonides ajavahemikul 1. jaanuarist 2022 kuni 31. detsembrini 2023 (äriühingute puhul, mille maksuaasta ei vasta kalendriaastale, 30. novembril 2024). </w:t>
      </w:r>
    </w:p>
    <w:p w14:paraId="5941DECB" w14:textId="77777777" w:rsidR="0084326C" w:rsidRPr="005D68A0" w:rsidRDefault="0084326C" w:rsidP="0084326C">
      <w:pPr>
        <w:spacing w:before="120" w:after="120"/>
        <w:jc w:val="both"/>
        <w:rPr>
          <w:noProof/>
        </w:rPr>
      </w:pPr>
      <w:r>
        <w:rPr>
          <w:noProof/>
        </w:rPr>
        <w:t>Meede hõlmab teaduskomitee loomist, kuhu kuuluvad eksperdid majandus- ja rahandusministeeriumist, majandusarengu ministeeriumist ja Itaalia Pangast, et hinnata kava majanduslikku mõju.</w:t>
      </w:r>
    </w:p>
    <w:p w14:paraId="4F0CFBB2" w14:textId="77777777" w:rsidR="0084326C" w:rsidRPr="005D68A0" w:rsidRDefault="0084326C" w:rsidP="0084326C">
      <w:pPr>
        <w:spacing w:before="120" w:after="120"/>
        <w:jc w:val="both"/>
        <w:rPr>
          <w:b/>
          <w:bCs/>
          <w:noProof/>
        </w:rPr>
      </w:pPr>
      <w:r>
        <w:rPr>
          <w:b/>
          <w:noProof/>
        </w:rPr>
        <w:t xml:space="preserve">Reform 1. Tööstusomandi süsteemi reform </w:t>
      </w:r>
    </w:p>
    <w:p w14:paraId="4020AF5C" w14:textId="77777777" w:rsidR="0084326C" w:rsidRPr="005D68A0" w:rsidRDefault="0084326C" w:rsidP="0084326C">
      <w:pPr>
        <w:spacing w:before="120" w:after="120"/>
        <w:jc w:val="both"/>
        <w:rPr>
          <w:noProof/>
        </w:rPr>
      </w:pPr>
      <w:r>
        <w:rPr>
          <w:noProof/>
          <w:color w:val="000000" w:themeColor="text1"/>
        </w:rPr>
        <w:t>Reformi peamine eesmärk on kohandada tööstusomandi süsteem tänapäevastele väljakutsetele ja tagada, et innovatsioonipotentsiaal aitab tõhusalt kaasa riigi taastumisele ja vastupanuvõimele. Täpsemalt on selle eesmärk saavutada järgmised eesmärgid: tööstusomandi kaitse süsteemi tõhustamine; tööstusomandi kasutamise ja levitamise soodustamine, eelkõige VKEde poolt; hõlbustada juurdepääsu immateriaalsele varale ja selle jagamist, tagades samal ajal investeeringute õiglase tasuvuse; tööstusomandi rangema austamise tagamine; Itaalia rolli tugevdamine tööstusomandit käsitlevatel Euroopa ja rahvusvahelistel foorumitel.</w:t>
      </w:r>
    </w:p>
    <w:p w14:paraId="40F43224" w14:textId="77777777" w:rsidR="0084326C" w:rsidRPr="005D68A0" w:rsidRDefault="0084326C" w:rsidP="0084326C">
      <w:pPr>
        <w:spacing w:before="120" w:after="120"/>
        <w:jc w:val="both"/>
        <w:rPr>
          <w:noProof/>
          <w:color w:val="000000" w:themeColor="text1"/>
        </w:rPr>
      </w:pPr>
      <w:r>
        <w:rPr>
          <w:noProof/>
          <w:color w:val="000000" w:themeColor="text1"/>
        </w:rPr>
        <w:t xml:space="preserve">Meede on seotud Itaalia tööstusomandi seadustiku reformiga, mis hõlmab vähemalt järgmisi valdkondi: i) vaadata läbi reguleeriv raamistik, et tugevdada tööstusomandi õiguste kaitset ja lihtsustada menetlusi, ii) suurendada toetust ettevõtetele ja teadusasutustele, iii) parandada oskuste ja pädevuste arendamist, iv) hõlbustada teadmussiiret ja v) tugevdada innovatiivsete teenuste edendamist. </w:t>
      </w:r>
    </w:p>
    <w:p w14:paraId="7334611F" w14:textId="77777777" w:rsidR="0084326C" w:rsidRPr="005D68A0" w:rsidRDefault="0084326C" w:rsidP="0084326C">
      <w:pPr>
        <w:spacing w:before="120" w:after="120"/>
        <w:jc w:val="both"/>
        <w:rPr>
          <w:b/>
          <w:bCs/>
          <w:noProof/>
        </w:rPr>
      </w:pPr>
      <w:r>
        <w:rPr>
          <w:b/>
          <w:noProof/>
        </w:rPr>
        <w:t>Investeering 6. Investeeringud tööstusomandi süsteemi</w:t>
      </w:r>
    </w:p>
    <w:p w14:paraId="3B7EDE7E" w14:textId="77777777" w:rsidR="0084326C" w:rsidRPr="005D68A0" w:rsidRDefault="0084326C" w:rsidP="0084326C">
      <w:pPr>
        <w:spacing w:before="120" w:after="120"/>
        <w:jc w:val="both"/>
        <w:rPr>
          <w:noProof/>
        </w:rPr>
      </w:pPr>
      <w:r>
        <w:rPr>
          <w:noProof/>
          <w:color w:val="000000" w:themeColor="text1"/>
        </w:rPr>
        <w:t xml:space="preserve">Investeeringu eesmärk on toetada tööstusomandi süsteemi ja toetada selle reformi, nagu on ette nähtud selle komponendi reformi nr 1 raames. Meede hõlmab rahalist toetust ettevõtete ja teadusasutuste tööstusomandiga seotud projektidele, nagu patentidega seotud meetmed (Brevetti+), kontseptsiooni tõestamise programmid ja tehnosiirdebüroode tugevdamine. </w:t>
      </w:r>
    </w:p>
    <w:p w14:paraId="0D2A67E9" w14:textId="77777777" w:rsidR="0084326C" w:rsidRPr="005D68A0" w:rsidRDefault="0084326C" w:rsidP="0084326C">
      <w:pPr>
        <w:spacing w:before="120" w:after="120"/>
        <w:jc w:val="both"/>
        <w:rPr>
          <w:noProof/>
        </w:rPr>
      </w:pPr>
      <w:r>
        <w:rPr>
          <w:noProof/>
        </w:rPr>
        <w:t>Tagamaks, et meede vastab tehnilisele juhendile „Mitte tekitada olulist kahju“ (2021/C58/01), ei hõlma tulevaste projektikonkursside suunistes sisalduvad abikõlblikkuse kriteeriumid teadus- ja arendustegevust, mis on pühendatud järgmistele tegevustele: i) fossiilkütustega seotud tegevus, sealhulgas allkasutus tootmisahela järgmistes etappides</w:t>
      </w:r>
      <w:r w:rsidRPr="005D68A0">
        <w:rPr>
          <w:rStyle w:val="FootnoteReference"/>
          <w:noProof/>
          <w:lang w:val="en-GB"/>
        </w:rPr>
        <w:footnoteReference w:id="2"/>
      </w:r>
      <w:r>
        <w:rPr>
          <w:noProof/>
        </w:rPr>
        <w:t>; ii) ELi heitkogustega kauplemise süsteemi (HKS) raames toimuv tegevus, mille prognoositav kasvuhoonegaaside heide ei ole asjaomastest võrdlusalustest</w:t>
      </w:r>
      <w:r w:rsidRPr="005D68A0">
        <w:rPr>
          <w:rStyle w:val="FootnoteReference"/>
          <w:noProof/>
          <w:lang w:val="en-GB"/>
        </w:rPr>
        <w:footnoteReference w:id="3"/>
      </w:r>
      <w:r>
        <w:rPr>
          <w:noProof/>
        </w:rPr>
        <w:t xml:space="preserve"> madalam; iii) prügilate, jäätmepõletustehaste</w:t>
      </w:r>
      <w:r w:rsidRPr="005D68A0">
        <w:rPr>
          <w:rStyle w:val="FootnoteReference"/>
          <w:noProof/>
          <w:lang w:val="en-GB"/>
        </w:rPr>
        <w:footnoteReference w:id="4"/>
      </w:r>
      <w:r>
        <w:rPr>
          <w:noProof/>
        </w:rPr>
        <w:t xml:space="preserve"> ja mehhaanilis-bioloogilise töötlemise jaamadega</w:t>
      </w:r>
      <w:r w:rsidRPr="005D68A0">
        <w:rPr>
          <w:rStyle w:val="FootnoteReference"/>
          <w:noProof/>
          <w:lang w:val="en-GB"/>
        </w:rPr>
        <w:footnoteReference w:id="5"/>
      </w:r>
      <w:r>
        <w:rPr>
          <w:noProof/>
        </w:rPr>
        <w:t xml:space="preserve"> seotud tegevus; iv) tegevused, mille puhul jäätmete pikaajaline kõrvaldamine võib kahjustada keskkonda. Peale selle peab konkursitingimustes olema sätestatud, et valida võib ainult tegevusi, mis vastavad asjakohastele ELi ja riiklikele keskkonnaalastele õigusaktidele.</w:t>
      </w:r>
    </w:p>
    <w:p w14:paraId="2EE10AD8" w14:textId="77777777" w:rsidR="0084326C" w:rsidRPr="005D68A0" w:rsidRDefault="0084326C" w:rsidP="0084326C">
      <w:pPr>
        <w:spacing w:before="120" w:after="120"/>
        <w:jc w:val="both"/>
        <w:rPr>
          <w:i/>
          <w:iCs/>
          <w:noProof/>
          <w:u w:val="single"/>
        </w:rPr>
      </w:pPr>
      <w:r>
        <w:rPr>
          <w:i/>
          <w:noProof/>
          <w:u w:val="single"/>
        </w:rPr>
        <w:t>Telg 2. Ettevõtluskeskkonna ja konkurentsi parandamine</w:t>
      </w:r>
    </w:p>
    <w:p w14:paraId="0A69D8F6" w14:textId="77777777" w:rsidR="0084326C" w:rsidRPr="005D68A0" w:rsidRDefault="0084326C" w:rsidP="0084326C">
      <w:pPr>
        <w:spacing w:before="120" w:after="120"/>
        <w:jc w:val="both"/>
        <w:rPr>
          <w:b/>
          <w:bCs/>
          <w:noProof/>
        </w:rPr>
      </w:pPr>
      <w:r>
        <w:rPr>
          <w:b/>
          <w:noProof/>
        </w:rPr>
        <w:t>Reform 2. Iga-aastased konkurentsiseadused 2021, 2022, 2023 ja 2024</w:t>
      </w:r>
    </w:p>
    <w:p w14:paraId="19B51CB4" w14:textId="77777777" w:rsidR="0084326C" w:rsidRPr="005D68A0" w:rsidRDefault="0084326C" w:rsidP="0084326C">
      <w:pPr>
        <w:spacing w:before="120" w:after="120"/>
        <w:jc w:val="both"/>
        <w:rPr>
          <w:noProof/>
        </w:rPr>
      </w:pPr>
      <w:r>
        <w:rPr>
          <w:noProof/>
        </w:rPr>
        <w:t xml:space="preserve">Konkurentsiseadus võetakse vastu igal aastal, suurendades konkurentsipõhist hankemenetlust, et sõlmida avaliku teenindamise lepinguid kohalike avalike teenuste osutamiseks (eelkõige jäätmete ja ühistranspordi valdkonnas), vältides sadamate, maanteede, elektrisõidukite laadimisjaamade ja hüdroenergia kontsessioonide põhjendamatut pikendamist turgu valitsevatele ettevõtjatele paljudes sektorites, nähes ette avaliku teenindamise lepingute nõuetekohase reguleerimise, vaadates läbi agregeerimise eeskirjad ning kohaldades avaliku teenindamise lepingute kestuse ja nõuetekohase hüvitamise suhtes proportsionaalsuse üldpõhimõtet. Konkurentsiseadusega suurendatakse ka piirkondade stiimuleid avaliku teenindamise lepingute sõlmimiseks piirkondlike raudteeteenuste osutamiseks. Samuti nähakse ette selge lahusus reguleerimis-/kontrollifunktsioonide ja lepingute haldamise vahel. </w:t>
      </w:r>
    </w:p>
    <w:p w14:paraId="541AD5DE" w14:textId="77777777" w:rsidR="0084326C" w:rsidRPr="005D68A0" w:rsidRDefault="0084326C" w:rsidP="0084326C">
      <w:pPr>
        <w:spacing w:before="120" w:after="120"/>
        <w:jc w:val="both"/>
        <w:rPr>
          <w:noProof/>
        </w:rPr>
      </w:pPr>
      <w:r>
        <w:rPr>
          <w:noProof/>
        </w:rPr>
        <w:t>Sektoripõhiste meetmete osas sisaldavad iga-aastased konkurentsiseadused energeetika (elekter, gaas ja vesi), jäätmekäitluse ja transpordi (sadamad, raudtee ja maanteed) valdkonna meetmeid, mis täiendavad 2. ja 3. missiooni investeeringuid ja reforme. Täiendavad meetmed konkurentsi tagamiseks elektri jaeturgudel jõustuvad hiljemalt 31. detsembril 2022. 2022. aasta konkurentsiseadusega võetakse eelkõige vastu elektrivõrgu arengukava ja edendatakse teise põlvkonna arukate elektriarvestite kasutuselevõttu, mis 31. detsembriks 2025 ulatuvad 33 miljoni ühikuni kogu Itaalias.</w:t>
      </w:r>
    </w:p>
    <w:p w14:paraId="248B937F" w14:textId="16D04818" w:rsidR="0084326C" w:rsidRPr="005D68A0" w:rsidRDefault="0084326C" w:rsidP="0084326C">
      <w:pPr>
        <w:spacing w:before="120" w:after="120"/>
        <w:jc w:val="both"/>
        <w:rPr>
          <w:noProof/>
        </w:rPr>
      </w:pPr>
      <w:r>
        <w:rPr>
          <w:noProof/>
        </w:rPr>
        <w:t xml:space="preserve">Lisaks parandatakse seadustega ettevõtluskeskkonda vähemalt järgmiste meetmete abil: i) ühinemiste kontrolli käsitlevate eeskirjade vastavusse viimine ELi õigusega, ii) turujärelevalveasutuste konsolideerimine, digiteerimine ja professionaliseerimine ning iii) töötajate kohta teabe andmise akrediteerimise tähtaja lühendamine seitsmelt päevalt neljale päevale, et vähendada ettevõtte asutamiseks kuluvat päevade arvu.  </w:t>
      </w:r>
    </w:p>
    <w:p w14:paraId="19A62D8E" w14:textId="77777777" w:rsidR="0084326C" w:rsidRPr="005D68A0" w:rsidRDefault="0084326C" w:rsidP="0084326C">
      <w:pPr>
        <w:spacing w:before="120" w:after="120"/>
        <w:jc w:val="both"/>
        <w:rPr>
          <w:b/>
          <w:bCs/>
          <w:noProof/>
        </w:rPr>
      </w:pPr>
      <w:r>
        <w:rPr>
          <w:b/>
          <w:noProof/>
        </w:rPr>
        <w:t xml:space="preserve">Reform 3. Ettevõtete stiimulite ratsionaliseerimine ja lihtsustamine. </w:t>
      </w:r>
    </w:p>
    <w:p w14:paraId="172E5FD4" w14:textId="77777777" w:rsidR="0084326C" w:rsidRPr="005D68A0" w:rsidRDefault="0084326C" w:rsidP="0084326C">
      <w:pPr>
        <w:spacing w:before="120" w:after="120"/>
        <w:jc w:val="both"/>
        <w:rPr>
          <w:noProof/>
        </w:rPr>
      </w:pPr>
      <w:r>
        <w:rPr>
          <w:noProof/>
        </w:rPr>
        <w:t xml:space="preserve">Reform hõlmab kõigi ettevõtetele suunatud riiklike stiimulite ja nendega seotud vahendite süstemaatilist läbivaatamist. </w:t>
      </w:r>
    </w:p>
    <w:p w14:paraId="691F072E" w14:textId="77777777" w:rsidR="0084326C" w:rsidRPr="005D68A0" w:rsidRDefault="0084326C" w:rsidP="0084326C">
      <w:pPr>
        <w:spacing w:before="120" w:after="120"/>
        <w:jc w:val="both"/>
        <w:rPr>
          <w:noProof/>
        </w:rPr>
      </w:pPr>
      <w:r>
        <w:rPr>
          <w:noProof/>
        </w:rPr>
        <w:t>Reform viiakse ellu kahes etapis:</w:t>
      </w:r>
    </w:p>
    <w:p w14:paraId="66634E45" w14:textId="77777777" w:rsidR="0084326C" w:rsidRPr="005D68A0" w:rsidRDefault="0084326C" w:rsidP="0084326C">
      <w:pPr>
        <w:pStyle w:val="ListParagraph"/>
        <w:numPr>
          <w:ilvl w:val="0"/>
          <w:numId w:val="107"/>
        </w:numPr>
        <w:spacing w:before="0" w:after="0"/>
        <w:rPr>
          <w:noProof/>
        </w:rPr>
      </w:pPr>
      <w:r>
        <w:rPr>
          <w:noProof/>
        </w:rPr>
        <w:t xml:space="preserve">Ettevõtetele pakutavate stiimulite hindamise aruande avaldamine. Aruandes töötatakse välja ka konkreetsed ettepanekud ettevõtete stiimulite lihtsustamiseks ja ratsionaliseerimiseks. </w:t>
      </w:r>
    </w:p>
    <w:p w14:paraId="0ABE8FC0" w14:textId="77777777" w:rsidR="0084326C" w:rsidRPr="005D68A0" w:rsidRDefault="0084326C" w:rsidP="0084326C">
      <w:pPr>
        <w:jc w:val="both"/>
        <w:rPr>
          <w:noProof/>
        </w:rPr>
      </w:pPr>
      <w:r>
        <w:rPr>
          <w:noProof/>
        </w:rPr>
        <w:t xml:space="preserve"> </w:t>
      </w:r>
    </w:p>
    <w:p w14:paraId="4B9D74B1" w14:textId="43A7A070" w:rsidR="0084326C" w:rsidRPr="005D68A0" w:rsidRDefault="0084326C" w:rsidP="0084326C">
      <w:pPr>
        <w:pStyle w:val="ListParagraph"/>
        <w:numPr>
          <w:ilvl w:val="0"/>
          <w:numId w:val="106"/>
        </w:numPr>
        <w:spacing w:before="0" w:after="0"/>
        <w:rPr>
          <w:noProof/>
        </w:rPr>
      </w:pPr>
      <w:r>
        <w:rPr>
          <w:noProof/>
        </w:rPr>
        <w:t>Seadusandliku akti jõustumine, millega rakendatakse volitusseadust „Legge delega Incentivi“. Õigusaktide reguleerimisalaks on ettevõtete stiimulite ühtlustamine ja ratsionaliseerimine.</w:t>
      </w:r>
    </w:p>
    <w:p w14:paraId="72929020" w14:textId="77777777" w:rsidR="0084326C" w:rsidRPr="005D68A0" w:rsidRDefault="0084326C" w:rsidP="0084326C">
      <w:pPr>
        <w:spacing w:line="276" w:lineRule="auto"/>
        <w:jc w:val="both"/>
        <w:rPr>
          <w:noProof/>
          <w:sz w:val="12"/>
          <w:szCs w:val="12"/>
        </w:rPr>
      </w:pPr>
      <w:r>
        <w:rPr>
          <w:noProof/>
          <w:sz w:val="12"/>
        </w:rPr>
        <w:t xml:space="preserve"> </w:t>
      </w:r>
    </w:p>
    <w:p w14:paraId="7BB0160E" w14:textId="77777777" w:rsidR="0084326C" w:rsidRPr="005D68A0" w:rsidRDefault="0084326C" w:rsidP="0084326C">
      <w:pPr>
        <w:spacing w:line="276" w:lineRule="auto"/>
        <w:jc w:val="both"/>
        <w:rPr>
          <w:noProof/>
        </w:rPr>
      </w:pPr>
      <w:r>
        <w:rPr>
          <w:noProof/>
        </w:rPr>
        <w:t>Reform hõlmab Itaalia ettevõtlus- ja Made’i ministeeriumi (MIMIT) hallatava kahe peamise vahendi ümberkorraldamist ja edasist rakendamist:</w:t>
      </w:r>
    </w:p>
    <w:p w14:paraId="2D4B0FCC" w14:textId="77777777" w:rsidR="0084326C" w:rsidRPr="005D68A0" w:rsidRDefault="0084326C" w:rsidP="0084326C">
      <w:pPr>
        <w:spacing w:line="276" w:lineRule="auto"/>
        <w:jc w:val="both"/>
        <w:rPr>
          <w:noProof/>
        </w:rPr>
      </w:pPr>
      <w:r>
        <w:rPr>
          <w:noProof/>
        </w:rPr>
        <w:t xml:space="preserve"> a) RNA (riiklik riigiabiregister) ja</w:t>
      </w:r>
    </w:p>
    <w:p w14:paraId="33A9D090" w14:textId="54C98775" w:rsidR="0084326C" w:rsidRPr="005D68A0" w:rsidRDefault="0084326C" w:rsidP="0084326C">
      <w:pPr>
        <w:spacing w:line="276" w:lineRule="auto"/>
        <w:jc w:val="both"/>
        <w:rPr>
          <w:noProof/>
        </w:rPr>
      </w:pPr>
      <w:r>
        <w:rPr>
          <w:noProof/>
        </w:rPr>
        <w:t xml:space="preserve"> b) platvorm </w:t>
      </w:r>
      <w:r>
        <w:rPr>
          <w:i/>
          <w:noProof/>
        </w:rPr>
        <w:t>incentivi.gov.it</w:t>
      </w:r>
      <w:r>
        <w:rPr>
          <w:noProof/>
        </w:rPr>
        <w:t>.</w:t>
      </w:r>
    </w:p>
    <w:p w14:paraId="14B2FAC8" w14:textId="77777777" w:rsidR="0084326C" w:rsidRPr="005D68A0" w:rsidRDefault="0084326C" w:rsidP="0084326C">
      <w:pPr>
        <w:jc w:val="both"/>
        <w:rPr>
          <w:noProof/>
        </w:rPr>
      </w:pPr>
      <w:r>
        <w:rPr>
          <w:noProof/>
        </w:rPr>
        <w:t xml:space="preserve">  </w:t>
      </w:r>
      <w:r>
        <w:rPr>
          <w:noProof/>
        </w:rPr>
        <w:br/>
      </w:r>
    </w:p>
    <w:p w14:paraId="314B95A9" w14:textId="77777777" w:rsidR="0084326C" w:rsidRPr="005D68A0" w:rsidRDefault="0084326C" w:rsidP="0084326C">
      <w:pPr>
        <w:spacing w:before="120" w:after="120"/>
        <w:jc w:val="both"/>
        <w:rPr>
          <w:noProof/>
          <w:lang w:val="en-GB"/>
        </w:rPr>
        <w:sectPr w:rsidR="0084326C" w:rsidRPr="005D68A0">
          <w:headerReference w:type="even" r:id="rId44"/>
          <w:headerReference w:type="default" r:id="rId45"/>
          <w:footerReference w:type="even" r:id="rId46"/>
          <w:footerReference w:type="default" r:id="rId47"/>
          <w:headerReference w:type="first" r:id="rId48"/>
          <w:footerReference w:type="first" r:id="rId49"/>
          <w:pgSz w:w="11907" w:h="16839"/>
          <w:pgMar w:top="1440" w:right="1440" w:bottom="1440" w:left="1440" w:header="567" w:footer="567" w:gutter="0"/>
          <w:cols w:space="720"/>
          <w:docGrid w:linePitch="360"/>
        </w:sectPr>
      </w:pPr>
    </w:p>
    <w:p w14:paraId="3BB9476A" w14:textId="77777777" w:rsidR="0084326C" w:rsidRPr="005D68A0" w:rsidRDefault="0084326C" w:rsidP="0084326C">
      <w:pPr>
        <w:pStyle w:val="Heading3"/>
        <w:numPr>
          <w:ilvl w:val="2"/>
          <w:numId w:val="0"/>
        </w:numPr>
        <w:ind w:left="850" w:hanging="850"/>
        <w:rPr>
          <w:b/>
          <w:bCs w:val="0"/>
          <w:i w:val="0"/>
          <w:iCs/>
          <w:noProof/>
          <w:u w:val="single"/>
        </w:rPr>
      </w:pPr>
      <w:r>
        <w:rPr>
          <w:b/>
          <w:i w:val="0"/>
          <w:noProof/>
          <w:u w:val="single"/>
        </w:rPr>
        <w:t xml:space="preserve">B.2. </w:t>
      </w:r>
      <w:r>
        <w:rPr>
          <w:noProof/>
        </w:rPr>
        <w:tab/>
      </w:r>
      <w:r>
        <w:rPr>
          <w:b/>
          <w:i w:val="0"/>
          <w:noProof/>
          <w:u w:val="single"/>
        </w:rPr>
        <w:t>Tagastamatu rahalise toetuse eesmärgid, sihid, näitajad ning seire ja rakendamise ajakava</w:t>
      </w:r>
    </w:p>
    <w:tbl>
      <w:tblPr>
        <w:tblW w:w="155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134"/>
        <w:gridCol w:w="1134"/>
        <w:gridCol w:w="1701"/>
        <w:gridCol w:w="1456"/>
        <w:gridCol w:w="960"/>
        <w:gridCol w:w="1127"/>
        <w:gridCol w:w="1276"/>
        <w:gridCol w:w="851"/>
        <w:gridCol w:w="708"/>
        <w:gridCol w:w="4094"/>
      </w:tblGrid>
      <w:tr w:rsidR="005F0490" w:rsidRPr="00D90835" w14:paraId="047F78B7" w14:textId="77777777" w:rsidTr="00EB28C2">
        <w:trPr>
          <w:trHeight w:val="1020"/>
          <w:tblHeader/>
        </w:trPr>
        <w:tc>
          <w:tcPr>
            <w:tcW w:w="1135" w:type="dxa"/>
            <w:vMerge w:val="restart"/>
            <w:shd w:val="clear" w:color="auto" w:fill="BDD7EE"/>
            <w:vAlign w:val="center"/>
          </w:tcPr>
          <w:p w14:paraId="4DF5913D" w14:textId="77777777" w:rsidR="0084326C" w:rsidRPr="005D68A0" w:rsidRDefault="0084326C">
            <w:pPr>
              <w:spacing w:before="120" w:after="120"/>
              <w:jc w:val="center"/>
              <w:rPr>
                <w:rFonts w:ascii="Arial Narrow" w:hAnsi="Arial Narrow"/>
                <w:b/>
                <w:noProof/>
                <w:sz w:val="20"/>
              </w:rPr>
            </w:pPr>
            <w:r>
              <w:rPr>
                <w:rFonts w:ascii="Arial Narrow" w:hAnsi="Arial Narrow"/>
                <w:b/>
                <w:noProof/>
                <w:sz w:val="20"/>
              </w:rPr>
              <w:t>Järjekorranumber</w:t>
            </w:r>
          </w:p>
        </w:tc>
        <w:tc>
          <w:tcPr>
            <w:tcW w:w="1134" w:type="dxa"/>
            <w:vMerge w:val="restart"/>
            <w:shd w:val="clear" w:color="auto" w:fill="BDD7EE"/>
            <w:vAlign w:val="center"/>
          </w:tcPr>
          <w:p w14:paraId="60D1A1EE" w14:textId="77777777" w:rsidR="0084326C" w:rsidRPr="005D68A0" w:rsidRDefault="0084326C">
            <w:pPr>
              <w:spacing w:before="120" w:after="120"/>
              <w:jc w:val="center"/>
              <w:rPr>
                <w:rFonts w:ascii="Arial Narrow" w:hAnsi="Arial Narrow"/>
                <w:b/>
                <w:noProof/>
                <w:sz w:val="20"/>
              </w:rPr>
            </w:pPr>
            <w:r>
              <w:rPr>
                <w:rFonts w:ascii="Arial Narrow" w:hAnsi="Arial Narrow"/>
                <w:b/>
                <w:noProof/>
                <w:sz w:val="20"/>
              </w:rPr>
              <w:t>Meede</w:t>
            </w:r>
          </w:p>
        </w:tc>
        <w:tc>
          <w:tcPr>
            <w:tcW w:w="1134" w:type="dxa"/>
            <w:vMerge w:val="restart"/>
            <w:shd w:val="clear" w:color="auto" w:fill="BDD7EE"/>
            <w:vAlign w:val="center"/>
          </w:tcPr>
          <w:p w14:paraId="653E2051" w14:textId="77777777" w:rsidR="0084326C" w:rsidRPr="005D68A0" w:rsidRDefault="0084326C">
            <w:pPr>
              <w:spacing w:before="120" w:after="120"/>
              <w:jc w:val="center"/>
              <w:rPr>
                <w:rFonts w:ascii="Arial Narrow" w:hAnsi="Arial Narrow"/>
                <w:b/>
                <w:noProof/>
                <w:sz w:val="20"/>
              </w:rPr>
            </w:pPr>
            <w:r>
              <w:rPr>
                <w:rFonts w:ascii="Arial Narrow" w:hAnsi="Arial Narrow"/>
                <w:b/>
                <w:noProof/>
                <w:sz w:val="20"/>
              </w:rPr>
              <w:t>Eesmärk / siht</w:t>
            </w:r>
          </w:p>
        </w:tc>
        <w:tc>
          <w:tcPr>
            <w:tcW w:w="1701" w:type="dxa"/>
            <w:vMerge w:val="restart"/>
            <w:shd w:val="clear" w:color="auto" w:fill="BDD7EE"/>
            <w:vAlign w:val="center"/>
          </w:tcPr>
          <w:p w14:paraId="1B6AC31B" w14:textId="77777777" w:rsidR="0084326C" w:rsidRPr="005D68A0" w:rsidRDefault="0084326C">
            <w:pPr>
              <w:spacing w:before="120" w:after="120"/>
              <w:jc w:val="center"/>
              <w:rPr>
                <w:rFonts w:ascii="Arial Narrow" w:hAnsi="Arial Narrow"/>
                <w:b/>
                <w:noProof/>
                <w:sz w:val="20"/>
              </w:rPr>
            </w:pPr>
            <w:r>
              <w:rPr>
                <w:rFonts w:ascii="Arial Narrow" w:hAnsi="Arial Narrow"/>
                <w:b/>
                <w:noProof/>
                <w:sz w:val="20"/>
              </w:rPr>
              <w:t>Nimi</w:t>
            </w:r>
          </w:p>
        </w:tc>
        <w:tc>
          <w:tcPr>
            <w:tcW w:w="1456" w:type="dxa"/>
            <w:vMerge w:val="restart"/>
            <w:shd w:val="clear" w:color="auto" w:fill="BDD7EE"/>
            <w:vAlign w:val="center"/>
          </w:tcPr>
          <w:p w14:paraId="69CBAA10" w14:textId="77777777" w:rsidR="0084326C" w:rsidRPr="005D68A0" w:rsidRDefault="0084326C">
            <w:pPr>
              <w:spacing w:before="120" w:after="120"/>
              <w:jc w:val="center"/>
              <w:rPr>
                <w:rFonts w:ascii="Arial Narrow" w:hAnsi="Arial Narrow"/>
                <w:b/>
                <w:noProof/>
                <w:sz w:val="20"/>
              </w:rPr>
            </w:pPr>
            <w:r>
              <w:rPr>
                <w:rFonts w:ascii="Arial Narrow" w:hAnsi="Arial Narrow"/>
                <w:b/>
                <w:noProof/>
                <w:sz w:val="20"/>
              </w:rPr>
              <w:t>Kvalitatiivsed näitajad</w:t>
            </w:r>
            <w:r>
              <w:rPr>
                <w:noProof/>
              </w:rPr>
              <w:t xml:space="preserve"> </w:t>
            </w:r>
            <w:r>
              <w:rPr>
                <w:noProof/>
              </w:rPr>
              <w:br/>
            </w:r>
            <w:r>
              <w:rPr>
                <w:rFonts w:ascii="Arial Narrow" w:hAnsi="Arial Narrow"/>
                <w:b/>
                <w:noProof/>
                <w:sz w:val="20"/>
              </w:rPr>
              <w:t>(eesmärkide puhul)</w:t>
            </w:r>
          </w:p>
        </w:tc>
        <w:tc>
          <w:tcPr>
            <w:tcW w:w="3363" w:type="dxa"/>
            <w:gridSpan w:val="3"/>
            <w:tcBorders>
              <w:top w:val="single" w:sz="4" w:space="0" w:color="auto"/>
              <w:left w:val="single" w:sz="4" w:space="0" w:color="auto"/>
              <w:bottom w:val="single" w:sz="4" w:space="0" w:color="auto"/>
              <w:right w:val="single" w:sz="4" w:space="0" w:color="auto"/>
            </w:tcBorders>
            <w:shd w:val="clear" w:color="auto" w:fill="BDD7EE"/>
            <w:vAlign w:val="center"/>
          </w:tcPr>
          <w:p w14:paraId="45481E0D" w14:textId="77777777" w:rsidR="0084326C" w:rsidRPr="005D68A0" w:rsidRDefault="0084326C">
            <w:pPr>
              <w:spacing w:before="120" w:after="120"/>
              <w:jc w:val="center"/>
              <w:rPr>
                <w:rFonts w:ascii="Arial Narrow" w:hAnsi="Arial Narrow"/>
                <w:b/>
                <w:noProof/>
                <w:sz w:val="20"/>
              </w:rPr>
            </w:pPr>
            <w:r>
              <w:rPr>
                <w:rFonts w:ascii="Arial Narrow" w:hAnsi="Arial Narrow"/>
                <w:b/>
                <w:noProof/>
                <w:sz w:val="20"/>
              </w:rPr>
              <w:t xml:space="preserve">Kvantitatiivsed näitajad </w:t>
            </w:r>
            <w:r>
              <w:rPr>
                <w:noProof/>
              </w:rPr>
              <w:br/>
            </w:r>
            <w:r>
              <w:rPr>
                <w:rFonts w:ascii="Arial Narrow" w:hAnsi="Arial Narrow"/>
                <w:b/>
                <w:noProof/>
                <w:sz w:val="20"/>
              </w:rPr>
              <w:t>(sihtide puhul)</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DD7EE"/>
            <w:vAlign w:val="center"/>
          </w:tcPr>
          <w:p w14:paraId="7AB5A452" w14:textId="77777777" w:rsidR="0084326C" w:rsidRPr="005D68A0" w:rsidRDefault="0084326C">
            <w:pPr>
              <w:spacing w:before="120" w:after="120"/>
              <w:jc w:val="center"/>
              <w:rPr>
                <w:rFonts w:ascii="Arial Narrow" w:hAnsi="Arial Narrow"/>
                <w:b/>
                <w:noProof/>
                <w:sz w:val="20"/>
              </w:rPr>
            </w:pPr>
            <w:r>
              <w:rPr>
                <w:rFonts w:ascii="Arial Narrow" w:hAnsi="Arial Narrow"/>
                <w:b/>
                <w:noProof/>
                <w:sz w:val="20"/>
              </w:rPr>
              <w:t>Lõpuleviimise soovituslik ajakava</w:t>
            </w:r>
          </w:p>
        </w:tc>
        <w:tc>
          <w:tcPr>
            <w:tcW w:w="4094" w:type="dxa"/>
            <w:vMerge w:val="restart"/>
            <w:tcBorders>
              <w:top w:val="single" w:sz="4" w:space="0" w:color="auto"/>
              <w:left w:val="single" w:sz="4" w:space="0" w:color="auto"/>
              <w:right w:val="single" w:sz="4" w:space="0" w:color="auto"/>
            </w:tcBorders>
            <w:shd w:val="clear" w:color="auto" w:fill="BDD7EE"/>
            <w:vAlign w:val="center"/>
          </w:tcPr>
          <w:p w14:paraId="256DE88F" w14:textId="77777777" w:rsidR="0084326C" w:rsidRPr="005D68A0" w:rsidRDefault="0084326C">
            <w:pPr>
              <w:spacing w:before="120" w:after="120"/>
              <w:rPr>
                <w:rFonts w:ascii="Arial Narrow" w:hAnsi="Arial Narrow"/>
                <w:noProof/>
                <w:sz w:val="20"/>
                <w:szCs w:val="20"/>
              </w:rPr>
            </w:pPr>
            <w:r>
              <w:rPr>
                <w:rFonts w:ascii="Arial Narrow" w:hAnsi="Arial Narrow"/>
                <w:b/>
                <w:noProof/>
                <w:sz w:val="20"/>
              </w:rPr>
              <w:t>Iga eesmärgi ja sihi kirjeldus</w:t>
            </w:r>
          </w:p>
        </w:tc>
      </w:tr>
      <w:tr w:rsidR="005F0490" w:rsidRPr="005D68A0" w14:paraId="6546AE51" w14:textId="77777777" w:rsidTr="00EB28C2">
        <w:trPr>
          <w:trHeight w:val="718"/>
          <w:tblHeader/>
        </w:trPr>
        <w:tc>
          <w:tcPr>
            <w:tcW w:w="1135" w:type="dxa"/>
            <w:vMerge/>
            <w:shd w:val="clear" w:color="auto" w:fill="BDD7EE"/>
            <w:vAlign w:val="center"/>
          </w:tcPr>
          <w:p w14:paraId="2946B1E4" w14:textId="77777777" w:rsidR="0084326C" w:rsidRPr="00F33804" w:rsidRDefault="0084326C">
            <w:pPr>
              <w:spacing w:before="120" w:after="120"/>
              <w:jc w:val="center"/>
              <w:rPr>
                <w:rFonts w:ascii="Arial Narrow" w:hAnsi="Arial Narrow"/>
                <w:noProof/>
                <w:sz w:val="20"/>
                <w:szCs w:val="20"/>
              </w:rPr>
            </w:pPr>
          </w:p>
        </w:tc>
        <w:tc>
          <w:tcPr>
            <w:tcW w:w="1134" w:type="dxa"/>
            <w:vMerge/>
            <w:shd w:val="clear" w:color="auto" w:fill="BDD7EE"/>
            <w:vAlign w:val="center"/>
          </w:tcPr>
          <w:p w14:paraId="18232E27" w14:textId="77777777" w:rsidR="0084326C" w:rsidRPr="00F33804" w:rsidRDefault="0084326C">
            <w:pPr>
              <w:spacing w:before="120" w:after="120"/>
              <w:jc w:val="center"/>
              <w:rPr>
                <w:rFonts w:ascii="Arial Narrow" w:hAnsi="Arial Narrow"/>
                <w:noProof/>
                <w:sz w:val="20"/>
                <w:szCs w:val="20"/>
              </w:rPr>
            </w:pPr>
          </w:p>
        </w:tc>
        <w:tc>
          <w:tcPr>
            <w:tcW w:w="1134" w:type="dxa"/>
            <w:vMerge/>
            <w:shd w:val="clear" w:color="auto" w:fill="BDD7EE"/>
            <w:vAlign w:val="center"/>
          </w:tcPr>
          <w:p w14:paraId="18AE5C19" w14:textId="77777777" w:rsidR="0084326C" w:rsidRPr="00F33804" w:rsidRDefault="0084326C">
            <w:pPr>
              <w:spacing w:before="120" w:after="120"/>
              <w:jc w:val="center"/>
              <w:rPr>
                <w:rFonts w:ascii="Arial Narrow" w:hAnsi="Arial Narrow"/>
                <w:noProof/>
                <w:sz w:val="20"/>
                <w:szCs w:val="20"/>
              </w:rPr>
            </w:pPr>
          </w:p>
        </w:tc>
        <w:tc>
          <w:tcPr>
            <w:tcW w:w="1701" w:type="dxa"/>
            <w:vMerge/>
            <w:shd w:val="clear" w:color="auto" w:fill="BDD7EE"/>
            <w:vAlign w:val="center"/>
          </w:tcPr>
          <w:p w14:paraId="740FDAF5" w14:textId="77777777" w:rsidR="0084326C" w:rsidRPr="00F33804" w:rsidRDefault="0084326C">
            <w:pPr>
              <w:spacing w:before="120" w:after="120"/>
              <w:jc w:val="center"/>
              <w:rPr>
                <w:rFonts w:ascii="Arial Narrow" w:hAnsi="Arial Narrow"/>
                <w:noProof/>
                <w:sz w:val="20"/>
                <w:szCs w:val="20"/>
              </w:rPr>
            </w:pPr>
          </w:p>
        </w:tc>
        <w:tc>
          <w:tcPr>
            <w:tcW w:w="1456" w:type="dxa"/>
            <w:vMerge/>
            <w:shd w:val="clear" w:color="auto" w:fill="BDD7EE"/>
            <w:vAlign w:val="center"/>
          </w:tcPr>
          <w:p w14:paraId="1F4FEBD5" w14:textId="77777777" w:rsidR="0084326C" w:rsidRPr="00F33804" w:rsidRDefault="0084326C">
            <w:pPr>
              <w:spacing w:before="120" w:after="120"/>
              <w:jc w:val="center"/>
              <w:rPr>
                <w:rFonts w:ascii="Arial Narrow" w:hAnsi="Arial Narrow"/>
                <w:noProof/>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BDD7EE"/>
            <w:vAlign w:val="center"/>
          </w:tcPr>
          <w:p w14:paraId="5817038C" w14:textId="77777777" w:rsidR="0084326C" w:rsidRPr="005D68A0" w:rsidRDefault="0084326C">
            <w:pPr>
              <w:spacing w:before="120" w:after="120"/>
              <w:jc w:val="center"/>
              <w:rPr>
                <w:rFonts w:ascii="Arial Narrow" w:hAnsi="Arial Narrow"/>
                <w:b/>
                <w:noProof/>
                <w:sz w:val="20"/>
              </w:rPr>
            </w:pPr>
            <w:r>
              <w:rPr>
                <w:rFonts w:ascii="Arial Narrow" w:hAnsi="Arial Narrow"/>
                <w:b/>
                <w:noProof/>
                <w:sz w:val="20"/>
              </w:rPr>
              <w:t>Mõõtühik</w:t>
            </w:r>
          </w:p>
        </w:tc>
        <w:tc>
          <w:tcPr>
            <w:tcW w:w="1127" w:type="dxa"/>
            <w:tcBorders>
              <w:top w:val="single" w:sz="4" w:space="0" w:color="auto"/>
              <w:left w:val="single" w:sz="4" w:space="0" w:color="auto"/>
              <w:bottom w:val="single" w:sz="4" w:space="0" w:color="auto"/>
              <w:right w:val="single" w:sz="4" w:space="0" w:color="auto"/>
            </w:tcBorders>
            <w:shd w:val="clear" w:color="auto" w:fill="BDD7EE"/>
            <w:vAlign w:val="center"/>
          </w:tcPr>
          <w:p w14:paraId="05F00268" w14:textId="77777777" w:rsidR="0084326C" w:rsidRPr="005D68A0" w:rsidRDefault="0084326C">
            <w:pPr>
              <w:spacing w:before="120" w:after="120"/>
              <w:jc w:val="center"/>
              <w:rPr>
                <w:rFonts w:ascii="Arial Narrow" w:hAnsi="Arial Narrow"/>
                <w:b/>
                <w:noProof/>
                <w:sz w:val="20"/>
              </w:rPr>
            </w:pPr>
            <w:r>
              <w:rPr>
                <w:rFonts w:ascii="Arial Narrow" w:hAnsi="Arial Narrow"/>
                <w:b/>
                <w:noProof/>
                <w:sz w:val="20"/>
              </w:rPr>
              <w:t>Lähtetase</w:t>
            </w:r>
          </w:p>
        </w:tc>
        <w:tc>
          <w:tcPr>
            <w:tcW w:w="1276" w:type="dxa"/>
            <w:tcBorders>
              <w:top w:val="single" w:sz="4" w:space="0" w:color="auto"/>
              <w:left w:val="single" w:sz="4" w:space="0" w:color="auto"/>
              <w:bottom w:val="single" w:sz="4" w:space="0" w:color="auto"/>
              <w:right w:val="single" w:sz="4" w:space="0" w:color="auto"/>
            </w:tcBorders>
            <w:shd w:val="clear" w:color="auto" w:fill="BDD7EE"/>
            <w:vAlign w:val="center"/>
          </w:tcPr>
          <w:p w14:paraId="6398FC83" w14:textId="77777777" w:rsidR="0084326C" w:rsidRPr="005D68A0" w:rsidRDefault="0084326C">
            <w:pPr>
              <w:spacing w:before="120" w:after="120"/>
              <w:jc w:val="center"/>
              <w:rPr>
                <w:rFonts w:ascii="Arial Narrow" w:hAnsi="Arial Narrow"/>
                <w:b/>
                <w:noProof/>
                <w:sz w:val="20"/>
              </w:rPr>
            </w:pPr>
            <w:r>
              <w:rPr>
                <w:rFonts w:ascii="Arial Narrow" w:hAnsi="Arial Narrow"/>
                <w:b/>
                <w:noProof/>
                <w:sz w:val="20"/>
              </w:rPr>
              <w:t>Eesmärk</w:t>
            </w:r>
          </w:p>
        </w:tc>
        <w:tc>
          <w:tcPr>
            <w:tcW w:w="851" w:type="dxa"/>
            <w:tcBorders>
              <w:top w:val="single" w:sz="4" w:space="0" w:color="auto"/>
              <w:left w:val="single" w:sz="4" w:space="0" w:color="auto"/>
              <w:bottom w:val="single" w:sz="4" w:space="0" w:color="auto"/>
              <w:right w:val="single" w:sz="4" w:space="0" w:color="auto"/>
            </w:tcBorders>
            <w:shd w:val="clear" w:color="auto" w:fill="BDD7EE"/>
            <w:vAlign w:val="center"/>
          </w:tcPr>
          <w:p w14:paraId="7F1C1849" w14:textId="77777777" w:rsidR="0084326C" w:rsidRPr="005D68A0" w:rsidRDefault="0084326C">
            <w:pPr>
              <w:spacing w:before="120" w:after="120"/>
              <w:jc w:val="center"/>
              <w:rPr>
                <w:rFonts w:ascii="Arial Narrow" w:hAnsi="Arial Narrow"/>
                <w:b/>
                <w:noProof/>
                <w:sz w:val="20"/>
              </w:rPr>
            </w:pPr>
            <w:r>
              <w:rPr>
                <w:rFonts w:ascii="Arial Narrow" w:hAnsi="Arial Narrow"/>
                <w:b/>
                <w:noProof/>
                <w:sz w:val="20"/>
              </w:rPr>
              <w:t>Kvartal</w:t>
            </w:r>
          </w:p>
        </w:tc>
        <w:tc>
          <w:tcPr>
            <w:tcW w:w="708" w:type="dxa"/>
            <w:tcBorders>
              <w:top w:val="single" w:sz="4" w:space="0" w:color="auto"/>
              <w:left w:val="single" w:sz="4" w:space="0" w:color="auto"/>
              <w:bottom w:val="single" w:sz="4" w:space="0" w:color="auto"/>
              <w:right w:val="single" w:sz="4" w:space="0" w:color="auto"/>
            </w:tcBorders>
            <w:shd w:val="clear" w:color="auto" w:fill="BDD7EE"/>
            <w:vAlign w:val="center"/>
          </w:tcPr>
          <w:p w14:paraId="73DC9B88" w14:textId="77777777" w:rsidR="0084326C" w:rsidRPr="005D68A0" w:rsidRDefault="0084326C">
            <w:pPr>
              <w:spacing w:before="120" w:after="120"/>
              <w:jc w:val="center"/>
              <w:rPr>
                <w:rFonts w:ascii="Arial Narrow" w:hAnsi="Arial Narrow"/>
                <w:b/>
                <w:noProof/>
                <w:sz w:val="20"/>
              </w:rPr>
            </w:pPr>
            <w:r>
              <w:rPr>
                <w:rFonts w:ascii="Arial Narrow" w:hAnsi="Arial Narrow"/>
                <w:b/>
                <w:noProof/>
                <w:sz w:val="20"/>
              </w:rPr>
              <w:t>Aasta</w:t>
            </w:r>
          </w:p>
        </w:tc>
        <w:tc>
          <w:tcPr>
            <w:tcW w:w="4094" w:type="dxa"/>
            <w:vMerge/>
            <w:shd w:val="clear" w:color="auto" w:fill="BDD7EE"/>
            <w:vAlign w:val="center"/>
          </w:tcPr>
          <w:p w14:paraId="7147A9B6" w14:textId="77777777" w:rsidR="0084326C" w:rsidRPr="005D68A0" w:rsidRDefault="0084326C">
            <w:pPr>
              <w:spacing w:before="120" w:after="120"/>
              <w:rPr>
                <w:rFonts w:ascii="Arial Narrow" w:hAnsi="Arial Narrow"/>
                <w:noProof/>
                <w:sz w:val="20"/>
                <w:szCs w:val="20"/>
                <w:lang w:val="en-GB"/>
              </w:rPr>
            </w:pPr>
          </w:p>
        </w:tc>
      </w:tr>
      <w:tr w:rsidR="005F0490" w:rsidRPr="00D90835" w14:paraId="2E5056DB"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639A355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M1C2-1</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2DFE05C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 Üleminek 4.0</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052F963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0DA2219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Selliste õigusaktide jõustumine, millega tehakse 4.0 ülemineku maksukrediidid võimalikele abisaajatele kättesaadavaks, ning teaduskomitee loomine</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1FF0138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Seaduse säte, mis viitab maksu ümberarvutust võimaldava eelarveseaduse jõustumisele, ja sellega seotud rakendusaktide säte, mis osutab nende jõustumisele</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582AAC5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78224E3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571F47D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6613848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15D01A3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2021</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6B8999E6"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Õigusaktidega tehakse 4.0 üleminekuga seotud maksusoodustused võimalikele abisaajatele kättesaadavaks. Need on maksuvähendused i) 4.0 (st tehnoloogiliselt arenenud) materiaalsetele kapitalikaupadele, ii) 4.0 immateriaalsetele kapitalikaupadele, iii) standardsetele immateriaalsetele kapitalikaupadele, iv) teadus-, arendus- ja innovatsioonitegevusele ning v) koolitustegevusele.</w:t>
            </w:r>
          </w:p>
          <w:p w14:paraId="18E1ED11"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Maksukrediidi koodid määratakse kindlaks maksuameti otsusega, et võimaldada toetusesaajatel kasutada maksukrediiti vastavalt F24 maksemudelile. Ministeeriumi määruse vastuvõtmisega luuakse teaduskomitee, kuhu kuuluvad majandus- ja rahandusministeeriumi, majandusarengu ministeeriumi ja Itaalia Panga eksperdid, et hinnata ülemineku 4.0 maksusoodustuste majanduslikku mõju.</w:t>
            </w:r>
          </w:p>
        </w:tc>
      </w:tr>
      <w:tr w:rsidR="005F0490" w:rsidRPr="00D90835" w14:paraId="3BCBEBDA"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5B20D371"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M1C2-2</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155C859F"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Investeering 1. Üleminek 4.0</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197EEA00"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Siht</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34E3AF2F"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Üleminekuperioodil 4.0 äriühingutele aastatel 2021-2022 esitatud maksudeklaratsioonide alusel antud maksukrediidid</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1DC465DC"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12845CDA"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Arv</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7AEAC5F3"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0</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1BB8E24E"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69 900</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1ECE9AE3"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2. kv</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7718B40E"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2024</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09C062C4" w14:textId="3C726969" w:rsidR="0084326C" w:rsidRPr="005D68A0" w:rsidRDefault="0084326C">
            <w:pPr>
              <w:rPr>
                <w:rFonts w:ascii="Arial Narrow" w:hAnsi="Arial Narrow"/>
                <w:noProof/>
                <w:sz w:val="20"/>
                <w:szCs w:val="20"/>
              </w:rPr>
            </w:pPr>
            <w:r>
              <w:rPr>
                <w:rFonts w:ascii="Arial Narrow" w:hAnsi="Arial Narrow"/>
                <w:noProof/>
                <w:color w:val="006100"/>
                <w:sz w:val="20"/>
              </w:rPr>
              <w:t>Ajavahemikul 1. jaanuarist 2021 kuni 31. detsembrini 2022 esitatud maksudeklaratsioonide alusel on äriühingutele antud vähemalt 69 900 üleminekuga 4.0 seotud maksukrediiti seoses 4.0 materiaalse põhivaraga, 4.0 immateriaalse põhivaraga, standardse immateriaalse põhivaraga, teadus-, arendus- ja innovatsioonitegevusega või koolitustegevusega. Eeldatakse, et eelkõige :</w:t>
            </w:r>
          </w:p>
          <w:p w14:paraId="3499BF69" w14:textId="3D5DC4FE" w:rsidR="0084326C" w:rsidRPr="005D68A0" w:rsidRDefault="0084326C">
            <w:pPr>
              <w:rPr>
                <w:rFonts w:ascii="Arial Narrow" w:hAnsi="Arial Narrow"/>
                <w:noProof/>
                <w:color w:val="006100"/>
                <w:sz w:val="20"/>
                <w:szCs w:val="20"/>
              </w:rPr>
            </w:pPr>
            <w:r>
              <w:rPr>
                <w:rFonts w:ascii="Arial Narrow" w:hAnsi="Arial Narrow"/>
                <w:noProof/>
                <w:color w:val="006100"/>
                <w:sz w:val="20"/>
              </w:rPr>
              <w:t>– ajavahemikul 1. jaanuarist 2021 kuni 31. detsembrini 2022 esitatud maksudeklaratsioonide alusel on ettevõtjatele antud vähemalt 17 700 maksukrediiti 4.0 materiaalse kapitalikauba jaoks;</w:t>
            </w:r>
          </w:p>
          <w:p w14:paraId="0951008E" w14:textId="41C96C55" w:rsidR="0084326C" w:rsidRPr="005D68A0" w:rsidRDefault="0084326C">
            <w:pPr>
              <w:rPr>
                <w:rFonts w:ascii="Arial Narrow" w:hAnsi="Arial Narrow"/>
                <w:noProof/>
                <w:color w:val="006100"/>
                <w:sz w:val="20"/>
                <w:szCs w:val="20"/>
              </w:rPr>
            </w:pPr>
            <w:r>
              <w:rPr>
                <w:rFonts w:ascii="Arial Narrow" w:hAnsi="Arial Narrow"/>
                <w:noProof/>
                <w:color w:val="006100"/>
                <w:sz w:val="20"/>
              </w:rPr>
              <w:t>– ajavahemikul 1. jaanuarist 2021 kuni 31. detsembrini 2022 esitatud maksudeklaratsioonide alusel on ettevõtjatele antud vähemalt 27 300 maksukrediiti 4.0 immateriaalse kapitalikauba jaoks;</w:t>
            </w:r>
          </w:p>
          <w:p w14:paraId="038F0029" w14:textId="10CD4E3E" w:rsidR="0084326C" w:rsidRPr="005D68A0" w:rsidRDefault="0084326C">
            <w:pPr>
              <w:rPr>
                <w:rFonts w:ascii="Arial Narrow" w:hAnsi="Arial Narrow"/>
                <w:noProof/>
                <w:color w:val="006100"/>
                <w:sz w:val="20"/>
                <w:szCs w:val="20"/>
              </w:rPr>
            </w:pPr>
            <w:r>
              <w:rPr>
                <w:rFonts w:ascii="Arial Narrow" w:hAnsi="Arial Narrow"/>
                <w:noProof/>
                <w:color w:val="006100"/>
                <w:sz w:val="20"/>
              </w:rPr>
              <w:t>– ajavahemikul 1. jaanuarist 2021 kuni 31. detsembrini 2022 esitatud maksudeklaratsioonide alusel on ettevõtjatele antud vähemalt 13 600 maksuvähendust tavapärastele immateriaalsetele kapitalikaupadele;</w:t>
            </w:r>
          </w:p>
          <w:p w14:paraId="2005DDB1"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ajavahemikul 1. jaanuarist kuni 31. detsembrini 2022 esitatud maksudeklaratsioonide alusel on ettevõtetele antud teadus-, arendus- ja innovatsioonitegevuseks vähemalt 10 300 maksukrediiti;</w:t>
            </w:r>
          </w:p>
          <w:p w14:paraId="1C169D01" w14:textId="009325E5" w:rsidR="0084326C" w:rsidRPr="005D68A0" w:rsidRDefault="0084326C">
            <w:pPr>
              <w:rPr>
                <w:rFonts w:ascii="Arial Narrow" w:hAnsi="Arial Narrow"/>
                <w:noProof/>
                <w:color w:val="006100"/>
                <w:sz w:val="20"/>
                <w:szCs w:val="20"/>
              </w:rPr>
            </w:pPr>
            <w:r>
              <w:rPr>
                <w:rFonts w:ascii="Arial Narrow" w:hAnsi="Arial Narrow"/>
                <w:noProof/>
                <w:color w:val="006100"/>
                <w:sz w:val="20"/>
              </w:rPr>
              <w:t>– ajavahemikul 1. jaanuarist kuni 31. detsembrini 2022 esitatud maksudeklaratsioonide alusel on ettevõtjatele antud koolitustegevuseks vähemalt 1 000 maksukrediiti.</w:t>
            </w:r>
          </w:p>
          <w:p w14:paraId="2A91F0B4"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Äriühingute puhul, kelle maksuaasta ei vasta kalendriaastale, pikendatakse kõigi eespool loetletud maksuvähendustega seotud maksudeklaratsioonide esitamise ajavahemikku 31. detsembrist 2022 kuni 30. novembrini 2023.</w:t>
            </w:r>
          </w:p>
        </w:tc>
      </w:tr>
      <w:tr w:rsidR="005F0490" w:rsidRPr="00D90835" w14:paraId="4689CFBC"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1923E875"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M1C2-3</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11999750"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Investeering 1. Üleminek 4.0</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4C4EA47D"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Siht</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000933BE"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Üleminekuperioodil 4.0 äriühingutele aastatel 2021-2023 esitatud maksudeklaratsioonide alusel antud maksukrediidid</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7C12BBD0"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75BC18D1"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Arv</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4C10F3F3"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69 900</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416B8C04"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111 700</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55E74E04"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2. kv</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25A8E41E"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2025</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5B44259E" w14:textId="0C42A615" w:rsidR="0084326C" w:rsidRPr="005D68A0" w:rsidRDefault="0084326C">
            <w:pPr>
              <w:rPr>
                <w:rFonts w:ascii="Arial Narrow" w:hAnsi="Arial Narrow"/>
                <w:noProof/>
                <w:color w:val="006100"/>
                <w:sz w:val="20"/>
                <w:szCs w:val="20"/>
              </w:rPr>
            </w:pPr>
            <w:r>
              <w:rPr>
                <w:rFonts w:ascii="Arial Narrow" w:hAnsi="Arial Narrow"/>
                <w:noProof/>
                <w:color w:val="006100"/>
                <w:sz w:val="20"/>
              </w:rPr>
              <w:t>Ajavahemikul 1. jaanuarist 2021 kuni 31. detsembrini 2023 esitatud maksudeklaratsioonide alusel on äriühingutele antud vähemalt 111 700 üleminekuga 4.0 seotud maksukrediiti seoses 4.0 materiaalse põhivaraga, 4.0 immateriaalse põhivaraga, standardse immateriaalse põhivaraga, teadus-, arendus- ja innovatsioonitegevusega või koolitustegevusega. Eeldatakse, et eelkõige :</w:t>
            </w:r>
          </w:p>
          <w:p w14:paraId="60640C9E" w14:textId="0FE1087D" w:rsidR="0084326C" w:rsidRPr="005D68A0" w:rsidRDefault="0084326C">
            <w:pPr>
              <w:rPr>
                <w:rFonts w:ascii="Arial Narrow" w:hAnsi="Arial Narrow"/>
                <w:noProof/>
                <w:color w:val="006100"/>
                <w:sz w:val="20"/>
                <w:szCs w:val="20"/>
              </w:rPr>
            </w:pPr>
            <w:r>
              <w:rPr>
                <w:rFonts w:ascii="Arial Narrow" w:hAnsi="Arial Narrow"/>
                <w:noProof/>
                <w:color w:val="006100"/>
                <w:sz w:val="20"/>
              </w:rPr>
              <w:t>– ajavahemikul 1. jaanuarist 2021 kuni 31. detsembrini 2023 esitatud maksudeklaratsioonide alusel on ettevõtjatele antud vähemalt 26 900 maksukrediiti 4.0 materiaalse kapitalikauba jaoks;</w:t>
            </w:r>
          </w:p>
          <w:p w14:paraId="7944EAA7" w14:textId="2597FF36" w:rsidR="0084326C" w:rsidRPr="005D68A0" w:rsidRDefault="0084326C">
            <w:pPr>
              <w:rPr>
                <w:rFonts w:ascii="Arial Narrow" w:hAnsi="Arial Narrow"/>
                <w:noProof/>
                <w:color w:val="006100"/>
                <w:sz w:val="20"/>
                <w:szCs w:val="20"/>
              </w:rPr>
            </w:pPr>
            <w:r>
              <w:rPr>
                <w:rFonts w:ascii="Arial Narrow" w:hAnsi="Arial Narrow"/>
                <w:noProof/>
                <w:color w:val="006100"/>
                <w:sz w:val="20"/>
              </w:rPr>
              <w:t>– ajavahemikul 1. jaanuarist 2021 kuni 31. detsembrini 2023 esitatud maksudeklaratsioonide alusel on ettevõtjatele antud vähemalt 41 500 maksukrediiti 4.0 immateriaalse kapitalikauba jaoks;</w:t>
            </w:r>
          </w:p>
          <w:p w14:paraId="63EB0007" w14:textId="3248B6DB" w:rsidR="0084326C" w:rsidRPr="005D68A0" w:rsidRDefault="0084326C">
            <w:pPr>
              <w:rPr>
                <w:rFonts w:ascii="Arial Narrow" w:hAnsi="Arial Narrow"/>
                <w:noProof/>
                <w:color w:val="006100"/>
                <w:sz w:val="20"/>
                <w:szCs w:val="20"/>
              </w:rPr>
            </w:pPr>
            <w:r>
              <w:rPr>
                <w:rFonts w:ascii="Arial Narrow" w:hAnsi="Arial Narrow"/>
                <w:noProof/>
                <w:color w:val="006100"/>
                <w:sz w:val="20"/>
              </w:rPr>
              <w:t>– ajavahemikul 1. jaanuarist 2021 kuni 31. detsembrini 2023 esitatud maksudeklaratsioonide alusel on ettevõtjatele antud vähemalt 20 700 maksuvähendust tavapärastele immateriaalsetele kapitalikaupadele;</w:t>
            </w:r>
          </w:p>
          <w:p w14:paraId="496CF405" w14:textId="3131B1C7" w:rsidR="0084326C" w:rsidRPr="005D68A0" w:rsidRDefault="0084326C">
            <w:pPr>
              <w:rPr>
                <w:rFonts w:ascii="Arial Narrow" w:hAnsi="Arial Narrow"/>
                <w:noProof/>
                <w:color w:val="006100"/>
                <w:sz w:val="20"/>
                <w:szCs w:val="20"/>
              </w:rPr>
            </w:pPr>
            <w:r>
              <w:rPr>
                <w:rFonts w:ascii="Arial Narrow" w:hAnsi="Arial Narrow"/>
                <w:noProof/>
                <w:color w:val="006100"/>
                <w:sz w:val="20"/>
              </w:rPr>
              <w:t>– ajavahemikul 1. jaanuarist 2022 kuni 31. detsembrini 2023 esitatud maksudeklaratsioonide alusel on ettevõtetele antud teadus-, arendus- ja innovatsioonitegevuseks vähemalt 20 600 maksukrediiti;</w:t>
            </w:r>
          </w:p>
          <w:p w14:paraId="73DA37BC" w14:textId="2B449C20" w:rsidR="0084326C" w:rsidRPr="005D68A0" w:rsidRDefault="0084326C">
            <w:pPr>
              <w:rPr>
                <w:rFonts w:ascii="Arial Narrow" w:hAnsi="Arial Narrow"/>
                <w:noProof/>
                <w:color w:val="006100"/>
                <w:sz w:val="20"/>
                <w:szCs w:val="20"/>
              </w:rPr>
            </w:pPr>
            <w:r>
              <w:rPr>
                <w:rFonts w:ascii="Arial Narrow" w:hAnsi="Arial Narrow"/>
                <w:noProof/>
                <w:color w:val="006100"/>
                <w:sz w:val="20"/>
              </w:rPr>
              <w:t>– ajavahemikul 1. jaanuarist 2022 kuni 31. detsembrini 2023 esitatud maksudeklaratsioonide alusel on ettevõtjatele antud koolitustegevuseks vähemalt 2 000 maksuvähendust.</w:t>
            </w:r>
          </w:p>
          <w:p w14:paraId="159911EC"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Äriühingute puhul, kelle maksuaasta ei vasta kalendriaastale, pikendatakse kõigi eespool loetletud maksuvähendustega seotud maksudeklaratsioonide esitamise ajavahemikku 31. detsembrist 2023 kuni 30. novembrini 2024.</w:t>
            </w:r>
          </w:p>
          <w:p w14:paraId="2C51507F" w14:textId="73EA2B4C" w:rsidR="0084326C" w:rsidRPr="005D68A0" w:rsidRDefault="0084326C">
            <w:pPr>
              <w:rPr>
                <w:rFonts w:ascii="Arial Narrow" w:hAnsi="Arial Narrow"/>
                <w:noProof/>
                <w:color w:val="006100"/>
                <w:sz w:val="20"/>
                <w:szCs w:val="20"/>
              </w:rPr>
            </w:pPr>
            <w:r>
              <w:rPr>
                <w:rFonts w:ascii="Arial Narrow" w:hAnsi="Arial Narrow"/>
                <w:noProof/>
                <w:color w:val="006100"/>
                <w:sz w:val="20"/>
              </w:rPr>
              <w:t>Lähtealus on äriühingutele võimaldatud üleminekuga 4.0 seotud maksukrediitide arv, mis põhineb ajavahemikul 1. jaanuarist 2021 kuni 31. detsembrini 2022 esitatud maksudeklaratsioonidel 4,0 materiaalsete kapitalikaupade, 4,0 immateriaalsete kapitalikaupade ja standardsete immateriaalsete kaupade kohta ning ajavahemikul 1. jaanuarist kuni 31. detsembrini 2022 teadus-, arendus- ja innovatsioonitegevuse ning koolitustegevuse kohta esitatud maksudeklaratsioonidel. Ettevõtete puhul, kelle maksuaasta ei vasta kalendriaastale, lisatakse kõigi ülalnimetatud maksukrediitide baasjoonele ka kuni 30. novembrini 2023 esitatud maksudeklaratsioonid.</w:t>
            </w:r>
          </w:p>
        </w:tc>
      </w:tr>
      <w:tr w:rsidR="005F0490" w:rsidRPr="00D90835" w14:paraId="18F8C83E"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2FF33098"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M1C2-4</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1F9C1422"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Reform 1. Tööstusomandi süsteemi reform</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41BD18D2"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Eesmärk</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0E6DFA2C"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Itaalia tööstusomandi seadustiku ja asjakohaste rakendusaktide reformimiseks vastu võetud seadusandliku dekreedi jõustumine</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2C232135" w14:textId="082EA95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 xml:space="preserve">Uue tööstusomandi seadustiku jõustumisele viitav õigusnorm ja sellega seotud rakendusaktide jõustumisele viitav säte </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5ABDC312" w14:textId="77777777" w:rsidR="0084326C" w:rsidRPr="005D68A0" w:rsidRDefault="0084326C">
            <w:pPr>
              <w:spacing w:before="120" w:after="120"/>
              <w:jc w:val="center"/>
              <w:rPr>
                <w:rFonts w:ascii="Arial Narrow" w:hAnsi="Arial Narrow"/>
                <w:noProof/>
                <w:color w:val="006100"/>
                <w:sz w:val="20"/>
              </w:rPr>
            </w:pPr>
            <w:r>
              <w:rPr>
                <w:rFonts w:ascii="Arial Narrow" w:hAnsi="Arial Narrow"/>
                <w:noProof/>
                <w:color w:val="006100"/>
                <w:sz w:val="20"/>
              </w:rPr>
              <w:t>Ei kohaldata</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3CF17B0E" w14:textId="77777777" w:rsidR="0084326C" w:rsidRPr="005D68A0" w:rsidRDefault="0084326C">
            <w:pPr>
              <w:spacing w:before="120" w:after="120"/>
              <w:jc w:val="center"/>
              <w:rPr>
                <w:rFonts w:ascii="Arial Narrow" w:hAnsi="Arial Narrow"/>
                <w:noProof/>
                <w:color w:val="006100"/>
                <w:sz w:val="20"/>
              </w:rPr>
            </w:pPr>
            <w:r>
              <w:rPr>
                <w:rFonts w:ascii="Arial Narrow" w:hAnsi="Arial Narrow"/>
                <w:noProof/>
                <w:color w:val="006100"/>
                <w:sz w:val="20"/>
              </w:rPr>
              <w:t>Ei kohaldata</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170AA90C" w14:textId="77777777" w:rsidR="0084326C" w:rsidRPr="005D68A0" w:rsidRDefault="0084326C">
            <w:pPr>
              <w:spacing w:before="120" w:after="120"/>
              <w:jc w:val="center"/>
              <w:rPr>
                <w:rFonts w:ascii="Arial Narrow" w:hAnsi="Arial Narrow"/>
                <w:noProof/>
                <w:color w:val="006100"/>
                <w:sz w:val="20"/>
              </w:rPr>
            </w:pPr>
            <w:r>
              <w:rPr>
                <w:rFonts w:ascii="Arial Narrow" w:hAnsi="Arial Narrow"/>
                <w:noProof/>
                <w:color w:val="006100"/>
                <w:sz w:val="20"/>
              </w:rPr>
              <w:t>Ei kohaldata</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0F03E67D"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3. kv</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23ADF492"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2023</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638C507D" w14:textId="0B185A1B" w:rsidR="0084326C" w:rsidRPr="005D68A0" w:rsidRDefault="0084326C">
            <w:pPr>
              <w:rPr>
                <w:rFonts w:ascii="Arial Narrow" w:hAnsi="Arial Narrow"/>
                <w:noProof/>
                <w:sz w:val="20"/>
                <w:szCs w:val="20"/>
              </w:rPr>
            </w:pPr>
            <w:r>
              <w:rPr>
                <w:rFonts w:ascii="Arial Narrow" w:hAnsi="Arial Narrow"/>
                <w:noProof/>
                <w:color w:val="006100"/>
                <w:sz w:val="20"/>
              </w:rPr>
              <w:t>Uue seadusandliku dekreediga muudetakse Itaalia tööstusomandi seadustikku (seadusandlik dekreet nr 30, 10. veebruar 2005) ja see hõlmab vähemalt järgmisi valdkondi: i) reguleeriva raamistiku läbivaatamine, et tugevdada tööstusomandi õiguste kaitset ja lihtsustada menetlusi, ii) tugevdada toetust ettevõtetele ja teadusasutustele, iii) parandada oskuste ja pädevuste arendamist, iv) hõlbustada teadmussiiret, v) tugevdada innovatiivsete teenuste edendamist.</w:t>
            </w:r>
          </w:p>
        </w:tc>
      </w:tr>
      <w:tr w:rsidR="005F0490" w:rsidRPr="00D90835" w14:paraId="33DFEB8B"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1B26BD87"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M1C2-5</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3841B710"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Investeering 6. Investeeringud tööstusomandi süsteemi</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4C18C48B"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Siht</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6D38D944"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Tööstusomandiga seotud rahastamisvõimalustest toetatavad projektid</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38F3FE90"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0379B3B5"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Arv</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6EEFCE9D"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0</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00D64F28"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254</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38A75739"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4. kv</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06C9E733"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2025</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0AB74508" w14:textId="758D11FB" w:rsidR="0084326C" w:rsidRPr="005D68A0" w:rsidRDefault="0084326C">
            <w:pPr>
              <w:spacing w:before="120" w:after="120"/>
              <w:rPr>
                <w:rFonts w:ascii="Arial Narrow" w:hAnsi="Arial Narrow"/>
                <w:noProof/>
                <w:sz w:val="20"/>
                <w:szCs w:val="20"/>
              </w:rPr>
            </w:pPr>
            <w:r>
              <w:rPr>
                <w:rFonts w:ascii="Arial Narrow" w:hAnsi="Arial Narrow"/>
                <w:noProof/>
                <w:color w:val="006100"/>
                <w:sz w:val="20"/>
              </w:rPr>
              <w:t>Vähemalt 254 täiendavat projekti, mida toetatakse tööstusomandiga seotud rahastamisvõimalustest ettevõtetele ja teadusasutustele, näiteks patentidega seotud meetmed (Brevetti+), kontseptsiooni tõestamise programmid ja tehnosiirde ametid kooskõlas tehniliste suunistega „Mitte tekitada olulist kahju“ (2021/C58/01), kasutades erandite loetelu ning asjaomaste ELi ja riiklike keskkonnaalaste õigusaktide järgimise nõuet.</w:t>
            </w:r>
          </w:p>
        </w:tc>
      </w:tr>
      <w:tr w:rsidR="005F0490" w:rsidRPr="00D90835" w14:paraId="6B15D012"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305C10B5"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M1C2-6</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56F9C818"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Reform 2. Iga-aastased konkurentsiseadused</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477E207A"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Eesmärk</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4CB0C767"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2021. aasta konkurentsiseaduse jõustumine</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34DEA784"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Säte, mis viitab 2021. aasta konkurentsiseaduse jõustumisele.</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5CCD3869"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47F9FC98"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5C5C3500"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586A1C69"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4. kv</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79D0D90F"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2022</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5C240A63"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Iga-aastane konkurentsiseadus sisaldab vähemalt järgmisi põhielemente, mille rakendusmeetmed ja teisesed õigusaktid (vajaduse korral) võetakse vastu ja jõustuvad hiljemalt 31. detsembril 2022.</w:t>
            </w:r>
          </w:p>
          <w:p w14:paraId="6DAF4E34"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See käsitleb:</w:t>
            </w:r>
            <w:r>
              <w:rPr>
                <w:rFonts w:ascii="Arial Narrow" w:hAnsi="Arial Narrow"/>
                <w:noProof/>
              </w:rPr>
              <w:t xml:space="preserve"> </w:t>
            </w:r>
            <w:r>
              <w:rPr>
                <w:noProof/>
              </w:rPr>
              <w:t xml:space="preserve"> </w:t>
            </w:r>
            <w:r>
              <w:rPr>
                <w:noProof/>
              </w:rPr>
              <w:br/>
            </w:r>
            <w:r>
              <w:rPr>
                <w:rFonts w:ascii="Arial Narrow" w:hAnsi="Arial Narrow"/>
                <w:noProof/>
                <w:color w:val="006100"/>
                <w:sz w:val="20"/>
              </w:rPr>
              <w:t>– Konkurentsieeskirjade täitmise tagamist</w:t>
            </w:r>
            <w:r>
              <w:rPr>
                <w:noProof/>
              </w:rPr>
              <w:cr/>
            </w:r>
            <w:r>
              <w:rPr>
                <w:noProof/>
              </w:rPr>
              <w:br/>
            </w:r>
            <w:r>
              <w:rPr>
                <w:rFonts w:ascii="Arial Narrow" w:hAnsi="Arial Narrow"/>
                <w:noProof/>
                <w:color w:val="006100"/>
                <w:sz w:val="20"/>
              </w:rPr>
              <w:t>– Kohalikke avalikke teenuseid</w:t>
            </w:r>
            <w:r>
              <w:rPr>
                <w:noProof/>
              </w:rPr>
              <w:cr/>
            </w:r>
            <w:r>
              <w:rPr>
                <w:noProof/>
              </w:rPr>
              <w:br/>
            </w:r>
            <w:r>
              <w:rPr>
                <w:rFonts w:ascii="Arial Narrow" w:hAnsi="Arial Narrow"/>
                <w:noProof/>
                <w:color w:val="006100"/>
                <w:sz w:val="20"/>
              </w:rPr>
              <w:t>– Energiat</w:t>
            </w:r>
            <w:r>
              <w:rPr>
                <w:noProof/>
              </w:rPr>
              <w:cr/>
            </w:r>
            <w:r>
              <w:rPr>
                <w:noProof/>
              </w:rPr>
              <w:br/>
            </w:r>
            <w:r>
              <w:rPr>
                <w:rFonts w:ascii="Arial Narrow" w:hAnsi="Arial Narrow"/>
                <w:noProof/>
                <w:color w:val="006100"/>
                <w:sz w:val="20"/>
              </w:rPr>
              <w:t>– Transporti</w:t>
            </w:r>
            <w:r>
              <w:rPr>
                <w:noProof/>
              </w:rPr>
              <w:cr/>
            </w:r>
            <w:r>
              <w:rPr>
                <w:noProof/>
              </w:rPr>
              <w:br/>
            </w:r>
            <w:r>
              <w:rPr>
                <w:rFonts w:ascii="Arial Narrow" w:hAnsi="Arial Narrow"/>
                <w:noProof/>
                <w:color w:val="006100"/>
                <w:sz w:val="20"/>
              </w:rPr>
              <w:t>– Jäätmeid</w:t>
            </w:r>
            <w:r>
              <w:rPr>
                <w:noProof/>
              </w:rPr>
              <w:cr/>
            </w:r>
            <w:r>
              <w:rPr>
                <w:noProof/>
              </w:rPr>
              <w:br/>
            </w:r>
            <w:r>
              <w:rPr>
                <w:rFonts w:ascii="Arial Narrow" w:hAnsi="Arial Narrow"/>
                <w:noProof/>
                <w:color w:val="006100"/>
                <w:sz w:val="20"/>
              </w:rPr>
              <w:t xml:space="preserve">– Ettevõtte asutamist </w:t>
            </w:r>
            <w:r>
              <w:rPr>
                <w:noProof/>
              </w:rPr>
              <w:cr/>
            </w:r>
            <w:r>
              <w:rPr>
                <w:noProof/>
              </w:rPr>
              <w:br/>
            </w:r>
            <w:r>
              <w:rPr>
                <w:rFonts w:ascii="Arial Narrow" w:hAnsi="Arial Narrow"/>
                <w:noProof/>
                <w:color w:val="006100"/>
                <w:sz w:val="20"/>
              </w:rPr>
              <w:t>– Turujärelevalvet</w:t>
            </w:r>
          </w:p>
          <w:p w14:paraId="795823B6"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Konkurentsieeskirjade jõustamine:</w:t>
            </w:r>
          </w:p>
          <w:p w14:paraId="455F0304"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i. kõrvaldada täiendavad takistused ühinemiste kontrollimisel, ühtlustades Itaalia ühinemiste kontrolli eeskirjad veelgi enam ELi õigusega.</w:t>
            </w:r>
          </w:p>
          <w:p w14:paraId="69037AB4"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Kohalikud avalikud teenused:</w:t>
            </w:r>
          </w:p>
          <w:p w14:paraId="45874BD1"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ii. Tugevdada ja laiemalt kasutada konkurentsipõhimõtet kohalike avaliku teenindamise lepingute puhul, eelkõige jäätmete ja kohaliku ühistranspordi valdkonnas.</w:t>
            </w:r>
          </w:p>
          <w:p w14:paraId="72747780"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iii. Piirata otselepingute sõlmimist, nõudes kohalikelt ametiasutustelt, et nad põhjendaksid mis tahes kõrvalekaldumist avaliku teenindamise lepingute pakkumismenetlustest (nagu on sätestatud riigihangete seadustiku artiklis 192).</w:t>
            </w:r>
          </w:p>
          <w:p w14:paraId="79195CE3"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iv.. Näha ette avaliku teenindamise lepingute nõuetekohane reguleerimine, rakendades seaduse 124/2015 artiklit 19 kohalike avalike teenuste ühtse tekstina, eelkõige jäätmekäitluse valdkonnas.</w:t>
            </w:r>
          </w:p>
          <w:p w14:paraId="5D0D662D"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v. Eeskirjad ja koondamise mehhanismid stimuleerivad omavalitsusliite, et vähendada üksuste ja avaliku sektori hankijate arvu, sidudes nad vähemalt 350 000 elanikuga optimaalsete territoriaalsete üksustega („ambiti territoriali ottimali“) ning kohalike ja piirkondlike ühistransporditeenuste alade ja piisava tasemega („bacini e livelli adeguati di servizi di trasporto pubblico locale e regionale“).</w:t>
            </w:r>
          </w:p>
          <w:p w14:paraId="6615B3F9"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Kohalikke avalikke teenuseid käsitlevas õigusaktis, millega rakendatakse seaduse 124/2015 artiklit 19, tehakse vähemalt järgmist:</w:t>
            </w:r>
          </w:p>
          <w:p w14:paraId="69A63950"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 määratleda avalikud teenused ELi õiguse kriteeriumide alusel;</w:t>
            </w:r>
          </w:p>
          <w:p w14:paraId="28F19472"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 sätestatakse kohalike avalike teenuste osutamise, reguleerimise ja haldamise üldpõhimõtted;</w:t>
            </w:r>
          </w:p>
          <w:p w14:paraId="56D89FD8"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 kehtestada avaliku teenindamise lepingute kestuse proportsionaalsuse üldpõhimõte;</w:t>
            </w:r>
          </w:p>
          <w:p w14:paraId="4F7917C8"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 eraldada selgelt reguleerimis- ja kontrollifunktsioonid ning avaliku teenindamise lepingute haldamine;</w:t>
            </w:r>
          </w:p>
          <w:p w14:paraId="73922639"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 tagada, et kohalikud ametiasutused põhjendavad oma osaluse suurendamist ettevõttesisestes auhindades osalevates äriühingutes;</w:t>
            </w:r>
          </w:p>
          <w:p w14:paraId="48D15F5A"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 näha ette avaliku teenindamise lepingute nõuetekohane hüvitamine, mis põhineb sõltumatute reguleerivate asutuste (nt ARERA energia või ART transpordi puhul) kulude arvestamisel;</w:t>
            </w:r>
          </w:p>
          <w:p w14:paraId="2343E945"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 piirata siselepingute keskmist kestust ning vähendavad ja ühtlustavad hankeüksustes pakutavate lepingute standardkestust, tingimusel et kestus tagab lepingute majandusliku ja finantstasakaalu, mis põhineb ka transpordiameti kehtestatud kriteeriumidel.</w:t>
            </w:r>
          </w:p>
          <w:p w14:paraId="7F58D348"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Energeetika:</w:t>
            </w:r>
          </w:p>
          <w:p w14:paraId="0DAE5B7C"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vi.</w:t>
            </w:r>
            <w:r>
              <w:rPr>
                <w:rFonts w:ascii="Arial Narrow" w:hAnsi="Arial Narrow"/>
                <w:noProof/>
              </w:rPr>
              <w:t xml:space="preserve"> </w:t>
            </w:r>
            <w:r>
              <w:rPr>
                <w:rFonts w:ascii="Arial Narrow" w:hAnsi="Arial Narrow"/>
                <w:noProof/>
                <w:color w:val="006100"/>
                <w:sz w:val="20"/>
              </w:rPr>
              <w:t>Muuta kontsessioonilepingute hanked hüdroenergia puhul kohustuslikuks ja määratleda hüdroenergia kontsessioonide õiguslik raamistik.</w:t>
            </w:r>
          </w:p>
          <w:p w14:paraId="74F84DEE"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vii.</w:t>
            </w:r>
            <w:r>
              <w:rPr>
                <w:rFonts w:ascii="Arial Narrow" w:hAnsi="Arial Narrow"/>
                <w:noProof/>
              </w:rPr>
              <w:t xml:space="preserve"> </w:t>
            </w:r>
            <w:r>
              <w:rPr>
                <w:rFonts w:ascii="Arial Narrow" w:hAnsi="Arial Narrow"/>
                <w:noProof/>
                <w:color w:val="006100"/>
                <w:sz w:val="20"/>
              </w:rPr>
              <w:t>Muuta kontsessioonilepingute pakkumine gaasi jaotamiseks kohustuslikuks.</w:t>
            </w:r>
          </w:p>
          <w:p w14:paraId="74D291E7"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viii.</w:t>
            </w:r>
            <w:r>
              <w:rPr>
                <w:rFonts w:ascii="Arial Narrow" w:hAnsi="Arial Narrow"/>
                <w:noProof/>
              </w:rPr>
              <w:t xml:space="preserve"> </w:t>
            </w:r>
            <w:r>
              <w:rPr>
                <w:rFonts w:ascii="Arial Narrow" w:hAnsi="Arial Narrow"/>
                <w:noProof/>
                <w:color w:val="006100"/>
                <w:sz w:val="20"/>
              </w:rPr>
              <w:t>Kehtestada läbipaistvad ja mittediskrimineerivad nõuded üldkasutatavate ruumide eraldamiseks elektrisõidukite laadimiseks või valiku laadimispunktide/jaamade käitajatele.</w:t>
            </w:r>
          </w:p>
          <w:p w14:paraId="4D34413B"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ix.</w:t>
            </w:r>
            <w:r>
              <w:rPr>
                <w:rFonts w:ascii="Arial Narrow" w:hAnsi="Arial Narrow"/>
                <w:noProof/>
              </w:rPr>
              <w:t xml:space="preserve"> </w:t>
            </w:r>
            <w:r>
              <w:rPr>
                <w:rFonts w:ascii="Arial Narrow" w:hAnsi="Arial Narrow"/>
                <w:noProof/>
                <w:color w:val="006100"/>
                <w:sz w:val="20"/>
              </w:rPr>
              <w:t>Kaotada reguleeritud tariifid elektritoitele elektrisõidukite laadimiseks.</w:t>
            </w:r>
          </w:p>
          <w:p w14:paraId="68B74714"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Hüdroenergia kontsessioonide konkurentsiraamistik peab vähemalt:</w:t>
            </w:r>
          </w:p>
          <w:p w14:paraId="5A2EB184"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 Nõuda, et olulisi hüdroelektrijaamu reguleeritaks üldiste ja ühtsete kriteeriumidega kesksel tasandil.</w:t>
            </w:r>
          </w:p>
          <w:p w14:paraId="4C5CFA55"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 Nõuda piirkondadelt kontsessioonilepingute kestuse aluseks olevate majanduslike kriteeriumide kindlaksmääramist.</w:t>
            </w:r>
          </w:p>
          <w:p w14:paraId="25FC5F81"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 Lepingute pikendamise võimaluse järk-järguline kaotamine (nagu Itaalia konstitutsioonikohus on juba otsustanud).</w:t>
            </w:r>
          </w:p>
          <w:p w14:paraId="5DE89C6C"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 Nõuda piirkondadelt hankekriteeriumidele juurdepääsu kriteeriumide ühtlustamist (et luua prognoositav ärikeskkond).</w:t>
            </w:r>
          </w:p>
          <w:p w14:paraId="3FC5BCCB"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Transport:</w:t>
            </w:r>
          </w:p>
          <w:p w14:paraId="1FE87E42"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x.</w:t>
            </w:r>
            <w:r>
              <w:rPr>
                <w:rFonts w:ascii="Arial Narrow" w:hAnsi="Arial Narrow"/>
                <w:noProof/>
              </w:rPr>
              <w:t xml:space="preserve"> </w:t>
            </w:r>
            <w:r>
              <w:rPr>
                <w:rFonts w:ascii="Arial Narrow" w:hAnsi="Arial Narrow"/>
                <w:noProof/>
                <w:color w:val="006100"/>
                <w:sz w:val="20"/>
              </w:rPr>
              <w:t>Kehtestada selged, mittediskrimineerivad ja läbipaistvad sadamakontsessioonide andmise kriteeriumid.</w:t>
            </w:r>
          </w:p>
          <w:p w14:paraId="35405A88"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xi.</w:t>
            </w:r>
            <w:r>
              <w:rPr>
                <w:rFonts w:ascii="Arial Narrow" w:hAnsi="Arial Narrow"/>
                <w:noProof/>
              </w:rPr>
              <w:t xml:space="preserve"> </w:t>
            </w:r>
            <w:r>
              <w:rPr>
                <w:rFonts w:ascii="Arial Narrow" w:hAnsi="Arial Narrow"/>
                <w:noProof/>
                <w:color w:val="006100"/>
                <w:sz w:val="20"/>
              </w:rPr>
              <w:t>Kõrvaldada tõkked, mis takistavad sadama kontsessionääridel ühendada sadamakontsessionääri tegevust mitmes suures ja keskmise suurusega sadamas.</w:t>
            </w:r>
          </w:p>
          <w:p w14:paraId="00DDE1DC"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xii.</w:t>
            </w:r>
            <w:r>
              <w:rPr>
                <w:rFonts w:ascii="Arial Narrow" w:hAnsi="Arial Narrow"/>
                <w:noProof/>
              </w:rPr>
              <w:t xml:space="preserve"> </w:t>
            </w:r>
            <w:r>
              <w:rPr>
                <w:rFonts w:ascii="Arial Narrow" w:hAnsi="Arial Narrow"/>
                <w:noProof/>
                <w:color w:val="006100"/>
                <w:sz w:val="20"/>
              </w:rPr>
              <w:t>Kõrvaldada tõkked, mis takistavad kontsessionääridel osutada teatavaid sadamateenuseid ise ja kasutada oma seadmeid, ilma et see piiraks töötajate ohutust, tingimusel et asjakohased tingimused töötajate ohutuse kaitsmiseks on vajalikud ja proportsionaalsed eesmärgiga tagada ohutus sadamaaladel.</w:t>
            </w:r>
          </w:p>
          <w:p w14:paraId="5B2E6F37"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xiii.</w:t>
            </w:r>
            <w:r>
              <w:rPr>
                <w:rFonts w:ascii="Arial Narrow" w:hAnsi="Arial Narrow"/>
                <w:noProof/>
              </w:rPr>
              <w:t xml:space="preserve"> </w:t>
            </w:r>
            <w:r>
              <w:rPr>
                <w:rFonts w:ascii="Arial Narrow" w:hAnsi="Arial Narrow"/>
                <w:noProof/>
                <w:color w:val="006100"/>
                <w:sz w:val="20"/>
              </w:rPr>
              <w:t>Lihtsustada sadamatele loa andmise kavade läbivaatamise menetluste läbivaatamist.</w:t>
            </w:r>
          </w:p>
          <w:p w14:paraId="1F6D76F6"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xiv.</w:t>
            </w:r>
            <w:r>
              <w:rPr>
                <w:rFonts w:ascii="Arial Narrow" w:hAnsi="Arial Narrow"/>
                <w:noProof/>
              </w:rPr>
              <w:t xml:space="preserve"> </w:t>
            </w:r>
            <w:r>
              <w:rPr>
                <w:rFonts w:ascii="Arial Narrow" w:hAnsi="Arial Narrow"/>
                <w:noProof/>
                <w:color w:val="006100"/>
                <w:sz w:val="20"/>
              </w:rPr>
              <w:t>Rakendada dekreetseaduse 50/2017 artikli 27 lõike 2 punkti d, milles nähakse piirkondadele ette stiimulid piirkondlike raudteelepingute sõlmimiseks.</w:t>
            </w:r>
          </w:p>
          <w:p w14:paraId="45798279"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Jäätmed:</w:t>
            </w:r>
          </w:p>
          <w:p w14:paraId="618F4441"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xv.</w:t>
            </w:r>
            <w:r>
              <w:rPr>
                <w:rFonts w:ascii="Arial Narrow" w:hAnsi="Arial Narrow"/>
                <w:noProof/>
              </w:rPr>
              <w:t xml:space="preserve"> </w:t>
            </w:r>
            <w:r>
              <w:rPr>
                <w:rFonts w:ascii="Arial Narrow" w:hAnsi="Arial Narrow"/>
                <w:noProof/>
                <w:color w:val="006100"/>
                <w:sz w:val="20"/>
              </w:rPr>
              <w:t>Lihtsustada jäätmekäitlusrajatistele loa andmise korda.</w:t>
            </w:r>
          </w:p>
          <w:p w14:paraId="503A6BD2"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Ettevõtte loomine:</w:t>
            </w:r>
          </w:p>
          <w:p w14:paraId="6C473AF1"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xvi.</w:t>
            </w:r>
            <w:r>
              <w:rPr>
                <w:rFonts w:ascii="Arial Narrow" w:hAnsi="Arial Narrow"/>
                <w:noProof/>
              </w:rPr>
              <w:t xml:space="preserve"> </w:t>
            </w:r>
            <w:r>
              <w:rPr>
                <w:rFonts w:ascii="Arial Narrow" w:hAnsi="Arial Narrow"/>
                <w:noProof/>
                <w:color w:val="006100"/>
                <w:sz w:val="20"/>
              </w:rPr>
              <w:t>Lühendada töötajate kohta teabe andmise akrediteerimise aega seitsmelt päevalt neljale päevale, et vähendada ettevõtte asutamiseks kuluvat päevade arvu.</w:t>
            </w:r>
          </w:p>
          <w:p w14:paraId="03AD1FB9"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Turujärelevalve.</w:t>
            </w:r>
          </w:p>
          <w:p w14:paraId="23A6AC8A"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xvii.</w:t>
            </w:r>
            <w:r>
              <w:rPr>
                <w:rFonts w:ascii="Arial Narrow" w:hAnsi="Arial Narrow"/>
                <w:noProof/>
              </w:rPr>
              <w:t xml:space="preserve"> </w:t>
            </w:r>
            <w:r>
              <w:rPr>
                <w:rFonts w:ascii="Arial Narrow" w:hAnsi="Arial Narrow"/>
                <w:noProof/>
                <w:color w:val="006100"/>
                <w:sz w:val="20"/>
              </w:rPr>
              <w:t>Riiklike turujärelevalveasutuste konsolideerimine kuni kümnes Itaalia peamistes piirkondades asuvas asutuses, millest igaüks hõlmab kõiki tooterühmi ja annab aru määruse 2019/1020 (kaupade pakett) kohaselt loodud ühtsele kontaktametnikule.</w:t>
            </w:r>
          </w:p>
          <w:p w14:paraId="4C35E3AD"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xviii.</w:t>
            </w:r>
            <w:r>
              <w:rPr>
                <w:rFonts w:ascii="Arial Narrow" w:hAnsi="Arial Narrow"/>
                <w:noProof/>
              </w:rPr>
              <w:t xml:space="preserve"> </w:t>
            </w:r>
            <w:r>
              <w:rPr>
                <w:rFonts w:ascii="Arial Narrow" w:hAnsi="Arial Narrow"/>
                <w:noProof/>
                <w:color w:val="006100"/>
                <w:sz w:val="20"/>
              </w:rPr>
              <w:t>Nõuda riiklikelt turujärelevalveasutustelt toodete digiteeritud kontrollimist ja andmete kogumist, tehisintellekti kasutamist ohtlike ja ebaseaduslike toodete jälgimiseks ning ühtse turu suundumuste ja riskide kindlakstegemist.</w:t>
            </w:r>
          </w:p>
          <w:p w14:paraId="4A6C50DE"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xix.</w:t>
            </w:r>
            <w:r>
              <w:rPr>
                <w:rFonts w:ascii="Arial Narrow" w:hAnsi="Arial Narrow"/>
                <w:noProof/>
              </w:rPr>
              <w:t xml:space="preserve"> </w:t>
            </w:r>
            <w:r>
              <w:rPr>
                <w:rFonts w:ascii="Arial Narrow" w:hAnsi="Arial Narrow"/>
                <w:noProof/>
                <w:color w:val="006100"/>
                <w:sz w:val="20"/>
              </w:rPr>
              <w:t>Nõuda, et riiklikud turujärelevalveasutused hõlmaksid koolitust ning info- ja teavitussüsteemi kasutamist üleeuroopaliseks turujärelevalveks.</w:t>
            </w:r>
          </w:p>
          <w:p w14:paraId="38673981"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xx.</w:t>
            </w:r>
            <w:r>
              <w:rPr>
                <w:rFonts w:ascii="Arial Narrow" w:hAnsi="Arial Narrow"/>
                <w:noProof/>
              </w:rPr>
              <w:t xml:space="preserve"> </w:t>
            </w:r>
            <w:r>
              <w:rPr>
                <w:rFonts w:ascii="Arial Narrow" w:hAnsi="Arial Narrow"/>
                <w:noProof/>
                <w:color w:val="006100"/>
                <w:sz w:val="20"/>
              </w:rPr>
              <w:t>Luua uued akrediteeritud laborid toodete katsetamiseks kõigi tooterühmade jaoks. Need laborid viivad läbi e-kaubanduse katseid, füüsilisi laboratoorseid katseid ja ühismeetmeid (tolli-/turujärelevalveasutused; kaks või enam riiklikku turujärelevalveasutust, riiklikud ja ELi turujärelevalveasutused).</w:t>
            </w:r>
          </w:p>
        </w:tc>
      </w:tr>
      <w:tr w:rsidR="005F0490" w:rsidRPr="00D90835" w14:paraId="1DD2A14B"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3EDC23F2"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M1C2-7</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1E5BD9DA"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Reform 2. Iga-aastased konkurentsiseadused</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44C138FE"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Eesmärk</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43B435F9"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Kõigi energiaalaste rakendusmeetmete ja teiseste õigusaktide jõustumine (vajaduse korral)</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73877928"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Kõigi energiaalaste rakendusmeetmete ja teiseste õigusaktide jõustumine (vajaduse korral)</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2F3FDC5B"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3FF56D65"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45728978"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561088E6"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4. kv</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5360C442"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2022</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4255F69C"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Kõigi energiaalaste rakendusmeetmete ja teiseste õigusaktide jõustumine (vajaduse korral), et:</w:t>
            </w:r>
          </w:p>
          <w:p w14:paraId="76E2A851"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i.</w:t>
            </w:r>
            <w:r>
              <w:rPr>
                <w:rFonts w:ascii="Arial Narrow" w:hAnsi="Arial Narrow"/>
                <w:noProof/>
              </w:rPr>
              <w:t xml:space="preserve"> </w:t>
            </w:r>
            <w:r>
              <w:rPr>
                <w:rFonts w:ascii="Arial Narrow" w:hAnsi="Arial Narrow"/>
                <w:noProof/>
                <w:color w:val="006100"/>
                <w:sz w:val="20"/>
              </w:rPr>
              <w:t>Kaotada alates 1. jaanuarist 2023 järk-järgult reguleeritud hinnad mikroettevõtjate ja kodumajapidamiste jaoks.</w:t>
            </w:r>
          </w:p>
          <w:p w14:paraId="70602FF9"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ii.</w:t>
            </w:r>
            <w:r>
              <w:rPr>
                <w:rFonts w:ascii="Arial Narrow" w:hAnsi="Arial Narrow"/>
                <w:noProof/>
              </w:rPr>
              <w:t xml:space="preserve"> </w:t>
            </w:r>
            <w:r>
              <w:rPr>
                <w:rFonts w:ascii="Arial Narrow" w:hAnsi="Arial Narrow"/>
                <w:noProof/>
                <w:color w:val="006100"/>
                <w:sz w:val="20"/>
              </w:rPr>
              <w:t>Võtta kõrvalmeetmeid, et toetada konkurentsi kasutuselevõttu elektri jaeturgudel.</w:t>
            </w:r>
          </w:p>
          <w:p w14:paraId="351D49BC"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Täiendavad meetmed, millega tagatakse konkurentsi kasutuselevõtt elektri jaeturgudel, peavad tagama vähemalt järgmise:</w:t>
            </w:r>
          </w:p>
          <w:p w14:paraId="3FA288E3"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 Müüa enampakkumisel kliendibaasi, et tagada uutele turuletulijatele võrdsed võimalused.</w:t>
            </w:r>
          </w:p>
          <w:p w14:paraId="596A5344"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 Määrata kindlaks igale tarnijale kättesaadava maksimaalse turuosa ülemmäär;</w:t>
            </w:r>
          </w:p>
          <w:p w14:paraId="5F0939A2"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 Võimaldada Itaalia tarbijatel paluda oma energiatarnijal avaldada oma arvetega seotud andmed kolmandast isikust teenuseosutajatele;</w:t>
            </w:r>
          </w:p>
          <w:p w14:paraId="7FF4E532"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 Suurendada elektriarve läbipaistvust, andes tarbijatele juurdepääsu „spesi per oneri di sistema“ alakomponentidele;</w:t>
            </w:r>
          </w:p>
          <w:p w14:paraId="7109BE33"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 Kaotada nõue, mille kohaselt tarnijad peavad koguma tasusid, mis ei ole seotud energiasektoriga.</w:t>
            </w:r>
          </w:p>
        </w:tc>
      </w:tr>
      <w:tr w:rsidR="005F0490" w:rsidRPr="00D90835" w14:paraId="7AF9784C"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348269FA"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M1C2-8</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0A286A59"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Reform 2. Iga-aastased konkurentsiseadused</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4B849998"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Eesmärk</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39053E13"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Kõigi rakendusmeetmete (sealhulgas vajaduse korral teiseste õigusaktide) jõustumine 2021. aasta konkurentsiseadusest tulenevate meetmete tõhusaks rakendamiseks ja kohaldamiseks</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192B4149"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Kõigi teiseste õigusaktide jõustumine, sealhulgas kõik 2021. aasta konkurentsiseadusest tulenevate meetmete jaoks vajalikud määrused</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2B7453F4"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28C58797"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3CEF7E6D"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4AD1FBE1"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4. kv</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74B8D03C"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2022</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71198468"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Jõustuvad kõik rakendusmeetmed (sealhulgas vajaduse korral teisesed õigusaktid) 2021. aasta konkurentsiseadusest tulenevate meetmete tõhusaks rakendamiseks ja kohaldamiseks.</w:t>
            </w:r>
          </w:p>
        </w:tc>
      </w:tr>
      <w:tr w:rsidR="005F0490" w:rsidRPr="00D90835" w14:paraId="0AA955FE"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4F88F8D0"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M1C2-9</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54BE317B"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Reform 2. Iga-aastased konkurentsiseadused</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1F7D276F"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Eesmärk</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1F5E8872"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2022. aasta konkurentsiseaduse jõustumine</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08A53CF5"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Säte, mis viitab 2022. aasta konkurentsiseaduse jõustumisele.</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462037AE"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5D04DC49"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1E83C0B3"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3F84673F"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4. kv</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5579BC05"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2023</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3A2EE761"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2022. aasta konkurentsiseaduse jõustumine</w:t>
            </w:r>
            <w:r>
              <w:rPr>
                <w:noProof/>
              </w:rPr>
              <w:br/>
            </w:r>
            <w:r>
              <w:rPr>
                <w:rFonts w:ascii="Arial Narrow" w:hAnsi="Arial Narrow"/>
                <w:noProof/>
                <w:color w:val="006100"/>
                <w:sz w:val="20"/>
              </w:rPr>
              <w:t>Iga-aastane konkurentsiõigus sisaldab vähemalt järgmisi põhielemente, mille rakendusmeetmed ja teisesed õigusaktid (vajaduse korral) võetakse vastu ja jõustuvad hiljemalt 31. detsembril 2023.</w:t>
            </w:r>
          </w:p>
          <w:p w14:paraId="346F4CBB"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 xml:space="preserve">See peaks: </w:t>
            </w:r>
          </w:p>
          <w:p w14:paraId="2CDF6944" w14:textId="77777777" w:rsidR="0084326C" w:rsidRPr="005D68A0" w:rsidRDefault="0084326C">
            <w:pPr>
              <w:spacing w:before="120" w:after="120"/>
              <w:rPr>
                <w:rFonts w:ascii="Arial Narrow" w:hAnsi="Arial Narrow"/>
                <w:noProof/>
                <w:color w:val="006100"/>
                <w:sz w:val="20"/>
                <w:szCs w:val="20"/>
              </w:rPr>
            </w:pPr>
            <w:r>
              <w:rPr>
                <w:rFonts w:ascii="Arial Narrow" w:hAnsi="Arial Narrow"/>
                <w:b/>
                <w:noProof/>
                <w:color w:val="006100"/>
                <w:sz w:val="20"/>
              </w:rPr>
              <w:t xml:space="preserve">i) </w:t>
            </w:r>
            <w:r>
              <w:rPr>
                <w:rFonts w:ascii="Arial Narrow" w:hAnsi="Arial Narrow"/>
                <w:noProof/>
                <w:color w:val="006100"/>
                <w:sz w:val="20"/>
              </w:rPr>
              <w:t>kehtestama selge menetluse järgmise kümnendi elektrivõrgu arengukava vastuvõtmiseks eelnevalt kindlaksmääratud tähtaegade jooksul ja igal juhul hiljemalt 31. detsembriks (iga kahe aasta järel)(*), mis tagab menetluse lõpuleviimise ja heakskiitmise protsessi lihtsustamise.</w:t>
            </w:r>
          </w:p>
          <w:p w14:paraId="11D62C8C"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 2021. aasta elektrivõrgu arengukava võetakse vastu 31. detsembriks 2023.</w:t>
            </w:r>
          </w:p>
          <w:p w14:paraId="6077BE57" w14:textId="77777777" w:rsidR="0084326C" w:rsidRPr="005D68A0" w:rsidRDefault="0084326C">
            <w:pPr>
              <w:spacing w:before="120" w:after="120"/>
              <w:rPr>
                <w:rFonts w:ascii="Arial Narrow" w:hAnsi="Arial Narrow"/>
                <w:noProof/>
                <w:color w:val="006100"/>
                <w:sz w:val="20"/>
                <w:szCs w:val="20"/>
              </w:rPr>
            </w:pPr>
            <w:r>
              <w:rPr>
                <w:rFonts w:ascii="Arial Narrow" w:hAnsi="Arial Narrow"/>
                <w:b/>
                <w:noProof/>
                <w:color w:val="006100"/>
                <w:sz w:val="20"/>
              </w:rPr>
              <w:t xml:space="preserve">ii) </w:t>
            </w:r>
            <w:r>
              <w:rPr>
                <w:rFonts w:ascii="Arial Narrow" w:hAnsi="Arial Narrow"/>
                <w:noProof/>
                <w:color w:val="006100"/>
                <w:sz w:val="20"/>
              </w:rPr>
              <w:t xml:space="preserve">edendama 2. põlvkonna arukate elektriarvestite kasutuselevõttu. </w:t>
            </w:r>
          </w:p>
          <w:p w14:paraId="6CCDF462" w14:textId="77777777" w:rsidR="0084326C" w:rsidRPr="005D68A0" w:rsidRDefault="0084326C">
            <w:pPr>
              <w:rPr>
                <w:rFonts w:ascii="Arial Narrow" w:hAnsi="Arial Narrow"/>
                <w:b/>
                <w:bCs/>
                <w:noProof/>
                <w:color w:val="006100"/>
                <w:sz w:val="20"/>
                <w:szCs w:val="20"/>
                <w:lang w:val="en-GB"/>
              </w:rPr>
            </w:pPr>
          </w:p>
          <w:p w14:paraId="34253935" w14:textId="77777777" w:rsidR="0084326C" w:rsidRPr="005D68A0" w:rsidRDefault="0084326C">
            <w:pPr>
              <w:rPr>
                <w:rFonts w:ascii="Arial Narrow" w:hAnsi="Arial Narrow"/>
                <w:b/>
                <w:bCs/>
                <w:noProof/>
                <w:color w:val="006100"/>
                <w:sz w:val="20"/>
                <w:szCs w:val="20"/>
              </w:rPr>
            </w:pPr>
            <w:r>
              <w:rPr>
                <w:rFonts w:ascii="Arial Narrow" w:hAnsi="Arial Narrow"/>
                <w:b/>
                <w:noProof/>
                <w:color w:val="006100"/>
                <w:sz w:val="20"/>
              </w:rPr>
              <w:t>Konkurentsiõigus:</w:t>
            </w:r>
          </w:p>
          <w:p w14:paraId="1310656C" w14:textId="77777777" w:rsidR="0084326C" w:rsidRPr="005D68A0" w:rsidRDefault="0084326C">
            <w:pPr>
              <w:rPr>
                <w:rFonts w:ascii="Arial Narrow" w:hAnsi="Arial Narrow"/>
                <w:bCs/>
                <w:noProof/>
                <w:color w:val="006100"/>
                <w:sz w:val="20"/>
                <w:szCs w:val="20"/>
              </w:rPr>
            </w:pPr>
            <w:r w:rsidRPr="00B05569">
              <w:rPr>
                <w:rFonts w:ascii="Arial Narrow" w:hAnsi="Arial Narrow"/>
                <w:b/>
                <w:bCs/>
                <w:noProof/>
                <w:color w:val="006100"/>
                <w:sz w:val="20"/>
              </w:rPr>
              <w:t>iii)</w:t>
            </w:r>
            <w:r>
              <w:rPr>
                <w:rFonts w:ascii="Arial Narrow" w:hAnsi="Arial Narrow"/>
                <w:noProof/>
                <w:color w:val="006100"/>
                <w:sz w:val="20"/>
              </w:rPr>
              <w:t xml:space="preserve"> pikendatakse Itaalia konkurentsiameti (</w:t>
            </w:r>
            <w:r>
              <w:rPr>
                <w:rFonts w:ascii="Arial Narrow" w:hAnsi="Arial Narrow"/>
                <w:i/>
                <w:noProof/>
                <w:color w:val="006100"/>
                <w:sz w:val="20"/>
              </w:rPr>
              <w:t>Autorità Garante della Concorrenza e del Mercato</w:t>
            </w:r>
            <w:r>
              <w:rPr>
                <w:rFonts w:ascii="Arial Narrow" w:hAnsi="Arial Narrow"/>
                <w:noProof/>
                <w:color w:val="006100"/>
                <w:sz w:val="20"/>
              </w:rPr>
              <w:t>) poolt selliste koondumiste hindamise kestust, mis võivad seaduse 287/1990 artikli 6 alusel märkimisväärselt takistada tõhusat konkurentsi, 45 päevalt 90 päevale.</w:t>
            </w:r>
          </w:p>
          <w:p w14:paraId="770F986D" w14:textId="77777777" w:rsidR="0084326C" w:rsidRPr="005D68A0" w:rsidRDefault="0084326C">
            <w:pPr>
              <w:rPr>
                <w:rFonts w:ascii="Arial Narrow" w:hAnsi="Arial Narrow"/>
                <w:b/>
                <w:bCs/>
                <w:noProof/>
                <w:color w:val="006100"/>
                <w:sz w:val="20"/>
                <w:szCs w:val="20"/>
                <w:lang w:val="en-GB"/>
              </w:rPr>
            </w:pPr>
          </w:p>
          <w:p w14:paraId="2C5796A5" w14:textId="77777777" w:rsidR="0084326C" w:rsidRPr="005D68A0" w:rsidRDefault="0084326C">
            <w:pPr>
              <w:rPr>
                <w:rFonts w:ascii="Arial Narrow" w:hAnsi="Arial Narrow"/>
                <w:b/>
                <w:bCs/>
                <w:noProof/>
                <w:color w:val="006100"/>
                <w:sz w:val="20"/>
                <w:szCs w:val="20"/>
              </w:rPr>
            </w:pPr>
            <w:r>
              <w:rPr>
                <w:rFonts w:ascii="Arial Narrow" w:hAnsi="Arial Narrow"/>
                <w:b/>
                <w:noProof/>
                <w:color w:val="006100"/>
                <w:sz w:val="20"/>
              </w:rPr>
              <w:t>Jaenõuded:</w:t>
            </w:r>
          </w:p>
          <w:p w14:paraId="373AF3F6" w14:textId="77777777" w:rsidR="0084326C" w:rsidRPr="005D68A0" w:rsidRDefault="0084326C">
            <w:pPr>
              <w:rPr>
                <w:rFonts w:ascii="Arial Narrow" w:hAnsi="Arial Narrow"/>
                <w:bCs/>
                <w:noProof/>
                <w:color w:val="006100"/>
                <w:sz w:val="20"/>
                <w:szCs w:val="20"/>
              </w:rPr>
            </w:pPr>
            <w:r>
              <w:rPr>
                <w:rFonts w:ascii="Arial Narrow" w:hAnsi="Arial Narrow"/>
                <w:b/>
                <w:noProof/>
                <w:color w:val="006100"/>
                <w:sz w:val="20"/>
              </w:rPr>
              <w:t xml:space="preserve">iv) </w:t>
            </w:r>
            <w:r>
              <w:rPr>
                <w:rFonts w:ascii="Arial Narrow" w:hAnsi="Arial Narrow"/>
                <w:noProof/>
                <w:color w:val="006100"/>
                <w:sz w:val="20"/>
              </w:rPr>
              <w:t>eri omavalitsusüksustes asuvaid müügikohti omavate ettevõtjate müügiedendustegevuse lubade andmise menetluse lihtsustamine.</w:t>
            </w:r>
          </w:p>
          <w:p w14:paraId="6BADEACC" w14:textId="77777777" w:rsidR="0084326C" w:rsidRPr="005D68A0" w:rsidRDefault="0084326C">
            <w:pPr>
              <w:rPr>
                <w:rFonts w:ascii="Arial Narrow" w:hAnsi="Arial Narrow"/>
                <w:b/>
                <w:bCs/>
                <w:noProof/>
                <w:color w:val="006100"/>
                <w:sz w:val="20"/>
                <w:szCs w:val="20"/>
                <w:lang w:val="en-GB"/>
              </w:rPr>
            </w:pPr>
          </w:p>
          <w:p w14:paraId="0A158A6D" w14:textId="77777777" w:rsidR="0084326C" w:rsidRPr="005D68A0" w:rsidRDefault="0084326C">
            <w:pPr>
              <w:rPr>
                <w:rFonts w:ascii="Arial Narrow" w:hAnsi="Arial Narrow"/>
                <w:b/>
                <w:bCs/>
                <w:noProof/>
                <w:color w:val="006100"/>
                <w:sz w:val="20"/>
                <w:szCs w:val="20"/>
              </w:rPr>
            </w:pPr>
            <w:r>
              <w:rPr>
                <w:rFonts w:ascii="Arial Narrow" w:hAnsi="Arial Narrow"/>
                <w:b/>
                <w:noProof/>
                <w:color w:val="006100"/>
                <w:sz w:val="20"/>
              </w:rPr>
              <w:t>Ravimid:</w:t>
            </w:r>
          </w:p>
          <w:p w14:paraId="776C23E1" w14:textId="77777777" w:rsidR="0084326C" w:rsidRPr="005D68A0" w:rsidRDefault="0084326C">
            <w:pPr>
              <w:rPr>
                <w:rFonts w:ascii="Arial Narrow" w:hAnsi="Arial Narrow"/>
                <w:noProof/>
                <w:color w:val="006100"/>
                <w:sz w:val="20"/>
                <w:szCs w:val="20"/>
              </w:rPr>
            </w:pPr>
            <w:r>
              <w:rPr>
                <w:rFonts w:ascii="Arial Narrow" w:hAnsi="Arial Narrow"/>
                <w:b/>
                <w:noProof/>
                <w:color w:val="006100"/>
                <w:sz w:val="20"/>
              </w:rPr>
              <w:t xml:space="preserve">v) </w:t>
            </w:r>
            <w:r>
              <w:rPr>
                <w:rFonts w:ascii="Arial Narrow" w:hAnsi="Arial Narrow"/>
                <w:noProof/>
                <w:color w:val="006100"/>
                <w:sz w:val="20"/>
              </w:rPr>
              <w:t>tagada galeanravimite müügi loanõuete proportsionaalsus.</w:t>
            </w:r>
          </w:p>
        </w:tc>
      </w:tr>
      <w:tr w:rsidR="005F0490" w:rsidRPr="00D90835" w14:paraId="5F297098"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1D54B071"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M1C2-10</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5501973F"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Reform 2. Iga-aastased konkurentsiseadused</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39142E91"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Eesmärk</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564B52FB"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Kõigi rakendusmeetmete (sealhulgas vajaduse korral teiseste õigusaktide) jõustumine 2022. aasta konkurentsiseadusest tulenevate meetmete tõhusaks rakendamiseks ja kohaldamiseks</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22BB4D03"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Kõigi teiseste õigusaktide jõustumine, sealhulgas kõik 2022. aasta konkurentsiseadusest tulenevate meetmete jaoks vajalikud määrused</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0686402A"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67583717"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3E465129"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2AA469A3"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4. kv</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00756098"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2023</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32075A8C"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Kõigi teiseste õigusaktide jõustumine (vajaduse korral), sealhulgas kõik vajalikud määrused kõigi nimetatud meetmete tõhusaks rakendamiseks ja kohaldamiseks, mis tulenevad 2022. aasta konkurentsiseadusest.</w:t>
            </w:r>
          </w:p>
        </w:tc>
      </w:tr>
      <w:tr w:rsidR="005F0490" w:rsidRPr="00D90835" w14:paraId="0C371F59"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53D1645A"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M1C2-11</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2303ACDC"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Reform 2. Iga-aastased konkurentsiseadused</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5F0B376E"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Eesmärk</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4C5A6A0D"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2023. aasta konkurentsiseaduse jõustumine</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43A34E90"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Säte, mis viitab 2023. aasta konkurentsiseaduse jõustumisele.</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6B09BBFB"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6F7D8BEF"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3E6E447D"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27464235"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4. kv</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4D66BA14" w14:textId="77777777" w:rsidR="0084326C" w:rsidRPr="00D90835"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2024</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78FD6E66" w14:textId="77777777" w:rsidR="0084326C" w:rsidRPr="00D90835" w:rsidRDefault="0084326C">
            <w:pPr>
              <w:rPr>
                <w:rFonts w:ascii="Arial Narrow" w:hAnsi="Arial Narrow"/>
                <w:noProof/>
                <w:color w:val="006100"/>
                <w:sz w:val="20"/>
                <w:szCs w:val="20"/>
              </w:rPr>
            </w:pPr>
            <w:r>
              <w:rPr>
                <w:rFonts w:ascii="Arial Narrow" w:hAnsi="Arial Narrow"/>
                <w:noProof/>
                <w:color w:val="006100"/>
                <w:sz w:val="20"/>
              </w:rPr>
              <w:t>2023. aasta konkurentsiseaduse jõustumine. Iga-aastane konkurentsiseadus sisaldab vähemalt järgmisi põhielemente, mille rakendusmeetmed ja teisesed õigusaktid (vajaduse korral) võetakse vastu ja jõustuvad hiljemalt 31. detsembril 2024.</w:t>
            </w:r>
          </w:p>
          <w:p w14:paraId="2D8136CB" w14:textId="77777777" w:rsidR="0084326C" w:rsidRPr="00F33804" w:rsidRDefault="0084326C">
            <w:pPr>
              <w:rPr>
                <w:rFonts w:ascii="Arial Narrow" w:hAnsi="Arial Narrow"/>
                <w:noProof/>
                <w:color w:val="006100"/>
                <w:sz w:val="20"/>
                <w:szCs w:val="20"/>
              </w:rPr>
            </w:pPr>
          </w:p>
          <w:p w14:paraId="511FC769" w14:textId="77777777" w:rsidR="0084326C" w:rsidRPr="00D90835" w:rsidRDefault="0084326C">
            <w:pPr>
              <w:rPr>
                <w:rFonts w:ascii="Arial Narrow" w:hAnsi="Arial Narrow"/>
                <w:noProof/>
                <w:color w:val="006100"/>
                <w:sz w:val="20"/>
                <w:szCs w:val="20"/>
              </w:rPr>
            </w:pPr>
            <w:r>
              <w:rPr>
                <w:rFonts w:ascii="Arial Narrow" w:hAnsi="Arial Narrow"/>
                <w:noProof/>
                <w:color w:val="006100"/>
                <w:sz w:val="20"/>
              </w:rPr>
              <w:t>See hõlmab vähemalt järgmisi meetmeid:</w:t>
            </w:r>
          </w:p>
          <w:p w14:paraId="4B31F3CA" w14:textId="77777777" w:rsidR="0084326C" w:rsidRPr="00D90835" w:rsidRDefault="0084326C">
            <w:pPr>
              <w:rPr>
                <w:rFonts w:ascii="Arial Narrow" w:hAnsi="Arial Narrow"/>
                <w:noProof/>
                <w:color w:val="006100"/>
                <w:sz w:val="20"/>
                <w:szCs w:val="20"/>
                <w:lang w:val="en-GB"/>
              </w:rPr>
            </w:pPr>
          </w:p>
          <w:p w14:paraId="566274C2" w14:textId="77777777" w:rsidR="0084326C" w:rsidRPr="00D90835" w:rsidRDefault="0084326C">
            <w:pPr>
              <w:rPr>
                <w:rFonts w:ascii="Arial Narrow" w:hAnsi="Arial Narrow"/>
                <w:noProof/>
                <w:color w:val="006100"/>
                <w:sz w:val="20"/>
                <w:szCs w:val="20"/>
              </w:rPr>
            </w:pPr>
            <w:r>
              <w:rPr>
                <w:rFonts w:ascii="Arial Narrow" w:hAnsi="Arial Narrow"/>
                <w:b/>
                <w:noProof/>
                <w:color w:val="006100"/>
                <w:sz w:val="20"/>
              </w:rPr>
              <w:t>Maanteed:</w:t>
            </w:r>
          </w:p>
          <w:p w14:paraId="1A26114B" w14:textId="77777777" w:rsidR="0084326C" w:rsidRPr="00D90835" w:rsidRDefault="0084326C">
            <w:pPr>
              <w:rPr>
                <w:rFonts w:ascii="Arial Narrow" w:hAnsi="Arial Narrow"/>
                <w:noProof/>
                <w:color w:val="006100"/>
                <w:sz w:val="20"/>
                <w:szCs w:val="20"/>
                <w:lang w:val="en-GB"/>
              </w:rPr>
            </w:pPr>
          </w:p>
          <w:p w14:paraId="4172236B" w14:textId="77777777" w:rsidR="0084326C" w:rsidRPr="00D90835" w:rsidRDefault="0084326C">
            <w:pPr>
              <w:spacing w:after="120"/>
              <w:jc w:val="both"/>
              <w:rPr>
                <w:rFonts w:ascii="Arial Narrow" w:hAnsi="Arial Narrow"/>
                <w:noProof/>
                <w:color w:val="006100"/>
                <w:sz w:val="20"/>
                <w:szCs w:val="20"/>
              </w:rPr>
            </w:pPr>
            <w:r>
              <w:rPr>
                <w:rFonts w:ascii="Arial Narrow" w:hAnsi="Arial Narrow"/>
                <w:b/>
                <w:noProof/>
                <w:color w:val="006100"/>
                <w:sz w:val="20"/>
              </w:rPr>
              <w:t>i)</w:t>
            </w:r>
            <w:r>
              <w:rPr>
                <w:rFonts w:ascii="Arial Narrow" w:hAnsi="Arial Narrow"/>
                <w:noProof/>
                <w:color w:val="006100"/>
                <w:sz w:val="20"/>
              </w:rPr>
              <w:t xml:space="preserve"> kontsessioonidele juurdepääsu ja lepingu lõpetamise osas peab iga-aastane konkurentsiseadus vähemalt:</w:t>
            </w:r>
          </w:p>
          <w:p w14:paraId="52C58A0D" w14:textId="77777777" w:rsidR="0084326C" w:rsidRPr="00D90835" w:rsidRDefault="0084326C">
            <w:pPr>
              <w:spacing w:after="80"/>
              <w:ind w:left="340"/>
              <w:jc w:val="both"/>
              <w:rPr>
                <w:rFonts w:ascii="Arial Narrow" w:hAnsi="Arial Narrow"/>
                <w:noProof/>
                <w:color w:val="006100"/>
                <w:sz w:val="20"/>
                <w:szCs w:val="20"/>
              </w:rPr>
            </w:pPr>
            <w:r>
              <w:rPr>
                <w:rFonts w:ascii="Arial Narrow" w:hAnsi="Arial Narrow"/>
                <w:noProof/>
                <w:color w:val="006100"/>
                <w:sz w:val="20"/>
              </w:rPr>
              <w:t xml:space="preserve">– muuta kontsessioonilepingute hankemenetlus maanteede puhul kohustuslikuks ning tugevdada maanteede kontsessioonide andmist ja maanteekasutajatele piisava teeninduse tagamist reguleeriva raamistiku jõustatavust, ilma et see piiraks siseruumides teenuste osutamist ELi õigusega kehtestatud piirides(*); </w:t>
            </w:r>
          </w:p>
          <w:p w14:paraId="7F4DE7D1" w14:textId="77777777" w:rsidR="0084326C" w:rsidRPr="00D90835" w:rsidRDefault="0084326C">
            <w:pPr>
              <w:autoSpaceDE w:val="0"/>
              <w:autoSpaceDN w:val="0"/>
              <w:adjustRightInd w:val="0"/>
              <w:spacing w:after="80"/>
              <w:ind w:left="340"/>
              <w:jc w:val="both"/>
              <w:rPr>
                <w:rFonts w:ascii="Arial Narrow" w:hAnsi="Arial Narrow"/>
                <w:b/>
                <w:bCs/>
                <w:noProof/>
                <w:color w:val="006100"/>
                <w:sz w:val="20"/>
                <w:szCs w:val="20"/>
              </w:rPr>
            </w:pPr>
            <w:r w:rsidRPr="00B05569">
              <w:rPr>
                <w:rFonts w:ascii="Arial Narrow" w:hAnsi="Arial Narrow"/>
                <w:bCs/>
                <w:noProof/>
                <w:color w:val="006100"/>
                <w:sz w:val="20"/>
              </w:rPr>
              <w:t xml:space="preserve">– </w:t>
            </w:r>
            <w:r>
              <w:rPr>
                <w:rFonts w:ascii="Arial Narrow" w:hAnsi="Arial Narrow"/>
                <w:noProof/>
                <w:color w:val="006100"/>
                <w:sz w:val="20"/>
              </w:rPr>
              <w:t>parandada kontsessioonilepingutega seotud otsustamismenetluste tõhusust;</w:t>
            </w:r>
          </w:p>
          <w:p w14:paraId="6AC3279F" w14:textId="77777777" w:rsidR="0084326C" w:rsidRPr="00D90835" w:rsidRDefault="0084326C">
            <w:pPr>
              <w:spacing w:after="80"/>
              <w:ind w:left="340"/>
              <w:jc w:val="both"/>
              <w:rPr>
                <w:rFonts w:ascii="Arial Narrow" w:hAnsi="Arial Narrow"/>
                <w:noProof/>
                <w:color w:val="006100"/>
                <w:sz w:val="20"/>
                <w:szCs w:val="20"/>
              </w:rPr>
            </w:pPr>
            <w:r>
              <w:rPr>
                <w:rFonts w:ascii="Arial Narrow" w:hAnsi="Arial Narrow"/>
                <w:noProof/>
                <w:color w:val="006100"/>
                <w:sz w:val="20"/>
              </w:rPr>
              <w:t>– nõuda kontsessioonilepingu eseme üksikasjalikku ja läbipaistvat kirjeldust.</w:t>
            </w:r>
          </w:p>
          <w:p w14:paraId="5BD3F1C6" w14:textId="6A8D2B36" w:rsidR="0084326C" w:rsidRPr="00D90835" w:rsidRDefault="00C30E05">
            <w:pPr>
              <w:spacing w:after="80"/>
              <w:ind w:left="340"/>
              <w:jc w:val="both"/>
              <w:rPr>
                <w:rFonts w:ascii="Arial Narrow" w:hAnsi="Arial Narrow"/>
                <w:noProof/>
                <w:color w:val="006100"/>
                <w:sz w:val="20"/>
                <w:szCs w:val="20"/>
              </w:rPr>
            </w:pPr>
            <w:r w:rsidRPr="00C30E05">
              <w:rPr>
                <w:rFonts w:ascii="Arial Narrow" w:hAnsi="Arial Narrow"/>
                <w:noProof/>
                <w:color w:val="006100"/>
                <w:sz w:val="20"/>
              </w:rPr>
              <w:t xml:space="preserve">– </w:t>
            </w:r>
            <w:r w:rsidR="0084326C">
              <w:rPr>
                <w:rFonts w:ascii="Arial Narrow" w:hAnsi="Arial Narrow"/>
                <w:noProof/>
                <w:color w:val="006100"/>
                <w:sz w:val="20"/>
              </w:rPr>
              <w:t>nõuda, et kontsessiooni andvad asutused määraksid maanteelõikude kontsessioonid, mis on antud avaliku menetluse teel, võttes arvesse reguleeriva asutuse (</w:t>
            </w:r>
            <w:r w:rsidR="0084326C">
              <w:rPr>
                <w:rFonts w:ascii="Arial Narrow" w:hAnsi="Arial Narrow"/>
                <w:i/>
                <w:noProof/>
                <w:color w:val="006100"/>
                <w:sz w:val="20"/>
              </w:rPr>
              <w:t>Autorità di Regolazione dei Trasporti</w:t>
            </w:r>
            <w:r w:rsidR="0084326C">
              <w:rPr>
                <w:rFonts w:ascii="Arial Narrow" w:hAnsi="Arial Narrow"/>
                <w:noProof/>
                <w:color w:val="006100"/>
                <w:sz w:val="20"/>
              </w:rPr>
              <w:t xml:space="preserve"> – ART) koostatud hinnanguid mastaabi tõhususe ja maanteekontsessionääride kulude kohta; </w:t>
            </w:r>
          </w:p>
          <w:p w14:paraId="6CEF3229" w14:textId="28199AD1" w:rsidR="0084326C" w:rsidRPr="00D90835" w:rsidRDefault="00C30E05">
            <w:pPr>
              <w:spacing w:after="80"/>
              <w:ind w:left="340"/>
              <w:jc w:val="both"/>
              <w:rPr>
                <w:rFonts w:ascii="Arial Narrow" w:hAnsi="Arial Narrow"/>
                <w:noProof/>
                <w:color w:val="006100"/>
                <w:sz w:val="20"/>
                <w:szCs w:val="20"/>
              </w:rPr>
            </w:pPr>
            <w:r w:rsidRPr="00C30E05">
              <w:rPr>
                <w:rFonts w:ascii="Arial Narrow" w:hAnsi="Arial Narrow"/>
                <w:noProof/>
                <w:color w:val="006100"/>
                <w:sz w:val="20"/>
              </w:rPr>
              <w:t xml:space="preserve">– </w:t>
            </w:r>
            <w:r w:rsidR="0084326C">
              <w:rPr>
                <w:rFonts w:ascii="Arial Narrow" w:hAnsi="Arial Narrow"/>
                <w:noProof/>
                <w:color w:val="006100"/>
                <w:sz w:val="20"/>
              </w:rPr>
              <w:t>tugevdada infrastruktuuriministeeriumi kontrolli maanteede infrastruktuuri kulude ja teostamise üle;</w:t>
            </w:r>
          </w:p>
          <w:p w14:paraId="2F644B0D" w14:textId="77777777" w:rsidR="0084326C" w:rsidRPr="00D90835" w:rsidRDefault="0084326C">
            <w:pPr>
              <w:spacing w:after="80"/>
              <w:ind w:left="340"/>
              <w:jc w:val="both"/>
              <w:rPr>
                <w:rFonts w:ascii="Arial Narrow" w:hAnsi="Arial Narrow"/>
                <w:noProof/>
                <w:color w:val="006100"/>
                <w:sz w:val="20"/>
                <w:szCs w:val="20"/>
              </w:rPr>
            </w:pPr>
            <w:r>
              <w:rPr>
                <w:rFonts w:ascii="Arial Narrow" w:hAnsi="Arial Narrow"/>
                <w:noProof/>
                <w:color w:val="006100"/>
                <w:sz w:val="20"/>
              </w:rPr>
              <w:t>– takistada kontsessioonilepingute automaatset uuendamist, muu hulgas kõigi majandus- ja finantsplaanide korrapärase ajakohastamisega seotud tehniliste ja haldusmenetluste ning nende kavade iga-aastase rakendamisega seotud haldustõhususe olulise parandamise kaudu ning keelates kasutada riigihankeseadustiku artikliga 193 reguleeritud menetlusi aegunud või lõppenud maanteede kontsessioonilepingute sõlmimise vahendina;</w:t>
            </w:r>
          </w:p>
          <w:p w14:paraId="35A00AD0" w14:textId="77777777" w:rsidR="0084326C" w:rsidRPr="00D90835" w:rsidRDefault="0084326C">
            <w:pPr>
              <w:spacing w:after="80"/>
              <w:ind w:left="340"/>
              <w:jc w:val="both"/>
              <w:rPr>
                <w:rFonts w:ascii="Arial Narrow" w:hAnsi="Arial Narrow"/>
                <w:noProof/>
                <w:color w:val="006100"/>
                <w:sz w:val="20"/>
                <w:szCs w:val="20"/>
              </w:rPr>
            </w:pPr>
            <w:r>
              <w:rPr>
                <w:rFonts w:ascii="Arial Narrow" w:hAnsi="Arial Narrow"/>
                <w:noProof/>
                <w:color w:val="006100"/>
                <w:sz w:val="20"/>
              </w:rPr>
              <w:t xml:space="preserve">– lihtsustada/selgitada lepingu lõpetamise ja tühistamise tingimuste reguleerimist, muu hulgas selleks, et säilitada kontsessioonide piisav konkurentsile avatuse tase asjaomas(t)e turu(te) jaoks; </w:t>
            </w:r>
          </w:p>
          <w:p w14:paraId="57CBA647" w14:textId="77777777" w:rsidR="0084326C" w:rsidRPr="00D90835" w:rsidRDefault="0084326C">
            <w:pPr>
              <w:spacing w:after="80"/>
              <w:ind w:left="340"/>
              <w:jc w:val="both"/>
              <w:rPr>
                <w:rFonts w:ascii="Arial Narrow" w:hAnsi="Arial Narrow"/>
                <w:noProof/>
                <w:color w:val="006100"/>
                <w:sz w:val="20"/>
                <w:szCs w:val="20"/>
              </w:rPr>
            </w:pPr>
            <w:r>
              <w:rPr>
                <w:rFonts w:ascii="Arial Narrow" w:hAnsi="Arial Narrow"/>
                <w:noProof/>
                <w:color w:val="006100"/>
                <w:sz w:val="20"/>
              </w:rPr>
              <w:t>– rakendada õigeaegselt ja täielikult vastu võetud juurdepääsutasude reguleerimise mudel, võttes arvesse järgmist: i) kontsessionääride mitmeaastase majandus- ja finantsplaneerimise perioodiline ajakohastamine (mille on heaks kiitnud pädev reguleeriv asutus) ja ii) nende kavade iga-aastane kasutuselevõtt.</w:t>
            </w:r>
          </w:p>
          <w:p w14:paraId="3AB6CE08" w14:textId="77777777" w:rsidR="0084326C" w:rsidRPr="00D90835" w:rsidRDefault="0084326C">
            <w:pPr>
              <w:spacing w:after="80"/>
              <w:ind w:left="340"/>
              <w:jc w:val="both"/>
              <w:rPr>
                <w:rFonts w:ascii="Arial Narrow" w:hAnsi="Arial Narrow"/>
                <w:noProof/>
                <w:color w:val="006100"/>
                <w:sz w:val="20"/>
                <w:szCs w:val="20"/>
              </w:rPr>
            </w:pPr>
            <w:r>
              <w:rPr>
                <w:rFonts w:ascii="Arial Narrow" w:hAnsi="Arial Narrow"/>
                <w:noProof/>
                <w:color w:val="006100"/>
                <w:sz w:val="20"/>
              </w:rPr>
              <w:t>- Avalikes huvides lepingu lõpetamise puhul nähakse seadusega ette vähemalt piisav hüvitis, mis võimaldab kontsessionääril tagasi teenida investeeringud, mida ei ole täielikult amortiseeritud. Lepingu lõpetamisel tõsise rikkumise korral nähakse seadusega ette piisav tasakaal kontsessionäärile taotletud kahju hüvitamise ja nende investeeringute õiglase hüvitamise vahel, mida ei ole veel tagasi makstud. Tõsise rikkumise juhud määratakse selgesõnaliselt kindlaks seadusega.</w:t>
            </w:r>
          </w:p>
          <w:p w14:paraId="120AD363" w14:textId="77777777" w:rsidR="0084326C" w:rsidRPr="00D90835" w:rsidRDefault="0084326C">
            <w:pPr>
              <w:jc w:val="both"/>
              <w:rPr>
                <w:rFonts w:ascii="Arial Narrow" w:hAnsi="Arial Narrow"/>
                <w:noProof/>
                <w:color w:val="006100"/>
                <w:sz w:val="20"/>
                <w:szCs w:val="20"/>
              </w:rPr>
            </w:pPr>
            <w:r>
              <w:rPr>
                <w:rFonts w:ascii="Arial Narrow" w:hAnsi="Arial Narrow"/>
                <w:noProof/>
                <w:color w:val="006100"/>
                <w:sz w:val="20"/>
              </w:rPr>
              <w:t xml:space="preserve"> </w:t>
            </w:r>
          </w:p>
          <w:p w14:paraId="445C4592" w14:textId="77777777" w:rsidR="0084326C" w:rsidRPr="00D90835" w:rsidRDefault="0084326C">
            <w:pPr>
              <w:spacing w:after="120"/>
              <w:jc w:val="both"/>
              <w:rPr>
                <w:rFonts w:ascii="Arial Narrow" w:hAnsi="Arial Narrow"/>
                <w:noProof/>
                <w:color w:val="006100"/>
                <w:sz w:val="20"/>
                <w:szCs w:val="20"/>
              </w:rPr>
            </w:pPr>
            <w:r>
              <w:rPr>
                <w:rFonts w:ascii="Arial Narrow" w:hAnsi="Arial Narrow"/>
                <w:b/>
                <w:noProof/>
                <w:color w:val="006100"/>
                <w:sz w:val="20"/>
              </w:rPr>
              <w:t xml:space="preserve">ii) </w:t>
            </w:r>
            <w:r>
              <w:rPr>
                <w:rFonts w:ascii="Arial Narrow" w:hAnsi="Arial Narrow"/>
                <w:noProof/>
                <w:color w:val="006100"/>
                <w:sz w:val="20"/>
              </w:rPr>
              <w:t>tasude reguleerimise mudeli puhul peab iga-aastane konkurentsiseadus vähemalt:</w:t>
            </w:r>
          </w:p>
          <w:p w14:paraId="22E5CC41" w14:textId="77777777" w:rsidR="0084326C" w:rsidRPr="00D90835" w:rsidRDefault="0084326C">
            <w:pPr>
              <w:spacing w:after="80"/>
              <w:ind w:left="340"/>
              <w:jc w:val="both"/>
              <w:rPr>
                <w:rFonts w:ascii="Arial Narrow" w:hAnsi="Arial Narrow"/>
                <w:noProof/>
                <w:color w:val="006100"/>
                <w:sz w:val="20"/>
                <w:szCs w:val="20"/>
              </w:rPr>
            </w:pPr>
            <w:r>
              <w:rPr>
                <w:rFonts w:ascii="Arial Narrow" w:hAnsi="Arial Narrow"/>
                <w:noProof/>
                <w:color w:val="006100"/>
                <w:sz w:val="20"/>
              </w:rPr>
              <w:t>– Nõuda kontsessionääridelt, et nad tagaksid juurdepääsutasude arvutamiseks ART tasude reguleerimise mudeli täieliku ja õigeaegse rakendamise.  </w:t>
            </w:r>
          </w:p>
          <w:p w14:paraId="64D9A7C3" w14:textId="77777777" w:rsidR="0084326C" w:rsidRPr="00D90835" w:rsidRDefault="0084326C">
            <w:pPr>
              <w:spacing w:after="80"/>
              <w:ind w:left="340"/>
              <w:jc w:val="both"/>
              <w:rPr>
                <w:rFonts w:ascii="Arial Narrow" w:hAnsi="Arial Narrow"/>
                <w:noProof/>
                <w:color w:val="006100"/>
                <w:sz w:val="20"/>
                <w:szCs w:val="20"/>
              </w:rPr>
            </w:pPr>
            <w:r>
              <w:rPr>
                <w:rFonts w:ascii="Arial Narrow" w:hAnsi="Arial Narrow"/>
                <w:noProof/>
                <w:color w:val="006100"/>
                <w:sz w:val="20"/>
              </w:rPr>
              <w:t>– Nõuda kontsessionääridelt, et nad tagaksid elektrisõidukite laadimise ja muude teenuste osutamiseks antavate allkontsessioonide hinnakujundus- ja pakkumiskavade reguleeriva mudeli täieliku ja õigeaegse rakendamise. </w:t>
            </w:r>
          </w:p>
          <w:p w14:paraId="0D05CEFE" w14:textId="77777777" w:rsidR="0084326C" w:rsidRPr="00D90835" w:rsidRDefault="0084326C">
            <w:pPr>
              <w:spacing w:after="80"/>
              <w:ind w:left="340"/>
              <w:jc w:val="both"/>
              <w:rPr>
                <w:rFonts w:ascii="Arial Narrow" w:hAnsi="Arial Narrow"/>
                <w:noProof/>
                <w:color w:val="006100"/>
                <w:sz w:val="20"/>
                <w:szCs w:val="20"/>
              </w:rPr>
            </w:pPr>
            <w:r>
              <w:rPr>
                <w:rFonts w:ascii="Arial Narrow" w:hAnsi="Arial Narrow"/>
                <w:noProof/>
                <w:color w:val="006100"/>
                <w:sz w:val="20"/>
              </w:rPr>
              <w:t>– Juurdepääsutasud stimuleerivad investeeringuid ja põhinevad hinnalae metoodikal, mida toetab kogu majandussektori kulude läbipaistev võrdlev analüüs selgete, ühtsete ja läbipaistvate kriteeriumide alusel.</w:t>
            </w:r>
          </w:p>
          <w:p w14:paraId="32E29002" w14:textId="77777777" w:rsidR="0084326C" w:rsidRPr="00D90835" w:rsidRDefault="0084326C">
            <w:pPr>
              <w:spacing w:after="120"/>
              <w:jc w:val="both"/>
              <w:rPr>
                <w:rFonts w:ascii="Arial Narrow" w:hAnsi="Arial Narrow"/>
                <w:noProof/>
                <w:color w:val="006100"/>
                <w:sz w:val="20"/>
                <w:szCs w:val="20"/>
              </w:rPr>
            </w:pPr>
            <w:r>
              <w:rPr>
                <w:rFonts w:ascii="Arial Narrow" w:hAnsi="Arial Narrow"/>
                <w:b/>
                <w:noProof/>
                <w:color w:val="006100"/>
                <w:sz w:val="20"/>
              </w:rPr>
              <w:t xml:space="preserve">ii) </w:t>
            </w:r>
            <w:r>
              <w:rPr>
                <w:rFonts w:ascii="Arial Narrow" w:hAnsi="Arial Narrow"/>
                <w:noProof/>
                <w:color w:val="006100"/>
                <w:sz w:val="20"/>
              </w:rPr>
              <w:t>kasutajate õiguste osas peab iga-aastane konkurentsiseadus vähemalt:</w:t>
            </w:r>
          </w:p>
          <w:p w14:paraId="38BB7D3C" w14:textId="77777777" w:rsidR="0084326C" w:rsidRPr="00D90835" w:rsidRDefault="0084326C">
            <w:pPr>
              <w:spacing w:after="80"/>
              <w:ind w:left="340"/>
              <w:jc w:val="both"/>
              <w:rPr>
                <w:rFonts w:ascii="Arial Narrow" w:hAnsi="Arial Narrow"/>
                <w:noProof/>
                <w:color w:val="006100"/>
                <w:sz w:val="20"/>
                <w:szCs w:val="20"/>
              </w:rPr>
            </w:pPr>
            <w:r>
              <w:rPr>
                <w:rFonts w:ascii="Arial Narrow" w:hAnsi="Arial Narrow"/>
                <w:noProof/>
                <w:color w:val="006100"/>
                <w:sz w:val="20"/>
              </w:rPr>
              <w:t>– tagada kasutajate õiguste kaitsmise ja piisava teenustaseme pakkumisega seotud ART reguleeriva raamistiku täielik ja õigeaegne rakendamine.</w:t>
            </w:r>
          </w:p>
          <w:p w14:paraId="0BC03ED7" w14:textId="77777777" w:rsidR="0084326C" w:rsidRPr="00F33804" w:rsidRDefault="0084326C">
            <w:pPr>
              <w:jc w:val="both"/>
              <w:rPr>
                <w:rFonts w:ascii="Arial Narrow" w:hAnsi="Arial Narrow"/>
                <w:noProof/>
                <w:color w:val="006100"/>
                <w:sz w:val="20"/>
                <w:szCs w:val="20"/>
              </w:rPr>
            </w:pPr>
          </w:p>
          <w:p w14:paraId="693781FD" w14:textId="77777777" w:rsidR="0084326C" w:rsidRPr="00D90835" w:rsidRDefault="0084326C">
            <w:pPr>
              <w:jc w:val="both"/>
              <w:rPr>
                <w:rFonts w:ascii="Arial Narrow" w:hAnsi="Arial Narrow"/>
                <w:noProof/>
                <w:color w:val="006100"/>
                <w:sz w:val="20"/>
                <w:szCs w:val="20"/>
              </w:rPr>
            </w:pPr>
            <w:r>
              <w:rPr>
                <w:rFonts w:ascii="Arial Narrow" w:hAnsi="Arial Narrow"/>
                <w:b/>
                <w:noProof/>
                <w:color w:val="006100"/>
                <w:sz w:val="20"/>
              </w:rPr>
              <w:t xml:space="preserve">iv) </w:t>
            </w:r>
            <w:r>
              <w:rPr>
                <w:rFonts w:ascii="Arial Narrow" w:hAnsi="Arial Narrow"/>
                <w:noProof/>
                <w:color w:val="006100"/>
                <w:sz w:val="20"/>
              </w:rPr>
              <w:t xml:space="preserve">ehitustööde allhanke korral peab iga-aastane konkurentsiseadus vähemalt: </w:t>
            </w:r>
          </w:p>
          <w:p w14:paraId="1182B67B" w14:textId="77777777" w:rsidR="0084326C" w:rsidRPr="00D90835" w:rsidRDefault="0084326C">
            <w:pPr>
              <w:spacing w:after="80"/>
              <w:ind w:left="340"/>
              <w:jc w:val="both"/>
              <w:rPr>
                <w:rFonts w:ascii="Arial Narrow" w:hAnsi="Arial Narrow"/>
                <w:noProof/>
                <w:color w:val="006100"/>
                <w:sz w:val="20"/>
                <w:szCs w:val="20"/>
              </w:rPr>
            </w:pPr>
            <w:r>
              <w:rPr>
                <w:rFonts w:ascii="Arial Narrow" w:hAnsi="Arial Narrow"/>
                <w:noProof/>
                <w:color w:val="006100"/>
                <w:sz w:val="20"/>
              </w:rPr>
              <w:t>– Seadusandliku dekreedi nr 36/2023 artikli 186 lõike 2 kohaselt kehtestatakse maanteekontsessionääridele kohustus usaldada kolmandatele isikutele avalike tõendite esitamise menetluse teel 50–60 % ehitustööde, teenuste ja asjade hankelepingutest. Osad arvutatakse vastavalt kontsessioonidokumentidele lisatud majandus- ja finantsplaanide summadele ning võttes arvesse kontsessionääri majanduslikku suurust ja omadusi, kontsessiooni andmise kestust, järelejäänud kestust, eset, majanduslikku väärtust ja tehtud investeeringute summat.</w:t>
            </w:r>
          </w:p>
          <w:p w14:paraId="5E9F51EA" w14:textId="77777777" w:rsidR="0084326C" w:rsidRPr="00F33804" w:rsidRDefault="0084326C">
            <w:pPr>
              <w:jc w:val="both"/>
              <w:rPr>
                <w:rFonts w:ascii="Arial Narrow" w:hAnsi="Arial Narrow"/>
                <w:noProof/>
                <w:color w:val="006100"/>
                <w:sz w:val="20"/>
                <w:szCs w:val="20"/>
              </w:rPr>
            </w:pPr>
          </w:p>
          <w:p w14:paraId="211677EB" w14:textId="77777777" w:rsidR="0084326C" w:rsidRPr="00D90835" w:rsidRDefault="0084326C">
            <w:pPr>
              <w:jc w:val="both"/>
              <w:rPr>
                <w:rFonts w:ascii="Arial Narrow" w:hAnsi="Arial Narrow"/>
                <w:noProof/>
                <w:color w:val="006100"/>
                <w:sz w:val="20"/>
                <w:szCs w:val="20"/>
              </w:rPr>
            </w:pPr>
            <w:r>
              <w:rPr>
                <w:rFonts w:ascii="Arial Narrow" w:hAnsi="Arial Narrow"/>
                <w:noProof/>
                <w:color w:val="006100"/>
                <w:sz w:val="20"/>
              </w:rPr>
              <w:t>(*) asutusesiseste ülesannete puhul on seadusega ette nähtud:</w:t>
            </w:r>
          </w:p>
          <w:p w14:paraId="76033A26" w14:textId="77777777" w:rsidR="0084326C" w:rsidRPr="00D90835" w:rsidRDefault="0084326C">
            <w:pPr>
              <w:spacing w:after="80"/>
              <w:ind w:left="340"/>
              <w:jc w:val="both"/>
              <w:rPr>
                <w:rFonts w:ascii="Arial Narrow" w:hAnsi="Arial Narrow"/>
                <w:noProof/>
                <w:color w:val="006100"/>
                <w:sz w:val="20"/>
                <w:szCs w:val="20"/>
              </w:rPr>
            </w:pPr>
            <w:r>
              <w:rPr>
                <w:rFonts w:ascii="Arial Narrow" w:hAnsi="Arial Narrow"/>
                <w:noProof/>
                <w:color w:val="006100"/>
                <w:sz w:val="20"/>
              </w:rPr>
              <w:t>– nõuda sisevolituse õiguspärasuse kohustuslikku eelkontrolli ja keelata pakkumismenetluse või sisevolituse algatamine ilma selle kontrollita;</w:t>
            </w:r>
          </w:p>
          <w:p w14:paraId="74DAC474" w14:textId="77777777" w:rsidR="0084326C" w:rsidRPr="00D90835" w:rsidRDefault="0084326C">
            <w:pPr>
              <w:spacing w:after="80"/>
              <w:ind w:left="340"/>
              <w:jc w:val="both"/>
              <w:rPr>
                <w:rFonts w:ascii="Arial Narrow" w:hAnsi="Arial Narrow"/>
                <w:noProof/>
                <w:color w:val="006100"/>
                <w:sz w:val="20"/>
                <w:szCs w:val="20"/>
              </w:rPr>
            </w:pPr>
            <w:r>
              <w:rPr>
                <w:rFonts w:ascii="Arial Narrow" w:hAnsi="Arial Narrow"/>
                <w:noProof/>
                <w:color w:val="006100"/>
                <w:sz w:val="20"/>
              </w:rPr>
              <w:t>– anda transpordi reguleerimise ametile (ART) piisavad vahendid ja volitused eespool nimetatud kontrollide tegemiseks ning riikliku korruptsioonivastase ameti (ANAC) (õigusliku) toetuse andmiseks;</w:t>
            </w:r>
          </w:p>
          <w:p w14:paraId="07AF91B3" w14:textId="77777777" w:rsidR="0084326C" w:rsidRPr="00D90835" w:rsidRDefault="0084326C">
            <w:pPr>
              <w:spacing w:after="80"/>
              <w:ind w:left="340"/>
              <w:jc w:val="both"/>
              <w:rPr>
                <w:rFonts w:ascii="Arial Narrow" w:hAnsi="Arial Narrow"/>
                <w:noProof/>
                <w:color w:val="006100"/>
                <w:sz w:val="20"/>
                <w:szCs w:val="20"/>
              </w:rPr>
            </w:pPr>
            <w:r>
              <w:rPr>
                <w:rFonts w:ascii="Arial Narrow" w:hAnsi="Arial Narrow"/>
                <w:noProof/>
                <w:color w:val="006100"/>
                <w:sz w:val="20"/>
              </w:rPr>
              <w:t>– nõuda minimaalse arvu elektrisõidukite laadimispunktide rajamist, kaubaveoettevõtjatele sobivate parkimis- ja puhkealade rajamist ning ART poolt kasutajate õiguste kaitseks ja piisava teenindustaseme tagamiseks välja töötatud reguleeriva raamistiku täielikku järgimist, mis on uute maanteekontsessioonide andmise kriteeriumid.</w:t>
            </w:r>
          </w:p>
          <w:p w14:paraId="757547BB" w14:textId="77777777" w:rsidR="0084326C" w:rsidRPr="00F33804" w:rsidRDefault="0084326C">
            <w:pPr>
              <w:jc w:val="both"/>
              <w:rPr>
                <w:rFonts w:ascii="Arial Narrow" w:hAnsi="Arial Narrow"/>
                <w:noProof/>
                <w:color w:val="006100"/>
                <w:sz w:val="20"/>
                <w:szCs w:val="20"/>
              </w:rPr>
            </w:pPr>
          </w:p>
          <w:p w14:paraId="2F4DCA9E" w14:textId="77777777" w:rsidR="0084326C" w:rsidRPr="00D90835" w:rsidRDefault="0084326C">
            <w:pPr>
              <w:jc w:val="both"/>
              <w:rPr>
                <w:rFonts w:ascii="Arial Narrow" w:hAnsi="Arial Narrow"/>
                <w:noProof/>
                <w:color w:val="006100"/>
                <w:sz w:val="20"/>
                <w:szCs w:val="20"/>
              </w:rPr>
            </w:pPr>
            <w:r>
              <w:rPr>
                <w:rFonts w:ascii="Arial Narrow" w:hAnsi="Arial Narrow"/>
                <w:b/>
                <w:noProof/>
                <w:color w:val="006100"/>
                <w:sz w:val="20"/>
              </w:rPr>
              <w:t>Külm triikimine:</w:t>
            </w:r>
            <w:r>
              <w:rPr>
                <w:rFonts w:ascii="Arial Narrow" w:hAnsi="Arial Narrow"/>
                <w:noProof/>
                <w:color w:val="006100"/>
                <w:sz w:val="20"/>
              </w:rPr>
              <w:t xml:space="preserve"> </w:t>
            </w:r>
          </w:p>
          <w:p w14:paraId="5662E8A3" w14:textId="77777777" w:rsidR="0084326C" w:rsidRPr="00D90835" w:rsidRDefault="0084326C">
            <w:pPr>
              <w:rPr>
                <w:rFonts w:ascii="Arial Narrow" w:hAnsi="Arial Narrow"/>
                <w:noProof/>
                <w:color w:val="006100"/>
                <w:sz w:val="20"/>
                <w:szCs w:val="20"/>
              </w:rPr>
            </w:pPr>
            <w:r>
              <w:rPr>
                <w:rFonts w:ascii="Arial Narrow" w:hAnsi="Arial Narrow"/>
                <w:b/>
                <w:noProof/>
                <w:color w:val="006100"/>
                <w:sz w:val="20"/>
              </w:rPr>
              <w:t>v)</w:t>
            </w:r>
            <w:r>
              <w:rPr>
                <w:rFonts w:ascii="Arial Narrow" w:hAnsi="Arial Narrow"/>
                <w:noProof/>
                <w:color w:val="006100"/>
                <w:sz w:val="20"/>
              </w:rPr>
              <w:t xml:space="preserve"> jõustuvad regulatiivsed stiimulid külma triikimisteenuste kasutamiseks sadamates;</w:t>
            </w:r>
          </w:p>
          <w:p w14:paraId="2B839BDE" w14:textId="77777777" w:rsidR="0084326C" w:rsidRPr="00F33804" w:rsidRDefault="0084326C">
            <w:pPr>
              <w:jc w:val="both"/>
              <w:rPr>
                <w:rFonts w:ascii="Arial Narrow" w:hAnsi="Arial Narrow"/>
                <w:noProof/>
                <w:color w:val="006100"/>
                <w:sz w:val="20"/>
                <w:szCs w:val="20"/>
              </w:rPr>
            </w:pPr>
          </w:p>
          <w:p w14:paraId="72FF67A4" w14:textId="77777777" w:rsidR="0084326C" w:rsidRPr="00D90835" w:rsidRDefault="0084326C">
            <w:pPr>
              <w:jc w:val="both"/>
              <w:rPr>
                <w:rFonts w:ascii="Arial Narrow" w:hAnsi="Arial Narrow"/>
                <w:b/>
                <w:noProof/>
                <w:color w:val="006100"/>
                <w:sz w:val="20"/>
                <w:szCs w:val="20"/>
              </w:rPr>
            </w:pPr>
            <w:r>
              <w:rPr>
                <w:rFonts w:ascii="Arial Narrow" w:hAnsi="Arial Narrow"/>
                <w:b/>
                <w:noProof/>
                <w:color w:val="006100"/>
                <w:sz w:val="20"/>
              </w:rPr>
              <w:t>Maagaasi jaemüüjate loetelu:</w:t>
            </w:r>
          </w:p>
          <w:p w14:paraId="4B37F02B" w14:textId="77777777" w:rsidR="0084326C" w:rsidRPr="00D90835" w:rsidRDefault="0084326C">
            <w:pPr>
              <w:jc w:val="both"/>
              <w:rPr>
                <w:rFonts w:ascii="Arial Narrow" w:hAnsi="Arial Narrow"/>
                <w:noProof/>
                <w:color w:val="006100"/>
                <w:sz w:val="20"/>
                <w:szCs w:val="20"/>
              </w:rPr>
            </w:pPr>
            <w:r>
              <w:rPr>
                <w:rFonts w:ascii="Arial Narrow" w:hAnsi="Arial Narrow"/>
                <w:b/>
                <w:noProof/>
                <w:color w:val="006100"/>
                <w:sz w:val="20"/>
              </w:rPr>
              <w:t>vi)</w:t>
            </w:r>
            <w:r>
              <w:rPr>
                <w:rFonts w:ascii="Arial Narrow" w:hAnsi="Arial Narrow"/>
                <w:noProof/>
                <w:color w:val="006100"/>
                <w:sz w:val="20"/>
              </w:rPr>
              <w:t xml:space="preserve"> määratleda seadusandliku dekreedi nr 164/2000 artikliga 17 kehtestatud maagaasi jaemüüjate nimekirjas ettevõtjate juurdepääsu ja püsivuse kriteeriumid ja nõuded, mille eesmärk on suurendada läbipaistvust ja toetada tarbijate valikut konkurentsile avatud turgudel;</w:t>
            </w:r>
          </w:p>
          <w:p w14:paraId="3C05898C" w14:textId="77777777" w:rsidR="0084326C" w:rsidRPr="00F33804" w:rsidRDefault="0084326C">
            <w:pPr>
              <w:rPr>
                <w:rFonts w:ascii="Arial Narrow" w:hAnsi="Arial Narrow"/>
                <w:noProof/>
                <w:color w:val="006100"/>
                <w:sz w:val="20"/>
                <w:szCs w:val="20"/>
              </w:rPr>
            </w:pPr>
          </w:p>
          <w:p w14:paraId="3B7A973A" w14:textId="77777777" w:rsidR="0084326C" w:rsidRPr="00D90835" w:rsidRDefault="0084326C">
            <w:pPr>
              <w:rPr>
                <w:rFonts w:ascii="Arial Narrow" w:hAnsi="Arial Narrow"/>
                <w:b/>
                <w:noProof/>
                <w:color w:val="006100"/>
                <w:sz w:val="20"/>
                <w:szCs w:val="20"/>
              </w:rPr>
            </w:pPr>
            <w:r>
              <w:rPr>
                <w:rFonts w:ascii="Arial Narrow" w:hAnsi="Arial Narrow"/>
                <w:b/>
                <w:noProof/>
                <w:color w:val="006100"/>
                <w:sz w:val="20"/>
              </w:rPr>
              <w:t>Kindlustus:</w:t>
            </w:r>
          </w:p>
          <w:p w14:paraId="69085DF7" w14:textId="77777777" w:rsidR="0084326C" w:rsidRPr="00D90835" w:rsidRDefault="0084326C">
            <w:pPr>
              <w:rPr>
                <w:rFonts w:ascii="Arial Narrow" w:hAnsi="Arial Narrow"/>
                <w:noProof/>
                <w:color w:val="006100"/>
                <w:sz w:val="20"/>
                <w:szCs w:val="20"/>
              </w:rPr>
            </w:pPr>
            <w:r>
              <w:rPr>
                <w:rFonts w:ascii="Arial Narrow" w:hAnsi="Arial Narrow"/>
                <w:b/>
                <w:noProof/>
                <w:color w:val="006100"/>
                <w:sz w:val="20"/>
              </w:rPr>
              <w:t xml:space="preserve">vii) </w:t>
            </w:r>
            <w:r>
              <w:rPr>
                <w:rFonts w:ascii="Arial Narrow" w:hAnsi="Arial Narrow"/>
                <w:noProof/>
                <w:color w:val="006100"/>
                <w:sz w:val="20"/>
              </w:rPr>
              <w:t>jõustuvad vajalikud õigusaktid, et võimaldada andmete ülekantavust kindlustusandjate vahel automustade kastide puhul;</w:t>
            </w:r>
          </w:p>
          <w:p w14:paraId="0109BB07" w14:textId="77777777" w:rsidR="0084326C" w:rsidRPr="00F33804" w:rsidRDefault="0084326C">
            <w:pPr>
              <w:rPr>
                <w:rFonts w:ascii="Arial Narrow" w:hAnsi="Arial Narrow"/>
                <w:noProof/>
                <w:color w:val="006100"/>
                <w:sz w:val="20"/>
                <w:szCs w:val="20"/>
              </w:rPr>
            </w:pPr>
          </w:p>
          <w:p w14:paraId="6D58BD67" w14:textId="77777777" w:rsidR="0084326C" w:rsidRPr="00D90835" w:rsidRDefault="0084326C">
            <w:pPr>
              <w:rPr>
                <w:rFonts w:ascii="Arial Narrow" w:hAnsi="Arial Narrow"/>
                <w:b/>
                <w:noProof/>
                <w:color w:val="006100"/>
                <w:sz w:val="20"/>
                <w:szCs w:val="20"/>
              </w:rPr>
            </w:pPr>
            <w:r>
              <w:rPr>
                <w:rFonts w:ascii="Arial Narrow" w:hAnsi="Arial Narrow"/>
                <w:b/>
                <w:noProof/>
                <w:color w:val="006100"/>
                <w:sz w:val="20"/>
              </w:rPr>
              <w:t>Ettevõtte loomine:</w:t>
            </w:r>
          </w:p>
          <w:p w14:paraId="00670BAA" w14:textId="77777777" w:rsidR="0084326C" w:rsidRPr="00D90835" w:rsidRDefault="0084326C">
            <w:pPr>
              <w:jc w:val="both"/>
              <w:rPr>
                <w:rFonts w:ascii="Arial Narrow" w:hAnsi="Arial Narrow"/>
                <w:noProof/>
                <w:color w:val="006100"/>
                <w:sz w:val="20"/>
                <w:szCs w:val="20"/>
              </w:rPr>
            </w:pPr>
            <w:r>
              <w:rPr>
                <w:rFonts w:ascii="Arial Narrow" w:hAnsi="Arial Narrow"/>
                <w:b/>
                <w:noProof/>
                <w:color w:val="006100"/>
                <w:sz w:val="20"/>
              </w:rPr>
              <w:t>viii)</w:t>
            </w:r>
            <w:r>
              <w:rPr>
                <w:rFonts w:ascii="Arial Narrow" w:hAnsi="Arial Narrow"/>
                <w:noProof/>
                <w:color w:val="006100"/>
                <w:sz w:val="20"/>
              </w:rPr>
              <w:t xml:space="preserve"> Idufirmasid, innovaatilisi VKEsid ja riskikapitali käsitlevate õigusaktide läbivaatamine ja ajakohastamine (nt 2012. aasta Start Up Act), et ratsionaliseerida kehtivaid õigusakte, vaadata läbi idufirmade määratlus ning edendada era- ja institutsiooniliste investorite investeeringuid riskikapitali.</w:t>
            </w:r>
          </w:p>
        </w:tc>
      </w:tr>
      <w:tr w:rsidR="005F0490" w:rsidRPr="00D90835" w14:paraId="5E6C76F1"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39BA61B7"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M1C2-12</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3E437D2B"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Reform 2. Iga-aastased konkurentsiseadused</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3E25A10E"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Eesmärk</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44A06609"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Kõigi rakendusmeetmete (sealhulgas vajaduse korral teiseste õigusaktide) jõustumine 2023. aasta konkurentsiseadusest tulenevate meetmete tõhusaks rakendamiseks ja kohaldamiseks</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587739D7"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Kõigi teiseste õigusaktide jõustumine, sealhulgas kõik 2023. aasta konkurentsiseadusest tulenevate meetmete jaoks vajalikud määrused</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70F2CD63"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2DBE3877"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7588FD7A"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23711FC4"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4. kv</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45DC7227"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2024</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351414BD"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Kõigi teiseste õigusaktide jõustumine (vajaduse korral), sealhulgas kõik vajalikud määrused kõigi 2023. aasta konkurentsiseadusest tulenevate meetmete tõhusaks rakendamiseks ja kohaldamiseks.</w:t>
            </w:r>
          </w:p>
        </w:tc>
      </w:tr>
      <w:tr w:rsidR="005F0490" w:rsidRPr="005D68A0" w14:paraId="4CE28C28"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021BE50E"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M1C2-13</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032EF3FA"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Reform 2. Iga-aastased konkurentsiseadused</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3B525F8A"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Eesmärk</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622817EE"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2024. aasta konkurentsiseaduse jõustumine</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372ADFC0"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Säte, mis viitab 2024. aasta konkurentsiseaduse jõustumisele.</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02D69DDF"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7E7334AC"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24B8A153"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5A11BADA"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4. kv</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753A24E5"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2025</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52A64E04"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2024. aasta konkurentsiseaduse jõustumine.</w:t>
            </w:r>
          </w:p>
          <w:p w14:paraId="510BCDCA"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Eelnõu esitatakse parlamendile 2024. aasta juuniks. Kojad kiidavad selle heaks 2024. aasta lõpuks. Teisesed õigusaktid (vajaduse korral) hiljemalt 2025. aasta 4. kvartalis.</w:t>
            </w:r>
          </w:p>
        </w:tc>
      </w:tr>
      <w:tr w:rsidR="005F0490" w:rsidRPr="00D90835" w14:paraId="2F649405"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2A27C934"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M1C2-14</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535E8E3B"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Reform 2. Iga-aastased konkurentsiseadused</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6D834C11"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Siht</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610A11D3"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Kasutusele on võetud miljoneid 2G arukaid arvesteid.</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5A5AA9FC"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63381CAF"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Arv</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7AB1543D"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20</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7FF9B339"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33</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295D96B5"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4. kv</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066B611E"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2025</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60797AB0"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Kasutusele võetakse vähemalt 33 miljonit 2G nutiarvestit.</w:t>
            </w:r>
          </w:p>
        </w:tc>
      </w:tr>
      <w:tr w:rsidR="005F0490" w:rsidRPr="00D90835" w14:paraId="1F89C9C6"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408F54B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M1C2–14a</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55B2B718" w14:textId="14903650"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Reform 3. </w:t>
            </w:r>
            <w:r w:rsidR="00C30E05">
              <w:rPr>
                <w:rFonts w:ascii="Arial Narrow" w:hAnsi="Arial Narrow"/>
                <w:noProof/>
                <w:color w:val="006100"/>
                <w:sz w:val="20"/>
              </w:rPr>
              <w:t>E</w:t>
            </w:r>
            <w:r>
              <w:rPr>
                <w:rFonts w:ascii="Arial Narrow" w:hAnsi="Arial Narrow"/>
                <w:noProof/>
                <w:color w:val="006100"/>
                <w:sz w:val="20"/>
              </w:rPr>
              <w:t>ttevõtete stiimulite ratsionaliseerimine ja lihtsustamine.</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4426E4CB" w14:textId="77777777" w:rsidR="0084326C" w:rsidRPr="005D68A0" w:rsidRDefault="0084326C">
            <w:pPr>
              <w:jc w:val="center"/>
              <w:rPr>
                <w:rFonts w:ascii="Arial Narrow" w:hAnsi="Arial Narrow"/>
                <w:noProof/>
                <w:sz w:val="20"/>
                <w:szCs w:val="20"/>
              </w:rPr>
            </w:pPr>
            <w:r>
              <w:rPr>
                <w:rFonts w:ascii="Arial Narrow" w:hAnsi="Arial Narrow"/>
                <w:noProof/>
                <w:color w:val="006100"/>
                <w:sz w:val="20"/>
              </w:rPr>
              <w:t xml:space="preserve">Eesmärk </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232407C1" w14:textId="77777777" w:rsidR="0084326C" w:rsidRPr="005D68A0" w:rsidRDefault="0084326C">
            <w:pPr>
              <w:jc w:val="center"/>
              <w:rPr>
                <w:rFonts w:ascii="Arial Narrow" w:hAnsi="Arial Narrow"/>
                <w:noProof/>
                <w:sz w:val="20"/>
                <w:szCs w:val="20"/>
              </w:rPr>
            </w:pPr>
            <w:r>
              <w:rPr>
                <w:rFonts w:ascii="Arial Narrow" w:hAnsi="Arial Narrow"/>
                <w:noProof/>
                <w:color w:val="006100"/>
                <w:sz w:val="20"/>
              </w:rPr>
              <w:t>Aruande avaldamine kõigi ettevõtetele suunatud stiimulite kohta</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384A3FF2" w14:textId="77777777" w:rsidR="0084326C" w:rsidRPr="005D68A0" w:rsidRDefault="0084326C">
            <w:pPr>
              <w:jc w:val="center"/>
              <w:rPr>
                <w:rFonts w:ascii="Arial Narrow" w:hAnsi="Arial Narrow"/>
                <w:noProof/>
                <w:sz w:val="20"/>
                <w:szCs w:val="20"/>
              </w:rPr>
            </w:pPr>
            <w:r>
              <w:rPr>
                <w:rFonts w:ascii="Arial Narrow" w:hAnsi="Arial Narrow"/>
                <w:noProof/>
                <w:color w:val="006100"/>
                <w:sz w:val="20"/>
              </w:rPr>
              <w:t xml:space="preserve">Aruande avaldamine </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1383EFAC" w14:textId="77777777" w:rsidR="0084326C" w:rsidRPr="005D68A0" w:rsidRDefault="0084326C">
            <w:pPr>
              <w:jc w:val="center"/>
              <w:rPr>
                <w:rFonts w:ascii="Arial Narrow" w:hAnsi="Arial Narrow"/>
                <w:noProof/>
                <w:sz w:val="20"/>
                <w:szCs w:val="20"/>
              </w:rPr>
            </w:pPr>
            <w:r>
              <w:rPr>
                <w:rFonts w:ascii="Arial Narrow" w:hAnsi="Arial Narrow"/>
                <w:noProof/>
                <w:color w:val="006100"/>
                <w:sz w:val="20"/>
              </w:rPr>
              <w:t xml:space="preserve">Ei kohaldata </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478E5B45" w14:textId="77777777" w:rsidR="0084326C" w:rsidRPr="005D68A0" w:rsidRDefault="0084326C">
            <w:pPr>
              <w:jc w:val="center"/>
              <w:rPr>
                <w:rFonts w:ascii="Arial Narrow" w:hAnsi="Arial Narrow"/>
                <w:noProof/>
                <w:sz w:val="20"/>
                <w:szCs w:val="20"/>
              </w:rPr>
            </w:pPr>
            <w:r>
              <w:rPr>
                <w:rFonts w:ascii="Arial Narrow" w:hAnsi="Arial Narrow"/>
                <w:noProof/>
                <w:color w:val="006100"/>
                <w:sz w:val="20"/>
              </w:rPr>
              <w:t xml:space="preserve">Ei kohaldata </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3B505257" w14:textId="77777777" w:rsidR="0084326C" w:rsidRPr="005D68A0" w:rsidRDefault="0084326C">
            <w:pPr>
              <w:jc w:val="center"/>
              <w:rPr>
                <w:rFonts w:ascii="Arial Narrow" w:hAnsi="Arial Narrow"/>
                <w:noProof/>
                <w:sz w:val="20"/>
                <w:szCs w:val="20"/>
              </w:rPr>
            </w:pPr>
            <w:r>
              <w:rPr>
                <w:rFonts w:ascii="Arial Narrow" w:hAnsi="Arial Narrow"/>
                <w:noProof/>
                <w:color w:val="006100"/>
                <w:sz w:val="20"/>
              </w:rPr>
              <w:t xml:space="preserve">Ei kohaldata </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13739924" w14:textId="77777777" w:rsidR="0084326C" w:rsidRPr="005D68A0" w:rsidRDefault="0084326C">
            <w:pPr>
              <w:jc w:val="center"/>
              <w:rPr>
                <w:rFonts w:ascii="Arial Narrow" w:hAnsi="Arial Narrow"/>
                <w:noProof/>
                <w:sz w:val="20"/>
                <w:szCs w:val="20"/>
              </w:rPr>
            </w:pPr>
            <w:r>
              <w:rPr>
                <w:rFonts w:ascii="Arial Narrow" w:hAnsi="Arial Narrow"/>
                <w:noProof/>
                <w:color w:val="006100"/>
                <w:sz w:val="20"/>
              </w:rPr>
              <w:t xml:space="preserve">2. kv </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54C6C322" w14:textId="77777777" w:rsidR="0084326C" w:rsidRPr="005D68A0" w:rsidRDefault="0084326C">
            <w:pPr>
              <w:jc w:val="center"/>
              <w:rPr>
                <w:rFonts w:ascii="Arial Narrow" w:hAnsi="Arial Narrow"/>
                <w:noProof/>
                <w:sz w:val="20"/>
                <w:szCs w:val="20"/>
              </w:rPr>
            </w:pPr>
            <w:r>
              <w:rPr>
                <w:rFonts w:ascii="Arial Narrow" w:hAnsi="Arial Narrow"/>
                <w:noProof/>
                <w:color w:val="006100"/>
                <w:sz w:val="20"/>
              </w:rPr>
              <w:t xml:space="preserve">2025 </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6838CD03" w14:textId="77777777" w:rsidR="0084326C" w:rsidRPr="005D68A0" w:rsidRDefault="0084326C">
            <w:pPr>
              <w:jc w:val="both"/>
              <w:rPr>
                <w:rFonts w:ascii="Arial Narrow" w:hAnsi="Arial Narrow"/>
                <w:noProof/>
                <w:sz w:val="20"/>
                <w:szCs w:val="20"/>
              </w:rPr>
            </w:pPr>
            <w:r>
              <w:rPr>
                <w:rFonts w:ascii="Arial Narrow" w:hAnsi="Arial Narrow"/>
                <w:noProof/>
                <w:color w:val="006100"/>
                <w:sz w:val="20"/>
              </w:rPr>
              <w:t>Itaalia Ettevõtlus- ja Made in Italy ministeerium avaldab aruande, milles hinnatakse kõiki ettevõtete stiimuleid ja investeeringuid.</w:t>
            </w:r>
          </w:p>
          <w:p w14:paraId="661DC7E0" w14:textId="77777777" w:rsidR="0084326C" w:rsidRPr="005D68A0" w:rsidRDefault="0084326C">
            <w:pPr>
              <w:jc w:val="both"/>
              <w:rPr>
                <w:rFonts w:ascii="Arial Narrow" w:eastAsia="Calibri" w:hAnsi="Arial Narrow" w:cs="Calibri"/>
                <w:noProof/>
                <w:sz w:val="20"/>
                <w:szCs w:val="20"/>
                <w:highlight w:val="yellow"/>
              </w:rPr>
            </w:pPr>
            <w:r>
              <w:rPr>
                <w:rFonts w:ascii="Arial Narrow" w:hAnsi="Arial Narrow"/>
                <w:noProof/>
                <w:color w:val="006100"/>
                <w:sz w:val="20"/>
              </w:rPr>
              <w:t>Aruandes töötatakse välja konkreetsed ettepanekud riiklike stiimulite ratsionaliseerimiseks.</w:t>
            </w:r>
          </w:p>
        </w:tc>
      </w:tr>
      <w:tr w:rsidR="005F0490" w:rsidRPr="005D68A0" w14:paraId="52B5E108"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040E6BE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M1C2–14ter</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384E2E85" w14:textId="798E4A8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Reform 3. </w:t>
            </w:r>
            <w:r w:rsidR="00C30E05">
              <w:rPr>
                <w:rFonts w:ascii="Arial Narrow" w:hAnsi="Arial Narrow"/>
                <w:noProof/>
                <w:color w:val="006100"/>
                <w:sz w:val="20"/>
              </w:rPr>
              <w:t>E</w:t>
            </w:r>
            <w:r>
              <w:rPr>
                <w:rFonts w:ascii="Arial Narrow" w:hAnsi="Arial Narrow"/>
                <w:noProof/>
                <w:color w:val="006100"/>
                <w:sz w:val="20"/>
              </w:rPr>
              <w:t>ttevõtete stiimulite ratsionaliseerimine ja lihtsustamine.</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2A5B8799" w14:textId="77777777" w:rsidR="0084326C" w:rsidRPr="005D68A0" w:rsidRDefault="0084326C">
            <w:pPr>
              <w:jc w:val="center"/>
              <w:rPr>
                <w:rFonts w:ascii="Arial Narrow" w:hAnsi="Arial Narrow"/>
                <w:noProof/>
                <w:sz w:val="20"/>
                <w:szCs w:val="20"/>
              </w:rPr>
            </w:pPr>
            <w:r>
              <w:rPr>
                <w:rFonts w:ascii="Arial Narrow" w:hAnsi="Arial Narrow"/>
                <w:noProof/>
                <w:color w:val="006100"/>
                <w:sz w:val="20"/>
              </w:rPr>
              <w:t xml:space="preserve">Eesmärk </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146DC5E9" w14:textId="77777777" w:rsidR="0084326C" w:rsidRPr="005D68A0" w:rsidRDefault="0084326C">
            <w:pPr>
              <w:jc w:val="center"/>
              <w:rPr>
                <w:rFonts w:ascii="Arial Narrow" w:hAnsi="Arial Narrow"/>
                <w:noProof/>
                <w:sz w:val="20"/>
                <w:szCs w:val="20"/>
              </w:rPr>
            </w:pPr>
            <w:r>
              <w:rPr>
                <w:rFonts w:ascii="Arial Narrow" w:hAnsi="Arial Narrow"/>
                <w:noProof/>
                <w:color w:val="006100"/>
                <w:sz w:val="20"/>
              </w:rPr>
              <w:t>Siduvate stiimulite ratsionaliseerimist käsitlevate esmaste õigusaktide jõustumine</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524E4081" w14:textId="77777777" w:rsidR="0084326C" w:rsidRPr="005D68A0" w:rsidRDefault="0084326C">
            <w:pPr>
              <w:jc w:val="center"/>
              <w:rPr>
                <w:rFonts w:ascii="Arial Narrow" w:hAnsi="Arial Narrow"/>
                <w:noProof/>
                <w:sz w:val="20"/>
                <w:szCs w:val="20"/>
              </w:rPr>
            </w:pPr>
            <w:r>
              <w:rPr>
                <w:rFonts w:ascii="Arial Narrow" w:hAnsi="Arial Narrow"/>
                <w:noProof/>
                <w:color w:val="006100"/>
                <w:sz w:val="20"/>
              </w:rPr>
              <w:t>Esmaste õigusaktide jõustumine.</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1F0D6BEF" w14:textId="77777777" w:rsidR="0084326C" w:rsidRPr="005D68A0" w:rsidRDefault="0084326C">
            <w:pPr>
              <w:jc w:val="center"/>
              <w:rPr>
                <w:rFonts w:ascii="Arial Narrow" w:hAnsi="Arial Narrow"/>
                <w:noProof/>
                <w:sz w:val="20"/>
                <w:szCs w:val="20"/>
              </w:rPr>
            </w:pPr>
            <w:r>
              <w:rPr>
                <w:rFonts w:ascii="Arial Narrow" w:hAnsi="Arial Narrow"/>
                <w:noProof/>
                <w:color w:val="006100"/>
                <w:sz w:val="20"/>
              </w:rPr>
              <w:t xml:space="preserve">Ei kohaldata </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60F265D9" w14:textId="77777777" w:rsidR="0084326C" w:rsidRPr="005D68A0" w:rsidRDefault="0084326C">
            <w:pPr>
              <w:jc w:val="center"/>
              <w:rPr>
                <w:rFonts w:ascii="Arial Narrow" w:hAnsi="Arial Narrow"/>
                <w:noProof/>
                <w:sz w:val="20"/>
                <w:szCs w:val="20"/>
              </w:rPr>
            </w:pPr>
            <w:r>
              <w:rPr>
                <w:rFonts w:ascii="Arial Narrow" w:hAnsi="Arial Narrow"/>
                <w:noProof/>
                <w:color w:val="006100"/>
                <w:sz w:val="20"/>
              </w:rPr>
              <w:t xml:space="preserve">Ei kohaldata </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4E3A0E3F" w14:textId="77777777" w:rsidR="0084326C" w:rsidRPr="005D68A0" w:rsidRDefault="0084326C">
            <w:pPr>
              <w:jc w:val="center"/>
              <w:rPr>
                <w:rFonts w:ascii="Arial Narrow" w:hAnsi="Arial Narrow"/>
                <w:noProof/>
                <w:sz w:val="20"/>
                <w:szCs w:val="20"/>
              </w:rPr>
            </w:pPr>
            <w:r>
              <w:rPr>
                <w:rFonts w:ascii="Arial Narrow" w:hAnsi="Arial Narrow"/>
                <w:noProof/>
                <w:color w:val="006100"/>
                <w:sz w:val="20"/>
              </w:rPr>
              <w:t xml:space="preserve">Ei kohaldata </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24416D9E" w14:textId="77777777" w:rsidR="0084326C" w:rsidRPr="005D68A0" w:rsidRDefault="0084326C">
            <w:pPr>
              <w:jc w:val="center"/>
              <w:rPr>
                <w:rFonts w:ascii="Arial Narrow" w:hAnsi="Arial Narrow"/>
                <w:noProof/>
                <w:sz w:val="20"/>
                <w:szCs w:val="20"/>
              </w:rPr>
            </w:pPr>
            <w:r>
              <w:rPr>
                <w:rFonts w:ascii="Arial Narrow" w:hAnsi="Arial Narrow"/>
                <w:noProof/>
                <w:color w:val="006100"/>
                <w:sz w:val="20"/>
              </w:rPr>
              <w:t xml:space="preserve">2. kv </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7D16FAFF" w14:textId="77777777" w:rsidR="0084326C" w:rsidRPr="005D68A0" w:rsidRDefault="0084326C">
            <w:pPr>
              <w:jc w:val="center"/>
              <w:rPr>
                <w:rFonts w:ascii="Arial Narrow" w:hAnsi="Arial Narrow"/>
                <w:noProof/>
                <w:sz w:val="20"/>
                <w:szCs w:val="20"/>
              </w:rPr>
            </w:pPr>
            <w:r>
              <w:rPr>
                <w:rFonts w:ascii="Arial Narrow" w:hAnsi="Arial Narrow"/>
                <w:noProof/>
                <w:color w:val="006100"/>
                <w:sz w:val="20"/>
              </w:rPr>
              <w:t>2026</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75A7F61B" w14:textId="77777777" w:rsidR="0084326C" w:rsidRPr="005D68A0" w:rsidRDefault="0084326C">
            <w:pPr>
              <w:jc w:val="both"/>
              <w:rPr>
                <w:rFonts w:ascii="Arial Narrow" w:hAnsi="Arial Narrow"/>
                <w:noProof/>
                <w:sz w:val="20"/>
                <w:szCs w:val="20"/>
              </w:rPr>
            </w:pPr>
            <w:r>
              <w:rPr>
                <w:rFonts w:ascii="Arial Narrow" w:hAnsi="Arial Narrow"/>
                <w:noProof/>
                <w:color w:val="006100"/>
                <w:sz w:val="20"/>
              </w:rPr>
              <w:t>Kõigi kindlate stiimulite ratsionaliseerimist käsitlevate õigusaktide jõustumine.</w:t>
            </w:r>
          </w:p>
          <w:p w14:paraId="4799522F" w14:textId="77777777" w:rsidR="0084326C" w:rsidRPr="005D68A0" w:rsidRDefault="0084326C">
            <w:pPr>
              <w:jc w:val="both"/>
              <w:rPr>
                <w:rFonts w:ascii="Arial Narrow" w:hAnsi="Arial Narrow"/>
                <w:noProof/>
                <w:color w:val="006100"/>
                <w:sz w:val="20"/>
              </w:rPr>
            </w:pPr>
            <w:r>
              <w:rPr>
                <w:rFonts w:ascii="Arial Narrow" w:hAnsi="Arial Narrow"/>
                <w:noProof/>
                <w:color w:val="006100"/>
                <w:sz w:val="20"/>
              </w:rPr>
              <w:t>Reform hõlmab riigi tasandi stiimuleid.</w:t>
            </w:r>
          </w:p>
          <w:p w14:paraId="5FF2AFF6" w14:textId="7315CC26" w:rsidR="0084326C" w:rsidRPr="005D68A0" w:rsidRDefault="0084326C">
            <w:pPr>
              <w:jc w:val="both"/>
              <w:rPr>
                <w:rFonts w:ascii="Arial Narrow" w:hAnsi="Arial Narrow"/>
                <w:noProof/>
                <w:color w:val="006100"/>
                <w:sz w:val="20"/>
                <w:szCs w:val="20"/>
              </w:rPr>
            </w:pPr>
            <w:r>
              <w:rPr>
                <w:rFonts w:ascii="Arial Narrow" w:hAnsi="Arial Narrow"/>
                <w:noProof/>
                <w:color w:val="006100"/>
                <w:sz w:val="20"/>
              </w:rPr>
              <w:t>Reform hõlmab Itaalia ettevõtlus- ja Made’i ministeeriumi (MIMIT) hallatava kahe peamise vahendi ümberkorraldamist ja edasist rakendamist: a) RNA (riiklik riigiabiregister) ja b) platvorm incentivi.gov.it.</w:t>
            </w:r>
          </w:p>
          <w:p w14:paraId="70F26F11" w14:textId="77777777" w:rsidR="0084326C" w:rsidRPr="00F33804" w:rsidRDefault="0084326C">
            <w:pPr>
              <w:jc w:val="both"/>
              <w:rPr>
                <w:rFonts w:ascii="Arial Narrow" w:hAnsi="Arial Narrow"/>
                <w:noProof/>
                <w:color w:val="006100"/>
                <w:sz w:val="20"/>
                <w:szCs w:val="20"/>
              </w:rPr>
            </w:pPr>
          </w:p>
          <w:p w14:paraId="309B5919" w14:textId="6E3D5D22" w:rsidR="0084326C" w:rsidRPr="005D68A0" w:rsidRDefault="0084326C">
            <w:pPr>
              <w:jc w:val="both"/>
              <w:rPr>
                <w:rFonts w:ascii="Arial Narrow" w:hAnsi="Arial Narrow"/>
                <w:noProof/>
                <w:color w:val="006100"/>
                <w:sz w:val="20"/>
                <w:szCs w:val="20"/>
              </w:rPr>
            </w:pPr>
            <w:r>
              <w:rPr>
                <w:rFonts w:ascii="Arial Narrow" w:hAnsi="Arial Narrow"/>
                <w:noProof/>
                <w:color w:val="006100"/>
                <w:sz w:val="20"/>
              </w:rPr>
              <w:t>..</w:t>
            </w:r>
          </w:p>
        </w:tc>
      </w:tr>
    </w:tbl>
    <w:p w14:paraId="2686DEA7" w14:textId="77777777" w:rsidR="0084326C" w:rsidRPr="005D68A0" w:rsidRDefault="0084326C" w:rsidP="0084326C">
      <w:pPr>
        <w:spacing w:before="120" w:after="120"/>
        <w:jc w:val="both"/>
        <w:rPr>
          <w:noProof/>
        </w:rPr>
      </w:pPr>
      <w:r>
        <w:rPr>
          <w:noProof/>
        </w:rPr>
        <w:t xml:space="preserve">  </w:t>
      </w:r>
      <w:r>
        <w:rPr>
          <w:noProof/>
        </w:rPr>
        <w:br/>
      </w:r>
    </w:p>
    <w:p w14:paraId="1F1871FB" w14:textId="77777777" w:rsidR="0084326C" w:rsidRPr="005D68A0" w:rsidRDefault="0084326C" w:rsidP="0084326C">
      <w:pPr>
        <w:spacing w:before="120" w:after="120"/>
        <w:ind w:left="709"/>
        <w:jc w:val="both"/>
        <w:rPr>
          <w:rFonts w:eastAsia="Calibri"/>
          <w:noProof/>
          <w:lang w:val="en-GB"/>
        </w:rPr>
      </w:pPr>
    </w:p>
    <w:p w14:paraId="07D95E56" w14:textId="77777777" w:rsidR="0084326C" w:rsidRPr="005D68A0" w:rsidRDefault="0084326C" w:rsidP="0084326C">
      <w:pPr>
        <w:spacing w:before="120" w:after="120"/>
        <w:ind w:left="709"/>
        <w:jc w:val="both"/>
        <w:rPr>
          <w:noProof/>
          <w:lang w:val="en-GB"/>
        </w:rPr>
        <w:sectPr w:rsidR="0084326C" w:rsidRPr="005D68A0">
          <w:headerReference w:type="even" r:id="rId50"/>
          <w:headerReference w:type="default" r:id="rId51"/>
          <w:footerReference w:type="even" r:id="rId52"/>
          <w:footerReference w:type="default" r:id="rId53"/>
          <w:headerReference w:type="first" r:id="rId54"/>
          <w:footerReference w:type="first" r:id="rId55"/>
          <w:pgSz w:w="16839" w:h="11907" w:orient="landscape"/>
          <w:pgMar w:top="1134" w:right="1134" w:bottom="1134" w:left="1134" w:header="567" w:footer="567" w:gutter="0"/>
          <w:cols w:space="720"/>
          <w:docGrid w:linePitch="360"/>
        </w:sectPr>
      </w:pPr>
    </w:p>
    <w:p w14:paraId="3904CCE7" w14:textId="77777777" w:rsidR="0084326C" w:rsidRPr="005D68A0" w:rsidRDefault="0084326C" w:rsidP="0084326C">
      <w:pPr>
        <w:pStyle w:val="Heading3"/>
        <w:numPr>
          <w:ilvl w:val="2"/>
          <w:numId w:val="0"/>
        </w:numPr>
        <w:ind w:left="850" w:hanging="850"/>
        <w:rPr>
          <w:b/>
          <w:bCs w:val="0"/>
          <w:i w:val="0"/>
          <w:iCs/>
          <w:noProof/>
          <w:color w:val="4472C4" w:themeColor="accent1"/>
          <w:u w:val="single"/>
        </w:rPr>
      </w:pPr>
      <w:r>
        <w:rPr>
          <w:b/>
          <w:i w:val="0"/>
          <w:noProof/>
          <w:u w:val="single"/>
        </w:rPr>
        <w:t xml:space="preserve">B.3. </w:t>
      </w:r>
      <w:r>
        <w:rPr>
          <w:noProof/>
        </w:rPr>
        <w:tab/>
      </w:r>
      <w:r>
        <w:rPr>
          <w:b/>
          <w:i w:val="0"/>
          <w:noProof/>
          <w:u w:val="single"/>
        </w:rPr>
        <w:t xml:space="preserve">Laenuga seotud reformide ja investeeringute kirjeldus </w:t>
      </w:r>
    </w:p>
    <w:p w14:paraId="08359496" w14:textId="77777777" w:rsidR="0084326C" w:rsidRPr="005D68A0" w:rsidRDefault="0084326C" w:rsidP="0084326C">
      <w:pPr>
        <w:spacing w:before="120" w:after="120"/>
        <w:jc w:val="both"/>
        <w:rPr>
          <w:b/>
          <w:bCs/>
          <w:i/>
          <w:iCs/>
          <w:noProof/>
        </w:rPr>
      </w:pPr>
      <w:r>
        <w:rPr>
          <w:b/>
          <w:noProof/>
        </w:rPr>
        <w:t xml:space="preserve">Investeering 2. Mikroelektroonika innovatsioon ja tehnoloogia </w:t>
      </w:r>
    </w:p>
    <w:p w14:paraId="0A91E9BB" w14:textId="77777777" w:rsidR="0084326C" w:rsidRPr="005D68A0" w:rsidRDefault="0084326C" w:rsidP="0084326C">
      <w:pPr>
        <w:spacing w:before="120" w:after="120"/>
        <w:jc w:val="both"/>
        <w:rPr>
          <w:noProof/>
        </w:rPr>
      </w:pPr>
      <w:r>
        <w:rPr>
          <w:noProof/>
        </w:rPr>
        <w:t>Investeeringu eesmärk on toetada mikroelektroonika strateegilise väärtusahela arengut, investeerides ränikarbiidi põhimikesse, mis on kõrgtehnoloogiliste elektriseadmete tootmiseks vajalik sisend. Investeering tehakse kooskõlas kehtivate riigiabi eeskirjadega ja sellel on eeldatavasti positiivne mõju tööhõivele.</w:t>
      </w:r>
    </w:p>
    <w:p w14:paraId="1AC056FE" w14:textId="77777777" w:rsidR="0084326C" w:rsidRPr="005D68A0" w:rsidRDefault="0084326C" w:rsidP="0084326C">
      <w:pPr>
        <w:spacing w:before="120" w:after="120"/>
        <w:jc w:val="both"/>
        <w:rPr>
          <w:b/>
          <w:bCs/>
          <w:noProof/>
        </w:rPr>
      </w:pPr>
      <w:r>
        <w:rPr>
          <w:b/>
          <w:noProof/>
        </w:rPr>
        <w:t>Investeering 3. Kiire internetiühendus (Ultra lairibaühendus ja 5G)</w:t>
      </w:r>
    </w:p>
    <w:p w14:paraId="5FD6209E" w14:textId="77777777" w:rsidR="0084326C" w:rsidRPr="005D68A0" w:rsidRDefault="0084326C" w:rsidP="0084326C">
      <w:pPr>
        <w:spacing w:after="120"/>
        <w:jc w:val="both"/>
        <w:rPr>
          <w:noProof/>
        </w:rPr>
      </w:pPr>
      <w:r>
        <w:rPr>
          <w:noProof/>
        </w:rPr>
        <w:t xml:space="preserve">Investeeringu eesmärk on viia lõpule riikliku ülikiire ja 5G sidevõrgu rajamine kogu riigi territooriumil. Eeldatavasti aitavad need investeeringud märkimisväärselt kaasa digiülemineku eesmärkide saavutamisele ja digitaalse lõhe vähendamisele Itaalias. </w:t>
      </w:r>
    </w:p>
    <w:p w14:paraId="34AE3F24" w14:textId="77777777" w:rsidR="0084326C" w:rsidRPr="005D68A0" w:rsidRDefault="0084326C" w:rsidP="0084326C">
      <w:pPr>
        <w:spacing w:after="120"/>
        <w:jc w:val="both"/>
        <w:rPr>
          <w:noProof/>
        </w:rPr>
      </w:pPr>
      <w:r>
        <w:rPr>
          <w:noProof/>
        </w:rPr>
        <w:t>Investeering hõlmab kontsessioonide andmist ja viit kiiremat ühendusprojekti:</w:t>
      </w:r>
    </w:p>
    <w:p w14:paraId="1BB91794" w14:textId="77777777" w:rsidR="0084326C" w:rsidRPr="005D68A0" w:rsidRDefault="0084326C" w:rsidP="0084326C">
      <w:pPr>
        <w:pStyle w:val="ListParagraph"/>
        <w:numPr>
          <w:ilvl w:val="0"/>
          <w:numId w:val="73"/>
        </w:numPr>
        <w:spacing w:before="0" w:after="0"/>
        <w:rPr>
          <w:rFonts w:eastAsiaTheme="minorEastAsia"/>
          <w:noProof/>
        </w:rPr>
      </w:pPr>
      <w:r>
        <w:rPr>
          <w:noProof/>
        </w:rPr>
        <w:t>„Italia a 1 Giga“, mis pakub 1 gigabit/s allalaadimist ja 200 Mbit/s üleslaadimise ühenduvust halli ja musta põlvkonna turutõrgetega piirkondades. Need alad määratakse kindlaks pärast kaardistamist;</w:t>
      </w:r>
    </w:p>
    <w:p w14:paraId="26CA57E4" w14:textId="77777777" w:rsidR="0084326C" w:rsidRPr="005D68A0" w:rsidRDefault="0084326C" w:rsidP="0084326C">
      <w:pPr>
        <w:pStyle w:val="ListParagraph"/>
        <w:numPr>
          <w:ilvl w:val="0"/>
          <w:numId w:val="73"/>
        </w:numPr>
        <w:spacing w:before="0" w:after="0"/>
        <w:rPr>
          <w:rFonts w:eastAsiaTheme="minorEastAsia"/>
          <w:noProof/>
        </w:rPr>
      </w:pPr>
      <w:r>
        <w:rPr>
          <w:noProof/>
        </w:rPr>
        <w:t>„Italia 5G“, mis pakub 5G ühendusi turutõrkega piirkondades, kus mobiilsidevõrke ei ole kasutusele võetud; või on kättesaadavad ainult 3G-võrgud ning lähitulevikus ei kavandata 4G- ja/või 5G-mobiilvõrke; või esineb tõendatud turutõrge;</w:t>
      </w:r>
    </w:p>
    <w:p w14:paraId="3B9A987A" w14:textId="77777777" w:rsidR="0084326C" w:rsidRPr="005D68A0" w:rsidRDefault="0084326C" w:rsidP="0084326C">
      <w:pPr>
        <w:pStyle w:val="ListParagraph"/>
        <w:numPr>
          <w:ilvl w:val="0"/>
          <w:numId w:val="73"/>
        </w:numPr>
        <w:spacing w:before="0" w:after="0"/>
        <w:rPr>
          <w:rFonts w:eastAsiaTheme="minorEastAsia"/>
          <w:noProof/>
        </w:rPr>
      </w:pPr>
      <w:r>
        <w:rPr>
          <w:noProof/>
        </w:rPr>
        <w:t>„Ühendatud koolid“, mis pakuvad koolihoonetele 1 gigabit/s lairibaühendust;</w:t>
      </w:r>
    </w:p>
    <w:p w14:paraId="34D84136" w14:textId="77777777" w:rsidR="0084326C" w:rsidRPr="005D68A0" w:rsidRDefault="0084326C" w:rsidP="0084326C">
      <w:pPr>
        <w:pStyle w:val="ListParagraph"/>
        <w:numPr>
          <w:ilvl w:val="0"/>
          <w:numId w:val="73"/>
        </w:numPr>
        <w:spacing w:before="0" w:after="0"/>
        <w:rPr>
          <w:rFonts w:eastAsiaTheme="minorEastAsia"/>
          <w:noProof/>
        </w:rPr>
      </w:pPr>
      <w:r>
        <w:rPr>
          <w:noProof/>
        </w:rPr>
        <w:t>„Ühendatud tervishoiuasutused“, mis pakuvad 1 gigabit/s lairibaühendust riiklikele tervishoiuasutustele;</w:t>
      </w:r>
    </w:p>
    <w:p w14:paraId="674A73A1" w14:textId="77777777" w:rsidR="0084326C" w:rsidRPr="005D68A0" w:rsidRDefault="0084326C" w:rsidP="0084326C">
      <w:pPr>
        <w:pStyle w:val="ListParagraph"/>
        <w:numPr>
          <w:ilvl w:val="0"/>
          <w:numId w:val="73"/>
        </w:numPr>
        <w:spacing w:before="0" w:after="0"/>
        <w:rPr>
          <w:noProof/>
        </w:rPr>
      </w:pPr>
      <w:r>
        <w:rPr>
          <w:noProof/>
        </w:rPr>
        <w:t>„Ühendatud väikesaared“, mis pakuvad ülilairibaühendust valitud väiksematele saartele, kellel puuduvad kiudoptilised ühendused mandriga.</w:t>
      </w:r>
    </w:p>
    <w:p w14:paraId="2E42DE7A" w14:textId="77777777" w:rsidR="0084326C" w:rsidRPr="00F33804" w:rsidRDefault="0084326C" w:rsidP="0084326C">
      <w:pPr>
        <w:pStyle w:val="ListParagraph"/>
        <w:spacing w:before="0" w:after="0"/>
        <w:rPr>
          <w:noProof/>
        </w:rPr>
      </w:pPr>
    </w:p>
    <w:p w14:paraId="565DB2E1" w14:textId="77777777" w:rsidR="0084326C" w:rsidRPr="005D68A0" w:rsidRDefault="0084326C" w:rsidP="0084326C">
      <w:pPr>
        <w:spacing w:before="120" w:after="120"/>
        <w:jc w:val="both"/>
        <w:rPr>
          <w:b/>
          <w:bCs/>
          <w:noProof/>
        </w:rPr>
      </w:pPr>
      <w:r>
        <w:rPr>
          <w:b/>
          <w:noProof/>
        </w:rPr>
        <w:t>Investeering 4. Satelliittehnoloogia ja kosmosemajandus</w:t>
      </w:r>
    </w:p>
    <w:p w14:paraId="63A4434B" w14:textId="77777777" w:rsidR="0084326C" w:rsidRPr="005D68A0" w:rsidRDefault="0084326C" w:rsidP="0084326C">
      <w:pPr>
        <w:jc w:val="both"/>
        <w:rPr>
          <w:noProof/>
          <w:color w:val="000000" w:themeColor="text1"/>
        </w:rPr>
      </w:pPr>
      <w:r>
        <w:rPr>
          <w:noProof/>
        </w:rPr>
        <w:t>Investeeringu eesmärk on arendada digi- ja rohepööret silmas pidades satelliitühendusi ning aidata kaasa kosmosesektori arendamisele. Investeeringuga soovitakse võimaldada ka selliseid teenuseid nagu erinevatele majandussektoritele suunatud turvaline side ja seiretaristu, ning seetõttu hõlmab see nii eelneva (kanderaketiteenus, satelliitide tootmine ja käitamine ning taristu) kui ka järgneva (sobivate toodete ja teenuste loomine) etapi tegevusi.</w:t>
      </w:r>
      <w:r>
        <w:rPr>
          <w:noProof/>
          <w:color w:val="000000" w:themeColor="text1"/>
        </w:rPr>
        <w:t xml:space="preserve"> </w:t>
      </w:r>
    </w:p>
    <w:p w14:paraId="2FB6811E" w14:textId="77777777" w:rsidR="0084326C" w:rsidRPr="005D68A0" w:rsidRDefault="0084326C" w:rsidP="0084326C">
      <w:pPr>
        <w:jc w:val="both"/>
        <w:rPr>
          <w:noProof/>
        </w:rPr>
      </w:pPr>
      <w:r>
        <w:rPr>
          <w:noProof/>
        </w:rPr>
        <w:t>Investeering sisaldab hankelepingute sõlmimist ja hõlmab nelja projekti:</w:t>
      </w:r>
    </w:p>
    <w:p w14:paraId="078432D2" w14:textId="77777777" w:rsidR="0084326C" w:rsidRPr="005D68A0" w:rsidRDefault="0084326C" w:rsidP="0084326C">
      <w:pPr>
        <w:pStyle w:val="ListParagraph"/>
        <w:numPr>
          <w:ilvl w:val="0"/>
          <w:numId w:val="75"/>
        </w:numPr>
        <w:spacing w:before="0" w:after="0"/>
        <w:rPr>
          <w:rFonts w:eastAsiaTheme="minorEastAsia"/>
          <w:noProof/>
        </w:rPr>
      </w:pPr>
      <w:r>
        <w:rPr>
          <w:noProof/>
        </w:rPr>
        <w:t xml:space="preserve">Satcom, mis hõlmab kahesuguse kasutusega tehnoloogiate ja süsteemide arendamisega seotud tegevusi, mida kasutatakse riiklikuks kasutamiseks mõeldud üliturvaliste innovatiivsete satelliitsideteenusete osutamiseks. </w:t>
      </w:r>
    </w:p>
    <w:p w14:paraId="759E4A5F" w14:textId="77777777" w:rsidR="0084326C" w:rsidRPr="005D68A0" w:rsidRDefault="0084326C" w:rsidP="0084326C">
      <w:pPr>
        <w:pStyle w:val="ListParagraph"/>
        <w:numPr>
          <w:ilvl w:val="0"/>
          <w:numId w:val="75"/>
        </w:numPr>
        <w:spacing w:before="0" w:after="0"/>
        <w:rPr>
          <w:rFonts w:eastAsiaTheme="minorEastAsia"/>
          <w:noProof/>
        </w:rPr>
      </w:pPr>
      <w:r>
        <w:rPr>
          <w:noProof/>
        </w:rPr>
        <w:t xml:space="preserve">Maa seire, mis koosneb i) eelneva etapi tegevustest: sealhulgas kaugseiresüsteemi (sünteesavaradar (SAR), hüperspektraal) kirjeldus, projekteerimine ja arendamine ning maismaa, mere ja atmosfääri seirele keskenduvate kanderakettide hanked; ii) Järgmised tegevused: projekti CyberItaly elluviimine, mis hõlmab riigi digitaalse kujutise loomist. </w:t>
      </w:r>
    </w:p>
    <w:p w14:paraId="54982588" w14:textId="77777777" w:rsidR="0084326C" w:rsidRPr="005D68A0" w:rsidRDefault="0084326C" w:rsidP="0084326C">
      <w:pPr>
        <w:pStyle w:val="ListParagraph"/>
        <w:numPr>
          <w:ilvl w:val="0"/>
          <w:numId w:val="75"/>
        </w:numPr>
        <w:spacing w:before="0" w:after="0"/>
        <w:rPr>
          <w:rFonts w:eastAsiaTheme="minorEastAsia"/>
          <w:noProof/>
        </w:rPr>
      </w:pPr>
      <w:r>
        <w:rPr>
          <w:noProof/>
        </w:rPr>
        <w:t>Space Factory, mis koosneb kahest allprojektist: i) Kosmosetehas 4.0: väikeste satelliitide digitaalsete tootmis-, kooste- ja katserajatiste kirjeldus, projekteerimine ja ehitamine ning küberfüüsikaliste tootmissüsteemi ja satelliitide digitaalse mestimise rakendamine, mille eesmärk on luua kahesuunaline side digitaalse mudeli ja selle füüsilise vastaspoole vahel; ii) Juurdepääs kosmosele: teadus- ja arendustegevus ning prototüüpide loomine tulevase põlvkonna korrektsioonmootorite ja kanderakettide jaoks keskkonnasäästlike tehnoloogiate rakendamiseks, sealhulgas valitud tehnoloogiate lennudemonstratsioonid.</w:t>
      </w:r>
    </w:p>
    <w:p w14:paraId="6BE4B888" w14:textId="77777777" w:rsidR="0084326C" w:rsidRPr="005D68A0" w:rsidRDefault="0084326C" w:rsidP="0084326C">
      <w:pPr>
        <w:pStyle w:val="ListParagraph"/>
        <w:numPr>
          <w:ilvl w:val="0"/>
          <w:numId w:val="75"/>
        </w:numPr>
        <w:spacing w:before="0" w:after="0"/>
        <w:rPr>
          <w:rFonts w:eastAsiaTheme="minorEastAsia"/>
          <w:noProof/>
        </w:rPr>
      </w:pPr>
      <w:r>
        <w:rPr>
          <w:noProof/>
        </w:rPr>
        <w:t>Orbiidimajandus, mis seisneb orbiidil kasutatavate hooldustehnoloogiate näidisprojektide rakendamises orbiidil toimiva koostalitlusvõime raames; kosmose jälgimise ja seire (SST) riikliku suutlikkuse suurendamine, sealhulgas maapealsete andurite võrgustiku loomine kosmoseprügi jälgimiseks ja seireks; kosmoseliikluse korraldamisega seotud tegevusi toetava andmeteenuse hankimiseks, haldamiseks ja osutamiseks vajalike vahendite projekteerimine, arendamine ja kasutuselevõtmine.</w:t>
      </w:r>
    </w:p>
    <w:p w14:paraId="40882959" w14:textId="77777777" w:rsidR="0084326C" w:rsidRPr="005D68A0" w:rsidRDefault="0084326C" w:rsidP="0084326C">
      <w:pPr>
        <w:spacing w:before="120" w:after="120"/>
        <w:jc w:val="both"/>
        <w:rPr>
          <w:noProof/>
        </w:rPr>
      </w:pPr>
      <w:r>
        <w:rPr>
          <w:noProof/>
        </w:rPr>
        <w:t>Eeldatakse, et investeeringul puuduvad sõjalised või kaitsealased eesmärgid või mõju.</w:t>
      </w:r>
    </w:p>
    <w:p w14:paraId="42A7238F" w14:textId="77777777" w:rsidR="0084326C" w:rsidRPr="005D68A0" w:rsidRDefault="0084326C" w:rsidP="0084326C">
      <w:pPr>
        <w:spacing w:before="120" w:after="120"/>
        <w:jc w:val="both"/>
        <w:rPr>
          <w:b/>
          <w:bCs/>
          <w:noProof/>
        </w:rPr>
      </w:pPr>
      <w:r>
        <w:rPr>
          <w:b/>
          <w:noProof/>
        </w:rPr>
        <w:t xml:space="preserve">Investeering 5. Tööstuse tarneahela poliitika ja rahvusvahelistumine </w:t>
      </w:r>
    </w:p>
    <w:p w14:paraId="210BF1D4" w14:textId="77777777" w:rsidR="0084326C" w:rsidRPr="005D68A0" w:rsidRDefault="0084326C" w:rsidP="0084326C">
      <w:pPr>
        <w:jc w:val="both"/>
        <w:rPr>
          <w:noProof/>
        </w:rPr>
      </w:pPr>
      <w:r>
        <w:rPr>
          <w:noProof/>
        </w:rPr>
        <w:t>Investeeringu eesmärk on tugevdada tööstuslikke tarneahelaid, eelkõige hõlbustades juurdepääsu rahastamisele, ning edendada ettevõtete (eelkõige VKEde) konkurentsivõimet, eelkõige toetades nende rahvusvahelistumist ja tugevdades nende vastupanuvõimet pärast COVID-19 kriisi.</w:t>
      </w:r>
    </w:p>
    <w:p w14:paraId="6249136D" w14:textId="77777777" w:rsidR="0084326C" w:rsidRPr="005D68A0" w:rsidRDefault="0084326C" w:rsidP="0084326C">
      <w:pPr>
        <w:jc w:val="both"/>
        <w:rPr>
          <w:noProof/>
        </w:rPr>
      </w:pPr>
      <w:r>
        <w:rPr>
          <w:noProof/>
        </w:rPr>
        <w:t>Investeering koosneb kahest sekkumisliinist:</w:t>
      </w:r>
    </w:p>
    <w:p w14:paraId="287B2C64" w14:textId="77777777" w:rsidR="0084326C" w:rsidRPr="005D68A0" w:rsidRDefault="0084326C" w:rsidP="0084326C">
      <w:pPr>
        <w:pStyle w:val="ListParagraph"/>
        <w:numPr>
          <w:ilvl w:val="3"/>
          <w:numId w:val="109"/>
        </w:numPr>
        <w:ind w:left="1134"/>
        <w:rPr>
          <w:rFonts w:eastAsiaTheme="minorEastAsia"/>
          <w:noProof/>
        </w:rPr>
      </w:pPr>
      <w:r>
        <w:rPr>
          <w:noProof/>
        </w:rPr>
        <w:t xml:space="preserve">SIMESTi hallatava fondi 394/81 refinantseerimine. See hõlmab olemasoleva fondi refinantseerimist, mida praegu haldab avalik-õiguslik asutus SIMEST ja millega antakse rahalist toetust ettevõtetele, eelkõige VKEdele, et toetada nende rahvusvahelistumist mitmesuguste vahendite abil, nagu välisturgudele juurdepääsu programmid ja e-kaubanduse arendamine. </w:t>
      </w:r>
    </w:p>
    <w:p w14:paraId="1862D278" w14:textId="77777777" w:rsidR="0084326C" w:rsidRPr="005D68A0" w:rsidRDefault="0084326C" w:rsidP="0084326C">
      <w:pPr>
        <w:pStyle w:val="ListParagraph"/>
        <w:numPr>
          <w:ilvl w:val="3"/>
          <w:numId w:val="109"/>
        </w:numPr>
        <w:ind w:left="1134"/>
        <w:rPr>
          <w:rFonts w:eastAsiaTheme="minorEastAsia"/>
          <w:noProof/>
        </w:rPr>
      </w:pPr>
      <w:r>
        <w:rPr>
          <w:noProof/>
        </w:rPr>
        <w:t xml:space="preserve">Tarneahelate konkurentsivõime ja vastupidavus. See hõlmab ettevõtete rahalist toetamist arengulepingu kaudu projektide jaoks, mis on seotud peamiste strateegiliste väärtusahelatega, nagu tööstusliku arengu programmid, keskkonnakaitse arenguprogrammid, säästev liikuvus ja turismitegevus. </w:t>
      </w:r>
    </w:p>
    <w:p w14:paraId="22310CC7" w14:textId="6FF6C554" w:rsidR="0084326C" w:rsidRPr="005D68A0" w:rsidRDefault="0084326C" w:rsidP="0084326C">
      <w:pPr>
        <w:spacing w:after="120"/>
        <w:jc w:val="both"/>
        <w:rPr>
          <w:noProof/>
        </w:rPr>
      </w:pPr>
      <w:r>
        <w:rPr>
          <w:noProof/>
        </w:rPr>
        <w:t>Eespool nimetatud sekkumised viiakse läbi kooskõlas investeerimispoliitikaga kooskõlas määruse (EL) 2021/241 eesmärkidega, sealhulgas seoses olulise kahju puudumise põhimõtte kohaldamisega, nagu on täpsustatud tehnilises juhises „Mitte tekitada olulist kahju“ (2021/C58/01).</w:t>
      </w:r>
    </w:p>
    <w:p w14:paraId="4EC3F733" w14:textId="77777777" w:rsidR="0084326C" w:rsidRPr="005D68A0" w:rsidRDefault="0084326C" w:rsidP="0084326C">
      <w:pPr>
        <w:spacing w:after="120"/>
        <w:jc w:val="both"/>
        <w:rPr>
          <w:noProof/>
        </w:rPr>
      </w:pPr>
      <w:r>
        <w:rPr>
          <w:noProof/>
        </w:rPr>
        <w:t xml:space="preserve">Selleks et tagada meetme vastavus tehnilisele juhendile „Mitte tekitada olulist kahju“ (2021/C58/01), peab Itaalia ja volitatud üksuse või finantsinstrumendi eest vastutava finantsvahendaja vaheline õiguslik kokkulepe ning sellele järgnev rahastamisvahendi investeerimispoliitika: </w:t>
      </w:r>
    </w:p>
    <w:p w14:paraId="4EEF2F40" w14:textId="77777777" w:rsidR="0084326C" w:rsidRPr="005D68A0" w:rsidRDefault="0084326C" w:rsidP="0084326C">
      <w:pPr>
        <w:pStyle w:val="ListParagraph"/>
        <w:numPr>
          <w:ilvl w:val="0"/>
          <w:numId w:val="74"/>
        </w:numPr>
        <w:spacing w:before="0" w:after="0"/>
        <w:rPr>
          <w:rFonts w:eastAsiaTheme="minorEastAsia"/>
          <w:noProof/>
        </w:rPr>
      </w:pPr>
      <w:r>
        <w:rPr>
          <w:noProof/>
        </w:rPr>
        <w:t>nõuet, et InvestEU fondi kestlikkuskontrolli suhtes kohaldataks komisjoni tehnilist suunist; ning</w:t>
      </w:r>
    </w:p>
    <w:p w14:paraId="48F48E47" w14:textId="77777777" w:rsidR="0084326C" w:rsidRPr="005D68A0" w:rsidRDefault="0084326C" w:rsidP="0084326C">
      <w:pPr>
        <w:pStyle w:val="ListParagraph"/>
        <w:numPr>
          <w:ilvl w:val="0"/>
          <w:numId w:val="74"/>
        </w:numPr>
        <w:spacing w:before="0" w:after="0"/>
        <w:rPr>
          <w:rFonts w:eastAsiaTheme="minorEastAsia"/>
          <w:noProof/>
        </w:rPr>
      </w:pPr>
      <w:r>
        <w:rPr>
          <w:noProof/>
        </w:rPr>
        <w:t>jätab rahastamiskõlblikkusest välja järgmine tegevuste ja varade loetelu:</w:t>
      </w:r>
      <w:r>
        <w:rPr>
          <w:noProof/>
          <w:color w:val="FF0000"/>
        </w:rPr>
        <w:t xml:space="preserve"> </w:t>
      </w:r>
      <w:r>
        <w:rPr>
          <w:noProof/>
        </w:rPr>
        <w:t>i) fossiilkütustega seotud tegevus ja varad, sealhulgas allkasutus tootmisahela järgmistes etappides</w:t>
      </w:r>
      <w:r w:rsidRPr="005D68A0">
        <w:rPr>
          <w:noProof/>
          <w:vertAlign w:val="superscript"/>
          <w:lang w:val="en-GB"/>
        </w:rPr>
        <w:footnoteReference w:id="6"/>
      </w:r>
      <w:r>
        <w:rPr>
          <w:noProof/>
        </w:rPr>
        <w:t>; ii) ELi heitkogustega kauplemise süsteemi (HKS) raames toimuv tegevus ja varad, mille prognoositav kasvuhoonegaaside heide ei ole asjaomastest võrdlusalustest</w:t>
      </w:r>
      <w:r w:rsidRPr="005D68A0">
        <w:rPr>
          <w:noProof/>
          <w:vertAlign w:val="superscript"/>
          <w:lang w:val="en-GB"/>
        </w:rPr>
        <w:footnoteReference w:id="7"/>
      </w:r>
      <w:r>
        <w:rPr>
          <w:noProof/>
        </w:rPr>
        <w:t xml:space="preserve"> madalam; iii) prügilate, jäätmepõletustehaste</w:t>
      </w:r>
      <w:r w:rsidRPr="005D68A0">
        <w:rPr>
          <w:noProof/>
          <w:vertAlign w:val="superscript"/>
          <w:lang w:val="en-GB"/>
        </w:rPr>
        <w:footnoteReference w:id="8"/>
      </w:r>
      <w:r>
        <w:rPr>
          <w:noProof/>
        </w:rPr>
        <w:t xml:space="preserve"> ja mehhaanilis-bioloogilise töötlemise jaamadega</w:t>
      </w:r>
      <w:r w:rsidRPr="005D68A0">
        <w:rPr>
          <w:noProof/>
          <w:vertAlign w:val="superscript"/>
          <w:lang w:val="en-GB"/>
        </w:rPr>
        <w:footnoteReference w:id="9"/>
      </w:r>
      <w:r>
        <w:rPr>
          <w:noProof/>
        </w:rPr>
        <w:t xml:space="preserve"> seotud tegevus ja varad; iv) tegevus ja varad, mille puhul jäätmete pikaajaline kõrvaldamine võib kahjustada keskkonda; ning</w:t>
      </w:r>
    </w:p>
    <w:p w14:paraId="69032670" w14:textId="77777777" w:rsidR="0084326C" w:rsidRPr="005D68A0" w:rsidRDefault="0084326C" w:rsidP="0084326C">
      <w:pPr>
        <w:pStyle w:val="ListParagraph"/>
        <w:numPr>
          <w:ilvl w:val="0"/>
          <w:numId w:val="74"/>
        </w:numPr>
        <w:spacing w:before="0" w:after="0"/>
        <w:rPr>
          <w:rFonts w:eastAsiaTheme="minorEastAsia"/>
          <w:noProof/>
        </w:rPr>
      </w:pPr>
      <w:r>
        <w:rPr>
          <w:noProof/>
        </w:rPr>
        <w:t>nõuda, et volitatud üksus või finantsvahendaja kontrolliks projektide vastavust asjakohastele ELi ja riiklikele keskkonnaalastele õigusaktidele kõigi tehingute puhul, sealhulgas nende puhul, mis on vabastatud jätkusuutlikkuse hindamisest.</w:t>
      </w:r>
    </w:p>
    <w:p w14:paraId="38E67F10" w14:textId="77777777" w:rsidR="0084326C" w:rsidRPr="00F33804" w:rsidRDefault="0084326C" w:rsidP="0084326C">
      <w:pPr>
        <w:rPr>
          <w:b/>
          <w:noProof/>
          <w:u w:val="single"/>
        </w:rPr>
      </w:pPr>
    </w:p>
    <w:p w14:paraId="7DA5639F" w14:textId="77777777" w:rsidR="0084326C" w:rsidRPr="005D68A0" w:rsidRDefault="0084326C" w:rsidP="0084326C">
      <w:pPr>
        <w:rPr>
          <w:b/>
          <w:noProof/>
          <w:u w:val="single"/>
        </w:rPr>
      </w:pPr>
      <w:r>
        <w:rPr>
          <w:b/>
          <w:noProof/>
          <w:u w:val="single"/>
        </w:rPr>
        <w:t>Investeering 7. Ökoloogilise ülemineku tootmissüsteemi, nullnetotehnoloogia ning strateegiliste tarneahelate konkurentsivõime ja vastupanuvõime toetamine:</w:t>
      </w:r>
    </w:p>
    <w:p w14:paraId="4CEBD0A8" w14:textId="77777777" w:rsidR="0084326C" w:rsidRPr="005D68A0" w:rsidRDefault="0084326C" w:rsidP="0084326C">
      <w:pPr>
        <w:spacing w:before="120" w:after="120"/>
        <w:jc w:val="both"/>
        <w:rPr>
          <w:noProof/>
        </w:rPr>
      </w:pPr>
      <w:r>
        <w:rPr>
          <w:noProof/>
        </w:rPr>
        <w:t>See meede koosneb kahest allinvesteeringust.</w:t>
      </w:r>
    </w:p>
    <w:p w14:paraId="0DB0ADA7" w14:textId="77777777" w:rsidR="0084326C" w:rsidRPr="005D68A0" w:rsidRDefault="0084326C" w:rsidP="0084326C">
      <w:pPr>
        <w:spacing w:before="120" w:after="120"/>
        <w:jc w:val="both"/>
        <w:rPr>
          <w:b/>
          <w:noProof/>
        </w:rPr>
      </w:pPr>
      <w:r>
        <w:rPr>
          <w:b/>
          <w:noProof/>
        </w:rPr>
        <w:t>Allinvesteering 1.</w:t>
      </w:r>
    </w:p>
    <w:p w14:paraId="4E02935E" w14:textId="77777777" w:rsidR="0084326C" w:rsidRPr="005D68A0" w:rsidRDefault="0084326C" w:rsidP="0084326C">
      <w:pPr>
        <w:spacing w:after="120"/>
        <w:jc w:val="both"/>
        <w:rPr>
          <w:rFonts w:eastAsia="Calibri"/>
          <w:noProof/>
        </w:rPr>
      </w:pPr>
      <w:r>
        <w:rPr>
          <w:noProof/>
        </w:rPr>
        <w:t xml:space="preserve">See alainvesteering koosneb avaliku sektori investeeringust nullnetotehnoloogiate rahastamisvahendisse, et stimuleerida erainvesteeringuid ja parandada juurdepääsu rahastamisele sellistes valdkondades nagu energiatõhusus, taastuvenergia tootmine omatarbimiseks ja tootmisprotsessi säästev ümberkujundamine. </w:t>
      </w:r>
    </w:p>
    <w:p w14:paraId="53DC63B9" w14:textId="77777777" w:rsidR="0084326C" w:rsidRPr="005D68A0" w:rsidRDefault="0084326C" w:rsidP="0084326C">
      <w:pPr>
        <w:spacing w:after="120"/>
        <w:jc w:val="both"/>
        <w:rPr>
          <w:noProof/>
        </w:rPr>
      </w:pPr>
      <w:r>
        <w:rPr>
          <w:noProof/>
        </w:rPr>
        <w:t>Investeeringuga toetatakse järgmist:</w:t>
      </w:r>
    </w:p>
    <w:p w14:paraId="48EAA399" w14:textId="77777777" w:rsidR="0084326C" w:rsidRPr="005D68A0" w:rsidRDefault="0084326C" w:rsidP="0084326C">
      <w:pPr>
        <w:pStyle w:val="ListParagraph"/>
        <w:numPr>
          <w:ilvl w:val="0"/>
          <w:numId w:val="138"/>
        </w:numPr>
        <w:spacing w:before="0"/>
        <w:contextualSpacing w:val="0"/>
        <w:rPr>
          <w:noProof/>
        </w:rPr>
      </w:pPr>
      <w:r>
        <w:rPr>
          <w:noProof/>
        </w:rPr>
        <w:t xml:space="preserve">riikliku tootmissüsteemi ökoloogiline üleminek eri tasanditel, toetades investeeringuid ökoloogilise ülemineku seisukohast oluliste seadmete (nt akud, päikesepaneelid, tuuleturbiinid, soojuspumbad, elektrolüüsiseadmed ning süsinikdioksiidi kogumise ja säilitamise seadmed) tootmisahelate tugevdamisse;  </w:t>
      </w:r>
    </w:p>
    <w:p w14:paraId="6C92F3EE" w14:textId="77777777" w:rsidR="0084326C" w:rsidRPr="005D68A0" w:rsidRDefault="0084326C" w:rsidP="0084326C">
      <w:pPr>
        <w:pStyle w:val="ListParagraph"/>
        <w:numPr>
          <w:ilvl w:val="0"/>
          <w:numId w:val="138"/>
        </w:numPr>
        <w:spacing w:before="0"/>
        <w:contextualSpacing w:val="0"/>
        <w:rPr>
          <w:noProof/>
        </w:rPr>
      </w:pPr>
      <w:r>
        <w:rPr>
          <w:noProof/>
        </w:rPr>
        <w:t>tootmisprotsesside energiatõhusus (ka taastuvatest energiaallikatest toodetud elektrienergia omatarbeks tarbimiseks, välja arvatud biomass);</w:t>
      </w:r>
    </w:p>
    <w:p w14:paraId="5CA4D903" w14:textId="77777777" w:rsidR="0084326C" w:rsidRPr="005D68A0" w:rsidRDefault="0084326C" w:rsidP="0084326C">
      <w:pPr>
        <w:pStyle w:val="ListParagraph"/>
        <w:numPr>
          <w:ilvl w:val="0"/>
          <w:numId w:val="138"/>
        </w:numPr>
        <w:spacing w:before="0"/>
        <w:contextualSpacing w:val="0"/>
        <w:rPr>
          <w:noProof/>
        </w:rPr>
      </w:pPr>
      <w:r>
        <w:rPr>
          <w:noProof/>
        </w:rPr>
        <w:t>tootmisprotsesside kestlikkus, pidades silmas ka ringmajandust ja ressursside tõhusamat kasutamist.</w:t>
      </w:r>
    </w:p>
    <w:p w14:paraId="3B262321" w14:textId="77777777" w:rsidR="0084326C" w:rsidRPr="005D68A0" w:rsidRDefault="0084326C" w:rsidP="0084326C">
      <w:pPr>
        <w:spacing w:after="120"/>
        <w:jc w:val="both"/>
        <w:rPr>
          <w:noProof/>
        </w:rPr>
      </w:pPr>
      <w:r>
        <w:rPr>
          <w:noProof/>
        </w:rPr>
        <w:t>Rahastu tegevus seisneb tagastamatute toetuste, subsideeritud laenude ja intressitoetuste andmises otse erasektorile. Taaste- ja vastupidavusrahastu investeeringute põhjal on rahastu eesmärk esialgu eraldada vähemalt 3</w:t>
      </w:r>
      <w:r>
        <w:rPr>
          <w:noProof/>
          <w:color w:val="006100"/>
          <w:sz w:val="20"/>
        </w:rPr>
        <w:t> </w:t>
      </w:r>
      <w:r>
        <w:rPr>
          <w:noProof/>
        </w:rPr>
        <w:t>600</w:t>
      </w:r>
      <w:r>
        <w:rPr>
          <w:noProof/>
          <w:color w:val="006100"/>
          <w:sz w:val="20"/>
        </w:rPr>
        <w:t> </w:t>
      </w:r>
      <w:r>
        <w:rPr>
          <w:noProof/>
        </w:rPr>
        <w:t>000</w:t>
      </w:r>
      <w:r>
        <w:rPr>
          <w:noProof/>
          <w:color w:val="006100"/>
          <w:sz w:val="20"/>
        </w:rPr>
        <w:t> </w:t>
      </w:r>
      <w:r>
        <w:rPr>
          <w:noProof/>
        </w:rPr>
        <w:t>000 eurot.</w:t>
      </w:r>
    </w:p>
    <w:p w14:paraId="411E7710" w14:textId="77777777" w:rsidR="0084326C" w:rsidRPr="005D68A0" w:rsidRDefault="0084326C" w:rsidP="0084326C">
      <w:pPr>
        <w:spacing w:after="120"/>
        <w:jc w:val="both"/>
        <w:rPr>
          <w:noProof/>
        </w:rPr>
      </w:pPr>
      <w:r>
        <w:rPr>
          <w:noProof/>
        </w:rPr>
        <w:t>Rahastut haldab rakenduspartnerina Invitalia S.p.A. Rahastu hõlmab järgmisi rahastamisvahendeid:</w:t>
      </w:r>
    </w:p>
    <w:p w14:paraId="48CA84FE" w14:textId="22AA7650" w:rsidR="0084326C" w:rsidRPr="005D68A0" w:rsidRDefault="0084326C" w:rsidP="0084326C">
      <w:pPr>
        <w:pStyle w:val="ListParagraph"/>
        <w:numPr>
          <w:ilvl w:val="0"/>
          <w:numId w:val="108"/>
        </w:numPr>
        <w:spacing w:before="0"/>
        <w:contextualSpacing w:val="0"/>
        <w:rPr>
          <w:noProof/>
        </w:rPr>
      </w:pPr>
      <w:r>
        <w:rPr>
          <w:noProof/>
        </w:rPr>
        <w:t>Arendusleping, millega toetatakse nullnetotehnoloogia projekte, mis ületavad 20 000 000 eurot, andes toetusi, intressitoetusi ja subsideeritud laene.</w:t>
      </w:r>
    </w:p>
    <w:p w14:paraId="1C5CD87F" w14:textId="20AF1F92" w:rsidR="0084326C" w:rsidRPr="005D68A0" w:rsidRDefault="0084326C" w:rsidP="0084326C">
      <w:pPr>
        <w:pStyle w:val="ListParagraph"/>
        <w:numPr>
          <w:ilvl w:val="0"/>
          <w:numId w:val="108"/>
        </w:numPr>
        <w:spacing w:before="0"/>
        <w:contextualSpacing w:val="0"/>
        <w:rPr>
          <w:noProof/>
        </w:rPr>
      </w:pPr>
      <w:r>
        <w:rPr>
          <w:noProof/>
        </w:rPr>
        <w:t>Tööstuse ümberkujundamise fond, millest toetatakse projekte vahemikus 3 000 000 kuni 20 000 000 eurot, andes toetusi, intressitoetusi ja subsideeritud laene.</w:t>
      </w:r>
    </w:p>
    <w:p w14:paraId="30EA39E8" w14:textId="77777777" w:rsidR="0084326C" w:rsidRPr="005D68A0" w:rsidRDefault="0084326C" w:rsidP="0084326C">
      <w:pPr>
        <w:spacing w:after="120"/>
        <w:jc w:val="both"/>
        <w:rPr>
          <w:noProof/>
        </w:rPr>
      </w:pPr>
      <w:r>
        <w:rPr>
          <w:noProof/>
        </w:rPr>
        <w:t>Rahastusse investeeringu tegemiseks kirjutavad Itaalia ja Invitalia S.p.A. alla rakenduslepingule, mis sisaldab järgmist sisu:</w:t>
      </w:r>
    </w:p>
    <w:p w14:paraId="24BC54D8" w14:textId="77777777" w:rsidR="0084326C" w:rsidRPr="005D68A0" w:rsidRDefault="0084326C" w:rsidP="0084326C">
      <w:pPr>
        <w:pStyle w:val="ListParagraph"/>
        <w:numPr>
          <w:ilvl w:val="3"/>
          <w:numId w:val="27"/>
        </w:numPr>
        <w:spacing w:before="0"/>
        <w:ind w:left="709"/>
        <w:contextualSpacing w:val="0"/>
        <w:rPr>
          <w:noProof/>
        </w:rPr>
      </w:pPr>
      <w:r>
        <w:rPr>
          <w:noProof/>
        </w:rPr>
        <w:t>Rahastu otsustusprotsessi kirjeldus: Rahastu lõplikud investeerimis- ja toetuse andmise otsused teeb investeerimiskomitee või muu samaväärne juhtorgan ning need kiidetakse heaks valitsusest sõltumatute liikmete häälteenamusega.</w:t>
      </w:r>
    </w:p>
    <w:p w14:paraId="680FBAF5" w14:textId="77777777" w:rsidR="0084326C" w:rsidRPr="005D68A0" w:rsidRDefault="0084326C" w:rsidP="0084326C">
      <w:pPr>
        <w:pStyle w:val="ListParagraph"/>
        <w:numPr>
          <w:ilvl w:val="3"/>
          <w:numId w:val="27"/>
        </w:numPr>
        <w:spacing w:before="0"/>
        <w:ind w:left="709"/>
        <w:contextualSpacing w:val="0"/>
        <w:rPr>
          <w:noProof/>
        </w:rPr>
      </w:pPr>
      <w:r>
        <w:rPr>
          <w:noProof/>
        </w:rPr>
        <w:t>Seotud investeerimispoliitika põhinõuded, mis hõlmavad järgmist:</w:t>
      </w:r>
    </w:p>
    <w:p w14:paraId="3E8436B3" w14:textId="77777777" w:rsidR="0084326C" w:rsidRPr="005D68A0" w:rsidRDefault="0084326C" w:rsidP="0084326C">
      <w:pPr>
        <w:pStyle w:val="ListParagraph"/>
        <w:numPr>
          <w:ilvl w:val="4"/>
          <w:numId w:val="27"/>
        </w:numPr>
        <w:spacing w:before="0"/>
        <w:ind w:left="1276"/>
        <w:contextualSpacing w:val="0"/>
        <w:rPr>
          <w:noProof/>
        </w:rPr>
      </w:pPr>
      <w:r>
        <w:rPr>
          <w:noProof/>
        </w:rPr>
        <w:t xml:space="preserve">Finantstoodete ja rahastamiskõlblike lõplike toetusesaajate kirjeldus. </w:t>
      </w:r>
    </w:p>
    <w:p w14:paraId="713347DE" w14:textId="77777777" w:rsidR="0084326C" w:rsidRPr="005D68A0" w:rsidRDefault="0084326C" w:rsidP="0084326C">
      <w:pPr>
        <w:pStyle w:val="ListParagraph"/>
        <w:numPr>
          <w:ilvl w:val="4"/>
          <w:numId w:val="27"/>
        </w:numPr>
        <w:spacing w:before="0"/>
        <w:ind w:left="1276"/>
        <w:contextualSpacing w:val="0"/>
        <w:rPr>
          <w:noProof/>
        </w:rPr>
      </w:pPr>
      <w:r>
        <w:rPr>
          <w:noProof/>
        </w:rPr>
        <w:t xml:space="preserve">Nõue, et kõik toetatavad investeeringud on majanduslikult elujõulised. </w:t>
      </w:r>
    </w:p>
    <w:p w14:paraId="5758FD7E" w14:textId="77777777" w:rsidR="0084326C" w:rsidRPr="005D68A0" w:rsidRDefault="0084326C" w:rsidP="0084326C">
      <w:pPr>
        <w:pStyle w:val="ListParagraph"/>
        <w:numPr>
          <w:ilvl w:val="4"/>
          <w:numId w:val="27"/>
        </w:numPr>
        <w:spacing w:before="0"/>
        <w:ind w:left="1276"/>
        <w:contextualSpacing w:val="0"/>
        <w:rPr>
          <w:noProof/>
        </w:rPr>
      </w:pPr>
      <w:r>
        <w:rPr>
          <w:noProof/>
        </w:rPr>
        <w:t>Nõue järgida olulise kahju ärahoidmise põhimõtet, nagu on sätestatud põhimõtte „ei kahjusta oluliselt“ tehnilistes suunistes (2021/C58/01). Eelkõige jäetakse investeerimispoliitika raames rahastamiskõlblikkuse alt välja järgmised tegevused ja varad: i) fossiilkütustega seotud tegevused ja varad, sealhulgas järgnev kasutamine,</w:t>
      </w:r>
      <w:r w:rsidRPr="005D68A0">
        <w:rPr>
          <w:rStyle w:val="FootnoteReference"/>
          <w:noProof/>
          <w:lang w:val="en-GB"/>
        </w:rPr>
        <w:footnoteReference w:id="10"/>
      </w:r>
      <w:r>
        <w:rPr>
          <w:noProof/>
        </w:rPr>
        <w:t xml:space="preserve"> ii) ELi heitkogustega kauplemise süsteemi (HKS) alla kuuluvad tegevused ja varad, millega saavutatakse prognoositud kasvuhoonegaaside heide, mis ei ole väiksem kui asjaomased võrdlusalused,</w:t>
      </w:r>
      <w:r w:rsidRPr="005D68A0">
        <w:rPr>
          <w:rStyle w:val="FootnoteReference"/>
          <w:noProof/>
          <w:lang w:val="en-GB"/>
        </w:rPr>
        <w:footnoteReference w:id="11"/>
      </w:r>
      <w:r>
        <w:rPr>
          <w:noProof/>
        </w:rPr>
        <w:t xml:space="preserve"> iii) prügilate, jäätmepõletustehaste</w:t>
      </w:r>
      <w:r w:rsidRPr="005D68A0">
        <w:rPr>
          <w:rStyle w:val="FootnoteReference"/>
          <w:noProof/>
          <w:lang w:val="en-GB"/>
        </w:rPr>
        <w:footnoteReference w:id="12"/>
      </w:r>
      <w:r>
        <w:rPr>
          <w:noProof/>
        </w:rPr>
        <w:t xml:space="preserve"> ja mehhaaniliste bioloogiliste töötlemistehastega seotud tegevused ja varad</w:t>
      </w:r>
      <w:r w:rsidRPr="005D68A0">
        <w:rPr>
          <w:rStyle w:val="FootnoteReference"/>
          <w:noProof/>
          <w:lang w:val="en-GB"/>
        </w:rPr>
        <w:footnoteReference w:id="13"/>
      </w:r>
      <w:r>
        <w:rPr>
          <w:noProof/>
        </w:rPr>
        <w:t xml:space="preserve">. </w:t>
      </w:r>
    </w:p>
    <w:p w14:paraId="0C01AFB5" w14:textId="77777777" w:rsidR="0084326C" w:rsidRPr="005D68A0" w:rsidRDefault="0084326C" w:rsidP="0084326C">
      <w:pPr>
        <w:pStyle w:val="ListParagraph"/>
        <w:numPr>
          <w:ilvl w:val="4"/>
          <w:numId w:val="27"/>
        </w:numPr>
        <w:spacing w:before="0"/>
        <w:ind w:left="1276"/>
        <w:contextualSpacing w:val="0"/>
        <w:rPr>
          <w:noProof/>
        </w:rPr>
      </w:pPr>
      <w:r>
        <w:rPr>
          <w:noProof/>
        </w:rPr>
        <w:t>Nõue, et rahastu lõplikud abisaajad ei saa samade kulude katmiseks toetust muudest liidu vahenditest.</w:t>
      </w:r>
    </w:p>
    <w:p w14:paraId="37BE5991" w14:textId="77777777" w:rsidR="0084326C" w:rsidRPr="005D68A0" w:rsidRDefault="0084326C" w:rsidP="0084326C">
      <w:pPr>
        <w:pStyle w:val="ListParagraph"/>
        <w:numPr>
          <w:ilvl w:val="3"/>
          <w:numId w:val="27"/>
        </w:numPr>
        <w:spacing w:before="0"/>
        <w:ind w:left="709"/>
        <w:contextualSpacing w:val="0"/>
        <w:rPr>
          <w:noProof/>
        </w:rPr>
      </w:pPr>
      <w:r>
        <w:rPr>
          <w:noProof/>
        </w:rPr>
        <w:t>Rakenduslepinguga hõlmatud summa, rakenduspartneri tasude struktuur ja nõue reinvesteerida tagasisaadavaid vahendeid vastavalt rahastu investeerimispoliitikale.</w:t>
      </w:r>
    </w:p>
    <w:p w14:paraId="1C7EECF7" w14:textId="77777777" w:rsidR="0084326C" w:rsidRPr="005D68A0" w:rsidRDefault="0084326C" w:rsidP="0084326C">
      <w:pPr>
        <w:pStyle w:val="ListParagraph"/>
        <w:numPr>
          <w:ilvl w:val="3"/>
          <w:numId w:val="27"/>
        </w:numPr>
        <w:spacing w:before="0"/>
        <w:ind w:left="709"/>
        <w:contextualSpacing w:val="0"/>
        <w:rPr>
          <w:noProof/>
        </w:rPr>
      </w:pPr>
      <w:r>
        <w:rPr>
          <w:noProof/>
        </w:rPr>
        <w:t>Seire-, auditi- ja kontrollinõuded, sealhulgas:</w:t>
      </w:r>
      <w:bookmarkStart w:id="7" w:name="_Hlk139218377"/>
    </w:p>
    <w:p w14:paraId="4C5578AD" w14:textId="77777777" w:rsidR="0084326C" w:rsidRPr="005D68A0" w:rsidRDefault="0084326C" w:rsidP="0084326C">
      <w:pPr>
        <w:pStyle w:val="ListParagraph"/>
        <w:numPr>
          <w:ilvl w:val="4"/>
          <w:numId w:val="27"/>
        </w:numPr>
        <w:spacing w:before="0"/>
        <w:ind w:left="1276"/>
        <w:contextualSpacing w:val="0"/>
        <w:rPr>
          <w:noProof/>
        </w:rPr>
      </w:pPr>
      <w:r>
        <w:rPr>
          <w:noProof/>
        </w:rPr>
        <w:t>Rakenduspartneri järelevalvesüsteemi kirjeldus kaasatud investeeringute kohta aru andmiseks.</w:t>
      </w:r>
    </w:p>
    <w:p w14:paraId="0603607D" w14:textId="77777777" w:rsidR="0084326C" w:rsidRPr="005D68A0" w:rsidRDefault="0084326C" w:rsidP="0084326C">
      <w:pPr>
        <w:pStyle w:val="ListParagraph"/>
        <w:numPr>
          <w:ilvl w:val="4"/>
          <w:numId w:val="27"/>
        </w:numPr>
        <w:spacing w:before="0"/>
        <w:ind w:left="1276"/>
        <w:contextualSpacing w:val="0"/>
        <w:rPr>
          <w:noProof/>
        </w:rPr>
      </w:pPr>
      <w:r>
        <w:rPr>
          <w:noProof/>
        </w:rPr>
        <w:t xml:space="preserve">Selliste rakenduspartneri menetluste kirjeldus, millega tagatakse pettuste, korruptsiooni ja huvide konfliktide ennetamine, avastamine ja kõrvaldamine. </w:t>
      </w:r>
    </w:p>
    <w:p w14:paraId="4A995481" w14:textId="77777777" w:rsidR="0084326C" w:rsidRPr="005D68A0" w:rsidRDefault="0084326C" w:rsidP="0084326C">
      <w:pPr>
        <w:pStyle w:val="ListParagraph"/>
        <w:numPr>
          <w:ilvl w:val="4"/>
          <w:numId w:val="27"/>
        </w:numPr>
        <w:spacing w:before="0"/>
        <w:ind w:left="1276"/>
        <w:contextualSpacing w:val="0"/>
        <w:rPr>
          <w:noProof/>
        </w:rPr>
      </w:pPr>
      <w:r>
        <w:rPr>
          <w:noProof/>
        </w:rPr>
        <w:t>Kohustus kontrollida iga toimingu rahastamiskõlblikkust kooskõlas rakenduslepingus sätestatud nõuetega enne toimingu rahastamise kohustuse võtmist.</w:t>
      </w:r>
      <w:bookmarkEnd w:id="7"/>
    </w:p>
    <w:p w14:paraId="774BC26F" w14:textId="77777777" w:rsidR="0084326C" w:rsidRPr="005D68A0" w:rsidRDefault="0084326C" w:rsidP="0084326C">
      <w:pPr>
        <w:pStyle w:val="ListParagraph"/>
        <w:numPr>
          <w:ilvl w:val="4"/>
          <w:numId w:val="27"/>
        </w:numPr>
        <w:spacing w:before="0"/>
        <w:ind w:left="1276"/>
        <w:contextualSpacing w:val="0"/>
        <w:rPr>
          <w:noProof/>
        </w:rPr>
      </w:pPr>
      <w:r>
        <w:rPr>
          <w:noProof/>
        </w:rPr>
        <w:t>Kohustus teha riskipõhiseid järelauditeid kooskõlas Invitalia S.p.A. auditikavaga. Nende audititega kontrollitakse:</w:t>
      </w:r>
    </w:p>
    <w:p w14:paraId="306F19E8" w14:textId="77777777" w:rsidR="0084326C" w:rsidRPr="005D68A0" w:rsidRDefault="0084326C" w:rsidP="0084326C">
      <w:pPr>
        <w:pStyle w:val="ListParagraph"/>
        <w:numPr>
          <w:ilvl w:val="5"/>
          <w:numId w:val="27"/>
        </w:numPr>
        <w:spacing w:before="0"/>
        <w:ind w:left="1985"/>
        <w:contextualSpacing w:val="0"/>
        <w:rPr>
          <w:noProof/>
        </w:rPr>
      </w:pPr>
      <w:r>
        <w:rPr>
          <w:noProof/>
        </w:rPr>
        <w:t>kontrollisüsteemide tõhusus, sealhulgas pettuste, korruptsiooni ja huvide konflikti avastamine;</w:t>
      </w:r>
    </w:p>
    <w:p w14:paraId="31419D3E" w14:textId="77777777" w:rsidR="0084326C" w:rsidRPr="005D68A0" w:rsidRDefault="0084326C" w:rsidP="0084326C">
      <w:pPr>
        <w:pStyle w:val="ListParagraph"/>
        <w:numPr>
          <w:ilvl w:val="5"/>
          <w:numId w:val="27"/>
        </w:numPr>
        <w:spacing w:before="0"/>
        <w:ind w:left="1985"/>
        <w:contextualSpacing w:val="0"/>
        <w:rPr>
          <w:noProof/>
        </w:rPr>
      </w:pPr>
      <w:r>
        <w:rPr>
          <w:noProof/>
        </w:rPr>
        <w:t xml:space="preserve">põhimõtte „ei kahjusta oluliselt“ järgimine, riigiabi eeskirjad ja kliimaeesmärgi nõuded; ning </w:t>
      </w:r>
    </w:p>
    <w:p w14:paraId="3D3A23B2" w14:textId="77777777" w:rsidR="0084326C" w:rsidRPr="005D68A0" w:rsidRDefault="0084326C" w:rsidP="0084326C">
      <w:pPr>
        <w:pStyle w:val="ListParagraph"/>
        <w:numPr>
          <w:ilvl w:val="5"/>
          <w:numId w:val="27"/>
        </w:numPr>
        <w:spacing w:before="0"/>
        <w:ind w:left="1985"/>
        <w:contextualSpacing w:val="0"/>
        <w:rPr>
          <w:noProof/>
        </w:rPr>
      </w:pPr>
      <w:r>
        <w:rPr>
          <w:noProof/>
        </w:rPr>
        <w:t xml:space="preserve">järgitakse nõuet, et rahastu lõplikud abisaajad ei ole saanud toetust muudest liidu vahenditest samade kulude katmiseks. Auditite käigus kontrollitakse ka tehingute seaduslikkust ja kohaldatava rakenduskokkuleppe tingimuste täitmist. </w:t>
      </w:r>
    </w:p>
    <w:p w14:paraId="7A784B23" w14:textId="5D95D3CF" w:rsidR="0084326C" w:rsidRPr="005D68A0" w:rsidRDefault="0084326C" w:rsidP="0084326C">
      <w:pPr>
        <w:spacing w:before="120" w:after="120"/>
        <w:jc w:val="both"/>
        <w:rPr>
          <w:noProof/>
        </w:rPr>
      </w:pPr>
      <w:r>
        <w:rPr>
          <w:noProof/>
        </w:rPr>
        <w:t>5. Nõuded rakenduspartneri tehtavatele kliimainvesteeringutele: vähemalt 1 430 000 000 eurot taaste- ja vastupidavusrahastu investeeringust rahastusse aitab kaasa kliimamuutustega seotud eesmärkide saavutamisele kooskõlas taaste- ja vastupidavusrahastu määruse VI lisaga</w:t>
      </w:r>
      <w:r w:rsidRPr="005D68A0">
        <w:rPr>
          <w:rStyle w:val="FootnoteReference"/>
          <w:noProof/>
          <w:lang w:val="en-GB"/>
        </w:rPr>
        <w:footnoteReference w:id="14"/>
      </w:r>
      <w:r>
        <w:rPr>
          <w:noProof/>
        </w:rPr>
        <w:t>.</w:t>
      </w:r>
    </w:p>
    <w:p w14:paraId="73E777FF" w14:textId="77777777" w:rsidR="0084326C" w:rsidRPr="005D68A0" w:rsidRDefault="0084326C" w:rsidP="0084326C">
      <w:pPr>
        <w:spacing w:before="120" w:after="120"/>
        <w:jc w:val="both"/>
        <w:rPr>
          <w:b/>
          <w:noProof/>
        </w:rPr>
      </w:pPr>
      <w:r>
        <w:rPr>
          <w:b/>
          <w:noProof/>
        </w:rPr>
        <w:t>Allinvesteering 2.</w:t>
      </w:r>
    </w:p>
    <w:p w14:paraId="11F35C43" w14:textId="77777777" w:rsidR="0084326C" w:rsidRPr="005D68A0" w:rsidRDefault="0084326C" w:rsidP="0084326C">
      <w:pPr>
        <w:spacing w:after="120"/>
        <w:jc w:val="both"/>
        <w:rPr>
          <w:noProof/>
        </w:rPr>
      </w:pPr>
      <w:r>
        <w:rPr>
          <w:noProof/>
        </w:rPr>
        <w:t>See allinvesteering koosneb avaliku sektori investeeringust rahastamisvahendisse „Strateegiliste tarneahelate konkurentsivõime ja vastupanuvõime“, et stimuleerida erainvesteeringuid ja parandada juurdepääsu rahastamisele, et tugevdada tööstuslikke tarneahelaid.</w:t>
      </w:r>
    </w:p>
    <w:p w14:paraId="40273C19" w14:textId="77777777" w:rsidR="0084326C" w:rsidRPr="005D68A0" w:rsidRDefault="0084326C" w:rsidP="0084326C">
      <w:pPr>
        <w:spacing w:after="120"/>
        <w:jc w:val="both"/>
        <w:rPr>
          <w:noProof/>
        </w:rPr>
      </w:pPr>
      <w:r>
        <w:rPr>
          <w:noProof/>
        </w:rPr>
        <w:t>Investeeringuga toetatakse peamiste strateegiliste väärtusahelatega seotud projekte, nagu tööstusliku arengu programmid ja keskkonnakaitse arenguprogrammid.</w:t>
      </w:r>
    </w:p>
    <w:p w14:paraId="3C39690B" w14:textId="46743D4C" w:rsidR="0084326C" w:rsidRPr="005D68A0" w:rsidRDefault="0084326C" w:rsidP="0084326C">
      <w:pPr>
        <w:spacing w:after="120"/>
        <w:jc w:val="both"/>
        <w:rPr>
          <w:noProof/>
        </w:rPr>
      </w:pPr>
      <w:r>
        <w:rPr>
          <w:noProof/>
        </w:rPr>
        <w:t xml:space="preserve">Rahastu tegevus seisneb tagastamatute toetuste, subsideeritud laenude ja intressitoetuste andmises otse erasektorile. Taaste- ja vastupidavusrahastu investeeringute põhjal on rahastu eesmärk aktiveerida vähemalt 700 000 000 EUR suurune rahastamine. </w:t>
      </w:r>
    </w:p>
    <w:p w14:paraId="017F9C4C" w14:textId="77777777" w:rsidR="0084326C" w:rsidRPr="005D68A0" w:rsidRDefault="0084326C" w:rsidP="0084326C">
      <w:pPr>
        <w:spacing w:after="120"/>
        <w:jc w:val="both"/>
        <w:rPr>
          <w:noProof/>
        </w:rPr>
      </w:pPr>
      <w:r>
        <w:rPr>
          <w:noProof/>
        </w:rPr>
        <w:t xml:space="preserve">Rahastut haldab rakenduspartnerina Invitalia S.p.A. </w:t>
      </w:r>
    </w:p>
    <w:p w14:paraId="179BC629" w14:textId="77777777" w:rsidR="0084326C" w:rsidRPr="005D68A0" w:rsidRDefault="0084326C" w:rsidP="0084326C">
      <w:pPr>
        <w:spacing w:after="120"/>
        <w:jc w:val="both"/>
        <w:rPr>
          <w:noProof/>
        </w:rPr>
      </w:pPr>
      <w:r>
        <w:rPr>
          <w:noProof/>
        </w:rPr>
        <w:t>Rahastusse investeeringu tegemiseks kirjutavad Itaalia ja Invitalia alla rakenduslepingule, mis sisaldab järgmist sisu:</w:t>
      </w:r>
    </w:p>
    <w:p w14:paraId="4E0DCF5D" w14:textId="77777777" w:rsidR="0084326C" w:rsidRPr="005D68A0" w:rsidRDefault="0084326C" w:rsidP="0084326C">
      <w:pPr>
        <w:pStyle w:val="ListParagraph"/>
        <w:numPr>
          <w:ilvl w:val="0"/>
          <w:numId w:val="130"/>
        </w:numPr>
        <w:spacing w:before="0"/>
        <w:contextualSpacing w:val="0"/>
        <w:rPr>
          <w:noProof/>
        </w:rPr>
      </w:pPr>
      <w:r>
        <w:rPr>
          <w:noProof/>
        </w:rPr>
        <w:t>Rahastu otsustusprotsessi kirjeldus: Rahastu lõplikud investeerimis- ja toetuse andmise otsused teeb investeerimiskomitee või muu samaväärne juhtorgan ning need kiidetakse heaks valitsusest sõltumatute liikmete häälteenamusega.</w:t>
      </w:r>
    </w:p>
    <w:p w14:paraId="02D8F82C" w14:textId="77777777" w:rsidR="0084326C" w:rsidRPr="005D68A0" w:rsidRDefault="0084326C" w:rsidP="0084326C">
      <w:pPr>
        <w:pStyle w:val="ListParagraph"/>
        <w:numPr>
          <w:ilvl w:val="0"/>
          <w:numId w:val="130"/>
        </w:numPr>
        <w:spacing w:before="0"/>
        <w:contextualSpacing w:val="0"/>
        <w:rPr>
          <w:noProof/>
        </w:rPr>
      </w:pPr>
      <w:r>
        <w:rPr>
          <w:noProof/>
        </w:rPr>
        <w:t>Seotud investeerimispoliitika põhinõuded, mis hõlmavad järgmist:</w:t>
      </w:r>
    </w:p>
    <w:p w14:paraId="58B54F74" w14:textId="77777777" w:rsidR="0084326C" w:rsidRPr="005D68A0" w:rsidRDefault="0084326C" w:rsidP="0084326C">
      <w:pPr>
        <w:pStyle w:val="ListParagraph"/>
        <w:numPr>
          <w:ilvl w:val="0"/>
          <w:numId w:val="131"/>
        </w:numPr>
        <w:spacing w:before="0"/>
        <w:contextualSpacing w:val="0"/>
        <w:rPr>
          <w:noProof/>
        </w:rPr>
      </w:pPr>
      <w:r>
        <w:rPr>
          <w:noProof/>
        </w:rPr>
        <w:t xml:space="preserve">Finantstoote(te) ja rahastamiskõlblike lõplike abisaajate kirjeldus. </w:t>
      </w:r>
    </w:p>
    <w:p w14:paraId="3EB5FA12" w14:textId="77777777" w:rsidR="0084326C" w:rsidRPr="005D68A0" w:rsidRDefault="0084326C" w:rsidP="0084326C">
      <w:pPr>
        <w:pStyle w:val="ListParagraph"/>
        <w:numPr>
          <w:ilvl w:val="0"/>
          <w:numId w:val="131"/>
        </w:numPr>
        <w:spacing w:before="0"/>
        <w:contextualSpacing w:val="0"/>
        <w:rPr>
          <w:noProof/>
        </w:rPr>
      </w:pPr>
      <w:r>
        <w:rPr>
          <w:noProof/>
        </w:rPr>
        <w:t xml:space="preserve">Nõue, et kõik toetatavad investeeringud on majanduslikult elujõulised. </w:t>
      </w:r>
    </w:p>
    <w:p w14:paraId="664768B7" w14:textId="771A1FC8" w:rsidR="0084326C" w:rsidRPr="005D68A0" w:rsidRDefault="0084326C" w:rsidP="0084326C">
      <w:pPr>
        <w:pStyle w:val="ListParagraph"/>
        <w:numPr>
          <w:ilvl w:val="0"/>
          <w:numId w:val="131"/>
        </w:numPr>
        <w:spacing w:before="0"/>
        <w:contextualSpacing w:val="0"/>
        <w:rPr>
          <w:noProof/>
        </w:rPr>
      </w:pPr>
      <w:r>
        <w:rPr>
          <w:noProof/>
        </w:rPr>
        <w:t>Nõue järgida olulise kahju ärahoidmise põhimõtet, nagu on sätestatud põhimõtte „ei kahjusta oluliselt“ tehnilistes suunistes (2021/C58/01). Eelkõige jäetakse investeerimispoliitika raames rahastamiskõlblikkuse alt välja järgmised tegevused ja varad: i) fossiilkütustega seotud tegevused ja varad, sealhulgas järgnev kasutamine,</w:t>
      </w:r>
      <w:r w:rsidRPr="005D68A0">
        <w:rPr>
          <w:rStyle w:val="FootnoteReference"/>
          <w:noProof/>
          <w:lang w:val="en-GB"/>
        </w:rPr>
        <w:footnoteReference w:id="15"/>
      </w:r>
      <w:r>
        <w:rPr>
          <w:noProof/>
        </w:rPr>
        <w:t xml:space="preserve"> ii)</w:t>
      </w:r>
      <w:r w:rsidR="00D819D7">
        <w:rPr>
          <w:noProof/>
        </w:rPr>
        <w:t> </w:t>
      </w:r>
      <w:r>
        <w:rPr>
          <w:noProof/>
        </w:rPr>
        <w:t>ELi heitkogustega kauplemise süsteemi (HKS) alla kuuluvad tegevused ja varad, millega saavutatakse prognoositud kasvuhoonegaaside heide, mis ei ole väiksem kui asjaomased võrdlusalused,</w:t>
      </w:r>
      <w:r w:rsidRPr="005D68A0">
        <w:rPr>
          <w:rStyle w:val="FootnoteReference"/>
          <w:noProof/>
          <w:lang w:val="en-GB"/>
        </w:rPr>
        <w:footnoteReference w:id="16"/>
      </w:r>
      <w:r>
        <w:rPr>
          <w:noProof/>
        </w:rPr>
        <w:t xml:space="preserve"> iii) prügilate, jäätmepõletustehaste</w:t>
      </w:r>
      <w:r w:rsidRPr="005D68A0">
        <w:rPr>
          <w:rStyle w:val="FootnoteReference"/>
          <w:noProof/>
          <w:lang w:val="en-GB"/>
        </w:rPr>
        <w:footnoteReference w:id="17"/>
      </w:r>
      <w:r>
        <w:rPr>
          <w:noProof/>
        </w:rPr>
        <w:t xml:space="preserve"> ja mehhaaniliste bioloogiliste töötlemistehastega seotud tegevused ja varad</w:t>
      </w:r>
      <w:r w:rsidRPr="005D68A0">
        <w:rPr>
          <w:rStyle w:val="FootnoteReference"/>
          <w:noProof/>
          <w:lang w:val="en-GB"/>
        </w:rPr>
        <w:footnoteReference w:id="18"/>
      </w:r>
      <w:r>
        <w:rPr>
          <w:noProof/>
        </w:rPr>
        <w:t xml:space="preserve">. </w:t>
      </w:r>
    </w:p>
    <w:p w14:paraId="5C892F10" w14:textId="77777777" w:rsidR="0084326C" w:rsidRPr="005D68A0" w:rsidRDefault="0084326C" w:rsidP="0084326C">
      <w:pPr>
        <w:pStyle w:val="ListParagraph"/>
        <w:numPr>
          <w:ilvl w:val="0"/>
          <w:numId w:val="131"/>
        </w:numPr>
        <w:spacing w:before="0"/>
        <w:contextualSpacing w:val="0"/>
        <w:rPr>
          <w:noProof/>
        </w:rPr>
      </w:pPr>
      <w:r>
        <w:rPr>
          <w:noProof/>
        </w:rPr>
        <w:t>Nõue, et rahastu lõplikud abisaajad ei saa samade kulude katmiseks toetust muudest liidu vahenditest.</w:t>
      </w:r>
    </w:p>
    <w:p w14:paraId="15DF58F3" w14:textId="77777777" w:rsidR="0084326C" w:rsidRPr="005D68A0" w:rsidRDefault="0084326C" w:rsidP="0084326C">
      <w:pPr>
        <w:pStyle w:val="ListParagraph"/>
        <w:numPr>
          <w:ilvl w:val="0"/>
          <w:numId w:val="130"/>
        </w:numPr>
        <w:spacing w:before="0"/>
        <w:contextualSpacing w:val="0"/>
        <w:rPr>
          <w:noProof/>
        </w:rPr>
      </w:pPr>
      <w:r>
        <w:rPr>
          <w:noProof/>
        </w:rPr>
        <w:t>Rakenduslepinguga hõlmatud summa, rakenduspartneri tasude struktuur ja nõue reinvesteerida tagasisaadavaid vahendeid vastavalt rahastu investeerimispoliitikale.</w:t>
      </w:r>
    </w:p>
    <w:p w14:paraId="3464177A" w14:textId="77777777" w:rsidR="0084326C" w:rsidRPr="005D68A0" w:rsidRDefault="0084326C" w:rsidP="0084326C">
      <w:pPr>
        <w:pStyle w:val="ListParagraph"/>
        <w:numPr>
          <w:ilvl w:val="0"/>
          <w:numId w:val="130"/>
        </w:numPr>
        <w:spacing w:before="0"/>
        <w:contextualSpacing w:val="0"/>
        <w:rPr>
          <w:noProof/>
        </w:rPr>
      </w:pPr>
      <w:r>
        <w:rPr>
          <w:noProof/>
        </w:rPr>
        <w:t>Seire-, auditi- ja kontrollinõuded, sealhulgas:</w:t>
      </w:r>
    </w:p>
    <w:p w14:paraId="7EE57BCF" w14:textId="77777777" w:rsidR="0084326C" w:rsidRPr="005D68A0" w:rsidRDefault="0084326C" w:rsidP="0084326C">
      <w:pPr>
        <w:pStyle w:val="ListParagraph"/>
        <w:numPr>
          <w:ilvl w:val="1"/>
          <w:numId w:val="132"/>
        </w:numPr>
        <w:spacing w:before="0"/>
        <w:contextualSpacing w:val="0"/>
        <w:rPr>
          <w:noProof/>
        </w:rPr>
      </w:pPr>
      <w:r>
        <w:rPr>
          <w:noProof/>
        </w:rPr>
        <w:t>Rakenduspartneri järelevalvesüsteemi kirjeldus kaasatud investeeringute kohta aru andmiseks.</w:t>
      </w:r>
    </w:p>
    <w:p w14:paraId="44CBA1E5" w14:textId="77777777" w:rsidR="0084326C" w:rsidRPr="005D68A0" w:rsidRDefault="0084326C" w:rsidP="0084326C">
      <w:pPr>
        <w:pStyle w:val="ListParagraph"/>
        <w:numPr>
          <w:ilvl w:val="1"/>
          <w:numId w:val="132"/>
        </w:numPr>
        <w:spacing w:before="0"/>
        <w:contextualSpacing w:val="0"/>
        <w:rPr>
          <w:noProof/>
        </w:rPr>
      </w:pPr>
      <w:r>
        <w:rPr>
          <w:noProof/>
        </w:rPr>
        <w:t xml:space="preserve">Selliste rakenduspartneri menetluste kirjeldus, millega tagatakse pettuste, korruptsiooni ja huvide konfliktide ennetamine, avastamine ja kõrvaldamine. </w:t>
      </w:r>
    </w:p>
    <w:p w14:paraId="530EA508" w14:textId="77777777" w:rsidR="0084326C" w:rsidRPr="005D68A0" w:rsidRDefault="0084326C" w:rsidP="0084326C">
      <w:pPr>
        <w:pStyle w:val="ListParagraph"/>
        <w:numPr>
          <w:ilvl w:val="1"/>
          <w:numId w:val="132"/>
        </w:numPr>
        <w:spacing w:before="0"/>
        <w:contextualSpacing w:val="0"/>
        <w:rPr>
          <w:noProof/>
        </w:rPr>
      </w:pPr>
      <w:r>
        <w:rPr>
          <w:noProof/>
        </w:rPr>
        <w:t>Kohustus kontrollida iga toimingu rahastamiskõlblikkust kooskõlas rakenduslepingus sätestatud nõuetega enne toimingu rahastamise kohustuse võtmist.</w:t>
      </w:r>
    </w:p>
    <w:p w14:paraId="73DE11C0" w14:textId="77777777" w:rsidR="0084326C" w:rsidRPr="005D68A0" w:rsidRDefault="0084326C" w:rsidP="0084326C">
      <w:pPr>
        <w:pStyle w:val="ListParagraph"/>
        <w:numPr>
          <w:ilvl w:val="1"/>
          <w:numId w:val="132"/>
        </w:numPr>
        <w:spacing w:before="0"/>
        <w:contextualSpacing w:val="0"/>
        <w:rPr>
          <w:noProof/>
        </w:rPr>
      </w:pPr>
      <w:r>
        <w:rPr>
          <w:noProof/>
        </w:rPr>
        <w:t>Kohustus teha riskipõhiseid järelauditeid kooskõlas Invitalia erikaitseala auditikavaga. Nende audititega kontrollitakse:</w:t>
      </w:r>
    </w:p>
    <w:p w14:paraId="295BD788" w14:textId="77777777" w:rsidR="0084326C" w:rsidRPr="005D68A0" w:rsidRDefault="0084326C" w:rsidP="0084326C">
      <w:pPr>
        <w:pStyle w:val="ListParagraph"/>
        <w:numPr>
          <w:ilvl w:val="2"/>
          <w:numId w:val="132"/>
        </w:numPr>
        <w:spacing w:before="0"/>
        <w:contextualSpacing w:val="0"/>
        <w:rPr>
          <w:noProof/>
        </w:rPr>
      </w:pPr>
      <w:r>
        <w:rPr>
          <w:noProof/>
        </w:rPr>
        <w:t>kontrollisüsteemide tõhusus, sealhulgas pettuste, korruptsiooni ja huvide konflikti avastamine;</w:t>
      </w:r>
    </w:p>
    <w:p w14:paraId="43683BB9" w14:textId="77777777" w:rsidR="0084326C" w:rsidRPr="005D68A0" w:rsidRDefault="0084326C" w:rsidP="0084326C">
      <w:pPr>
        <w:pStyle w:val="ListParagraph"/>
        <w:numPr>
          <w:ilvl w:val="2"/>
          <w:numId w:val="132"/>
        </w:numPr>
        <w:spacing w:before="0"/>
        <w:contextualSpacing w:val="0"/>
        <w:rPr>
          <w:noProof/>
        </w:rPr>
      </w:pPr>
      <w:r>
        <w:rPr>
          <w:noProof/>
        </w:rPr>
        <w:t xml:space="preserve">põhimõtte „ei kahjusta oluliselt“ järgimine, riigiabi eeskirjad ja kliimaeesmärgi nõuded; ning </w:t>
      </w:r>
    </w:p>
    <w:p w14:paraId="10C7EE58" w14:textId="77777777" w:rsidR="0084326C" w:rsidRPr="005D68A0" w:rsidRDefault="0084326C" w:rsidP="0084326C">
      <w:pPr>
        <w:pStyle w:val="ListParagraph"/>
        <w:numPr>
          <w:ilvl w:val="2"/>
          <w:numId w:val="132"/>
        </w:numPr>
        <w:spacing w:before="0"/>
        <w:contextualSpacing w:val="0"/>
        <w:rPr>
          <w:noProof/>
        </w:rPr>
      </w:pPr>
      <w:r>
        <w:rPr>
          <w:noProof/>
        </w:rPr>
        <w:t xml:space="preserve">järgitakse nõuet, et rahastu lõplikud abisaajad ei ole saanud toetust muudest liidu vahenditest samade kulude katmiseks. Auditite käigus kontrollitakse ka tehingute seaduslikkust ja kohaldatava rakenduskokkuleppe tingimuste täitmist. </w:t>
      </w:r>
    </w:p>
    <w:p w14:paraId="610F5A0B" w14:textId="77777777" w:rsidR="0084326C" w:rsidRPr="005D68A0" w:rsidRDefault="0084326C" w:rsidP="0084326C">
      <w:pPr>
        <w:spacing w:before="120" w:after="120"/>
        <w:jc w:val="both"/>
        <w:rPr>
          <w:bCs/>
          <w:noProof/>
        </w:rPr>
        <w:sectPr w:rsidR="0084326C" w:rsidRPr="005D68A0">
          <w:headerReference w:type="even" r:id="rId56"/>
          <w:headerReference w:type="default" r:id="rId57"/>
          <w:footerReference w:type="even" r:id="rId58"/>
          <w:footerReference w:type="default" r:id="rId59"/>
          <w:headerReference w:type="first" r:id="rId60"/>
          <w:footerReference w:type="first" r:id="rId61"/>
          <w:pgSz w:w="11907" w:h="16838" w:code="12"/>
          <w:pgMar w:top="1134" w:right="1134" w:bottom="1134" w:left="1134" w:header="567" w:footer="567" w:gutter="0"/>
          <w:cols w:space="720"/>
          <w:docGrid w:linePitch="360"/>
        </w:sectPr>
      </w:pPr>
      <w:r>
        <w:rPr>
          <w:noProof/>
        </w:rPr>
        <w:t>Meetme rakendamine viiakse lõpule 31. augustiks 2026.</w:t>
      </w:r>
    </w:p>
    <w:p w14:paraId="24FE3B0E" w14:textId="77777777" w:rsidR="0084326C" w:rsidRPr="005D68A0" w:rsidRDefault="0084326C" w:rsidP="0084326C">
      <w:pPr>
        <w:pStyle w:val="Heading3"/>
        <w:numPr>
          <w:ilvl w:val="2"/>
          <w:numId w:val="0"/>
        </w:numPr>
        <w:ind w:left="850" w:hanging="850"/>
        <w:rPr>
          <w:b/>
          <w:bCs w:val="0"/>
          <w:i w:val="0"/>
          <w:iCs/>
          <w:noProof/>
          <w:u w:val="single"/>
        </w:rPr>
      </w:pPr>
      <w:r>
        <w:rPr>
          <w:b/>
          <w:i w:val="0"/>
          <w:noProof/>
          <w:u w:val="single"/>
        </w:rPr>
        <w:t xml:space="preserve">B.4. </w:t>
      </w:r>
      <w:r>
        <w:rPr>
          <w:noProof/>
        </w:rPr>
        <w:tab/>
      </w:r>
      <w:r>
        <w:rPr>
          <w:b/>
          <w:i w:val="0"/>
          <w:noProof/>
          <w:u w:val="single"/>
        </w:rPr>
        <w:t xml:space="preserve">Laenu eesmärgid, sihid, näitajad ning seire ja rakendamise ajakava </w:t>
      </w:r>
    </w:p>
    <w:tbl>
      <w:tblPr>
        <w:tblW w:w="151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4"/>
        <w:gridCol w:w="1578"/>
        <w:gridCol w:w="1078"/>
        <w:gridCol w:w="1329"/>
        <w:gridCol w:w="1275"/>
        <w:gridCol w:w="1134"/>
        <w:gridCol w:w="993"/>
        <w:gridCol w:w="992"/>
        <w:gridCol w:w="850"/>
        <w:gridCol w:w="709"/>
        <w:gridCol w:w="3794"/>
      </w:tblGrid>
      <w:tr w:rsidR="0084326C" w:rsidRPr="00D90835" w14:paraId="146D48D9" w14:textId="77777777" w:rsidTr="00003A97">
        <w:trPr>
          <w:trHeight w:val="315"/>
          <w:tblHeader/>
        </w:trPr>
        <w:tc>
          <w:tcPr>
            <w:tcW w:w="1424" w:type="dxa"/>
            <w:vMerge w:val="restart"/>
            <w:shd w:val="clear" w:color="auto" w:fill="BDD7EE"/>
            <w:vAlign w:val="center"/>
          </w:tcPr>
          <w:p w14:paraId="482C4082"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b/>
                <w:noProof/>
                <w:sz w:val="20"/>
              </w:rPr>
              <w:t>Järjekorranumber</w:t>
            </w:r>
          </w:p>
        </w:tc>
        <w:tc>
          <w:tcPr>
            <w:tcW w:w="1578" w:type="dxa"/>
            <w:vMerge w:val="restart"/>
            <w:shd w:val="clear" w:color="auto" w:fill="BDD7EE"/>
            <w:vAlign w:val="center"/>
          </w:tcPr>
          <w:p w14:paraId="64B38C72"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b/>
                <w:noProof/>
                <w:sz w:val="20"/>
              </w:rPr>
              <w:t>Meede</w:t>
            </w:r>
          </w:p>
        </w:tc>
        <w:tc>
          <w:tcPr>
            <w:tcW w:w="1078" w:type="dxa"/>
            <w:vMerge w:val="restart"/>
            <w:shd w:val="clear" w:color="auto" w:fill="BDD7EE"/>
            <w:vAlign w:val="center"/>
          </w:tcPr>
          <w:p w14:paraId="571FEDB8"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b/>
                <w:noProof/>
                <w:sz w:val="20"/>
              </w:rPr>
              <w:t>Eesmärk / siht</w:t>
            </w:r>
          </w:p>
        </w:tc>
        <w:tc>
          <w:tcPr>
            <w:tcW w:w="1329" w:type="dxa"/>
            <w:vMerge w:val="restart"/>
            <w:shd w:val="clear" w:color="auto" w:fill="BDD7EE"/>
            <w:vAlign w:val="center"/>
          </w:tcPr>
          <w:p w14:paraId="7EEF92CB"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b/>
                <w:noProof/>
                <w:sz w:val="20"/>
              </w:rPr>
              <w:t>Nimi</w:t>
            </w:r>
          </w:p>
        </w:tc>
        <w:tc>
          <w:tcPr>
            <w:tcW w:w="1275" w:type="dxa"/>
            <w:vMerge w:val="restart"/>
            <w:shd w:val="clear" w:color="auto" w:fill="BDD7EE"/>
            <w:vAlign w:val="center"/>
          </w:tcPr>
          <w:p w14:paraId="47DF659D"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b/>
                <w:noProof/>
                <w:sz w:val="20"/>
              </w:rPr>
              <w:t>Kvalitatiivsed näitajad</w:t>
            </w:r>
            <w:r>
              <w:rPr>
                <w:noProof/>
              </w:rPr>
              <w:t xml:space="preserve"> </w:t>
            </w:r>
            <w:r>
              <w:rPr>
                <w:noProof/>
              </w:rPr>
              <w:br/>
            </w:r>
            <w:r>
              <w:rPr>
                <w:rFonts w:ascii="Arial Narrow" w:hAnsi="Arial Narrow"/>
                <w:b/>
                <w:noProof/>
                <w:sz w:val="20"/>
              </w:rPr>
              <w:t>(eesmärkide puhul)</w:t>
            </w:r>
          </w:p>
        </w:tc>
        <w:tc>
          <w:tcPr>
            <w:tcW w:w="3119" w:type="dxa"/>
            <w:gridSpan w:val="3"/>
            <w:shd w:val="clear" w:color="auto" w:fill="BDD7EE"/>
            <w:vAlign w:val="center"/>
          </w:tcPr>
          <w:p w14:paraId="604A1937"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b/>
                <w:noProof/>
                <w:sz w:val="20"/>
              </w:rPr>
              <w:t xml:space="preserve">Kvantitatiivsed näitajad </w:t>
            </w:r>
            <w:r>
              <w:rPr>
                <w:noProof/>
              </w:rPr>
              <w:br/>
            </w:r>
            <w:r>
              <w:rPr>
                <w:rFonts w:ascii="Arial Narrow" w:hAnsi="Arial Narrow"/>
                <w:b/>
                <w:noProof/>
                <w:sz w:val="20"/>
              </w:rPr>
              <w:t>(sihtide puhul)</w:t>
            </w:r>
          </w:p>
        </w:tc>
        <w:tc>
          <w:tcPr>
            <w:tcW w:w="1559" w:type="dxa"/>
            <w:gridSpan w:val="2"/>
            <w:shd w:val="clear" w:color="auto" w:fill="BDD7EE"/>
            <w:vAlign w:val="center"/>
          </w:tcPr>
          <w:p w14:paraId="15B64360"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b/>
                <w:noProof/>
                <w:sz w:val="20"/>
              </w:rPr>
              <w:t>Lõpuleviimise soovituslik ajakava</w:t>
            </w:r>
          </w:p>
        </w:tc>
        <w:tc>
          <w:tcPr>
            <w:tcW w:w="3794" w:type="dxa"/>
            <w:vMerge w:val="restart"/>
            <w:shd w:val="clear" w:color="auto" w:fill="BDD7EE"/>
            <w:vAlign w:val="center"/>
          </w:tcPr>
          <w:p w14:paraId="0C437F0A" w14:textId="77777777" w:rsidR="0084326C" w:rsidRPr="005D68A0" w:rsidRDefault="0084326C">
            <w:pPr>
              <w:spacing w:before="120" w:after="120"/>
              <w:jc w:val="center"/>
              <w:rPr>
                <w:rFonts w:ascii="Arial Narrow" w:hAnsi="Arial Narrow"/>
                <w:b/>
                <w:bCs/>
                <w:noProof/>
                <w:sz w:val="20"/>
                <w:szCs w:val="20"/>
              </w:rPr>
            </w:pPr>
            <w:r>
              <w:rPr>
                <w:rFonts w:ascii="Arial Narrow" w:hAnsi="Arial Narrow"/>
                <w:b/>
                <w:noProof/>
                <w:sz w:val="20"/>
              </w:rPr>
              <w:t>Iga eesmärgi ja sihi kirjeldus</w:t>
            </w:r>
          </w:p>
        </w:tc>
      </w:tr>
      <w:tr w:rsidR="0084326C" w:rsidRPr="005D68A0" w14:paraId="1DA208F1" w14:textId="77777777" w:rsidTr="00003A97">
        <w:trPr>
          <w:trHeight w:val="315"/>
          <w:tblHeader/>
        </w:trPr>
        <w:tc>
          <w:tcPr>
            <w:tcW w:w="1424" w:type="dxa"/>
            <w:vMerge/>
            <w:vAlign w:val="center"/>
          </w:tcPr>
          <w:p w14:paraId="3F9078BC" w14:textId="77777777" w:rsidR="0084326C" w:rsidRPr="00F33804" w:rsidRDefault="0084326C">
            <w:pPr>
              <w:spacing w:before="120" w:after="120"/>
              <w:jc w:val="center"/>
              <w:rPr>
                <w:rFonts w:ascii="Arial Narrow" w:hAnsi="Arial Narrow"/>
                <w:noProof/>
                <w:color w:val="006100"/>
                <w:sz w:val="20"/>
                <w:szCs w:val="20"/>
              </w:rPr>
            </w:pPr>
          </w:p>
        </w:tc>
        <w:tc>
          <w:tcPr>
            <w:tcW w:w="1578" w:type="dxa"/>
            <w:vMerge/>
            <w:vAlign w:val="center"/>
          </w:tcPr>
          <w:p w14:paraId="24749E36" w14:textId="77777777" w:rsidR="0084326C" w:rsidRPr="00F33804" w:rsidRDefault="0084326C">
            <w:pPr>
              <w:spacing w:before="120" w:after="120"/>
              <w:jc w:val="center"/>
              <w:rPr>
                <w:rFonts w:ascii="Arial Narrow" w:hAnsi="Arial Narrow"/>
                <w:noProof/>
                <w:color w:val="006100"/>
                <w:sz w:val="20"/>
                <w:szCs w:val="20"/>
              </w:rPr>
            </w:pPr>
          </w:p>
        </w:tc>
        <w:tc>
          <w:tcPr>
            <w:tcW w:w="1078" w:type="dxa"/>
            <w:vMerge/>
            <w:vAlign w:val="center"/>
          </w:tcPr>
          <w:p w14:paraId="28E65642" w14:textId="77777777" w:rsidR="0084326C" w:rsidRPr="00F33804" w:rsidRDefault="0084326C">
            <w:pPr>
              <w:spacing w:before="120" w:after="120"/>
              <w:jc w:val="center"/>
              <w:rPr>
                <w:rFonts w:ascii="Arial Narrow" w:hAnsi="Arial Narrow"/>
                <w:noProof/>
                <w:color w:val="006100"/>
                <w:sz w:val="20"/>
                <w:szCs w:val="20"/>
              </w:rPr>
            </w:pPr>
          </w:p>
        </w:tc>
        <w:tc>
          <w:tcPr>
            <w:tcW w:w="1329" w:type="dxa"/>
            <w:vMerge/>
            <w:vAlign w:val="center"/>
          </w:tcPr>
          <w:p w14:paraId="2787F73F" w14:textId="77777777" w:rsidR="0084326C" w:rsidRPr="00F33804" w:rsidRDefault="0084326C">
            <w:pPr>
              <w:spacing w:before="120" w:after="120"/>
              <w:jc w:val="center"/>
              <w:rPr>
                <w:rFonts w:ascii="Arial Narrow" w:hAnsi="Arial Narrow"/>
                <w:noProof/>
                <w:color w:val="006100"/>
                <w:sz w:val="20"/>
                <w:szCs w:val="20"/>
              </w:rPr>
            </w:pPr>
          </w:p>
        </w:tc>
        <w:tc>
          <w:tcPr>
            <w:tcW w:w="1275" w:type="dxa"/>
            <w:vMerge/>
            <w:vAlign w:val="center"/>
          </w:tcPr>
          <w:p w14:paraId="2624FA7D" w14:textId="77777777" w:rsidR="0084326C" w:rsidRPr="00F33804" w:rsidRDefault="0084326C">
            <w:pPr>
              <w:spacing w:before="120" w:after="120"/>
              <w:jc w:val="center"/>
              <w:rPr>
                <w:rFonts w:ascii="Arial Narrow" w:hAnsi="Arial Narrow"/>
                <w:noProof/>
                <w:color w:val="006100"/>
                <w:sz w:val="20"/>
                <w:szCs w:val="20"/>
              </w:rPr>
            </w:pPr>
          </w:p>
        </w:tc>
        <w:tc>
          <w:tcPr>
            <w:tcW w:w="1134" w:type="dxa"/>
            <w:shd w:val="clear" w:color="auto" w:fill="BDD7EE"/>
            <w:vAlign w:val="center"/>
          </w:tcPr>
          <w:p w14:paraId="73AA55A3"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b/>
                <w:noProof/>
                <w:sz w:val="20"/>
              </w:rPr>
              <w:t>Mõõtühik</w:t>
            </w:r>
          </w:p>
        </w:tc>
        <w:tc>
          <w:tcPr>
            <w:tcW w:w="993" w:type="dxa"/>
            <w:shd w:val="clear" w:color="auto" w:fill="BDD7EE"/>
            <w:vAlign w:val="center"/>
          </w:tcPr>
          <w:p w14:paraId="68A45250"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b/>
                <w:noProof/>
                <w:sz w:val="20"/>
              </w:rPr>
              <w:t>Lähtetase</w:t>
            </w:r>
          </w:p>
        </w:tc>
        <w:tc>
          <w:tcPr>
            <w:tcW w:w="992" w:type="dxa"/>
            <w:shd w:val="clear" w:color="auto" w:fill="BDD7EE"/>
            <w:vAlign w:val="center"/>
          </w:tcPr>
          <w:p w14:paraId="02F6A9E6"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b/>
                <w:noProof/>
                <w:sz w:val="20"/>
              </w:rPr>
              <w:t>Eesmärk</w:t>
            </w:r>
          </w:p>
        </w:tc>
        <w:tc>
          <w:tcPr>
            <w:tcW w:w="850" w:type="dxa"/>
            <w:shd w:val="clear" w:color="auto" w:fill="BDD7EE"/>
            <w:vAlign w:val="center"/>
          </w:tcPr>
          <w:p w14:paraId="4BE08012"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b/>
                <w:noProof/>
                <w:sz w:val="20"/>
              </w:rPr>
              <w:t>Kvartal</w:t>
            </w:r>
          </w:p>
        </w:tc>
        <w:tc>
          <w:tcPr>
            <w:tcW w:w="709" w:type="dxa"/>
            <w:shd w:val="clear" w:color="auto" w:fill="BDD7EE"/>
            <w:vAlign w:val="center"/>
          </w:tcPr>
          <w:p w14:paraId="7E9E1020"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b/>
                <w:noProof/>
                <w:sz w:val="20"/>
              </w:rPr>
              <w:t>Aasta</w:t>
            </w:r>
          </w:p>
        </w:tc>
        <w:tc>
          <w:tcPr>
            <w:tcW w:w="3794" w:type="dxa"/>
            <w:vMerge/>
            <w:vAlign w:val="center"/>
          </w:tcPr>
          <w:p w14:paraId="10DD8773" w14:textId="77777777" w:rsidR="0084326C" w:rsidRPr="005D68A0" w:rsidRDefault="0084326C">
            <w:pPr>
              <w:spacing w:before="120" w:after="120"/>
              <w:rPr>
                <w:rFonts w:ascii="Arial Narrow" w:hAnsi="Arial Narrow"/>
                <w:noProof/>
                <w:color w:val="006100"/>
                <w:sz w:val="20"/>
                <w:szCs w:val="20"/>
                <w:lang w:val="en-GB"/>
              </w:rPr>
            </w:pPr>
          </w:p>
        </w:tc>
      </w:tr>
      <w:tr w:rsidR="0084326C" w:rsidRPr="00D90835" w14:paraId="228768FA" w14:textId="77777777">
        <w:trPr>
          <w:trHeight w:val="315"/>
        </w:trPr>
        <w:tc>
          <w:tcPr>
            <w:tcW w:w="1424" w:type="dxa"/>
            <w:shd w:val="clear" w:color="auto" w:fill="C6EFCE"/>
            <w:vAlign w:val="center"/>
          </w:tcPr>
          <w:p w14:paraId="6C3DC7EF"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M1C2-15</w:t>
            </w:r>
          </w:p>
        </w:tc>
        <w:tc>
          <w:tcPr>
            <w:tcW w:w="1578" w:type="dxa"/>
            <w:shd w:val="clear" w:color="auto" w:fill="C6EFCE"/>
            <w:vAlign w:val="center"/>
          </w:tcPr>
          <w:p w14:paraId="192C197B"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Investeering 2. Mikroelektroonika innovatsioon ja tehnoloogia</w:t>
            </w:r>
          </w:p>
        </w:tc>
        <w:tc>
          <w:tcPr>
            <w:tcW w:w="1078" w:type="dxa"/>
            <w:shd w:val="clear" w:color="auto" w:fill="C6EFCE"/>
            <w:vAlign w:val="center"/>
          </w:tcPr>
          <w:p w14:paraId="4BDA4EB0"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Siht</w:t>
            </w:r>
          </w:p>
        </w:tc>
        <w:tc>
          <w:tcPr>
            <w:tcW w:w="1329" w:type="dxa"/>
            <w:shd w:val="clear" w:color="auto" w:fill="C6EFCE"/>
            <w:vAlign w:val="center"/>
          </w:tcPr>
          <w:p w14:paraId="110988F6"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Ränikarbiidist substraatide tootmisvõimsus</w:t>
            </w:r>
          </w:p>
        </w:tc>
        <w:tc>
          <w:tcPr>
            <w:tcW w:w="1275" w:type="dxa"/>
            <w:shd w:val="clear" w:color="auto" w:fill="C6EFCE"/>
            <w:vAlign w:val="center"/>
          </w:tcPr>
          <w:p w14:paraId="35D802BC"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Ei kohaldata</w:t>
            </w:r>
          </w:p>
        </w:tc>
        <w:tc>
          <w:tcPr>
            <w:tcW w:w="1134" w:type="dxa"/>
            <w:shd w:val="clear" w:color="auto" w:fill="C6EFCE"/>
            <w:vAlign w:val="center"/>
          </w:tcPr>
          <w:p w14:paraId="3AEDB712"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Arv</w:t>
            </w:r>
          </w:p>
        </w:tc>
        <w:tc>
          <w:tcPr>
            <w:tcW w:w="993" w:type="dxa"/>
            <w:shd w:val="clear" w:color="auto" w:fill="C6EFCE"/>
            <w:vAlign w:val="center"/>
          </w:tcPr>
          <w:p w14:paraId="4C950009"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0</w:t>
            </w:r>
          </w:p>
        </w:tc>
        <w:tc>
          <w:tcPr>
            <w:tcW w:w="992" w:type="dxa"/>
            <w:shd w:val="clear" w:color="auto" w:fill="C6EFCE"/>
            <w:vAlign w:val="center"/>
          </w:tcPr>
          <w:p w14:paraId="0B2F3296"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 xml:space="preserve">374 400 </w:t>
            </w:r>
          </w:p>
        </w:tc>
        <w:tc>
          <w:tcPr>
            <w:tcW w:w="850" w:type="dxa"/>
            <w:shd w:val="clear" w:color="auto" w:fill="C6EFCE"/>
            <w:vAlign w:val="center"/>
          </w:tcPr>
          <w:p w14:paraId="2CB46BC0"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2. kv</w:t>
            </w:r>
          </w:p>
        </w:tc>
        <w:tc>
          <w:tcPr>
            <w:tcW w:w="709" w:type="dxa"/>
            <w:shd w:val="clear" w:color="auto" w:fill="C6EFCE"/>
            <w:vAlign w:val="center"/>
          </w:tcPr>
          <w:p w14:paraId="209674A0"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2026</w:t>
            </w:r>
          </w:p>
        </w:tc>
        <w:tc>
          <w:tcPr>
            <w:tcW w:w="3794" w:type="dxa"/>
            <w:shd w:val="clear" w:color="auto" w:fill="C6EFCE"/>
            <w:vAlign w:val="center"/>
          </w:tcPr>
          <w:p w14:paraId="4704E9BA"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Tootmisvõimsust suurendatakse vähemalt 374 400 ränikarbiidi substraadi võrra aastas. Eesmärgi rahuldav täitmine sõltub ka vähemalt 700 täiendava töötaja tööhõivest, mis on seotud täiendava suutlikkusega.</w:t>
            </w:r>
          </w:p>
        </w:tc>
      </w:tr>
      <w:tr w:rsidR="0084326C" w:rsidRPr="00D90835" w14:paraId="04030EE0" w14:textId="77777777">
        <w:trPr>
          <w:trHeight w:val="315"/>
        </w:trPr>
        <w:tc>
          <w:tcPr>
            <w:tcW w:w="1424" w:type="dxa"/>
            <w:shd w:val="clear" w:color="auto" w:fill="C6EFCE"/>
            <w:vAlign w:val="center"/>
          </w:tcPr>
          <w:p w14:paraId="3FD30195"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M1C2-16</w:t>
            </w:r>
          </w:p>
        </w:tc>
        <w:tc>
          <w:tcPr>
            <w:tcW w:w="1578" w:type="dxa"/>
            <w:shd w:val="clear" w:color="auto" w:fill="C6EFCE"/>
            <w:vAlign w:val="center"/>
          </w:tcPr>
          <w:p w14:paraId="1CF084E7"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Investeering 3. Kiire internetiühendus (Ultra lairibaühendus ja 5G)</w:t>
            </w:r>
          </w:p>
        </w:tc>
        <w:tc>
          <w:tcPr>
            <w:tcW w:w="1078" w:type="dxa"/>
            <w:shd w:val="clear" w:color="auto" w:fill="C6EFCE"/>
            <w:vAlign w:val="center"/>
          </w:tcPr>
          <w:p w14:paraId="5227483D"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Eesmärk</w:t>
            </w:r>
          </w:p>
        </w:tc>
        <w:tc>
          <w:tcPr>
            <w:tcW w:w="1329" w:type="dxa"/>
            <w:shd w:val="clear" w:color="auto" w:fill="C6EFCE"/>
            <w:vAlign w:val="center"/>
          </w:tcPr>
          <w:p w14:paraId="480B4073"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Kiiremaid ühendusprojekte käsitlevate riigihankelepingute sõlmimine</w:t>
            </w:r>
          </w:p>
        </w:tc>
        <w:tc>
          <w:tcPr>
            <w:tcW w:w="1275" w:type="dxa"/>
            <w:shd w:val="clear" w:color="auto" w:fill="C6EFCE"/>
            <w:vAlign w:val="center"/>
          </w:tcPr>
          <w:p w14:paraId="72B45204"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Teatis kiiremaid ühendusprojekte käsitlevate riigihankelepingute sõlmimise kohta</w:t>
            </w:r>
          </w:p>
        </w:tc>
        <w:tc>
          <w:tcPr>
            <w:tcW w:w="1134" w:type="dxa"/>
            <w:shd w:val="clear" w:color="auto" w:fill="C6EFCE"/>
            <w:vAlign w:val="center"/>
          </w:tcPr>
          <w:p w14:paraId="0ABB6648"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vAlign w:val="center"/>
          </w:tcPr>
          <w:p w14:paraId="524F9153"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992" w:type="dxa"/>
            <w:shd w:val="clear" w:color="auto" w:fill="C6EFCE"/>
            <w:vAlign w:val="center"/>
          </w:tcPr>
          <w:p w14:paraId="51870DB2"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850" w:type="dxa"/>
            <w:shd w:val="clear" w:color="auto" w:fill="C6EFCE"/>
            <w:vAlign w:val="center"/>
          </w:tcPr>
          <w:p w14:paraId="452538C2"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2. kv</w:t>
            </w:r>
          </w:p>
        </w:tc>
        <w:tc>
          <w:tcPr>
            <w:tcW w:w="709" w:type="dxa"/>
            <w:shd w:val="clear" w:color="auto" w:fill="C6EFCE"/>
            <w:vAlign w:val="center"/>
          </w:tcPr>
          <w:p w14:paraId="3FFF552D"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2022</w:t>
            </w:r>
          </w:p>
        </w:tc>
        <w:tc>
          <w:tcPr>
            <w:tcW w:w="3794" w:type="dxa"/>
            <w:shd w:val="clear" w:color="auto" w:fill="C6EFCE"/>
            <w:vAlign w:val="center"/>
          </w:tcPr>
          <w:p w14:paraId="41736C00"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Teade kiirema ühenduse projektide riigihankelepingute sõlmimise kohta, mis koosneb i) „Italia a 1 Giga“, ii) „Italia 5G“, iii) „Ühendatud koolid“, iv) „Ühendatud tervishoiuasutused“; ja v) „Ühendatud väikesaared“</w:t>
            </w:r>
          </w:p>
        </w:tc>
      </w:tr>
      <w:tr w:rsidR="0084326C" w:rsidRPr="00D90835" w14:paraId="2D05DBBA" w14:textId="77777777">
        <w:trPr>
          <w:trHeight w:val="315"/>
        </w:trPr>
        <w:tc>
          <w:tcPr>
            <w:tcW w:w="1424" w:type="dxa"/>
            <w:shd w:val="clear" w:color="auto" w:fill="C6EFCE"/>
            <w:vAlign w:val="center"/>
          </w:tcPr>
          <w:p w14:paraId="045E56CF"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M1C2-17</w:t>
            </w:r>
          </w:p>
        </w:tc>
        <w:tc>
          <w:tcPr>
            <w:tcW w:w="1578" w:type="dxa"/>
            <w:shd w:val="clear" w:color="auto" w:fill="C6EFCE"/>
            <w:vAlign w:val="center"/>
          </w:tcPr>
          <w:p w14:paraId="3234F5DA"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Investeering 3. Kiire internetiühendus (Ultra lairibaühendus ja 5G)</w:t>
            </w:r>
          </w:p>
        </w:tc>
        <w:tc>
          <w:tcPr>
            <w:tcW w:w="1078" w:type="dxa"/>
            <w:shd w:val="clear" w:color="auto" w:fill="C6EFCE"/>
            <w:vAlign w:val="center"/>
          </w:tcPr>
          <w:p w14:paraId="34C87DF1"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Siht</w:t>
            </w:r>
          </w:p>
        </w:tc>
        <w:tc>
          <w:tcPr>
            <w:tcW w:w="1329" w:type="dxa"/>
            <w:shd w:val="clear" w:color="auto" w:fill="C6EFCE"/>
            <w:vAlign w:val="center"/>
          </w:tcPr>
          <w:p w14:paraId="0A9466EA"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1 Gbit/s ühendusega majanumbrid</w:t>
            </w:r>
          </w:p>
        </w:tc>
        <w:tc>
          <w:tcPr>
            <w:tcW w:w="1275" w:type="dxa"/>
            <w:shd w:val="clear" w:color="auto" w:fill="C6EFCE"/>
            <w:vAlign w:val="center"/>
          </w:tcPr>
          <w:p w14:paraId="7A3CC2BF"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vAlign w:val="center"/>
          </w:tcPr>
          <w:p w14:paraId="08080BE2"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Arv</w:t>
            </w:r>
          </w:p>
        </w:tc>
        <w:tc>
          <w:tcPr>
            <w:tcW w:w="993" w:type="dxa"/>
            <w:shd w:val="clear" w:color="auto" w:fill="C6EFCE"/>
            <w:vAlign w:val="center"/>
          </w:tcPr>
          <w:p w14:paraId="37BC7F32"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0</w:t>
            </w:r>
          </w:p>
        </w:tc>
        <w:tc>
          <w:tcPr>
            <w:tcW w:w="992" w:type="dxa"/>
            <w:shd w:val="clear" w:color="auto" w:fill="C6EFCE"/>
            <w:vAlign w:val="center"/>
          </w:tcPr>
          <w:p w14:paraId="55686D71"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3 400 000</w:t>
            </w:r>
          </w:p>
        </w:tc>
        <w:tc>
          <w:tcPr>
            <w:tcW w:w="850" w:type="dxa"/>
            <w:shd w:val="clear" w:color="auto" w:fill="C6EFCE"/>
            <w:vAlign w:val="center"/>
          </w:tcPr>
          <w:p w14:paraId="223B5E72"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2. kv</w:t>
            </w:r>
          </w:p>
        </w:tc>
        <w:tc>
          <w:tcPr>
            <w:tcW w:w="709" w:type="dxa"/>
            <w:shd w:val="clear" w:color="auto" w:fill="C6EFCE"/>
            <w:vAlign w:val="center"/>
          </w:tcPr>
          <w:p w14:paraId="5AA2FF73"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2026</w:t>
            </w:r>
          </w:p>
        </w:tc>
        <w:tc>
          <w:tcPr>
            <w:tcW w:w="3794" w:type="dxa"/>
            <w:shd w:val="clear" w:color="auto" w:fill="C6EFCE"/>
            <w:vAlign w:val="center"/>
          </w:tcPr>
          <w:p w14:paraId="3A2EB5EB"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Vähemalt 3 400 000 täiendavat majanumbrit (millest vähemalt 450 000 hajutatud leibkonda, st asuvad äärepoolsetes piirkondades), mis on ühendatud vähemalt 1 Gbit/s ühendusega Fiber-to-the-home/Hoe (FTTH/B), püsiühendusega traadita juurdepääsu (FWA) kaudu</w:t>
            </w:r>
          </w:p>
        </w:tc>
      </w:tr>
      <w:tr w:rsidR="0084326C" w:rsidRPr="00D90835" w14:paraId="74C04433" w14:textId="77777777">
        <w:trPr>
          <w:trHeight w:val="315"/>
        </w:trPr>
        <w:tc>
          <w:tcPr>
            <w:tcW w:w="1424" w:type="dxa"/>
            <w:shd w:val="clear" w:color="auto" w:fill="C6EFCE"/>
            <w:vAlign w:val="center"/>
          </w:tcPr>
          <w:p w14:paraId="54CB42DD"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M1C2-18</w:t>
            </w:r>
          </w:p>
        </w:tc>
        <w:tc>
          <w:tcPr>
            <w:tcW w:w="1578" w:type="dxa"/>
            <w:shd w:val="clear" w:color="auto" w:fill="C6EFCE"/>
            <w:vAlign w:val="center"/>
          </w:tcPr>
          <w:p w14:paraId="14D0FF64"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Investeering 3. Kiire internetiühendus (Ultra lairibaühendus ja 5G)</w:t>
            </w:r>
          </w:p>
        </w:tc>
        <w:tc>
          <w:tcPr>
            <w:tcW w:w="1078" w:type="dxa"/>
            <w:shd w:val="clear" w:color="auto" w:fill="C6EFCE"/>
            <w:vAlign w:val="center"/>
          </w:tcPr>
          <w:p w14:paraId="30E25068"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Siht</w:t>
            </w:r>
          </w:p>
        </w:tc>
        <w:tc>
          <w:tcPr>
            <w:tcW w:w="1329" w:type="dxa"/>
            <w:shd w:val="clear" w:color="auto" w:fill="C6EFCE"/>
            <w:vAlign w:val="center"/>
          </w:tcPr>
          <w:p w14:paraId="75337EA5"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1 Gbit/s ühendusega koolihooned ja tervishoiuasutused</w:t>
            </w:r>
          </w:p>
        </w:tc>
        <w:tc>
          <w:tcPr>
            <w:tcW w:w="1275" w:type="dxa"/>
            <w:shd w:val="clear" w:color="auto" w:fill="C6EFCE"/>
            <w:vAlign w:val="center"/>
          </w:tcPr>
          <w:p w14:paraId="538E6A1D"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vAlign w:val="center"/>
          </w:tcPr>
          <w:p w14:paraId="1989C336"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Arv</w:t>
            </w:r>
          </w:p>
        </w:tc>
        <w:tc>
          <w:tcPr>
            <w:tcW w:w="993" w:type="dxa"/>
            <w:shd w:val="clear" w:color="auto" w:fill="C6EFCE"/>
            <w:vAlign w:val="center"/>
          </w:tcPr>
          <w:p w14:paraId="5512BEF0"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0</w:t>
            </w:r>
          </w:p>
        </w:tc>
        <w:tc>
          <w:tcPr>
            <w:tcW w:w="992" w:type="dxa"/>
            <w:shd w:val="clear" w:color="auto" w:fill="C6EFCE"/>
            <w:vAlign w:val="center"/>
          </w:tcPr>
          <w:p w14:paraId="4B33F29A"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17 700</w:t>
            </w:r>
          </w:p>
        </w:tc>
        <w:tc>
          <w:tcPr>
            <w:tcW w:w="850" w:type="dxa"/>
            <w:shd w:val="clear" w:color="auto" w:fill="C6EFCE"/>
            <w:vAlign w:val="center"/>
          </w:tcPr>
          <w:p w14:paraId="22EEC9A0"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2. kv</w:t>
            </w:r>
          </w:p>
        </w:tc>
        <w:tc>
          <w:tcPr>
            <w:tcW w:w="709" w:type="dxa"/>
            <w:shd w:val="clear" w:color="auto" w:fill="C6EFCE"/>
            <w:vAlign w:val="center"/>
          </w:tcPr>
          <w:p w14:paraId="3DB9C422"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2026</w:t>
            </w:r>
          </w:p>
        </w:tc>
        <w:tc>
          <w:tcPr>
            <w:tcW w:w="3794" w:type="dxa"/>
            <w:shd w:val="clear" w:color="auto" w:fill="C6EFCE"/>
            <w:vAlign w:val="center"/>
          </w:tcPr>
          <w:p w14:paraId="1AA6315C"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Vähemalt 9 000 kooli ja 8 700 riiklikku tervishoiuasutust, kus on vähemalt 1 Gbit/s ühendus</w:t>
            </w:r>
          </w:p>
        </w:tc>
      </w:tr>
      <w:tr w:rsidR="0084326C" w:rsidRPr="00D90835" w14:paraId="072F1C47" w14:textId="77777777">
        <w:trPr>
          <w:trHeight w:val="315"/>
        </w:trPr>
        <w:tc>
          <w:tcPr>
            <w:tcW w:w="1424" w:type="dxa"/>
            <w:shd w:val="clear" w:color="auto" w:fill="C6EFCE"/>
            <w:vAlign w:val="center"/>
          </w:tcPr>
          <w:p w14:paraId="0F05580F"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M1C2-19</w:t>
            </w:r>
          </w:p>
        </w:tc>
        <w:tc>
          <w:tcPr>
            <w:tcW w:w="1578" w:type="dxa"/>
            <w:shd w:val="clear" w:color="auto" w:fill="C6EFCE"/>
            <w:vAlign w:val="center"/>
          </w:tcPr>
          <w:p w14:paraId="5B0FF0EB"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Investeering 3. Kiire internetiühendus (Ultra lairibaühendus ja 5G)</w:t>
            </w:r>
          </w:p>
        </w:tc>
        <w:tc>
          <w:tcPr>
            <w:tcW w:w="1078" w:type="dxa"/>
            <w:shd w:val="clear" w:color="auto" w:fill="C6EFCE"/>
            <w:vAlign w:val="center"/>
          </w:tcPr>
          <w:p w14:paraId="0D9A4D6D"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Siht</w:t>
            </w:r>
          </w:p>
        </w:tc>
        <w:tc>
          <w:tcPr>
            <w:tcW w:w="1329" w:type="dxa"/>
            <w:shd w:val="clear" w:color="auto" w:fill="C6EFCE"/>
            <w:vAlign w:val="center"/>
          </w:tcPr>
          <w:p w14:paraId="73991135"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Saartel on ülilairibaühendus.</w:t>
            </w:r>
          </w:p>
        </w:tc>
        <w:tc>
          <w:tcPr>
            <w:tcW w:w="1275" w:type="dxa"/>
            <w:shd w:val="clear" w:color="auto" w:fill="C6EFCE"/>
            <w:vAlign w:val="center"/>
          </w:tcPr>
          <w:p w14:paraId="52360A73"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vAlign w:val="center"/>
          </w:tcPr>
          <w:p w14:paraId="7E3BC2B4"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Arv</w:t>
            </w:r>
          </w:p>
        </w:tc>
        <w:tc>
          <w:tcPr>
            <w:tcW w:w="993" w:type="dxa"/>
            <w:shd w:val="clear" w:color="auto" w:fill="C6EFCE"/>
            <w:vAlign w:val="center"/>
          </w:tcPr>
          <w:p w14:paraId="55A966EE"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0</w:t>
            </w:r>
          </w:p>
        </w:tc>
        <w:tc>
          <w:tcPr>
            <w:tcW w:w="992" w:type="dxa"/>
            <w:shd w:val="clear" w:color="auto" w:fill="C6EFCE"/>
            <w:vAlign w:val="center"/>
          </w:tcPr>
          <w:p w14:paraId="5EDE95E5"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18</w:t>
            </w:r>
          </w:p>
        </w:tc>
        <w:tc>
          <w:tcPr>
            <w:tcW w:w="850" w:type="dxa"/>
            <w:shd w:val="clear" w:color="auto" w:fill="C6EFCE"/>
            <w:vAlign w:val="center"/>
          </w:tcPr>
          <w:p w14:paraId="1C295F70"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4. kv</w:t>
            </w:r>
          </w:p>
        </w:tc>
        <w:tc>
          <w:tcPr>
            <w:tcW w:w="709" w:type="dxa"/>
            <w:shd w:val="clear" w:color="auto" w:fill="C6EFCE"/>
            <w:vAlign w:val="center"/>
          </w:tcPr>
          <w:p w14:paraId="7A3F1F14"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2024</w:t>
            </w:r>
          </w:p>
        </w:tc>
        <w:tc>
          <w:tcPr>
            <w:tcW w:w="3794" w:type="dxa"/>
            <w:shd w:val="clear" w:color="auto" w:fill="C6EFCE"/>
            <w:vAlign w:val="center"/>
          </w:tcPr>
          <w:p w14:paraId="629848D6" w14:textId="77777777" w:rsidR="0084326C" w:rsidRPr="005D68A0" w:rsidRDefault="0084326C">
            <w:pPr>
              <w:spacing w:before="120" w:after="120"/>
              <w:rPr>
                <w:rFonts w:ascii="Arial Narrow" w:hAnsi="Arial Narrow"/>
                <w:noProof/>
                <w:sz w:val="20"/>
                <w:szCs w:val="20"/>
              </w:rPr>
            </w:pPr>
            <w:r>
              <w:rPr>
                <w:rFonts w:ascii="Arial Narrow" w:hAnsi="Arial Narrow"/>
                <w:noProof/>
                <w:color w:val="006100"/>
                <w:sz w:val="20"/>
              </w:rPr>
              <w:t>Vähemalt 18 saarel puuduvad kiudoptilised ühendused kontinendiga, mis pakuvad uue optilise tagasiühenduse kaudu ultralairibaühendust</w:t>
            </w:r>
          </w:p>
        </w:tc>
      </w:tr>
      <w:tr w:rsidR="0084326C" w:rsidRPr="00D90835" w14:paraId="142F2B2A" w14:textId="77777777">
        <w:trPr>
          <w:trHeight w:val="315"/>
        </w:trPr>
        <w:tc>
          <w:tcPr>
            <w:tcW w:w="1424" w:type="dxa"/>
            <w:shd w:val="clear" w:color="auto" w:fill="C6EFCE"/>
            <w:vAlign w:val="center"/>
          </w:tcPr>
          <w:p w14:paraId="355C7DCD"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M1C2-20</w:t>
            </w:r>
          </w:p>
        </w:tc>
        <w:tc>
          <w:tcPr>
            <w:tcW w:w="1578" w:type="dxa"/>
            <w:shd w:val="clear" w:color="auto" w:fill="C6EFCE"/>
            <w:vAlign w:val="center"/>
          </w:tcPr>
          <w:p w14:paraId="3852E92E"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Investeering 3. Kiire internetiühendus (Ultra lairibaühendus ja 5G)</w:t>
            </w:r>
          </w:p>
        </w:tc>
        <w:tc>
          <w:tcPr>
            <w:tcW w:w="1078" w:type="dxa"/>
            <w:shd w:val="clear" w:color="auto" w:fill="C6EFCE"/>
            <w:vAlign w:val="center"/>
          </w:tcPr>
          <w:p w14:paraId="5FC85D08"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Siht</w:t>
            </w:r>
          </w:p>
        </w:tc>
        <w:tc>
          <w:tcPr>
            <w:tcW w:w="1329" w:type="dxa"/>
            <w:shd w:val="clear" w:color="auto" w:fill="C6EFCE"/>
            <w:vAlign w:val="center"/>
          </w:tcPr>
          <w:p w14:paraId="24A5D526"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Linnavälised teed ja 5G levialaga koridorid</w:t>
            </w:r>
          </w:p>
        </w:tc>
        <w:tc>
          <w:tcPr>
            <w:tcW w:w="1275" w:type="dxa"/>
            <w:shd w:val="clear" w:color="auto" w:fill="C6EFCE"/>
            <w:vAlign w:val="center"/>
          </w:tcPr>
          <w:p w14:paraId="08EED319"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Ei kohaldata</w:t>
            </w:r>
          </w:p>
        </w:tc>
        <w:tc>
          <w:tcPr>
            <w:tcW w:w="1134" w:type="dxa"/>
            <w:shd w:val="clear" w:color="auto" w:fill="C6EFCE"/>
            <w:vAlign w:val="center"/>
          </w:tcPr>
          <w:p w14:paraId="4D2513B6"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Arv</w:t>
            </w:r>
          </w:p>
        </w:tc>
        <w:tc>
          <w:tcPr>
            <w:tcW w:w="993" w:type="dxa"/>
            <w:shd w:val="clear" w:color="auto" w:fill="C6EFCE"/>
            <w:vAlign w:val="center"/>
          </w:tcPr>
          <w:p w14:paraId="22721EB6"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0</w:t>
            </w:r>
          </w:p>
        </w:tc>
        <w:tc>
          <w:tcPr>
            <w:tcW w:w="992" w:type="dxa"/>
            <w:shd w:val="clear" w:color="auto" w:fill="C6EFCE"/>
            <w:vAlign w:val="center"/>
          </w:tcPr>
          <w:p w14:paraId="0F10EDAF" w14:textId="77777777" w:rsidR="0084326C" w:rsidRPr="005D68A0" w:rsidRDefault="0084326C">
            <w:pPr>
              <w:spacing w:before="120" w:after="160" w:line="257" w:lineRule="auto"/>
              <w:jc w:val="center"/>
              <w:rPr>
                <w:rFonts w:ascii="Arial Narrow" w:hAnsi="Arial Narrow"/>
                <w:noProof/>
                <w:sz w:val="20"/>
                <w:szCs w:val="20"/>
              </w:rPr>
            </w:pPr>
            <w:r>
              <w:rPr>
                <w:rFonts w:ascii="Arial Narrow" w:hAnsi="Arial Narrow"/>
                <w:noProof/>
                <w:color w:val="006100"/>
                <w:sz w:val="20"/>
              </w:rPr>
              <w:t>12 600</w:t>
            </w:r>
          </w:p>
        </w:tc>
        <w:tc>
          <w:tcPr>
            <w:tcW w:w="850" w:type="dxa"/>
            <w:shd w:val="clear" w:color="auto" w:fill="C6EFCE"/>
            <w:vAlign w:val="center"/>
          </w:tcPr>
          <w:p w14:paraId="177B0395"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2. kv</w:t>
            </w:r>
          </w:p>
        </w:tc>
        <w:tc>
          <w:tcPr>
            <w:tcW w:w="709" w:type="dxa"/>
            <w:shd w:val="clear" w:color="auto" w:fill="C6EFCE"/>
            <w:vAlign w:val="center"/>
          </w:tcPr>
          <w:p w14:paraId="654516A9"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2026</w:t>
            </w:r>
          </w:p>
        </w:tc>
        <w:tc>
          <w:tcPr>
            <w:tcW w:w="3794" w:type="dxa"/>
            <w:shd w:val="clear" w:color="auto" w:fill="C6EFCE"/>
            <w:vAlign w:val="center"/>
          </w:tcPr>
          <w:p w14:paraId="26833FB1"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Veel vähemalt 12 600 km ulatuses 5G levialaga linnaväliseid teid ja koridore.</w:t>
            </w:r>
          </w:p>
        </w:tc>
      </w:tr>
      <w:tr w:rsidR="0084326C" w:rsidRPr="00D90835" w14:paraId="4F059470" w14:textId="77777777">
        <w:trPr>
          <w:trHeight w:val="315"/>
        </w:trPr>
        <w:tc>
          <w:tcPr>
            <w:tcW w:w="1424" w:type="dxa"/>
            <w:shd w:val="clear" w:color="auto" w:fill="C6EFCE"/>
            <w:vAlign w:val="center"/>
          </w:tcPr>
          <w:p w14:paraId="7097B722"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M1C2-21</w:t>
            </w:r>
          </w:p>
        </w:tc>
        <w:tc>
          <w:tcPr>
            <w:tcW w:w="1578" w:type="dxa"/>
            <w:shd w:val="clear" w:color="auto" w:fill="C6EFCE"/>
            <w:vAlign w:val="center"/>
          </w:tcPr>
          <w:p w14:paraId="07597B22"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Investeering 3. Kiire internetiühendus (Ultra lairibaühendus ja 5G)</w:t>
            </w:r>
          </w:p>
        </w:tc>
        <w:tc>
          <w:tcPr>
            <w:tcW w:w="1078" w:type="dxa"/>
            <w:shd w:val="clear" w:color="auto" w:fill="C6EFCE"/>
            <w:vAlign w:val="center"/>
          </w:tcPr>
          <w:p w14:paraId="0ED56A7F"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Siht</w:t>
            </w:r>
          </w:p>
        </w:tc>
        <w:tc>
          <w:tcPr>
            <w:tcW w:w="1329" w:type="dxa"/>
            <w:shd w:val="clear" w:color="auto" w:fill="C6EFCE"/>
            <w:vAlign w:val="center"/>
          </w:tcPr>
          <w:p w14:paraId="2C6344E2"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Turutõrgete valdkonnad, kus on võimalik kasutada 5G leviala</w:t>
            </w:r>
          </w:p>
        </w:tc>
        <w:tc>
          <w:tcPr>
            <w:tcW w:w="1275" w:type="dxa"/>
            <w:shd w:val="clear" w:color="auto" w:fill="C6EFCE"/>
            <w:vAlign w:val="center"/>
          </w:tcPr>
          <w:p w14:paraId="77565529"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Ei kohaldata</w:t>
            </w:r>
          </w:p>
        </w:tc>
        <w:tc>
          <w:tcPr>
            <w:tcW w:w="1134" w:type="dxa"/>
            <w:shd w:val="clear" w:color="auto" w:fill="C6EFCE"/>
            <w:vAlign w:val="center"/>
          </w:tcPr>
          <w:p w14:paraId="460DF58A"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Arv</w:t>
            </w:r>
          </w:p>
        </w:tc>
        <w:tc>
          <w:tcPr>
            <w:tcW w:w="993" w:type="dxa"/>
            <w:shd w:val="clear" w:color="auto" w:fill="C6EFCE"/>
            <w:vAlign w:val="center"/>
          </w:tcPr>
          <w:p w14:paraId="20917B7D"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0</w:t>
            </w:r>
          </w:p>
        </w:tc>
        <w:tc>
          <w:tcPr>
            <w:tcW w:w="992" w:type="dxa"/>
            <w:shd w:val="clear" w:color="auto" w:fill="C6EFCE"/>
            <w:vAlign w:val="center"/>
          </w:tcPr>
          <w:p w14:paraId="083B2169"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1 400</w:t>
            </w:r>
          </w:p>
        </w:tc>
        <w:tc>
          <w:tcPr>
            <w:tcW w:w="850" w:type="dxa"/>
            <w:shd w:val="clear" w:color="auto" w:fill="C6EFCE"/>
            <w:vAlign w:val="center"/>
          </w:tcPr>
          <w:p w14:paraId="5F7D790F"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2. kv</w:t>
            </w:r>
          </w:p>
        </w:tc>
        <w:tc>
          <w:tcPr>
            <w:tcW w:w="709" w:type="dxa"/>
            <w:shd w:val="clear" w:color="auto" w:fill="C6EFCE"/>
            <w:vAlign w:val="center"/>
          </w:tcPr>
          <w:p w14:paraId="6B9A0BF7"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2026</w:t>
            </w:r>
          </w:p>
        </w:tc>
        <w:tc>
          <w:tcPr>
            <w:tcW w:w="3794" w:type="dxa"/>
            <w:shd w:val="clear" w:color="auto" w:fill="C6EFCE"/>
            <w:vAlign w:val="center"/>
          </w:tcPr>
          <w:p w14:paraId="0FC9E291"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Veel vähemalt 1 400 ruutkilomeetrit turutõrgetega asustatud piirkondi, millel on 5G leviala, millest vähemalt 500 ruutkilomeetrit on 5G levialaga.</w:t>
            </w:r>
          </w:p>
        </w:tc>
      </w:tr>
      <w:tr w:rsidR="0084326C" w:rsidRPr="00D90835" w14:paraId="158C688E" w14:textId="77777777">
        <w:trPr>
          <w:trHeight w:val="315"/>
        </w:trPr>
        <w:tc>
          <w:tcPr>
            <w:tcW w:w="1424" w:type="dxa"/>
            <w:shd w:val="clear" w:color="auto" w:fill="C6EFCE"/>
            <w:vAlign w:val="center"/>
          </w:tcPr>
          <w:p w14:paraId="241C7CA2"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M1C2-22</w:t>
            </w:r>
          </w:p>
        </w:tc>
        <w:tc>
          <w:tcPr>
            <w:tcW w:w="1578" w:type="dxa"/>
            <w:shd w:val="clear" w:color="auto" w:fill="C6EFCE"/>
            <w:vAlign w:val="center"/>
          </w:tcPr>
          <w:p w14:paraId="73E61490"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Investeering 4. Satelliittehnoloogia ja kosmosemajandus</w:t>
            </w:r>
          </w:p>
        </w:tc>
        <w:tc>
          <w:tcPr>
            <w:tcW w:w="1078" w:type="dxa"/>
            <w:shd w:val="clear" w:color="auto" w:fill="C6EFCE"/>
            <w:vAlign w:val="center"/>
          </w:tcPr>
          <w:p w14:paraId="5CAFBD9D"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Eesmärk</w:t>
            </w:r>
          </w:p>
        </w:tc>
        <w:tc>
          <w:tcPr>
            <w:tcW w:w="1329" w:type="dxa"/>
            <w:shd w:val="clear" w:color="auto" w:fill="C6EFCE"/>
            <w:vAlign w:val="center"/>
          </w:tcPr>
          <w:p w14:paraId="5D0A200D"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Kõikide satelliittehnoloogia ja kosmoseprojektide riigihankelepingute sõlmimine</w:t>
            </w:r>
          </w:p>
        </w:tc>
        <w:tc>
          <w:tcPr>
            <w:tcW w:w="1275" w:type="dxa"/>
            <w:shd w:val="clear" w:color="auto" w:fill="C6EFCE"/>
            <w:vAlign w:val="center"/>
          </w:tcPr>
          <w:p w14:paraId="687C81C4"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Teade kõikide satelliittehnoloogia ja kosmoseprojektide riigihankelepingute sõlmimise kohta</w:t>
            </w:r>
          </w:p>
        </w:tc>
        <w:tc>
          <w:tcPr>
            <w:tcW w:w="1134" w:type="dxa"/>
            <w:shd w:val="clear" w:color="auto" w:fill="C6EFCE"/>
            <w:vAlign w:val="center"/>
          </w:tcPr>
          <w:p w14:paraId="0B8B1D63"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vAlign w:val="center"/>
          </w:tcPr>
          <w:p w14:paraId="72F328FE"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992" w:type="dxa"/>
            <w:shd w:val="clear" w:color="auto" w:fill="C6EFCE"/>
            <w:vAlign w:val="center"/>
          </w:tcPr>
          <w:p w14:paraId="757883CB"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850" w:type="dxa"/>
            <w:shd w:val="clear" w:color="auto" w:fill="C6EFCE"/>
            <w:vAlign w:val="center"/>
          </w:tcPr>
          <w:p w14:paraId="2B64F5C3"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1. kv</w:t>
            </w:r>
          </w:p>
        </w:tc>
        <w:tc>
          <w:tcPr>
            <w:tcW w:w="709" w:type="dxa"/>
            <w:shd w:val="clear" w:color="auto" w:fill="C6EFCE"/>
            <w:vAlign w:val="center"/>
          </w:tcPr>
          <w:p w14:paraId="5B350CC9"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2023</w:t>
            </w:r>
          </w:p>
        </w:tc>
        <w:tc>
          <w:tcPr>
            <w:tcW w:w="3794" w:type="dxa"/>
            <w:shd w:val="clear" w:color="auto" w:fill="C6EFCE"/>
            <w:vAlign w:val="center"/>
          </w:tcPr>
          <w:p w14:paraId="1D3857C9" w14:textId="4045624D" w:rsidR="0084326C" w:rsidRPr="005D68A0" w:rsidRDefault="0084326C">
            <w:pPr>
              <w:spacing w:before="120" w:after="120"/>
              <w:rPr>
                <w:rFonts w:ascii="Arial Narrow" w:hAnsi="Arial Narrow"/>
                <w:noProof/>
                <w:sz w:val="20"/>
                <w:szCs w:val="20"/>
              </w:rPr>
            </w:pPr>
            <w:r>
              <w:rPr>
                <w:rFonts w:ascii="Arial Narrow" w:hAnsi="Arial Narrow"/>
                <w:noProof/>
                <w:color w:val="006100"/>
                <w:sz w:val="20"/>
              </w:rPr>
              <w:t>Teade kõigi satelliittehnoloogia ja kosmoseprojektide riigihankelepingute sõlmimise kohta, mis hõlmavad i) satelliitsidet, ii) Maa seiret, iii) kosmosevabrikut ja iv) orbiidimajandust.</w:t>
            </w:r>
          </w:p>
        </w:tc>
      </w:tr>
      <w:tr w:rsidR="0084326C" w:rsidRPr="00D90835" w14:paraId="5A7FFFE4" w14:textId="77777777">
        <w:trPr>
          <w:trHeight w:val="315"/>
        </w:trPr>
        <w:tc>
          <w:tcPr>
            <w:tcW w:w="1424" w:type="dxa"/>
            <w:shd w:val="clear" w:color="auto" w:fill="C6EFCE"/>
            <w:vAlign w:val="center"/>
          </w:tcPr>
          <w:p w14:paraId="4693BB58"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M1C2-23</w:t>
            </w:r>
          </w:p>
        </w:tc>
        <w:tc>
          <w:tcPr>
            <w:tcW w:w="1578" w:type="dxa"/>
            <w:shd w:val="clear" w:color="auto" w:fill="C6EFCE"/>
            <w:vAlign w:val="center"/>
          </w:tcPr>
          <w:p w14:paraId="2C86FBCE"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Investeering 4. Satelliittehnoloogia ja kosmosemajandus</w:t>
            </w:r>
          </w:p>
        </w:tc>
        <w:tc>
          <w:tcPr>
            <w:tcW w:w="1078" w:type="dxa"/>
            <w:shd w:val="clear" w:color="auto" w:fill="C6EFCE"/>
            <w:vAlign w:val="center"/>
          </w:tcPr>
          <w:p w14:paraId="5176E9B3"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Siht</w:t>
            </w:r>
          </w:p>
        </w:tc>
        <w:tc>
          <w:tcPr>
            <w:tcW w:w="1329" w:type="dxa"/>
            <w:shd w:val="clear" w:color="auto" w:fill="C6EFCE"/>
            <w:vAlign w:val="center"/>
          </w:tcPr>
          <w:p w14:paraId="59F04607"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Kasutatakse maapealseid teleskoope, toimivat SST keskust, kosmosetehast ja vedela jõuseadme näidisseadmeid</w:t>
            </w:r>
          </w:p>
        </w:tc>
        <w:tc>
          <w:tcPr>
            <w:tcW w:w="1275" w:type="dxa"/>
            <w:shd w:val="clear" w:color="auto" w:fill="C6EFCE"/>
            <w:vAlign w:val="center"/>
          </w:tcPr>
          <w:p w14:paraId="71BB57C0"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vAlign w:val="center"/>
          </w:tcPr>
          <w:p w14:paraId="3B225F74"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Arv</w:t>
            </w:r>
          </w:p>
        </w:tc>
        <w:tc>
          <w:tcPr>
            <w:tcW w:w="993" w:type="dxa"/>
            <w:shd w:val="clear" w:color="auto" w:fill="C6EFCE"/>
            <w:vAlign w:val="center"/>
          </w:tcPr>
          <w:p w14:paraId="30B4C4FA"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0</w:t>
            </w:r>
          </w:p>
        </w:tc>
        <w:tc>
          <w:tcPr>
            <w:tcW w:w="992" w:type="dxa"/>
            <w:shd w:val="clear" w:color="auto" w:fill="C6EFCE"/>
            <w:vAlign w:val="center"/>
          </w:tcPr>
          <w:p w14:paraId="21F56A83"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6</w:t>
            </w:r>
          </w:p>
        </w:tc>
        <w:tc>
          <w:tcPr>
            <w:tcW w:w="850" w:type="dxa"/>
            <w:shd w:val="clear" w:color="auto" w:fill="C6EFCE"/>
            <w:vAlign w:val="center"/>
          </w:tcPr>
          <w:p w14:paraId="5F03E633"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2. kv</w:t>
            </w:r>
          </w:p>
        </w:tc>
        <w:tc>
          <w:tcPr>
            <w:tcW w:w="709" w:type="dxa"/>
            <w:shd w:val="clear" w:color="auto" w:fill="C6EFCE"/>
            <w:vAlign w:val="center"/>
          </w:tcPr>
          <w:p w14:paraId="33A31EBA"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2026</w:t>
            </w:r>
          </w:p>
        </w:tc>
        <w:tc>
          <w:tcPr>
            <w:tcW w:w="3794" w:type="dxa"/>
            <w:shd w:val="clear" w:color="auto" w:fill="C6EFCE"/>
            <w:vAlign w:val="center"/>
          </w:tcPr>
          <w:p w14:paraId="13DE8423"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Vähemalt kolm kõrgefektiivset teleskoopi, mis on võimelised kosmoseobjekte identifitseerima, üks toimiv kosmose jälgimise ja seire keskus (SST) (kosmosejäätmete jälgimise ja seire võrgustik), üks kosmosetehas (väikeste satelliitide tootmise, kokkupaneku, integreerimise ja katsetamise (M-AIT) integreeritud liinid), üks vedelike tõukejõu demonstraator kasutusele võetud uue põlvkonna kanderakettide jaoks.</w:t>
            </w:r>
          </w:p>
        </w:tc>
      </w:tr>
      <w:tr w:rsidR="0084326C" w:rsidRPr="00D90835" w14:paraId="0874E3B1" w14:textId="77777777">
        <w:trPr>
          <w:trHeight w:val="315"/>
        </w:trPr>
        <w:tc>
          <w:tcPr>
            <w:tcW w:w="1424" w:type="dxa"/>
            <w:shd w:val="clear" w:color="auto" w:fill="C6EFCE"/>
            <w:vAlign w:val="center"/>
          </w:tcPr>
          <w:p w14:paraId="7B88AB1C"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M1C2-24</w:t>
            </w:r>
          </w:p>
        </w:tc>
        <w:tc>
          <w:tcPr>
            <w:tcW w:w="1578" w:type="dxa"/>
            <w:shd w:val="clear" w:color="auto" w:fill="C6EFCE"/>
            <w:vAlign w:val="center"/>
          </w:tcPr>
          <w:p w14:paraId="451956D8"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Investeering 4. Satelliittehnoloogia ja kosmosemajandus</w:t>
            </w:r>
          </w:p>
        </w:tc>
        <w:tc>
          <w:tcPr>
            <w:tcW w:w="1078" w:type="dxa"/>
            <w:shd w:val="clear" w:color="auto" w:fill="C6EFCE"/>
            <w:vAlign w:val="center"/>
          </w:tcPr>
          <w:p w14:paraId="7825781A"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Siht</w:t>
            </w:r>
          </w:p>
        </w:tc>
        <w:tc>
          <w:tcPr>
            <w:tcW w:w="1329" w:type="dxa"/>
            <w:shd w:val="clear" w:color="auto" w:fill="C6EFCE"/>
            <w:vAlign w:val="center"/>
          </w:tcPr>
          <w:p w14:paraId="507D8344"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Kasutatavad konstellatsioonid või konstellatsiooni kontseptsiooni tõendamine</w:t>
            </w:r>
          </w:p>
        </w:tc>
        <w:tc>
          <w:tcPr>
            <w:tcW w:w="1275" w:type="dxa"/>
            <w:shd w:val="clear" w:color="auto" w:fill="C6EFCE"/>
            <w:vAlign w:val="center"/>
          </w:tcPr>
          <w:p w14:paraId="7A21B16C"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vAlign w:val="center"/>
          </w:tcPr>
          <w:p w14:paraId="79A087BF"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Arv</w:t>
            </w:r>
          </w:p>
        </w:tc>
        <w:tc>
          <w:tcPr>
            <w:tcW w:w="993" w:type="dxa"/>
            <w:shd w:val="clear" w:color="auto" w:fill="C6EFCE"/>
            <w:vAlign w:val="center"/>
          </w:tcPr>
          <w:p w14:paraId="1E84B2FC"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0</w:t>
            </w:r>
          </w:p>
        </w:tc>
        <w:tc>
          <w:tcPr>
            <w:tcW w:w="992" w:type="dxa"/>
            <w:shd w:val="clear" w:color="auto" w:fill="C6EFCE"/>
            <w:vAlign w:val="center"/>
          </w:tcPr>
          <w:p w14:paraId="63D3261E"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2</w:t>
            </w:r>
          </w:p>
        </w:tc>
        <w:tc>
          <w:tcPr>
            <w:tcW w:w="850" w:type="dxa"/>
            <w:shd w:val="clear" w:color="auto" w:fill="C6EFCE"/>
            <w:vAlign w:val="center"/>
          </w:tcPr>
          <w:p w14:paraId="366A2C0F"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2. kv</w:t>
            </w:r>
          </w:p>
        </w:tc>
        <w:tc>
          <w:tcPr>
            <w:tcW w:w="709" w:type="dxa"/>
            <w:shd w:val="clear" w:color="auto" w:fill="C6EFCE"/>
            <w:vAlign w:val="center"/>
          </w:tcPr>
          <w:p w14:paraId="22290927"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2026</w:t>
            </w:r>
          </w:p>
        </w:tc>
        <w:tc>
          <w:tcPr>
            <w:tcW w:w="3794" w:type="dxa"/>
            <w:shd w:val="clear" w:color="auto" w:fill="C6EFCE"/>
            <w:vAlign w:val="center"/>
          </w:tcPr>
          <w:p w14:paraId="1B50DE82" w14:textId="77777777" w:rsidR="0084326C" w:rsidRPr="005D68A0" w:rsidRDefault="0084326C">
            <w:pPr>
              <w:spacing w:before="120" w:after="120"/>
              <w:rPr>
                <w:rFonts w:ascii="Arial Narrow" w:hAnsi="Arial Narrow"/>
                <w:noProof/>
                <w:sz w:val="20"/>
                <w:szCs w:val="20"/>
              </w:rPr>
            </w:pPr>
            <w:r>
              <w:rPr>
                <w:rFonts w:ascii="Arial Narrow" w:hAnsi="Arial Narrow"/>
                <w:noProof/>
                <w:color w:val="006100"/>
                <w:sz w:val="20"/>
              </w:rPr>
              <w:t>Vähemalt kaks satelliitside ja Maa seire algatuste raames kasutatavat konstellatsiooni või konstellatsiooni kontseptsiooni tõestamist</w:t>
            </w:r>
          </w:p>
        </w:tc>
      </w:tr>
      <w:tr w:rsidR="0084326C" w:rsidRPr="00D90835" w14:paraId="1BD242C7" w14:textId="77777777">
        <w:trPr>
          <w:trHeight w:val="315"/>
        </w:trPr>
        <w:tc>
          <w:tcPr>
            <w:tcW w:w="1424" w:type="dxa"/>
            <w:shd w:val="clear" w:color="auto" w:fill="C6EFCE"/>
            <w:vAlign w:val="center"/>
          </w:tcPr>
          <w:p w14:paraId="074FB533"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M1C2-25</w:t>
            </w:r>
          </w:p>
        </w:tc>
        <w:tc>
          <w:tcPr>
            <w:tcW w:w="1578" w:type="dxa"/>
            <w:shd w:val="clear" w:color="auto" w:fill="C6EFCE"/>
            <w:vAlign w:val="center"/>
          </w:tcPr>
          <w:p w14:paraId="17E72C56"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Investeering 4. Satelliittehnoloogia ja kosmosemajandus</w:t>
            </w:r>
          </w:p>
        </w:tc>
        <w:tc>
          <w:tcPr>
            <w:tcW w:w="1078" w:type="dxa"/>
            <w:shd w:val="clear" w:color="auto" w:fill="C6EFCE"/>
            <w:vAlign w:val="center"/>
          </w:tcPr>
          <w:p w14:paraId="1A9CABAC"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Siht</w:t>
            </w:r>
          </w:p>
        </w:tc>
        <w:tc>
          <w:tcPr>
            <w:tcW w:w="1329" w:type="dxa"/>
            <w:shd w:val="clear" w:color="auto" w:fill="C6EFCE"/>
            <w:vAlign w:val="center"/>
          </w:tcPr>
          <w:p w14:paraId="0772A374"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Haldusasutustele osutatavad teenused</w:t>
            </w:r>
          </w:p>
        </w:tc>
        <w:tc>
          <w:tcPr>
            <w:tcW w:w="1275" w:type="dxa"/>
            <w:shd w:val="clear" w:color="auto" w:fill="C6EFCE"/>
            <w:vAlign w:val="center"/>
          </w:tcPr>
          <w:p w14:paraId="53F554EF"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vAlign w:val="center"/>
          </w:tcPr>
          <w:p w14:paraId="05C82CB8"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Arv</w:t>
            </w:r>
          </w:p>
        </w:tc>
        <w:tc>
          <w:tcPr>
            <w:tcW w:w="993" w:type="dxa"/>
            <w:shd w:val="clear" w:color="auto" w:fill="C6EFCE"/>
            <w:vAlign w:val="center"/>
          </w:tcPr>
          <w:p w14:paraId="6B6844CA"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0</w:t>
            </w:r>
          </w:p>
        </w:tc>
        <w:tc>
          <w:tcPr>
            <w:tcW w:w="992" w:type="dxa"/>
            <w:shd w:val="clear" w:color="auto" w:fill="C6EFCE"/>
            <w:vAlign w:val="center"/>
          </w:tcPr>
          <w:p w14:paraId="1A23F132"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8</w:t>
            </w:r>
          </w:p>
        </w:tc>
        <w:tc>
          <w:tcPr>
            <w:tcW w:w="850" w:type="dxa"/>
            <w:shd w:val="clear" w:color="auto" w:fill="C6EFCE"/>
            <w:vAlign w:val="center"/>
          </w:tcPr>
          <w:p w14:paraId="6FE8CFB9"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2. kv</w:t>
            </w:r>
          </w:p>
        </w:tc>
        <w:tc>
          <w:tcPr>
            <w:tcW w:w="709" w:type="dxa"/>
            <w:shd w:val="clear" w:color="auto" w:fill="C6EFCE"/>
            <w:vAlign w:val="center"/>
          </w:tcPr>
          <w:p w14:paraId="5175CDC3"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2026</w:t>
            </w:r>
          </w:p>
        </w:tc>
        <w:tc>
          <w:tcPr>
            <w:tcW w:w="3794" w:type="dxa"/>
            <w:shd w:val="clear" w:color="auto" w:fill="C6EFCE"/>
            <w:vAlign w:val="center"/>
          </w:tcPr>
          <w:p w14:paraId="2F639EDD" w14:textId="40D8E90F" w:rsidR="0084326C" w:rsidRPr="005D68A0" w:rsidRDefault="0084326C">
            <w:pPr>
              <w:spacing w:before="120" w:after="120"/>
              <w:rPr>
                <w:rFonts w:ascii="Arial Narrow" w:hAnsi="Arial Narrow"/>
                <w:noProof/>
                <w:sz w:val="20"/>
                <w:szCs w:val="20"/>
              </w:rPr>
            </w:pPr>
            <w:r>
              <w:rPr>
                <w:rFonts w:ascii="Arial Narrow" w:hAnsi="Arial Narrow"/>
                <w:noProof/>
                <w:color w:val="006100"/>
                <w:sz w:val="20"/>
              </w:rPr>
              <w:t>Vähemalt kaheksa täiendavat avalikele haldusasutustele pakutavat teenust, mis tulenevad toetatud kosmosealgatustest, nagu rannikuteenindus ning mere- ja rannikuseire, õhukvaliteedi teenus, maapealse liikumise teenus, seireteenuste ulatus ja maakasutus, hüdrometeoroloogia teenus, veeressursside teenus, hädaabiteenused, turvateenused.</w:t>
            </w:r>
          </w:p>
        </w:tc>
      </w:tr>
      <w:tr w:rsidR="0084326C" w:rsidRPr="00D90835" w14:paraId="4F3EDBEB" w14:textId="77777777">
        <w:trPr>
          <w:trHeight w:val="315"/>
        </w:trPr>
        <w:tc>
          <w:tcPr>
            <w:tcW w:w="1424" w:type="dxa"/>
            <w:shd w:val="clear" w:color="auto" w:fill="C6EFCE"/>
            <w:vAlign w:val="center"/>
          </w:tcPr>
          <w:p w14:paraId="6C589280"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M1C2-26</w:t>
            </w:r>
          </w:p>
        </w:tc>
        <w:tc>
          <w:tcPr>
            <w:tcW w:w="1578" w:type="dxa"/>
            <w:shd w:val="clear" w:color="auto" w:fill="C6EFCE"/>
            <w:vAlign w:val="center"/>
          </w:tcPr>
          <w:p w14:paraId="1CF919E9"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Investeering 5.1. SIMESTi hallatava fondi 394/81 refinantseerimine ja ümberkujundamine</w:t>
            </w:r>
          </w:p>
        </w:tc>
        <w:tc>
          <w:tcPr>
            <w:tcW w:w="1078" w:type="dxa"/>
            <w:shd w:val="clear" w:color="auto" w:fill="C6EFCE"/>
            <w:vAlign w:val="center"/>
          </w:tcPr>
          <w:p w14:paraId="1B63B838"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Eesmärk</w:t>
            </w:r>
          </w:p>
        </w:tc>
        <w:tc>
          <w:tcPr>
            <w:tcW w:w="1329" w:type="dxa"/>
            <w:shd w:val="clear" w:color="auto" w:fill="C6EFCE"/>
            <w:vAlign w:val="center"/>
          </w:tcPr>
          <w:p w14:paraId="5B9EF523"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Fondi 394/81 refinantseerimise jõustumine ja investeerimispoliitika vastuvõtmine</w:t>
            </w:r>
          </w:p>
        </w:tc>
        <w:tc>
          <w:tcPr>
            <w:tcW w:w="1275" w:type="dxa"/>
            <w:shd w:val="clear" w:color="auto" w:fill="C6EFCE"/>
            <w:vAlign w:val="center"/>
          </w:tcPr>
          <w:p w14:paraId="7C2F33C7"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Seaduse säte, mis viitab dekreetseaduse (dekreetseaduste) jõustumisele, millega refinantseeritakse fondi 394/81 toetus- ja laenukomponent</w:t>
            </w:r>
          </w:p>
          <w:p w14:paraId="39E240FF" w14:textId="77777777" w:rsidR="0084326C" w:rsidRPr="00F33804" w:rsidRDefault="0084326C">
            <w:pPr>
              <w:spacing w:before="120" w:after="120"/>
              <w:jc w:val="center"/>
              <w:rPr>
                <w:rFonts w:ascii="Arial Narrow" w:hAnsi="Arial Narrow"/>
                <w:noProof/>
                <w:sz w:val="20"/>
                <w:szCs w:val="20"/>
              </w:rPr>
            </w:pPr>
          </w:p>
          <w:p w14:paraId="37E43919"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Heakskiit juhatuse otsusele, millega kehtestatakse rahastatavate projektide valikukriteeriumid</w:t>
            </w:r>
          </w:p>
        </w:tc>
        <w:tc>
          <w:tcPr>
            <w:tcW w:w="1134" w:type="dxa"/>
            <w:shd w:val="clear" w:color="auto" w:fill="C6EFCE"/>
            <w:vAlign w:val="center"/>
          </w:tcPr>
          <w:p w14:paraId="496F5257"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vAlign w:val="center"/>
          </w:tcPr>
          <w:p w14:paraId="4EB6C0C7"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992" w:type="dxa"/>
            <w:shd w:val="clear" w:color="auto" w:fill="C6EFCE"/>
            <w:vAlign w:val="center"/>
          </w:tcPr>
          <w:p w14:paraId="540E5EB8"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850" w:type="dxa"/>
            <w:shd w:val="clear" w:color="auto" w:fill="C6EFCE"/>
            <w:vAlign w:val="center"/>
          </w:tcPr>
          <w:p w14:paraId="46549D2C"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3. kv</w:t>
            </w:r>
          </w:p>
        </w:tc>
        <w:tc>
          <w:tcPr>
            <w:tcW w:w="709" w:type="dxa"/>
            <w:shd w:val="clear" w:color="auto" w:fill="C6EFCE"/>
            <w:vAlign w:val="center"/>
          </w:tcPr>
          <w:p w14:paraId="371E8324"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2021</w:t>
            </w:r>
          </w:p>
        </w:tc>
        <w:tc>
          <w:tcPr>
            <w:tcW w:w="3794" w:type="dxa"/>
            <w:shd w:val="clear" w:color="auto" w:fill="C6EFCE"/>
            <w:vAlign w:val="center"/>
          </w:tcPr>
          <w:p w14:paraId="2899D3F9" w14:textId="77777777" w:rsidR="0084326C" w:rsidRPr="005D68A0" w:rsidRDefault="0084326C">
            <w:pPr>
              <w:spacing w:before="120"/>
              <w:rPr>
                <w:rFonts w:ascii="Arial Narrow" w:hAnsi="Arial Narrow"/>
                <w:noProof/>
                <w:color w:val="006100"/>
                <w:sz w:val="20"/>
                <w:szCs w:val="20"/>
              </w:rPr>
            </w:pPr>
            <w:r>
              <w:rPr>
                <w:rFonts w:ascii="Arial Narrow" w:hAnsi="Arial Narrow"/>
                <w:noProof/>
                <w:color w:val="006100"/>
                <w:sz w:val="20"/>
              </w:rPr>
              <w:t>Dekreetseaduses (dekreetseadustes) nähakse ette fondi 394/81 toetus- ja laenukomponendi refinantseerimine. Fondi nõukogu kiidab heaks otsuse, millega kehtestatakse investeerimispoliitika.</w:t>
            </w:r>
          </w:p>
          <w:p w14:paraId="3065AD68" w14:textId="5C71AA0E" w:rsidR="0084326C" w:rsidRPr="005D68A0" w:rsidRDefault="0084326C">
            <w:pPr>
              <w:spacing w:before="120"/>
              <w:rPr>
                <w:rFonts w:ascii="Arial Narrow" w:hAnsi="Arial Narrow"/>
                <w:noProof/>
                <w:sz w:val="20"/>
                <w:szCs w:val="20"/>
              </w:rPr>
            </w:pPr>
            <w:r>
              <w:rPr>
                <w:rFonts w:ascii="Arial Narrow" w:hAnsi="Arial Narrow"/>
                <w:noProof/>
                <w:color w:val="006100"/>
                <w:sz w:val="20"/>
              </w:rPr>
              <w:t>Fondi 394/81 refinantseerimisega seotud investeerimispoliitikas määratakse kindlaks vähemalt järgmine: i) toetatavate projektide laad ja ulatus, mis on kooskõlas määruse (EL) 2021/241 eesmärkidega; Tingimused hõlmavad rahastamiskõlblikkuse kriteeriumeid, et tagada käesoleva meetme raames toetatavate projektide vastavus tehnilisele juhendile „Mitte tekitada olulist kahju“ (2021/C58/01), kasutades jätkusuutlikkuse hindamist, kõrvalejätmise loetelu ning asjaomaste ELi ja riiklike keskkonnaalaste õigusaktide järgimise nõuet, ii) toetatavate tegevuste liiki, iii) sihtrühmaks olevaid toetusesaajaid, kelle hulgas on ülekaalus VKEd, ja nende rahastamiskõlblikkuse kriteeriume, iv) sätteid, millega taasinvesteeritakse potentsiaalsed tagasimaksed sarnaste poliitikaeesmärkide jaoks ka pärast 2026. aastat, juhul kui neid ei kasutata määruse (EL) 2021/241 alusel antud laenudest tulenevate intressimäärade tagasimaksmiseks.</w:t>
            </w:r>
          </w:p>
          <w:p w14:paraId="47BA403A" w14:textId="3FF7BA20" w:rsidR="0084326C" w:rsidRPr="005D68A0" w:rsidRDefault="0084326C">
            <w:pPr>
              <w:spacing w:before="120"/>
              <w:rPr>
                <w:rFonts w:ascii="Arial Narrow" w:hAnsi="Arial Narrow"/>
                <w:noProof/>
                <w:sz w:val="20"/>
                <w:szCs w:val="20"/>
              </w:rPr>
            </w:pPr>
            <w:r>
              <w:rPr>
                <w:rFonts w:ascii="Arial Narrow" w:hAnsi="Arial Narrow"/>
                <w:noProof/>
                <w:color w:val="006100"/>
                <w:sz w:val="20"/>
              </w:rPr>
              <w:t>Volitatud üksuse või finantsvahendajaga sõlmitud lepingulises kokkuleppes nõutakse tehniliste suuniste (2021/C58/01) kasutamist.</w:t>
            </w:r>
          </w:p>
        </w:tc>
      </w:tr>
      <w:tr w:rsidR="0084326C" w:rsidRPr="00D90835" w14:paraId="71294A53" w14:textId="77777777">
        <w:trPr>
          <w:trHeight w:val="315"/>
        </w:trPr>
        <w:tc>
          <w:tcPr>
            <w:tcW w:w="1424" w:type="dxa"/>
            <w:shd w:val="clear" w:color="auto" w:fill="C6EFCE"/>
            <w:vAlign w:val="center"/>
          </w:tcPr>
          <w:p w14:paraId="3987A0F6"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M1C2-27</w:t>
            </w:r>
          </w:p>
        </w:tc>
        <w:tc>
          <w:tcPr>
            <w:tcW w:w="1578" w:type="dxa"/>
            <w:shd w:val="clear" w:color="auto" w:fill="C6EFCE"/>
            <w:vAlign w:val="center"/>
          </w:tcPr>
          <w:p w14:paraId="2336C7FF"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Investeering 5.1. SIMESTi hallatava fondi 394/81 refinantseerimine ja ümberkujundamine</w:t>
            </w:r>
          </w:p>
        </w:tc>
        <w:tc>
          <w:tcPr>
            <w:tcW w:w="1078" w:type="dxa"/>
            <w:shd w:val="clear" w:color="auto" w:fill="C6EFCE"/>
            <w:vAlign w:val="center"/>
          </w:tcPr>
          <w:p w14:paraId="07A3582F"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Siht</w:t>
            </w:r>
          </w:p>
        </w:tc>
        <w:tc>
          <w:tcPr>
            <w:tcW w:w="1329" w:type="dxa"/>
            <w:shd w:val="clear" w:color="auto" w:fill="C6EFCE"/>
            <w:vAlign w:val="center"/>
          </w:tcPr>
          <w:p w14:paraId="207AAEAF"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VKEd, kes said toetust fondist 394/81</w:t>
            </w:r>
          </w:p>
        </w:tc>
        <w:tc>
          <w:tcPr>
            <w:tcW w:w="1275" w:type="dxa"/>
            <w:shd w:val="clear" w:color="auto" w:fill="C6EFCE"/>
            <w:vAlign w:val="center"/>
          </w:tcPr>
          <w:p w14:paraId="1D8C3E7A"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vAlign w:val="center"/>
          </w:tcPr>
          <w:p w14:paraId="28458C10"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Arv</w:t>
            </w:r>
          </w:p>
        </w:tc>
        <w:tc>
          <w:tcPr>
            <w:tcW w:w="993" w:type="dxa"/>
            <w:shd w:val="clear" w:color="auto" w:fill="C6EFCE"/>
            <w:vAlign w:val="center"/>
          </w:tcPr>
          <w:p w14:paraId="0F1B0F11"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0</w:t>
            </w:r>
          </w:p>
        </w:tc>
        <w:tc>
          <w:tcPr>
            <w:tcW w:w="992" w:type="dxa"/>
            <w:shd w:val="clear" w:color="auto" w:fill="C6EFCE"/>
            <w:vAlign w:val="center"/>
          </w:tcPr>
          <w:p w14:paraId="1C1DBD12"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4 000</w:t>
            </w:r>
          </w:p>
        </w:tc>
        <w:tc>
          <w:tcPr>
            <w:tcW w:w="850" w:type="dxa"/>
            <w:shd w:val="clear" w:color="auto" w:fill="C6EFCE"/>
            <w:vAlign w:val="center"/>
          </w:tcPr>
          <w:p w14:paraId="3BEB105D"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4. kv</w:t>
            </w:r>
          </w:p>
        </w:tc>
        <w:tc>
          <w:tcPr>
            <w:tcW w:w="709" w:type="dxa"/>
            <w:shd w:val="clear" w:color="auto" w:fill="C6EFCE"/>
            <w:vAlign w:val="center"/>
          </w:tcPr>
          <w:p w14:paraId="43DF9BCC"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2021</w:t>
            </w:r>
          </w:p>
        </w:tc>
        <w:tc>
          <w:tcPr>
            <w:tcW w:w="3794" w:type="dxa"/>
            <w:shd w:val="clear" w:color="auto" w:fill="C6EFCE"/>
            <w:vAlign w:val="center"/>
          </w:tcPr>
          <w:p w14:paraId="7468BD0B"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Alates 1. jaanuarist 2021 sai fondist 394/81 toetust veel vähemalt 4 000 VKEd</w:t>
            </w:r>
          </w:p>
        </w:tc>
      </w:tr>
      <w:tr w:rsidR="0084326C" w:rsidRPr="00D90835" w14:paraId="2808419C" w14:textId="77777777">
        <w:trPr>
          <w:trHeight w:val="315"/>
        </w:trPr>
        <w:tc>
          <w:tcPr>
            <w:tcW w:w="1424" w:type="dxa"/>
            <w:shd w:val="clear" w:color="auto" w:fill="C6EFCE"/>
            <w:vAlign w:val="center"/>
          </w:tcPr>
          <w:p w14:paraId="581551C1"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M1C2-28</w:t>
            </w:r>
          </w:p>
        </w:tc>
        <w:tc>
          <w:tcPr>
            <w:tcW w:w="1578" w:type="dxa"/>
            <w:shd w:val="clear" w:color="auto" w:fill="C6EFCE"/>
            <w:vAlign w:val="center"/>
          </w:tcPr>
          <w:p w14:paraId="44EE3FD7"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Investeering 5.2. Tarneahelate konkurentsivõime ja vastupidavus.</w:t>
            </w:r>
          </w:p>
        </w:tc>
        <w:tc>
          <w:tcPr>
            <w:tcW w:w="1078" w:type="dxa"/>
            <w:shd w:val="clear" w:color="auto" w:fill="C6EFCE"/>
            <w:vAlign w:val="center"/>
          </w:tcPr>
          <w:p w14:paraId="0313F613"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Eesmärk</w:t>
            </w:r>
          </w:p>
        </w:tc>
        <w:tc>
          <w:tcPr>
            <w:tcW w:w="1329" w:type="dxa"/>
            <w:shd w:val="clear" w:color="auto" w:fill="C6EFCE"/>
            <w:vAlign w:val="center"/>
          </w:tcPr>
          <w:p w14:paraId="2FD3D7A6"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Arenduslepingute investeerimispoliitikat sisaldava dekreedi jõustumine</w:t>
            </w:r>
          </w:p>
        </w:tc>
        <w:tc>
          <w:tcPr>
            <w:tcW w:w="1275" w:type="dxa"/>
            <w:shd w:val="clear" w:color="auto" w:fill="C6EFCE"/>
            <w:vAlign w:val="center"/>
          </w:tcPr>
          <w:p w14:paraId="6D04BD3E" w14:textId="01233411"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 xml:space="preserve">Seaduse säte, mis viitab dekreedi jõustumisele </w:t>
            </w:r>
          </w:p>
        </w:tc>
        <w:tc>
          <w:tcPr>
            <w:tcW w:w="1134" w:type="dxa"/>
            <w:shd w:val="clear" w:color="auto" w:fill="C6EFCE"/>
            <w:vAlign w:val="center"/>
          </w:tcPr>
          <w:p w14:paraId="69DCDE5E"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vAlign w:val="center"/>
          </w:tcPr>
          <w:p w14:paraId="594BBD40"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992" w:type="dxa"/>
            <w:shd w:val="clear" w:color="auto" w:fill="C6EFCE"/>
            <w:vAlign w:val="center"/>
          </w:tcPr>
          <w:p w14:paraId="49A818D1"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850" w:type="dxa"/>
            <w:shd w:val="clear" w:color="auto" w:fill="C6EFCE"/>
            <w:vAlign w:val="center"/>
          </w:tcPr>
          <w:p w14:paraId="50CCD83A"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1. kv</w:t>
            </w:r>
          </w:p>
        </w:tc>
        <w:tc>
          <w:tcPr>
            <w:tcW w:w="709" w:type="dxa"/>
            <w:shd w:val="clear" w:color="auto" w:fill="C6EFCE"/>
            <w:vAlign w:val="center"/>
          </w:tcPr>
          <w:p w14:paraId="5D8FFBCA"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2022</w:t>
            </w:r>
          </w:p>
        </w:tc>
        <w:tc>
          <w:tcPr>
            <w:tcW w:w="3794" w:type="dxa"/>
            <w:shd w:val="clear" w:color="auto" w:fill="C6EFCE"/>
            <w:vAlign w:val="center"/>
          </w:tcPr>
          <w:p w14:paraId="77BB6299" w14:textId="0F95D17A" w:rsidR="0084326C" w:rsidRPr="005D68A0" w:rsidRDefault="0084326C">
            <w:pPr>
              <w:rPr>
                <w:rFonts w:ascii="Arial Narrow" w:hAnsi="Arial Narrow"/>
                <w:noProof/>
                <w:sz w:val="20"/>
                <w:szCs w:val="20"/>
              </w:rPr>
            </w:pPr>
            <w:r>
              <w:rPr>
                <w:rFonts w:ascii="Arial Narrow" w:hAnsi="Arial Narrow"/>
                <w:noProof/>
                <w:color w:val="006100"/>
                <w:sz w:val="20"/>
              </w:rPr>
              <w:t>Arenduslepingute investeerimispoliitikas määratakse kindlaks vähemalt järgmine: i) toetatavate projektide laad ja ulatus, mis on kooskõlas määruse (EL) 2021/241 eesmärkidega; Tingimused peavad sisaldama rahastamiskõlblikkuse kriteeriumeid, et tagada käesoleva meetme raames toetatavate projektide vastavus tehnilisele juhendile „Mitte tekitada olulist kahju“ (2021/C58/01), kasutades jätkusuutlikkuse hindamist, kõrvalejätmise loetelu ning asjaomaste ELi ja riiklike keskkonnaalaste õigusaktide järgimise nõuet, ii) toetatavate tegevuste liiki, iii) sihtrühmas olevaid toetusesaajaid ja nende rahastamiskõlblikkuse kriteeriume, iv) sätteid, millega taasinvesteeritakse potentsiaalsed tagasimaksed sarnaste poliitikaeesmärkide jaoks ka pärast 2026. aastat, juhul kui neid ei kasutata määruse (EL) 2021/241 alusel antud laenudest tulenevate intressimäärade tagasimaksmiseks.</w:t>
            </w:r>
          </w:p>
          <w:p w14:paraId="6AC28F33" w14:textId="77777777" w:rsidR="0084326C" w:rsidRPr="00F33804" w:rsidRDefault="0084326C">
            <w:pPr>
              <w:rPr>
                <w:rFonts w:ascii="Arial Narrow" w:hAnsi="Arial Narrow"/>
                <w:noProof/>
                <w:color w:val="006100"/>
                <w:sz w:val="20"/>
                <w:szCs w:val="20"/>
              </w:rPr>
            </w:pPr>
          </w:p>
          <w:p w14:paraId="44FC8F0A" w14:textId="1DAC45DA" w:rsidR="0084326C" w:rsidRPr="005D68A0" w:rsidRDefault="0084326C">
            <w:pPr>
              <w:rPr>
                <w:rFonts w:ascii="Arial Narrow" w:hAnsi="Arial Narrow"/>
                <w:noProof/>
                <w:sz w:val="20"/>
                <w:szCs w:val="20"/>
              </w:rPr>
            </w:pPr>
            <w:r>
              <w:rPr>
                <w:rFonts w:ascii="Arial Narrow" w:hAnsi="Arial Narrow"/>
                <w:noProof/>
                <w:color w:val="006100"/>
                <w:sz w:val="20"/>
              </w:rPr>
              <w:t>Volitatud üksuse või finantsvahendajaga sõlmitud lepingulises kokkuleppes nõutakse tehniliste suuniste (2021/C58/01) kasutamist.</w:t>
            </w:r>
          </w:p>
        </w:tc>
      </w:tr>
      <w:tr w:rsidR="0084326C" w:rsidRPr="00D90835" w14:paraId="0A56887B" w14:textId="77777777">
        <w:trPr>
          <w:trHeight w:val="315"/>
        </w:trPr>
        <w:tc>
          <w:tcPr>
            <w:tcW w:w="1424" w:type="dxa"/>
            <w:shd w:val="clear" w:color="auto" w:fill="C6EFCE"/>
            <w:vAlign w:val="center"/>
          </w:tcPr>
          <w:p w14:paraId="5FC9C261"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M1C2-29</w:t>
            </w:r>
          </w:p>
        </w:tc>
        <w:tc>
          <w:tcPr>
            <w:tcW w:w="1578" w:type="dxa"/>
            <w:shd w:val="clear" w:color="auto" w:fill="C6EFCE"/>
            <w:vAlign w:val="center"/>
          </w:tcPr>
          <w:p w14:paraId="5A32F2BB"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Investeering 5.2. Tarneahelate konkurentsivõime ja vastupidavus.</w:t>
            </w:r>
          </w:p>
        </w:tc>
        <w:tc>
          <w:tcPr>
            <w:tcW w:w="1078" w:type="dxa"/>
            <w:shd w:val="clear" w:color="auto" w:fill="C6EFCE"/>
            <w:vAlign w:val="center"/>
          </w:tcPr>
          <w:p w14:paraId="6F96D48F"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Siht</w:t>
            </w:r>
          </w:p>
        </w:tc>
        <w:tc>
          <w:tcPr>
            <w:tcW w:w="1329" w:type="dxa"/>
            <w:shd w:val="clear" w:color="auto" w:fill="C6EFCE"/>
            <w:vAlign w:val="center"/>
          </w:tcPr>
          <w:p w14:paraId="08656FFB"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Arenduslepingud on heaks kiidetud</w:t>
            </w:r>
          </w:p>
        </w:tc>
        <w:tc>
          <w:tcPr>
            <w:tcW w:w="1275" w:type="dxa"/>
            <w:shd w:val="clear" w:color="auto" w:fill="C6EFCE"/>
            <w:vAlign w:val="center"/>
          </w:tcPr>
          <w:p w14:paraId="3685B7B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vAlign w:val="center"/>
          </w:tcPr>
          <w:p w14:paraId="42E6B96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993" w:type="dxa"/>
            <w:shd w:val="clear" w:color="auto" w:fill="C6EFCE"/>
            <w:vAlign w:val="center"/>
          </w:tcPr>
          <w:p w14:paraId="2863AC44"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0</w:t>
            </w:r>
          </w:p>
        </w:tc>
        <w:tc>
          <w:tcPr>
            <w:tcW w:w="992" w:type="dxa"/>
            <w:shd w:val="clear" w:color="auto" w:fill="C6EFCE"/>
            <w:vAlign w:val="center"/>
          </w:tcPr>
          <w:p w14:paraId="12D46C3F"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40</w:t>
            </w:r>
          </w:p>
        </w:tc>
        <w:tc>
          <w:tcPr>
            <w:tcW w:w="850" w:type="dxa"/>
            <w:shd w:val="clear" w:color="auto" w:fill="C6EFCE"/>
            <w:vAlign w:val="center"/>
          </w:tcPr>
          <w:p w14:paraId="7A49618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709" w:type="dxa"/>
            <w:shd w:val="clear" w:color="auto" w:fill="C6EFCE"/>
            <w:vAlign w:val="center"/>
          </w:tcPr>
          <w:p w14:paraId="6C309F63"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2023</w:t>
            </w:r>
          </w:p>
        </w:tc>
        <w:tc>
          <w:tcPr>
            <w:tcW w:w="3794" w:type="dxa"/>
            <w:shd w:val="clear" w:color="auto" w:fill="C6EFCE"/>
            <w:vAlign w:val="center"/>
          </w:tcPr>
          <w:p w14:paraId="205F7D4C"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Kooskõlas nende investeerimispoliitikaga on heaks kiidetud vähemalt 40 arenduslepingut. Eesmärgi rahuldav täitmine sõltub ka vähemalt 1 500 miljoni euro suuruste investeeringute käivitamisest.</w:t>
            </w:r>
          </w:p>
        </w:tc>
      </w:tr>
      <w:tr w:rsidR="0084326C" w:rsidRPr="00D90835" w14:paraId="0F224E89" w14:textId="77777777">
        <w:trPr>
          <w:trHeight w:val="315"/>
        </w:trPr>
        <w:tc>
          <w:tcPr>
            <w:tcW w:w="1424" w:type="dxa"/>
            <w:shd w:val="clear" w:color="auto" w:fill="C6EFCE"/>
            <w:vAlign w:val="center"/>
          </w:tcPr>
          <w:p w14:paraId="34BE8F2E"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M1C2-30</w:t>
            </w:r>
          </w:p>
        </w:tc>
        <w:tc>
          <w:tcPr>
            <w:tcW w:w="1578" w:type="dxa"/>
            <w:shd w:val="clear" w:color="auto" w:fill="C6EFCE"/>
            <w:vAlign w:val="center"/>
          </w:tcPr>
          <w:p w14:paraId="0D87AFE8"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Investeering 7. Ökoloogilise ülemineku tootmissüsteemi, nullnetotehnoloogia ning strateegiliste tarneahelate konkurentsivõime ja vastupanuvõime toetamine</w:t>
            </w:r>
          </w:p>
        </w:tc>
        <w:tc>
          <w:tcPr>
            <w:tcW w:w="1078" w:type="dxa"/>
            <w:shd w:val="clear" w:color="auto" w:fill="C6EFCE"/>
            <w:vAlign w:val="center"/>
          </w:tcPr>
          <w:p w14:paraId="297402BE"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Eesmärk</w:t>
            </w:r>
          </w:p>
        </w:tc>
        <w:tc>
          <w:tcPr>
            <w:tcW w:w="1329" w:type="dxa"/>
            <w:shd w:val="clear" w:color="auto" w:fill="C6EFCE"/>
            <w:vAlign w:val="center"/>
          </w:tcPr>
          <w:p w14:paraId="6299F3FC" w14:textId="77777777" w:rsidR="0084326C" w:rsidRPr="005D68A0" w:rsidDel="00DD2141" w:rsidRDefault="0084326C">
            <w:pPr>
              <w:spacing w:before="120" w:after="120"/>
              <w:rPr>
                <w:rFonts w:ascii="Arial Narrow" w:hAnsi="Arial Narrow"/>
                <w:noProof/>
                <w:color w:val="006100"/>
                <w:sz w:val="20"/>
                <w:szCs w:val="20"/>
              </w:rPr>
            </w:pPr>
            <w:r>
              <w:rPr>
                <w:rFonts w:ascii="Arial Narrow" w:hAnsi="Arial Narrow"/>
                <w:noProof/>
                <w:color w:val="006100"/>
                <w:sz w:val="20"/>
              </w:rPr>
              <w:t>Rakendusleping</w:t>
            </w:r>
          </w:p>
        </w:tc>
        <w:tc>
          <w:tcPr>
            <w:tcW w:w="1275" w:type="dxa"/>
            <w:shd w:val="clear" w:color="auto" w:fill="C6EFCE"/>
            <w:vAlign w:val="center"/>
          </w:tcPr>
          <w:p w14:paraId="4731F6E5"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Rakenduskokkuleppe jõustumine</w:t>
            </w:r>
          </w:p>
        </w:tc>
        <w:tc>
          <w:tcPr>
            <w:tcW w:w="1134" w:type="dxa"/>
            <w:shd w:val="clear" w:color="auto" w:fill="C6EFCE"/>
            <w:vAlign w:val="center"/>
          </w:tcPr>
          <w:p w14:paraId="62D97BB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vAlign w:val="center"/>
          </w:tcPr>
          <w:p w14:paraId="4C6B209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992" w:type="dxa"/>
            <w:shd w:val="clear" w:color="auto" w:fill="C6EFCE"/>
            <w:vAlign w:val="center"/>
          </w:tcPr>
          <w:p w14:paraId="44CE6B9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850" w:type="dxa"/>
            <w:shd w:val="clear" w:color="auto" w:fill="C6EFCE"/>
            <w:vAlign w:val="center"/>
          </w:tcPr>
          <w:p w14:paraId="3E0364A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709" w:type="dxa"/>
            <w:shd w:val="clear" w:color="auto" w:fill="C6EFCE"/>
            <w:vAlign w:val="center"/>
          </w:tcPr>
          <w:p w14:paraId="2339A68D"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2024</w:t>
            </w:r>
          </w:p>
        </w:tc>
        <w:tc>
          <w:tcPr>
            <w:tcW w:w="3794" w:type="dxa"/>
            <w:shd w:val="clear" w:color="auto" w:fill="C6EFCE"/>
            <w:vAlign w:val="center"/>
          </w:tcPr>
          <w:p w14:paraId="75B72C10" w14:textId="77777777" w:rsidR="0084326C" w:rsidRPr="005D68A0" w:rsidDel="00565D10" w:rsidRDefault="0084326C">
            <w:pPr>
              <w:spacing w:before="120" w:after="120"/>
              <w:rPr>
                <w:rFonts w:ascii="Arial Narrow" w:hAnsi="Arial Narrow"/>
                <w:noProof/>
                <w:color w:val="006100"/>
                <w:sz w:val="20"/>
                <w:szCs w:val="20"/>
              </w:rPr>
            </w:pPr>
            <w:r>
              <w:rPr>
                <w:rFonts w:ascii="Arial Narrow" w:hAnsi="Arial Narrow"/>
                <w:noProof/>
                <w:color w:val="006100"/>
                <w:sz w:val="20"/>
              </w:rPr>
              <w:t>Rakenduskokkuleppe jõustumine.</w:t>
            </w:r>
          </w:p>
        </w:tc>
      </w:tr>
      <w:tr w:rsidR="0084326C" w:rsidRPr="00D90835" w14:paraId="3FACF4F1" w14:textId="77777777">
        <w:trPr>
          <w:trHeight w:val="315"/>
        </w:trPr>
        <w:tc>
          <w:tcPr>
            <w:tcW w:w="1424" w:type="dxa"/>
            <w:shd w:val="clear" w:color="auto" w:fill="C6EFCE"/>
            <w:vAlign w:val="center"/>
          </w:tcPr>
          <w:p w14:paraId="322BA6D3"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M1C2-31</w:t>
            </w:r>
          </w:p>
        </w:tc>
        <w:tc>
          <w:tcPr>
            <w:tcW w:w="1578" w:type="dxa"/>
            <w:shd w:val="clear" w:color="auto" w:fill="C6EFCE"/>
            <w:vAlign w:val="center"/>
          </w:tcPr>
          <w:p w14:paraId="4FABCA50" w14:textId="77777777" w:rsidR="0084326C" w:rsidRPr="005D68A0" w:rsidRDefault="0084326C">
            <w:pPr>
              <w:spacing w:before="120" w:after="120"/>
              <w:jc w:val="center"/>
              <w:rPr>
                <w:rFonts w:ascii="Arial Narrow" w:hAnsi="Arial Narrow"/>
                <w:noProof/>
                <w:color w:val="006100"/>
                <w:sz w:val="20"/>
              </w:rPr>
            </w:pPr>
            <w:r>
              <w:rPr>
                <w:rFonts w:ascii="Arial Narrow" w:hAnsi="Arial Narrow"/>
                <w:noProof/>
                <w:color w:val="006100"/>
                <w:sz w:val="20"/>
              </w:rPr>
              <w:t>Investeering 7. Toetus ökoloogilise ülemineku tootmissüsteemile, nullnetotehnoloogiale ning strateegiliste tarneahelate konkurentsivõimele ja vastupanuvõimele</w:t>
            </w:r>
          </w:p>
        </w:tc>
        <w:tc>
          <w:tcPr>
            <w:tcW w:w="1078" w:type="dxa"/>
            <w:shd w:val="clear" w:color="auto" w:fill="C6EFCE"/>
            <w:vAlign w:val="center"/>
          </w:tcPr>
          <w:p w14:paraId="0C7D3ADA"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Eesmärk</w:t>
            </w:r>
          </w:p>
        </w:tc>
        <w:tc>
          <w:tcPr>
            <w:tcW w:w="1329" w:type="dxa"/>
            <w:shd w:val="clear" w:color="auto" w:fill="C6EFCE"/>
            <w:vAlign w:val="center"/>
          </w:tcPr>
          <w:p w14:paraId="3B47843A" w14:textId="77777777" w:rsidR="0084326C" w:rsidRPr="005D68A0" w:rsidDel="00DD2141" w:rsidRDefault="0084326C">
            <w:pPr>
              <w:spacing w:before="120" w:after="120"/>
              <w:rPr>
                <w:rFonts w:ascii="Arial Narrow" w:hAnsi="Arial Narrow"/>
                <w:noProof/>
                <w:color w:val="006100"/>
                <w:sz w:val="20"/>
                <w:szCs w:val="20"/>
              </w:rPr>
            </w:pPr>
            <w:r>
              <w:rPr>
                <w:rFonts w:ascii="Arial Narrow" w:hAnsi="Arial Narrow"/>
                <w:noProof/>
                <w:color w:val="006100"/>
                <w:sz w:val="20"/>
              </w:rPr>
              <w:t>Itaalia Ettevõtlus- ja Made’i ministeerium on investeeringu lõpule viinud</w:t>
            </w:r>
          </w:p>
        </w:tc>
        <w:tc>
          <w:tcPr>
            <w:tcW w:w="1275" w:type="dxa"/>
            <w:shd w:val="clear" w:color="auto" w:fill="C6EFCE"/>
            <w:vAlign w:val="center"/>
          </w:tcPr>
          <w:p w14:paraId="41A88667"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Üleviimistunnistus </w:t>
            </w:r>
          </w:p>
        </w:tc>
        <w:tc>
          <w:tcPr>
            <w:tcW w:w="1134" w:type="dxa"/>
            <w:shd w:val="clear" w:color="auto" w:fill="C6EFCE"/>
            <w:vAlign w:val="center"/>
          </w:tcPr>
          <w:p w14:paraId="7938F56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vAlign w:val="center"/>
          </w:tcPr>
          <w:p w14:paraId="192A93E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992" w:type="dxa"/>
            <w:shd w:val="clear" w:color="auto" w:fill="C6EFCE"/>
            <w:vAlign w:val="center"/>
          </w:tcPr>
          <w:p w14:paraId="1178128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850" w:type="dxa"/>
            <w:shd w:val="clear" w:color="auto" w:fill="C6EFCE"/>
            <w:vAlign w:val="center"/>
          </w:tcPr>
          <w:p w14:paraId="466AAAB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709" w:type="dxa"/>
            <w:shd w:val="clear" w:color="auto" w:fill="C6EFCE"/>
            <w:vAlign w:val="center"/>
          </w:tcPr>
          <w:p w14:paraId="05231B40"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2024</w:t>
            </w:r>
          </w:p>
        </w:tc>
        <w:tc>
          <w:tcPr>
            <w:tcW w:w="3794" w:type="dxa"/>
            <w:shd w:val="clear" w:color="auto" w:fill="C6EFCE"/>
            <w:vAlign w:val="center"/>
          </w:tcPr>
          <w:p w14:paraId="2ED91CA6" w14:textId="64E9A6D3" w:rsidR="0084326C" w:rsidRPr="005D68A0" w:rsidRDefault="0084326C">
            <w:pPr>
              <w:spacing w:before="120" w:after="120"/>
              <w:rPr>
                <w:rFonts w:ascii="Arial Narrow" w:hAnsi="Arial Narrow"/>
                <w:noProof/>
                <w:color w:val="006100"/>
                <w:sz w:val="20"/>
              </w:rPr>
            </w:pPr>
            <w:r>
              <w:rPr>
                <w:rFonts w:ascii="Arial Narrow" w:hAnsi="Arial Narrow"/>
                <w:noProof/>
                <w:color w:val="006100"/>
                <w:sz w:val="20"/>
              </w:rPr>
              <w:t>Itaalia kannab rahastu jaoks Invitaliale üle 2 500 000 000 eurot.</w:t>
            </w:r>
          </w:p>
          <w:p w14:paraId="5A2CE132" w14:textId="77777777" w:rsidR="0084326C" w:rsidRPr="005D68A0" w:rsidRDefault="0084326C">
            <w:pPr>
              <w:spacing w:before="120" w:after="120"/>
              <w:rPr>
                <w:rFonts w:ascii="Arial Narrow" w:hAnsi="Arial Narrow"/>
                <w:noProof/>
                <w:color w:val="006100"/>
                <w:sz w:val="20"/>
              </w:rPr>
            </w:pPr>
            <w:r>
              <w:rPr>
                <w:rFonts w:ascii="Arial Narrow" w:hAnsi="Arial Narrow"/>
                <w:noProof/>
                <w:color w:val="006100"/>
                <w:sz w:val="20"/>
              </w:rPr>
              <w:t xml:space="preserve">millest: </w:t>
            </w:r>
          </w:p>
          <w:p w14:paraId="06C833A7" w14:textId="53875BAB" w:rsidR="0084326C" w:rsidRPr="005D68A0" w:rsidRDefault="0084326C" w:rsidP="0084326C">
            <w:pPr>
              <w:pStyle w:val="ListParagraph"/>
              <w:numPr>
                <w:ilvl w:val="0"/>
                <w:numId w:val="133"/>
              </w:numPr>
              <w:rPr>
                <w:rFonts w:ascii="Arial Narrow" w:hAnsi="Arial Narrow"/>
                <w:noProof/>
                <w:color w:val="006100"/>
                <w:sz w:val="20"/>
              </w:rPr>
            </w:pPr>
            <w:r>
              <w:rPr>
                <w:rFonts w:ascii="Arial Narrow" w:hAnsi="Arial Narrow"/>
                <w:noProof/>
                <w:color w:val="006100"/>
                <w:sz w:val="20"/>
              </w:rPr>
              <w:t>2 000 000 000 eurot allinvesteeringule 1 „Nullnetotehnoloogiad“;</w:t>
            </w:r>
          </w:p>
          <w:p w14:paraId="49724424" w14:textId="0F475938" w:rsidR="0084326C" w:rsidRPr="005D68A0" w:rsidDel="00565D10" w:rsidRDefault="0084326C" w:rsidP="0084326C">
            <w:pPr>
              <w:pStyle w:val="ListParagraph"/>
              <w:numPr>
                <w:ilvl w:val="0"/>
                <w:numId w:val="133"/>
              </w:numPr>
              <w:rPr>
                <w:rFonts w:ascii="Arial Narrow" w:hAnsi="Arial Narrow"/>
                <w:noProof/>
                <w:color w:val="006100"/>
                <w:sz w:val="20"/>
                <w:szCs w:val="20"/>
              </w:rPr>
            </w:pPr>
            <w:r>
              <w:rPr>
                <w:rFonts w:ascii="Arial Narrow" w:hAnsi="Arial Narrow"/>
                <w:noProof/>
                <w:color w:val="006100"/>
                <w:sz w:val="20"/>
              </w:rPr>
              <w:t>500 000 000 eurot alainvesteeringule 2 „Strateegiliste tarneahelate konkurentsivõime ja vastupanuvõime“.</w:t>
            </w:r>
          </w:p>
        </w:tc>
      </w:tr>
      <w:tr w:rsidR="0084326C" w:rsidRPr="00D90835" w14:paraId="0B15F0E7" w14:textId="77777777">
        <w:trPr>
          <w:trHeight w:val="315"/>
        </w:trPr>
        <w:tc>
          <w:tcPr>
            <w:tcW w:w="1424" w:type="dxa"/>
            <w:shd w:val="clear" w:color="auto" w:fill="C6EFCE"/>
            <w:vAlign w:val="center"/>
          </w:tcPr>
          <w:p w14:paraId="693D8F8D"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M1C2-32</w:t>
            </w:r>
          </w:p>
        </w:tc>
        <w:tc>
          <w:tcPr>
            <w:tcW w:w="1578" w:type="dxa"/>
            <w:shd w:val="clear" w:color="auto" w:fill="C6EFCE"/>
            <w:vAlign w:val="center"/>
          </w:tcPr>
          <w:p w14:paraId="79B8F16E" w14:textId="77777777" w:rsidR="0084326C" w:rsidRPr="005D68A0" w:rsidRDefault="0084326C">
            <w:pPr>
              <w:spacing w:before="120" w:after="120"/>
              <w:jc w:val="center"/>
              <w:rPr>
                <w:rFonts w:ascii="Arial Narrow" w:hAnsi="Arial Narrow"/>
                <w:noProof/>
                <w:color w:val="006100"/>
                <w:sz w:val="20"/>
              </w:rPr>
            </w:pPr>
            <w:r>
              <w:rPr>
                <w:rFonts w:ascii="Arial Narrow" w:hAnsi="Arial Narrow"/>
                <w:noProof/>
                <w:color w:val="006100"/>
                <w:sz w:val="20"/>
              </w:rPr>
              <w:t>Investeering 7. Ökoloogilise ülemineku tootmissüsteemi, nullnetotehnoloogia ning strateegiliste tarneahelate konkurentsivõime ja vastupanuvõime toetamine</w:t>
            </w:r>
          </w:p>
        </w:tc>
        <w:tc>
          <w:tcPr>
            <w:tcW w:w="1078" w:type="dxa"/>
            <w:shd w:val="clear" w:color="auto" w:fill="C6EFCE"/>
            <w:vAlign w:val="center"/>
          </w:tcPr>
          <w:p w14:paraId="471307AA" w14:textId="77777777" w:rsidR="0084326C" w:rsidRPr="005D68A0" w:rsidRDefault="0084326C">
            <w:pPr>
              <w:spacing w:before="120" w:after="120"/>
              <w:jc w:val="center"/>
              <w:rPr>
                <w:rFonts w:ascii="Arial Narrow" w:hAnsi="Arial Narrow"/>
                <w:noProof/>
                <w:color w:val="006100"/>
                <w:sz w:val="20"/>
              </w:rPr>
            </w:pPr>
            <w:r>
              <w:rPr>
                <w:rFonts w:ascii="Arial Narrow" w:hAnsi="Arial Narrow"/>
                <w:noProof/>
                <w:color w:val="006100"/>
                <w:sz w:val="20"/>
              </w:rPr>
              <w:t>Siht</w:t>
            </w:r>
          </w:p>
        </w:tc>
        <w:tc>
          <w:tcPr>
            <w:tcW w:w="1329" w:type="dxa"/>
            <w:shd w:val="clear" w:color="auto" w:fill="C6EFCE"/>
            <w:vAlign w:val="center"/>
          </w:tcPr>
          <w:p w14:paraId="4019E497" w14:textId="77777777" w:rsidR="0084326C" w:rsidRPr="005D68A0" w:rsidDel="00DD2141" w:rsidRDefault="0084326C">
            <w:pPr>
              <w:spacing w:before="120" w:after="120"/>
              <w:rPr>
                <w:rFonts w:ascii="Arial Narrow" w:hAnsi="Arial Narrow"/>
                <w:noProof/>
                <w:color w:val="006100"/>
                <w:sz w:val="20"/>
                <w:szCs w:val="20"/>
              </w:rPr>
            </w:pPr>
            <w:r>
              <w:rPr>
                <w:rFonts w:ascii="Arial Narrow" w:hAnsi="Arial Narrow"/>
                <w:noProof/>
                <w:color w:val="006100"/>
                <w:sz w:val="20"/>
              </w:rPr>
              <w:t>Lõplike abisaajatega sõlmitud õiguslikud lepingud</w:t>
            </w:r>
          </w:p>
        </w:tc>
        <w:tc>
          <w:tcPr>
            <w:tcW w:w="1275" w:type="dxa"/>
            <w:shd w:val="clear" w:color="auto" w:fill="C6EFCE"/>
            <w:vAlign w:val="center"/>
          </w:tcPr>
          <w:p w14:paraId="3C635AE9" w14:textId="0F544710" w:rsidR="0084326C" w:rsidRPr="005D68A0" w:rsidRDefault="0084326C">
            <w:pPr>
              <w:rPr>
                <w:rFonts w:ascii="Arial Narrow" w:hAnsi="Arial Narrow"/>
                <w:noProof/>
                <w:color w:val="006100"/>
                <w:sz w:val="20"/>
                <w:lang w:val="en-GB"/>
              </w:rPr>
            </w:pPr>
          </w:p>
          <w:p w14:paraId="4AA35F41"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vAlign w:val="center"/>
          </w:tcPr>
          <w:p w14:paraId="788A2CC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Protsent</w:t>
            </w:r>
          </w:p>
        </w:tc>
        <w:tc>
          <w:tcPr>
            <w:tcW w:w="993" w:type="dxa"/>
            <w:shd w:val="clear" w:color="auto" w:fill="C6EFCE"/>
            <w:vAlign w:val="center"/>
          </w:tcPr>
          <w:p w14:paraId="67E5E62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992" w:type="dxa"/>
            <w:shd w:val="clear" w:color="auto" w:fill="C6EFCE"/>
            <w:vAlign w:val="center"/>
          </w:tcPr>
          <w:p w14:paraId="79BA4D3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100</w:t>
            </w:r>
          </w:p>
        </w:tc>
        <w:tc>
          <w:tcPr>
            <w:tcW w:w="850" w:type="dxa"/>
            <w:shd w:val="clear" w:color="auto" w:fill="C6EFCE"/>
            <w:vAlign w:val="center"/>
          </w:tcPr>
          <w:p w14:paraId="7B32016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709" w:type="dxa"/>
            <w:shd w:val="clear" w:color="auto" w:fill="C6EFCE"/>
            <w:vAlign w:val="center"/>
          </w:tcPr>
          <w:p w14:paraId="486D1AD8"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2026</w:t>
            </w:r>
          </w:p>
        </w:tc>
        <w:tc>
          <w:tcPr>
            <w:tcW w:w="3794" w:type="dxa"/>
            <w:shd w:val="clear" w:color="auto" w:fill="C6EFCE"/>
            <w:vAlign w:val="center"/>
          </w:tcPr>
          <w:p w14:paraId="1CABBA7F" w14:textId="19B876B3" w:rsidR="0084326C" w:rsidRPr="005D68A0" w:rsidRDefault="0084326C">
            <w:pPr>
              <w:spacing w:before="120" w:after="120"/>
              <w:rPr>
                <w:rFonts w:ascii="Arial Narrow" w:hAnsi="Arial Narrow"/>
                <w:noProof/>
                <w:color w:val="006100"/>
                <w:sz w:val="20"/>
              </w:rPr>
            </w:pPr>
            <w:r>
              <w:rPr>
                <w:rFonts w:ascii="Arial Narrow" w:hAnsi="Arial Narrow"/>
                <w:noProof/>
                <w:color w:val="006100"/>
                <w:sz w:val="20"/>
              </w:rPr>
              <w:t xml:space="preserve">Invitalia on sõlminud lõplike toetusesaajatega seaduslikud rahastamislepingud summas, mis on vajalik taaste- ja vastupidavusrahastu investeeringuteks ette nähtud 2 500 000 000 eurost 100 % kasutamiseks </w:t>
            </w:r>
            <w:r>
              <w:rPr>
                <w:rFonts w:ascii="Arial Narrow" w:hAnsi="Arial Narrow"/>
                <w:noProof/>
                <w:color w:val="006100"/>
                <w:sz w:val="22"/>
              </w:rPr>
              <w:t>(võttes arvesse haldustasusid).</w:t>
            </w:r>
          </w:p>
          <w:p w14:paraId="031E4E71" w14:textId="77777777" w:rsidR="0084326C" w:rsidRPr="005D68A0" w:rsidRDefault="0084326C">
            <w:pPr>
              <w:spacing w:before="120" w:after="120"/>
              <w:rPr>
                <w:rFonts w:ascii="Arial Narrow" w:hAnsi="Arial Narrow"/>
                <w:noProof/>
                <w:color w:val="006100"/>
                <w:sz w:val="20"/>
              </w:rPr>
            </w:pPr>
            <w:r>
              <w:rPr>
                <w:rFonts w:ascii="Arial Narrow" w:hAnsi="Arial Narrow"/>
                <w:noProof/>
                <w:color w:val="006100"/>
                <w:sz w:val="20"/>
              </w:rPr>
              <w:t xml:space="preserve">Eelkõige: </w:t>
            </w:r>
          </w:p>
          <w:p w14:paraId="3CB3F049" w14:textId="715836EC" w:rsidR="0084326C" w:rsidRPr="005D68A0" w:rsidRDefault="0084326C" w:rsidP="0084326C">
            <w:pPr>
              <w:pStyle w:val="ListParagraph"/>
              <w:numPr>
                <w:ilvl w:val="0"/>
                <w:numId w:val="133"/>
              </w:numPr>
              <w:rPr>
                <w:rFonts w:ascii="Arial Narrow" w:hAnsi="Arial Narrow"/>
                <w:noProof/>
                <w:color w:val="006100"/>
                <w:sz w:val="20"/>
              </w:rPr>
            </w:pPr>
            <w:r>
              <w:rPr>
                <w:rFonts w:ascii="Arial Narrow" w:hAnsi="Arial Narrow"/>
                <w:noProof/>
                <w:color w:val="006100"/>
                <w:sz w:val="20"/>
              </w:rPr>
              <w:t>2 000 000 000 eurot allinvesteeringule 1 „Nullnetotehnoloogiad“;</w:t>
            </w:r>
          </w:p>
          <w:p w14:paraId="5E15F2F1" w14:textId="3FF3A769" w:rsidR="0084326C" w:rsidRPr="005D68A0" w:rsidDel="00565D10" w:rsidRDefault="0084326C" w:rsidP="0084326C">
            <w:pPr>
              <w:pStyle w:val="ListParagraph"/>
              <w:numPr>
                <w:ilvl w:val="0"/>
                <w:numId w:val="133"/>
              </w:numPr>
              <w:rPr>
                <w:rFonts w:ascii="Arial Narrow" w:hAnsi="Arial Narrow"/>
                <w:noProof/>
                <w:color w:val="006100"/>
                <w:sz w:val="20"/>
                <w:szCs w:val="20"/>
              </w:rPr>
            </w:pPr>
            <w:r>
              <w:rPr>
                <w:rFonts w:ascii="Arial Narrow" w:hAnsi="Arial Narrow"/>
                <w:noProof/>
                <w:color w:val="006100"/>
                <w:sz w:val="20"/>
              </w:rPr>
              <w:t>500 000 000 eurot alainvesteeringule 2 „Strateegiliste tarneahelate konkurentsivõime ja vastupanuvõime“.</w:t>
            </w:r>
          </w:p>
        </w:tc>
      </w:tr>
    </w:tbl>
    <w:p w14:paraId="63C7903A" w14:textId="77777777" w:rsidR="0084326C" w:rsidRPr="005D68A0" w:rsidRDefault="0084326C" w:rsidP="0084326C">
      <w:pPr>
        <w:spacing w:before="120" w:after="120"/>
        <w:jc w:val="both"/>
        <w:rPr>
          <w:b/>
          <w:noProof/>
          <w:lang w:val="en-GB"/>
        </w:rPr>
      </w:pPr>
    </w:p>
    <w:p w14:paraId="79F4F7C1" w14:textId="77777777" w:rsidR="0084326C" w:rsidRPr="005D68A0" w:rsidRDefault="0084326C" w:rsidP="0084326C">
      <w:pPr>
        <w:rPr>
          <w:b/>
          <w:bCs/>
          <w:noProof/>
          <w:lang w:val="en-GB"/>
        </w:rPr>
        <w:sectPr w:rsidR="0084326C" w:rsidRPr="005D68A0">
          <w:headerReference w:type="even" r:id="rId62"/>
          <w:headerReference w:type="default" r:id="rId63"/>
          <w:footerReference w:type="even" r:id="rId64"/>
          <w:footerReference w:type="default" r:id="rId65"/>
          <w:headerReference w:type="first" r:id="rId66"/>
          <w:footerReference w:type="first" r:id="rId67"/>
          <w:pgSz w:w="16838" w:h="11907" w:orient="landscape" w:code="12"/>
          <w:pgMar w:top="1134" w:right="1134" w:bottom="1134" w:left="1134" w:header="567" w:footer="567" w:gutter="0"/>
          <w:cols w:space="720"/>
          <w:docGrid w:linePitch="360"/>
        </w:sectPr>
      </w:pPr>
    </w:p>
    <w:p w14:paraId="45D19C87" w14:textId="77777777" w:rsidR="0084326C" w:rsidRPr="005D68A0" w:rsidRDefault="0084326C" w:rsidP="0084326C">
      <w:pPr>
        <w:pStyle w:val="Heading2"/>
        <w:numPr>
          <w:ilvl w:val="0"/>
          <w:numId w:val="0"/>
        </w:numPr>
        <w:ind w:left="850" w:hanging="850"/>
        <w:rPr>
          <w:noProof/>
          <w:u w:val="single"/>
        </w:rPr>
      </w:pPr>
      <w:r>
        <w:rPr>
          <w:noProof/>
        </w:rPr>
        <w:t xml:space="preserve">B. ÜLESANNE 1 KOMPONENT 3. </w:t>
      </w:r>
      <w:r>
        <w:rPr>
          <w:noProof/>
          <w:u w:val="single"/>
        </w:rPr>
        <w:t>Turism ja kultuur 4.0</w:t>
      </w:r>
      <w:r>
        <w:rPr>
          <w:noProof/>
        </w:rPr>
        <w:t xml:space="preserve"> </w:t>
      </w:r>
    </w:p>
    <w:p w14:paraId="156EB2CC" w14:textId="461C74AC" w:rsidR="0084326C" w:rsidRPr="005D68A0" w:rsidRDefault="0084326C" w:rsidP="0084326C">
      <w:pPr>
        <w:spacing w:before="120" w:after="120"/>
        <w:jc w:val="both"/>
        <w:rPr>
          <w:noProof/>
        </w:rPr>
      </w:pPr>
      <w:r>
        <w:rPr>
          <w:noProof/>
        </w:rPr>
        <w:t>Itaalia taaste- ja vastupidavuskava selles osas keskendutakse kahe COVIDi kriisist tugevasti mõjutatud sektori taaskäivitamisele: kultuur ja turism. Kultuurisektoriga seotud meetmete eesmärk on muuta kultuuriobjektid ligipääsetavamaks nii digitaalselt kui ka füüsiliselt, energiatõhusamaks ja loodusõnnetuste suhtes ohutumaks, toetada kultuuri- ja loomesektori taastumist, sealhulgas toetades väikeste kultuuriobjektide ja maapiirkondade arhitektuuri atraktiivsust, et suurendada ka territoriaalset ühtekuuluvust. Kavandatakse kolme liiki meetmeid: i) sekkumised järgmise põlvkonna kultuuripärandi arendamiseks, sealhulgas investeeringud digiüleminekusse ja kultuuriobjektide energiatõhususe parandamisse, ii)</w:t>
      </w:r>
      <w:r w:rsidR="00D819D7">
        <w:rPr>
          <w:noProof/>
        </w:rPr>
        <w:t> </w:t>
      </w:r>
      <w:r>
        <w:rPr>
          <w:noProof/>
        </w:rPr>
        <w:t>kultuuripõhine väikeste ajaloo</w:t>
      </w:r>
      <w:r w:rsidR="00D819D7">
        <w:rPr>
          <w:noProof/>
        </w:rPr>
        <w:t>-</w:t>
      </w:r>
      <w:r>
        <w:rPr>
          <w:noProof/>
        </w:rPr>
        <w:t xml:space="preserve">objektide taaselustamine, usu- ja maapärand; iii) kultuuri- ja loomemajandusega seotud sekkumismeetmed 4.0. Turismiga seotud meetmete eesmärk on suurendada sektori konkurentsivõimet, sealhulgas vähendades sektori killustatust ja suurendades mastaabisäästu, parandades ja ajakohastades majutussektori standardeid, soodustades digitaalset innovatsiooni ja uute tehnoloogiate kasutamist ettevõtjate poolt, ning toetada sektori üleminekut keskkonnahoidlikule majandusele. Sellega seoses kavandatakse meetmeid turismisektoris tegutsevate ettevõtete, sealhulgas VKEde ja turismiettevõtjate toetamiseks, sealhulgas digivahenditesse investeerimise kaudu. </w:t>
      </w:r>
    </w:p>
    <w:p w14:paraId="52CE0816" w14:textId="77777777" w:rsidR="0084326C" w:rsidRPr="005D68A0" w:rsidRDefault="0084326C" w:rsidP="0084326C">
      <w:pPr>
        <w:spacing w:before="120" w:after="120"/>
        <w:jc w:val="both"/>
        <w:rPr>
          <w:noProof/>
        </w:rPr>
      </w:pPr>
      <w:r>
        <w:rPr>
          <w:noProof/>
        </w:rPr>
        <w:t xml:space="preserve">Selle komponendi raames tehtavad investeeringud ja reformid aitavad kaasa Itaaliale esitatud riigipõhiste soovituste täitmisele, eelkõige seoses vajadusega „edendada erainvesteeringuid, et edendada majanduse elavdamist ja keskendada investeeringud rohe- ja digipöördele“ (riigipõhine soovitus 3, 2020). Samuti toetavad nad sotsiaalset ja territoriaalset ühtekuuluvust ning Itaalia majanduse konkurentsivõimet, edendades samal ajal turismisektori digiteerimist ja jätkusuutlikkust. </w:t>
      </w:r>
    </w:p>
    <w:p w14:paraId="451914E0" w14:textId="77777777" w:rsidR="0084326C" w:rsidRPr="005D68A0" w:rsidRDefault="0084326C" w:rsidP="0084326C">
      <w:pPr>
        <w:pStyle w:val="Heading3"/>
        <w:numPr>
          <w:ilvl w:val="0"/>
          <w:numId w:val="0"/>
        </w:numPr>
        <w:ind w:left="850" w:hanging="850"/>
        <w:rPr>
          <w:rFonts w:eastAsia="Times New Roman"/>
          <w:b/>
          <w:bCs w:val="0"/>
          <w:i w:val="0"/>
          <w:iCs/>
          <w:noProof/>
          <w:u w:val="single"/>
        </w:rPr>
      </w:pPr>
      <w:r>
        <w:rPr>
          <w:b/>
          <w:i w:val="0"/>
          <w:noProof/>
          <w:u w:val="single"/>
        </w:rPr>
        <w:t xml:space="preserve">C.1. </w:t>
      </w:r>
      <w:r>
        <w:rPr>
          <w:noProof/>
        </w:rPr>
        <w:tab/>
      </w:r>
      <w:r>
        <w:rPr>
          <w:b/>
          <w:i w:val="0"/>
          <w:noProof/>
          <w:u w:val="single"/>
        </w:rPr>
        <w:t>Tagastamatu rahalise toetusega seotud reformide ja investeeringute kirjeldus</w:t>
      </w:r>
    </w:p>
    <w:p w14:paraId="6E42A9E4" w14:textId="77777777" w:rsidR="0084326C" w:rsidRPr="005D68A0" w:rsidRDefault="0084326C" w:rsidP="0084326C">
      <w:pPr>
        <w:spacing w:before="120" w:after="120"/>
        <w:jc w:val="both"/>
        <w:rPr>
          <w:b/>
          <w:noProof/>
        </w:rPr>
      </w:pPr>
      <w:r>
        <w:rPr>
          <w:b/>
          <w:noProof/>
        </w:rPr>
        <w:t xml:space="preserve">Investeering 1.1. Digitaalstrateegia ja kultuuripärandi platvormid </w:t>
      </w:r>
    </w:p>
    <w:p w14:paraId="0E7C8BD6" w14:textId="77777777" w:rsidR="0084326C" w:rsidRPr="005D68A0" w:rsidRDefault="0084326C" w:rsidP="0084326C">
      <w:pPr>
        <w:spacing w:before="120" w:after="120"/>
        <w:jc w:val="both"/>
        <w:rPr>
          <w:noProof/>
        </w:rPr>
      </w:pPr>
      <w:r>
        <w:rPr>
          <w:noProof/>
        </w:rPr>
        <w:t>Meede hõlmab meetmeid Itaalia kultuuripärandi digiteerimiseks, et parandada juurdepääsu kultuuriressurssidele ja digitaalteenustele.</w:t>
      </w:r>
    </w:p>
    <w:p w14:paraId="5B0D5BE5" w14:textId="4CB4CD64" w:rsidR="0084326C" w:rsidRPr="005D68A0" w:rsidRDefault="0084326C" w:rsidP="0084326C">
      <w:pPr>
        <w:spacing w:before="120" w:after="120"/>
        <w:jc w:val="both"/>
        <w:rPr>
          <w:noProof/>
        </w:rPr>
      </w:pPr>
      <w:r>
        <w:rPr>
          <w:noProof/>
        </w:rPr>
        <w:t xml:space="preserve">Sekkumisega luuakse uus riiklik digitaristu, et koguda, integreerida ja säilitada digitaalseid ressursse, tehes need sihtotstarbeliste platvormide kaudu üldsusele kättesaadavaks. „Füüsilise“ pärandiga seotud sekkumistega kaasneb muuseumide, arhiivide, raamatukogude ja kultuurimälestiste digiteerimine, et võimaldada kodanikel uurida kultuuripärandist kasu saamise uusi vorme. </w:t>
      </w:r>
    </w:p>
    <w:p w14:paraId="2A8B4126" w14:textId="77777777" w:rsidR="0084326C" w:rsidRPr="005D68A0" w:rsidRDefault="0084326C" w:rsidP="0084326C">
      <w:pPr>
        <w:spacing w:before="120" w:after="120"/>
        <w:jc w:val="both"/>
        <w:rPr>
          <w:b/>
          <w:noProof/>
        </w:rPr>
      </w:pPr>
      <w:r>
        <w:rPr>
          <w:b/>
          <w:noProof/>
        </w:rPr>
        <w:t>Investeering 1.2. Füüsiliste ja kognitiivsete tõkete eemaldamine muuseumides, raamatukogudes ja arhiivides, et võimaldada kultuurile laiemat juurdepääsu ja selles osalemist</w:t>
      </w:r>
    </w:p>
    <w:p w14:paraId="3B4F2A4B" w14:textId="77777777" w:rsidR="0084326C" w:rsidRPr="005D68A0" w:rsidRDefault="0084326C" w:rsidP="0084326C">
      <w:pPr>
        <w:spacing w:before="120" w:after="120"/>
        <w:jc w:val="both"/>
        <w:rPr>
          <w:noProof/>
        </w:rPr>
      </w:pPr>
      <w:r>
        <w:rPr>
          <w:noProof/>
        </w:rPr>
        <w:t>Meetme eesmärk on kõrvaldada arhitektuurilised, kultuurilised ja kognitiivsed takistused mitmetes Itaalia kultuuriasutustes. Sekkumisi kombineeritakse haldustöötajate ja kultuurivaldkonnas tegutsejate koolitamisega, edendades juurdepääsetavuse kultuuri ning arendades eriteadmisi õiguslike aspektide, vastuvõtmise, kultuurivahenduse ja edendamise kohta.</w:t>
      </w:r>
    </w:p>
    <w:p w14:paraId="671650C4" w14:textId="77777777" w:rsidR="0084326C" w:rsidRPr="005D68A0" w:rsidRDefault="0084326C" w:rsidP="0084326C">
      <w:pPr>
        <w:spacing w:before="120" w:after="120"/>
        <w:jc w:val="both"/>
        <w:rPr>
          <w:b/>
          <w:noProof/>
        </w:rPr>
      </w:pPr>
      <w:r>
        <w:rPr>
          <w:b/>
          <w:noProof/>
        </w:rPr>
        <w:t>Investeering 1.3. Energiatõhususe parandamine kinodes, teatrites ja muuseumides</w:t>
      </w:r>
    </w:p>
    <w:p w14:paraId="5E256105" w14:textId="77777777" w:rsidR="0084326C" w:rsidRPr="005D68A0" w:rsidRDefault="0084326C" w:rsidP="0084326C">
      <w:pPr>
        <w:spacing w:before="120" w:after="120"/>
        <w:jc w:val="both"/>
        <w:rPr>
          <w:noProof/>
        </w:rPr>
      </w:pPr>
      <w:r>
        <w:rPr>
          <w:noProof/>
        </w:rPr>
        <w:t>Meetmega parandatakse kultuuri- ja loomesektoriga seotud hoonete energiatõhusust. Sageli leidub neid vananenud ja vähetõhusates rajatistes, mis tekitavad suuri hoolduskulusid seoses kliimaseadmete, valgustuse, side ja ohutusega. Investeeringuga rahastatakse meetmeid, mille eesmärk on parandada Itaalia muuseumide, kinode ja teatrite (nii avaliku kui ka erasektori) energiatõhusust.</w:t>
      </w:r>
    </w:p>
    <w:p w14:paraId="4DC5A88A" w14:textId="77777777" w:rsidR="00003A97" w:rsidRPr="00F33804" w:rsidRDefault="00003A97" w:rsidP="0084326C">
      <w:pPr>
        <w:spacing w:before="120" w:after="120"/>
        <w:jc w:val="both"/>
        <w:rPr>
          <w:b/>
          <w:noProof/>
        </w:rPr>
        <w:sectPr w:rsidR="00003A97" w:rsidRPr="00F33804">
          <w:headerReference w:type="even" r:id="rId68"/>
          <w:headerReference w:type="default" r:id="rId69"/>
          <w:footerReference w:type="even" r:id="rId70"/>
          <w:footerReference w:type="default" r:id="rId71"/>
          <w:headerReference w:type="first" r:id="rId72"/>
          <w:footerReference w:type="first" r:id="rId73"/>
          <w:pgSz w:w="11907" w:h="16839"/>
          <w:pgMar w:top="1440" w:right="1440" w:bottom="1440" w:left="1440" w:header="567" w:footer="567" w:gutter="0"/>
          <w:cols w:space="720"/>
          <w:docGrid w:linePitch="360"/>
        </w:sectPr>
      </w:pPr>
    </w:p>
    <w:p w14:paraId="5B07D348" w14:textId="77777777" w:rsidR="0084326C" w:rsidRPr="005D68A0" w:rsidRDefault="0084326C" w:rsidP="0084326C">
      <w:pPr>
        <w:spacing w:before="120" w:after="120"/>
        <w:jc w:val="both"/>
        <w:rPr>
          <w:b/>
          <w:noProof/>
        </w:rPr>
      </w:pPr>
      <w:r>
        <w:rPr>
          <w:b/>
          <w:noProof/>
        </w:rPr>
        <w:t>Reform 3.1. Kultuuriürituste minimaalsete keskkonnakriteeriumide vastuvõtmine</w:t>
      </w:r>
    </w:p>
    <w:p w14:paraId="56416286" w14:textId="77777777" w:rsidR="0084326C" w:rsidRPr="005D68A0" w:rsidRDefault="0084326C" w:rsidP="0084326C">
      <w:pPr>
        <w:spacing w:before="120" w:after="120"/>
        <w:jc w:val="both"/>
        <w:rPr>
          <w:noProof/>
        </w:rPr>
      </w:pPr>
      <w:r>
        <w:rPr>
          <w:noProof/>
        </w:rPr>
        <w:t>Reformi eesmärk on parandada kultuuriürituste (näitused, festivalid, kultuuriüritused ja muusikaüritused) ökoloogilist jalajälge, lisades sotsiaalsed ja keskkonnaalased kriteeriumid riigiasutuse rahastatavate, edendatavate või korraldatavate kultuuriürituste riigihangetesse.</w:t>
      </w:r>
    </w:p>
    <w:p w14:paraId="256D81B4" w14:textId="77777777" w:rsidR="0084326C" w:rsidRPr="005D68A0" w:rsidRDefault="0084326C" w:rsidP="0084326C">
      <w:pPr>
        <w:spacing w:before="120" w:after="120"/>
        <w:jc w:val="both"/>
        <w:rPr>
          <w:b/>
          <w:bCs/>
          <w:noProof/>
          <w:color w:val="000000" w:themeColor="text1"/>
        </w:rPr>
      </w:pPr>
      <w:r>
        <w:rPr>
          <w:b/>
          <w:noProof/>
          <w:color w:val="000000" w:themeColor="text1"/>
        </w:rPr>
        <w:t xml:space="preserve">Investeering 3.3. Kultuurivaldkonna ettevõtjate suutlikkuse suurendamine, et juhtida digiüleminekut ja rohelist üleminekut </w:t>
      </w:r>
    </w:p>
    <w:p w14:paraId="751593C1" w14:textId="77777777" w:rsidR="0084326C" w:rsidRPr="005D68A0" w:rsidRDefault="0084326C" w:rsidP="0084326C">
      <w:pPr>
        <w:spacing w:before="120" w:after="120"/>
        <w:jc w:val="both"/>
        <w:rPr>
          <w:noProof/>
        </w:rPr>
      </w:pPr>
      <w:r>
        <w:rPr>
          <w:noProof/>
        </w:rPr>
        <w:t xml:space="preserve">Investeeringu üldeesmärk on toetada kultuuri- ja loomesektori taastumist. See koosneb kahest sekkumisest. </w:t>
      </w:r>
    </w:p>
    <w:p w14:paraId="57D24A40" w14:textId="77777777" w:rsidR="0084326C" w:rsidRPr="005D68A0" w:rsidRDefault="0084326C" w:rsidP="0084326C">
      <w:pPr>
        <w:spacing w:before="120" w:after="120"/>
        <w:jc w:val="both"/>
        <w:rPr>
          <w:noProof/>
        </w:rPr>
      </w:pPr>
      <w:r>
        <w:rPr>
          <w:noProof/>
        </w:rPr>
        <w:t>Esimese sekkumise („Kultuuritegevuse taastamise toetamine innovatsiooni ja digitaaltehnoloogia kasutamise ergutamisega kogu väärtusahelas“) eesmärk on toetada kultuuri- ja loomemajanduses tegutsejaid digistrateegiate rakendamisel ja suurendada nende haldussuutlikkust.</w:t>
      </w:r>
    </w:p>
    <w:p w14:paraId="39774BE6" w14:textId="75008912" w:rsidR="0084326C" w:rsidRPr="005D68A0" w:rsidRDefault="0084326C" w:rsidP="0084326C">
      <w:pPr>
        <w:spacing w:before="120" w:after="120"/>
        <w:jc w:val="both"/>
        <w:rPr>
          <w:noProof/>
        </w:rPr>
      </w:pPr>
      <w:r>
        <w:rPr>
          <w:noProof/>
        </w:rPr>
        <w:t>Teise sekkumise („rohelise lähenemisviisi edendamine kogu kultuuri- ja loomeahelas“) eesmärk on soodustada keskkonnasäästlikku lähenemisviisi kogu ahelas, vähendades ökoloogilist jalajälge, edendades uuenduslikku ja kaasavat ökodisaini, sealhulgas ringmajanduse kontekstis, et suunata üldsus vastutustundlikuma keskkonnakäitumise poole.</w:t>
      </w:r>
    </w:p>
    <w:p w14:paraId="30A77772" w14:textId="77777777" w:rsidR="0084326C" w:rsidRPr="005D68A0" w:rsidRDefault="0084326C" w:rsidP="0084326C">
      <w:pPr>
        <w:spacing w:before="120" w:after="120"/>
        <w:jc w:val="both"/>
        <w:rPr>
          <w:noProof/>
        </w:rPr>
      </w:pPr>
      <w:r>
        <w:rPr>
          <w:noProof/>
        </w:rPr>
        <w:t>Tagamaks, et meede vastab „ei kahjusta oluliselt“ tehnilistele suunistele (2021/C58/01), jäetakse tulevaste projektikonkursside juhendites sisalduvatest rahastamiskõlblikkuse kriteeriumidest välja järgmised tegevused: i) fossiilkütustega seotud tegevus, sealhulgas allkasutus tootmisahela järgmistes etappides</w:t>
      </w:r>
      <w:r w:rsidRPr="005D68A0">
        <w:rPr>
          <w:rStyle w:val="FootnoteReference"/>
          <w:noProof/>
          <w:lang w:val="en-GB"/>
        </w:rPr>
        <w:footnoteReference w:id="19"/>
      </w:r>
      <w:r>
        <w:rPr>
          <w:noProof/>
        </w:rPr>
        <w:t>; ii) ELi heitkogustega kauplemise süsteemi (HKS) raames toimuv tegevus, mille prognoositav kasvuhoonegaaside heide ei ole asjaomastest võrdlusalustest</w:t>
      </w:r>
      <w:r w:rsidRPr="005D68A0">
        <w:rPr>
          <w:rStyle w:val="FootnoteReference"/>
          <w:noProof/>
          <w:lang w:val="en-GB"/>
        </w:rPr>
        <w:footnoteReference w:id="20"/>
      </w:r>
      <w:r>
        <w:rPr>
          <w:noProof/>
        </w:rPr>
        <w:t xml:space="preserve"> madalam; iii) prügilate, jäätmepõletustehaste</w:t>
      </w:r>
      <w:r w:rsidRPr="005D68A0">
        <w:rPr>
          <w:rStyle w:val="FootnoteReference"/>
          <w:noProof/>
          <w:lang w:val="en-GB"/>
        </w:rPr>
        <w:footnoteReference w:id="21"/>
      </w:r>
      <w:r>
        <w:rPr>
          <w:noProof/>
        </w:rPr>
        <w:t xml:space="preserve"> ja mehhaanilis-bioloogilise töötlemise jaamadega</w:t>
      </w:r>
      <w:r w:rsidRPr="005D68A0">
        <w:rPr>
          <w:rStyle w:val="FootnoteReference"/>
          <w:noProof/>
          <w:lang w:val="en-GB"/>
        </w:rPr>
        <w:footnoteReference w:id="22"/>
      </w:r>
      <w:r>
        <w:rPr>
          <w:noProof/>
        </w:rPr>
        <w:t xml:space="preserve"> seotud tegevus; iv) tegevused, mille puhul jäätmete pikaajaline kõrvaldamine võib kahjustada keskkonda. Peale selle peab konkursitingimustes olema sätestatud, et valida võib ainult tegevusi, mis vastavad asjakohastele ELi ja riiklikele keskkonnaalastele õigusaktidele.</w:t>
      </w:r>
    </w:p>
    <w:p w14:paraId="32DF846F" w14:textId="77777777" w:rsidR="00003A97" w:rsidRDefault="00003A97" w:rsidP="0084326C">
      <w:pPr>
        <w:rPr>
          <w:b/>
          <w:noProof/>
        </w:rPr>
        <w:sectPr w:rsidR="00003A97">
          <w:headerReference w:type="even" r:id="rId74"/>
          <w:headerReference w:type="default" r:id="rId75"/>
          <w:footerReference w:type="even" r:id="rId76"/>
          <w:footerReference w:type="default" r:id="rId77"/>
          <w:headerReference w:type="first" r:id="rId78"/>
          <w:footerReference w:type="first" r:id="rId79"/>
          <w:pgSz w:w="11907" w:h="16839"/>
          <w:pgMar w:top="1440" w:right="1440" w:bottom="1440" w:left="1440" w:header="567" w:footer="567" w:gutter="0"/>
          <w:cols w:space="720"/>
          <w:docGrid w:linePitch="360"/>
        </w:sectPr>
      </w:pPr>
      <w:bookmarkStart w:id="8" w:name="_Hlk160472807"/>
    </w:p>
    <w:p w14:paraId="239E0F6E" w14:textId="77777777" w:rsidR="0084326C" w:rsidRPr="005D68A0" w:rsidRDefault="0084326C" w:rsidP="0084326C">
      <w:pPr>
        <w:rPr>
          <w:b/>
          <w:bCs/>
          <w:i/>
          <w:noProof/>
        </w:rPr>
      </w:pPr>
      <w:r>
        <w:rPr>
          <w:b/>
          <w:noProof/>
        </w:rPr>
        <w:t>Investeering 4.1. Digitaalne turismikeskus</w:t>
      </w:r>
    </w:p>
    <w:bookmarkEnd w:id="8"/>
    <w:p w14:paraId="01C2BF97" w14:textId="2F36F3BA" w:rsidR="0084326C" w:rsidRPr="005D68A0" w:rsidRDefault="0084326C" w:rsidP="0084326C">
      <w:pPr>
        <w:spacing w:before="120" w:after="120"/>
        <w:jc w:val="both"/>
        <w:rPr>
          <w:noProof/>
        </w:rPr>
      </w:pPr>
      <w:r>
        <w:rPr>
          <w:noProof/>
        </w:rPr>
        <w:t>Meetme eesmärk on luua spetsiaalse veebiplatvormi kaudu juurdepääsetav digitaalse turismi keskus, mis võimaldab kogu turismi ökosüsteemi edendada, lõimida ja edendada oma pakkumist. Investeeringuga rahastatakse uut digitaristut ja toetatakse ettevõtjaid riikliku turismi vaatluskeskuse andmeanalüüsivahenditega.</w:t>
      </w:r>
    </w:p>
    <w:p w14:paraId="273CA20E" w14:textId="77777777" w:rsidR="0084326C" w:rsidRPr="005D68A0" w:rsidRDefault="0084326C" w:rsidP="0084326C">
      <w:pPr>
        <w:spacing w:before="120" w:after="120"/>
        <w:jc w:val="both"/>
        <w:rPr>
          <w:noProof/>
        </w:rPr>
      </w:pPr>
      <w:r>
        <w:rPr>
          <w:noProof/>
        </w:rPr>
        <w:t>Meetmega nähakse ette ka pädevuskeskuse loomine kiirendusprogrammide toetamiseks.</w:t>
      </w:r>
    </w:p>
    <w:p w14:paraId="5C21AE48" w14:textId="77777777" w:rsidR="0084326C" w:rsidRPr="005D68A0" w:rsidRDefault="0084326C" w:rsidP="0084326C">
      <w:pPr>
        <w:spacing w:before="120" w:after="120"/>
        <w:jc w:val="both"/>
        <w:rPr>
          <w:noProof/>
        </w:rPr>
      </w:pPr>
      <w:r>
        <w:rPr>
          <w:noProof/>
        </w:rPr>
        <w:t>Tagamaks, et meede vastab „ei kahjusta oluliselt“ tehnilistele suunistele (2021/C58/01), jäetakse tulevaste projektikonkursside juhendites sisalduvatest rahastamiskõlblikkuse kriteeriumidest välja järgmised tegevused: i) fossiilkütustega seotud tegevus, sealhulgas allkasutus tootmisahela järgmistes etappides</w:t>
      </w:r>
      <w:r w:rsidRPr="005D68A0">
        <w:rPr>
          <w:rStyle w:val="FootnoteReference"/>
          <w:noProof/>
          <w:lang w:val="en-GB"/>
        </w:rPr>
        <w:footnoteReference w:id="23"/>
      </w:r>
      <w:r>
        <w:rPr>
          <w:noProof/>
        </w:rPr>
        <w:t>; ii) ELi heitkogustega kauplemise süsteemi (HKS) raames toimuv tegevus, mille prognoositav kasvuhoonegaaside heide ei ole asjaomastest võrdlusalustest</w:t>
      </w:r>
      <w:r w:rsidRPr="005D68A0">
        <w:rPr>
          <w:rStyle w:val="FootnoteReference"/>
          <w:noProof/>
          <w:lang w:val="en-GB"/>
        </w:rPr>
        <w:footnoteReference w:id="24"/>
      </w:r>
      <w:r>
        <w:rPr>
          <w:noProof/>
        </w:rPr>
        <w:t xml:space="preserve"> madalam; iii) prügilate, jäätmepõletustehaste</w:t>
      </w:r>
      <w:r w:rsidRPr="005D68A0">
        <w:rPr>
          <w:rStyle w:val="FootnoteReference"/>
          <w:noProof/>
          <w:lang w:val="en-GB"/>
        </w:rPr>
        <w:footnoteReference w:id="25"/>
      </w:r>
      <w:r>
        <w:rPr>
          <w:noProof/>
        </w:rPr>
        <w:t xml:space="preserve"> ja mehhaanilis-bioloogilise töötlemise jaamadega</w:t>
      </w:r>
      <w:r w:rsidRPr="005D68A0">
        <w:rPr>
          <w:rStyle w:val="FootnoteReference"/>
          <w:noProof/>
          <w:lang w:val="en-GB"/>
        </w:rPr>
        <w:footnoteReference w:id="26"/>
      </w:r>
      <w:r>
        <w:rPr>
          <w:noProof/>
        </w:rPr>
        <w:t xml:space="preserve"> seotud tegevus; iv) tegevused, mille puhul jäätmete pikaajaline kõrvaldamine võib kahjustada keskkonda. Lisaks tuleb juhendites nõuda, et valida võib ainult tegevust, mis vastab asjakohastele ELi ja riiklikele keskkonnaalastele õigusaktidele.</w:t>
      </w:r>
    </w:p>
    <w:p w14:paraId="1327DDAB" w14:textId="77777777" w:rsidR="0084326C" w:rsidRPr="005D68A0" w:rsidRDefault="0084326C" w:rsidP="0084326C">
      <w:pPr>
        <w:jc w:val="both"/>
        <w:rPr>
          <w:b/>
          <w:bCs/>
          <w:noProof/>
          <w:color w:val="000000" w:themeColor="text1"/>
        </w:rPr>
      </w:pPr>
      <w:r>
        <w:rPr>
          <w:b/>
          <w:noProof/>
          <w:color w:val="000000" w:themeColor="text1"/>
        </w:rPr>
        <w:t>Reform 4.1. Giidide kutsealade korralduse reguleerimine</w:t>
      </w:r>
    </w:p>
    <w:p w14:paraId="7B6FB6F8" w14:textId="77777777" w:rsidR="0084326C" w:rsidRPr="005D68A0" w:rsidRDefault="0084326C" w:rsidP="0084326C">
      <w:pPr>
        <w:spacing w:before="120" w:after="120"/>
        <w:jc w:val="both"/>
        <w:rPr>
          <w:noProof/>
        </w:rPr>
      </w:pPr>
      <w:r>
        <w:rPr>
          <w:noProof/>
        </w:rPr>
        <w:t>Digitaalse turismi keskusesse tehtavaid investeeringuid täiendab reform, mille eesmärk on ühtlustada turismisuuniseid käsitlevaid eeskirju. Meetmega nähakse kohalikke eeskirju nõuetekohaselt arvesse võttes ette giidide ja nende päritolupiirkonna kutseorganisatsioon. Reformi süstemaatiline ja ühtne kohaldamine võimaldaks reguleerida kutseala aluspõhimõtteid ja standardida teenuste osutamise taset kogu riigi territooriumil, avaldades positiivset mõju turule. Reform hõlmab koolitust ja täiendkoolitust, et pakkumist parimal viisil toetada.</w:t>
      </w:r>
    </w:p>
    <w:p w14:paraId="07CB3DBC" w14:textId="77777777" w:rsidR="0084326C" w:rsidRPr="00F33804" w:rsidRDefault="0084326C" w:rsidP="0084326C">
      <w:pPr>
        <w:pStyle w:val="Heading3"/>
        <w:numPr>
          <w:ilvl w:val="0"/>
          <w:numId w:val="0"/>
        </w:numPr>
        <w:ind w:left="850" w:hanging="850"/>
        <w:rPr>
          <w:rFonts w:eastAsia="Calibri"/>
          <w:noProof/>
          <w:color w:val="000000" w:themeColor="text1"/>
        </w:rPr>
        <w:sectPr w:rsidR="0084326C" w:rsidRPr="00F33804">
          <w:headerReference w:type="even" r:id="rId80"/>
          <w:headerReference w:type="default" r:id="rId81"/>
          <w:footerReference w:type="even" r:id="rId82"/>
          <w:footerReference w:type="default" r:id="rId83"/>
          <w:headerReference w:type="first" r:id="rId84"/>
          <w:footerReference w:type="first" r:id="rId85"/>
          <w:pgSz w:w="11907" w:h="16839"/>
          <w:pgMar w:top="1440" w:right="1440" w:bottom="1440" w:left="1440" w:header="567" w:footer="567" w:gutter="0"/>
          <w:cols w:space="720"/>
          <w:docGrid w:linePitch="360"/>
        </w:sectPr>
      </w:pPr>
    </w:p>
    <w:p w14:paraId="1B0C0FAB" w14:textId="77777777" w:rsidR="0084326C" w:rsidRPr="005D68A0" w:rsidRDefault="0084326C" w:rsidP="0084326C">
      <w:pPr>
        <w:pStyle w:val="Heading3"/>
        <w:numPr>
          <w:ilvl w:val="0"/>
          <w:numId w:val="0"/>
        </w:numPr>
        <w:ind w:left="850" w:hanging="850"/>
        <w:rPr>
          <w:b/>
          <w:bCs w:val="0"/>
          <w:i w:val="0"/>
          <w:iCs/>
          <w:noProof/>
          <w:u w:val="single"/>
        </w:rPr>
      </w:pPr>
      <w:r>
        <w:rPr>
          <w:b/>
          <w:i w:val="0"/>
          <w:noProof/>
          <w:u w:val="single"/>
        </w:rPr>
        <w:t xml:space="preserve">C.2. </w:t>
      </w:r>
      <w:r>
        <w:rPr>
          <w:noProof/>
        </w:rPr>
        <w:tab/>
      </w:r>
      <w:r>
        <w:rPr>
          <w:b/>
          <w:i w:val="0"/>
          <w:noProof/>
          <w:u w:val="single"/>
        </w:rPr>
        <w:t>Tagastamatu rahalise toetuse eesmärgid, sihid, näitajad ning seire ja rakendamise ajakava</w:t>
      </w:r>
    </w:p>
    <w:tbl>
      <w:tblPr>
        <w:tblW w:w="15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135"/>
        <w:gridCol w:w="1344"/>
        <w:gridCol w:w="1603"/>
        <w:gridCol w:w="1135"/>
        <w:gridCol w:w="1135"/>
        <w:gridCol w:w="1162"/>
        <w:gridCol w:w="990"/>
        <w:gridCol w:w="694"/>
        <w:gridCol w:w="3672"/>
      </w:tblGrid>
      <w:tr w:rsidR="0084326C" w:rsidRPr="00D90835" w14:paraId="6E673A8E" w14:textId="77777777" w:rsidTr="00003A97">
        <w:trPr>
          <w:trHeight w:val="1013"/>
          <w:tblHeader/>
          <w:jc w:val="center"/>
        </w:trPr>
        <w:tc>
          <w:tcPr>
            <w:tcW w:w="366" w:type="pct"/>
            <w:vMerge w:val="restart"/>
            <w:shd w:val="clear" w:color="auto" w:fill="BDD7EE"/>
            <w:vAlign w:val="center"/>
          </w:tcPr>
          <w:p w14:paraId="38C1D9B4" w14:textId="77777777" w:rsidR="0084326C" w:rsidRPr="005D68A0" w:rsidRDefault="0084326C" w:rsidP="00003A97">
            <w:pPr>
              <w:spacing w:after="200" w:line="276" w:lineRule="auto"/>
              <w:rPr>
                <w:rFonts w:ascii="Arial Narrow" w:hAnsi="Arial Narrow"/>
                <w:bCs/>
                <w:noProof/>
                <w:sz w:val="20"/>
                <w:szCs w:val="20"/>
              </w:rPr>
            </w:pPr>
            <w:r>
              <w:rPr>
                <w:rFonts w:ascii="Arial Narrow" w:hAnsi="Arial Narrow"/>
                <w:b/>
                <w:noProof/>
                <w:sz w:val="20"/>
              </w:rPr>
              <w:t>Järjekorranumber</w:t>
            </w:r>
          </w:p>
        </w:tc>
        <w:tc>
          <w:tcPr>
            <w:tcW w:w="460" w:type="pct"/>
            <w:vMerge w:val="restart"/>
            <w:shd w:val="clear" w:color="auto" w:fill="BDD7EE"/>
            <w:vAlign w:val="center"/>
          </w:tcPr>
          <w:p w14:paraId="7FC9AC46" w14:textId="77777777" w:rsidR="0084326C" w:rsidRPr="005D68A0" w:rsidRDefault="0084326C" w:rsidP="00003A97">
            <w:pPr>
              <w:jc w:val="center"/>
              <w:rPr>
                <w:rFonts w:ascii="Arial Narrow" w:hAnsi="Arial Narrow"/>
                <w:b/>
                <w:noProof/>
                <w:sz w:val="20"/>
                <w:szCs w:val="20"/>
              </w:rPr>
            </w:pPr>
            <w:r>
              <w:rPr>
                <w:rFonts w:ascii="Arial Narrow" w:hAnsi="Arial Narrow"/>
                <w:b/>
                <w:noProof/>
                <w:sz w:val="20"/>
              </w:rPr>
              <w:t>Meede</w:t>
            </w:r>
          </w:p>
        </w:tc>
        <w:tc>
          <w:tcPr>
            <w:tcW w:w="368" w:type="pct"/>
            <w:vMerge w:val="restart"/>
            <w:shd w:val="clear" w:color="auto" w:fill="BDD7EE"/>
            <w:vAlign w:val="center"/>
          </w:tcPr>
          <w:p w14:paraId="76E2EA1E" w14:textId="77777777" w:rsidR="0084326C" w:rsidRPr="005D68A0" w:rsidRDefault="0084326C" w:rsidP="00003A97">
            <w:pPr>
              <w:jc w:val="center"/>
              <w:rPr>
                <w:rFonts w:ascii="Arial Narrow" w:hAnsi="Arial Narrow"/>
                <w:b/>
                <w:noProof/>
                <w:sz w:val="20"/>
                <w:szCs w:val="20"/>
              </w:rPr>
            </w:pPr>
            <w:r>
              <w:rPr>
                <w:rFonts w:ascii="Arial Narrow" w:hAnsi="Arial Narrow"/>
                <w:b/>
                <w:noProof/>
                <w:sz w:val="20"/>
              </w:rPr>
              <w:t>Eesmärk / siht</w:t>
            </w:r>
          </w:p>
        </w:tc>
        <w:tc>
          <w:tcPr>
            <w:tcW w:w="436" w:type="pct"/>
            <w:vMerge w:val="restart"/>
            <w:shd w:val="clear" w:color="auto" w:fill="BDD7EE"/>
            <w:vAlign w:val="center"/>
          </w:tcPr>
          <w:p w14:paraId="7A3C884A" w14:textId="77777777" w:rsidR="0084326C" w:rsidRPr="005D68A0" w:rsidRDefault="0084326C" w:rsidP="00003A97">
            <w:pPr>
              <w:jc w:val="center"/>
              <w:rPr>
                <w:rFonts w:ascii="Arial Narrow" w:hAnsi="Arial Narrow"/>
                <w:b/>
                <w:noProof/>
                <w:sz w:val="20"/>
                <w:szCs w:val="20"/>
              </w:rPr>
            </w:pPr>
            <w:r>
              <w:rPr>
                <w:rFonts w:ascii="Arial Narrow" w:hAnsi="Arial Narrow"/>
                <w:b/>
                <w:noProof/>
                <w:sz w:val="20"/>
              </w:rPr>
              <w:t>Nimi</w:t>
            </w:r>
          </w:p>
        </w:tc>
        <w:tc>
          <w:tcPr>
            <w:tcW w:w="520" w:type="pct"/>
            <w:vMerge w:val="restart"/>
            <w:shd w:val="clear" w:color="auto" w:fill="BDD7EE"/>
            <w:vAlign w:val="center"/>
          </w:tcPr>
          <w:p w14:paraId="7F4587C6" w14:textId="77777777" w:rsidR="0084326C" w:rsidRPr="005D68A0" w:rsidRDefault="0084326C" w:rsidP="00003A97">
            <w:pPr>
              <w:jc w:val="center"/>
              <w:rPr>
                <w:rFonts w:ascii="Arial Narrow" w:hAnsi="Arial Narrow"/>
                <w:b/>
                <w:noProof/>
                <w:sz w:val="20"/>
                <w:szCs w:val="20"/>
              </w:rPr>
            </w:pPr>
            <w:r>
              <w:rPr>
                <w:rFonts w:ascii="Arial Narrow" w:hAnsi="Arial Narrow"/>
                <w:b/>
                <w:noProof/>
                <w:sz w:val="20"/>
              </w:rPr>
              <w:t>Kvalitatiivsed näitajad</w:t>
            </w:r>
            <w:r>
              <w:rPr>
                <w:noProof/>
              </w:rPr>
              <w:t xml:space="preserve"> </w:t>
            </w:r>
            <w:r>
              <w:rPr>
                <w:noProof/>
              </w:rPr>
              <w:br/>
            </w:r>
            <w:r>
              <w:rPr>
                <w:rFonts w:ascii="Arial Narrow" w:hAnsi="Arial Narrow"/>
                <w:b/>
                <w:noProof/>
                <w:sz w:val="20"/>
              </w:rPr>
              <w:t>(eesmärkide puhul)</w:t>
            </w:r>
          </w:p>
        </w:tc>
        <w:tc>
          <w:tcPr>
            <w:tcW w:w="1113" w:type="pct"/>
            <w:gridSpan w:val="3"/>
            <w:shd w:val="clear" w:color="auto" w:fill="BDD7EE"/>
            <w:vAlign w:val="center"/>
          </w:tcPr>
          <w:p w14:paraId="2976B1BD" w14:textId="77777777" w:rsidR="0084326C" w:rsidRPr="005D68A0" w:rsidRDefault="0084326C" w:rsidP="00003A97">
            <w:pPr>
              <w:jc w:val="center"/>
              <w:rPr>
                <w:rFonts w:ascii="Arial Narrow" w:hAnsi="Arial Narrow"/>
                <w:b/>
                <w:noProof/>
                <w:sz w:val="20"/>
                <w:szCs w:val="20"/>
              </w:rPr>
            </w:pPr>
            <w:r>
              <w:rPr>
                <w:rFonts w:ascii="Arial Narrow" w:hAnsi="Arial Narrow"/>
                <w:b/>
                <w:noProof/>
                <w:sz w:val="20"/>
              </w:rPr>
              <w:t xml:space="preserve">Kvantitatiivsed näitajad </w:t>
            </w:r>
            <w:r>
              <w:rPr>
                <w:noProof/>
              </w:rPr>
              <w:br/>
            </w:r>
            <w:r>
              <w:rPr>
                <w:rFonts w:ascii="Arial Narrow" w:hAnsi="Arial Narrow"/>
                <w:b/>
                <w:noProof/>
                <w:sz w:val="20"/>
              </w:rPr>
              <w:t>(sihtide puhul)</w:t>
            </w:r>
          </w:p>
        </w:tc>
        <w:tc>
          <w:tcPr>
            <w:tcW w:w="546" w:type="pct"/>
            <w:gridSpan w:val="2"/>
            <w:shd w:val="clear" w:color="auto" w:fill="BDD7EE"/>
            <w:vAlign w:val="center"/>
          </w:tcPr>
          <w:p w14:paraId="498D6E69" w14:textId="77777777" w:rsidR="0084326C" w:rsidRPr="005D68A0" w:rsidRDefault="0084326C" w:rsidP="00003A97">
            <w:pPr>
              <w:jc w:val="center"/>
              <w:rPr>
                <w:rFonts w:ascii="Arial Narrow" w:hAnsi="Arial Narrow"/>
                <w:b/>
                <w:noProof/>
                <w:sz w:val="20"/>
                <w:szCs w:val="20"/>
              </w:rPr>
            </w:pPr>
            <w:r>
              <w:rPr>
                <w:rFonts w:ascii="Arial Narrow" w:hAnsi="Arial Narrow"/>
                <w:b/>
                <w:noProof/>
                <w:sz w:val="20"/>
              </w:rPr>
              <w:t>Lõpuleviimise soovituslik ajakava</w:t>
            </w:r>
          </w:p>
        </w:tc>
        <w:tc>
          <w:tcPr>
            <w:tcW w:w="1192" w:type="pct"/>
            <w:vMerge w:val="restart"/>
            <w:shd w:val="clear" w:color="auto" w:fill="BDD7EE"/>
            <w:vAlign w:val="center"/>
          </w:tcPr>
          <w:p w14:paraId="51D18850" w14:textId="77777777" w:rsidR="0084326C" w:rsidRPr="005D68A0" w:rsidRDefault="0084326C" w:rsidP="00003A97">
            <w:pPr>
              <w:rPr>
                <w:rFonts w:ascii="Arial Narrow" w:hAnsi="Arial Narrow"/>
                <w:b/>
                <w:noProof/>
                <w:sz w:val="20"/>
                <w:szCs w:val="20"/>
              </w:rPr>
            </w:pPr>
            <w:r>
              <w:rPr>
                <w:rFonts w:ascii="Arial Narrow" w:hAnsi="Arial Narrow"/>
                <w:b/>
                <w:noProof/>
                <w:sz w:val="20"/>
              </w:rPr>
              <w:t>Iga eesmärgi ja sihi kirjeldus</w:t>
            </w:r>
          </w:p>
        </w:tc>
      </w:tr>
      <w:tr w:rsidR="0084326C" w:rsidRPr="005D68A0" w14:paraId="0B82C309" w14:textId="77777777" w:rsidTr="00003A97">
        <w:trPr>
          <w:trHeight w:val="1013"/>
          <w:tblHeader/>
          <w:jc w:val="center"/>
        </w:trPr>
        <w:tc>
          <w:tcPr>
            <w:tcW w:w="366" w:type="pct"/>
            <w:vMerge/>
            <w:vAlign w:val="center"/>
            <w:hideMark/>
          </w:tcPr>
          <w:p w14:paraId="093E3D18" w14:textId="77777777" w:rsidR="0084326C" w:rsidRPr="00F33804" w:rsidRDefault="0084326C" w:rsidP="00003A97">
            <w:pPr>
              <w:spacing w:after="200" w:line="276" w:lineRule="auto"/>
              <w:rPr>
                <w:rFonts w:ascii="Arial Narrow" w:hAnsi="Arial Narrow"/>
                <w:b/>
                <w:noProof/>
                <w:sz w:val="20"/>
                <w:szCs w:val="20"/>
              </w:rPr>
            </w:pPr>
          </w:p>
        </w:tc>
        <w:tc>
          <w:tcPr>
            <w:tcW w:w="460" w:type="pct"/>
            <w:vMerge/>
            <w:vAlign w:val="center"/>
            <w:hideMark/>
          </w:tcPr>
          <w:p w14:paraId="33BA7D96" w14:textId="77777777" w:rsidR="0084326C" w:rsidRPr="00F33804" w:rsidRDefault="0084326C" w:rsidP="00003A97">
            <w:pPr>
              <w:jc w:val="center"/>
              <w:rPr>
                <w:rFonts w:ascii="Arial Narrow" w:hAnsi="Arial Narrow"/>
                <w:b/>
                <w:noProof/>
                <w:sz w:val="20"/>
                <w:szCs w:val="20"/>
              </w:rPr>
            </w:pPr>
          </w:p>
        </w:tc>
        <w:tc>
          <w:tcPr>
            <w:tcW w:w="368" w:type="pct"/>
            <w:vMerge/>
            <w:vAlign w:val="center"/>
            <w:hideMark/>
          </w:tcPr>
          <w:p w14:paraId="1470C25B" w14:textId="77777777" w:rsidR="0084326C" w:rsidRPr="00F33804" w:rsidRDefault="0084326C" w:rsidP="00003A97">
            <w:pPr>
              <w:jc w:val="center"/>
              <w:rPr>
                <w:rFonts w:ascii="Arial Narrow" w:hAnsi="Arial Narrow"/>
                <w:b/>
                <w:noProof/>
                <w:sz w:val="20"/>
                <w:szCs w:val="20"/>
              </w:rPr>
            </w:pPr>
          </w:p>
        </w:tc>
        <w:tc>
          <w:tcPr>
            <w:tcW w:w="436" w:type="pct"/>
            <w:vMerge/>
            <w:vAlign w:val="center"/>
            <w:hideMark/>
          </w:tcPr>
          <w:p w14:paraId="44DCCEE3" w14:textId="77777777" w:rsidR="0084326C" w:rsidRPr="00F33804" w:rsidRDefault="0084326C" w:rsidP="00003A97">
            <w:pPr>
              <w:jc w:val="center"/>
              <w:rPr>
                <w:rFonts w:ascii="Arial Narrow" w:hAnsi="Arial Narrow"/>
                <w:b/>
                <w:noProof/>
                <w:sz w:val="20"/>
                <w:szCs w:val="20"/>
              </w:rPr>
            </w:pPr>
          </w:p>
        </w:tc>
        <w:tc>
          <w:tcPr>
            <w:tcW w:w="520" w:type="pct"/>
            <w:vMerge/>
            <w:vAlign w:val="center"/>
            <w:hideMark/>
          </w:tcPr>
          <w:p w14:paraId="65F9AC49" w14:textId="77777777" w:rsidR="0084326C" w:rsidRPr="00F33804" w:rsidRDefault="0084326C" w:rsidP="00003A97">
            <w:pPr>
              <w:jc w:val="center"/>
              <w:rPr>
                <w:rFonts w:ascii="Arial Narrow" w:hAnsi="Arial Narrow"/>
                <w:b/>
                <w:noProof/>
                <w:sz w:val="20"/>
                <w:szCs w:val="20"/>
              </w:rPr>
            </w:pPr>
          </w:p>
        </w:tc>
        <w:tc>
          <w:tcPr>
            <w:tcW w:w="368" w:type="pct"/>
            <w:shd w:val="clear" w:color="auto" w:fill="BDD7EE"/>
            <w:vAlign w:val="center"/>
            <w:hideMark/>
          </w:tcPr>
          <w:p w14:paraId="365353D9" w14:textId="77777777" w:rsidR="0084326C" w:rsidRPr="005D68A0" w:rsidRDefault="0084326C" w:rsidP="00003A97">
            <w:pPr>
              <w:jc w:val="center"/>
              <w:rPr>
                <w:rFonts w:ascii="Arial Narrow" w:hAnsi="Arial Narrow"/>
                <w:b/>
                <w:noProof/>
                <w:sz w:val="20"/>
                <w:szCs w:val="20"/>
              </w:rPr>
            </w:pPr>
            <w:r>
              <w:rPr>
                <w:rFonts w:ascii="Arial Narrow" w:hAnsi="Arial Narrow"/>
                <w:b/>
                <w:noProof/>
                <w:sz w:val="20"/>
              </w:rPr>
              <w:t>Mõõtühik</w:t>
            </w:r>
          </w:p>
        </w:tc>
        <w:tc>
          <w:tcPr>
            <w:tcW w:w="368" w:type="pct"/>
            <w:shd w:val="clear" w:color="auto" w:fill="BDD7EE"/>
            <w:vAlign w:val="center"/>
            <w:hideMark/>
          </w:tcPr>
          <w:p w14:paraId="35C471D1" w14:textId="77777777" w:rsidR="0084326C" w:rsidRPr="005D68A0" w:rsidRDefault="0084326C" w:rsidP="00003A97">
            <w:pPr>
              <w:jc w:val="center"/>
              <w:rPr>
                <w:rFonts w:ascii="Arial Narrow" w:hAnsi="Arial Narrow"/>
                <w:b/>
                <w:noProof/>
                <w:sz w:val="20"/>
                <w:szCs w:val="20"/>
              </w:rPr>
            </w:pPr>
            <w:r>
              <w:rPr>
                <w:rFonts w:ascii="Arial Narrow" w:hAnsi="Arial Narrow"/>
                <w:b/>
                <w:noProof/>
                <w:sz w:val="20"/>
              </w:rPr>
              <w:t>Lähtetase</w:t>
            </w:r>
          </w:p>
        </w:tc>
        <w:tc>
          <w:tcPr>
            <w:tcW w:w="377" w:type="pct"/>
            <w:shd w:val="clear" w:color="auto" w:fill="BDD7EE"/>
            <w:vAlign w:val="center"/>
            <w:hideMark/>
          </w:tcPr>
          <w:p w14:paraId="4C4F2B6D" w14:textId="77777777" w:rsidR="0084326C" w:rsidRPr="005D68A0" w:rsidRDefault="0084326C" w:rsidP="00003A97">
            <w:pPr>
              <w:jc w:val="center"/>
              <w:rPr>
                <w:rFonts w:ascii="Arial Narrow" w:hAnsi="Arial Narrow"/>
                <w:b/>
                <w:noProof/>
                <w:sz w:val="20"/>
                <w:szCs w:val="20"/>
              </w:rPr>
            </w:pPr>
            <w:r>
              <w:rPr>
                <w:rFonts w:ascii="Arial Narrow" w:hAnsi="Arial Narrow"/>
                <w:b/>
                <w:noProof/>
                <w:sz w:val="20"/>
              </w:rPr>
              <w:t>Eesmärk</w:t>
            </w:r>
          </w:p>
        </w:tc>
        <w:tc>
          <w:tcPr>
            <w:tcW w:w="321" w:type="pct"/>
            <w:shd w:val="clear" w:color="auto" w:fill="BDD7EE"/>
            <w:vAlign w:val="center"/>
            <w:hideMark/>
          </w:tcPr>
          <w:p w14:paraId="1441DFE6" w14:textId="77777777" w:rsidR="0084326C" w:rsidRPr="005D68A0" w:rsidRDefault="0084326C" w:rsidP="00003A97">
            <w:pPr>
              <w:jc w:val="center"/>
              <w:rPr>
                <w:rFonts w:ascii="Arial Narrow" w:hAnsi="Arial Narrow"/>
                <w:b/>
                <w:noProof/>
                <w:sz w:val="20"/>
                <w:szCs w:val="20"/>
              </w:rPr>
            </w:pPr>
            <w:r>
              <w:rPr>
                <w:rFonts w:ascii="Arial Narrow" w:hAnsi="Arial Narrow"/>
                <w:b/>
                <w:noProof/>
                <w:sz w:val="20"/>
              </w:rPr>
              <w:t>Kvartal</w:t>
            </w:r>
          </w:p>
        </w:tc>
        <w:tc>
          <w:tcPr>
            <w:tcW w:w="224" w:type="pct"/>
            <w:shd w:val="clear" w:color="auto" w:fill="BDD7EE"/>
            <w:vAlign w:val="center"/>
            <w:hideMark/>
          </w:tcPr>
          <w:p w14:paraId="3E37323A" w14:textId="77777777" w:rsidR="0084326C" w:rsidRPr="005D68A0" w:rsidRDefault="0084326C" w:rsidP="00003A97">
            <w:pPr>
              <w:jc w:val="center"/>
              <w:rPr>
                <w:rFonts w:ascii="Arial Narrow" w:hAnsi="Arial Narrow"/>
                <w:b/>
                <w:noProof/>
                <w:sz w:val="20"/>
                <w:szCs w:val="20"/>
              </w:rPr>
            </w:pPr>
            <w:r>
              <w:rPr>
                <w:rFonts w:ascii="Arial Narrow" w:hAnsi="Arial Narrow"/>
                <w:b/>
                <w:noProof/>
                <w:sz w:val="20"/>
              </w:rPr>
              <w:t>Aasta</w:t>
            </w:r>
          </w:p>
        </w:tc>
        <w:tc>
          <w:tcPr>
            <w:tcW w:w="1192" w:type="pct"/>
            <w:vMerge/>
            <w:vAlign w:val="center"/>
            <w:hideMark/>
          </w:tcPr>
          <w:p w14:paraId="668EB355" w14:textId="77777777" w:rsidR="0084326C" w:rsidRPr="005D68A0" w:rsidRDefault="0084326C" w:rsidP="00003A97">
            <w:pPr>
              <w:rPr>
                <w:rFonts w:ascii="Arial Narrow" w:hAnsi="Arial Narrow"/>
                <w:b/>
                <w:noProof/>
                <w:sz w:val="20"/>
                <w:szCs w:val="20"/>
                <w:lang w:val="en-GB"/>
              </w:rPr>
            </w:pPr>
          </w:p>
        </w:tc>
      </w:tr>
      <w:tr w:rsidR="0084326C" w:rsidRPr="00D90835" w14:paraId="6F9EA60D" w14:textId="77777777" w:rsidTr="00003A97">
        <w:trPr>
          <w:trHeight w:val="309"/>
          <w:jc w:val="center"/>
        </w:trPr>
        <w:tc>
          <w:tcPr>
            <w:tcW w:w="366" w:type="pct"/>
            <w:shd w:val="clear" w:color="auto" w:fill="C6EFCE"/>
            <w:noWrap/>
            <w:vAlign w:val="center"/>
            <w:hideMark/>
          </w:tcPr>
          <w:p w14:paraId="3280ED1D"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M1C3-1</w:t>
            </w:r>
          </w:p>
        </w:tc>
        <w:tc>
          <w:tcPr>
            <w:tcW w:w="460" w:type="pct"/>
            <w:shd w:val="clear" w:color="auto" w:fill="C6EFCE"/>
            <w:noWrap/>
            <w:vAlign w:val="center"/>
            <w:hideMark/>
          </w:tcPr>
          <w:p w14:paraId="171537E5"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Investeering 1.1. Digitaalstrateegia ja kultuuripärandi platvormid</w:t>
            </w:r>
          </w:p>
        </w:tc>
        <w:tc>
          <w:tcPr>
            <w:tcW w:w="368" w:type="pct"/>
            <w:shd w:val="clear" w:color="auto" w:fill="C6EFCE"/>
            <w:noWrap/>
            <w:vAlign w:val="center"/>
            <w:hideMark/>
          </w:tcPr>
          <w:p w14:paraId="240E152C"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Siht</w:t>
            </w:r>
          </w:p>
        </w:tc>
        <w:tc>
          <w:tcPr>
            <w:tcW w:w="436" w:type="pct"/>
            <w:shd w:val="clear" w:color="auto" w:fill="C6EFCE"/>
            <w:noWrap/>
            <w:vAlign w:val="center"/>
            <w:hideMark/>
          </w:tcPr>
          <w:p w14:paraId="4B4F0FAD"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Kasutajad, keda on koolitatud kultuuripärandi e-õppe platvormi kaudu</w:t>
            </w:r>
          </w:p>
        </w:tc>
        <w:tc>
          <w:tcPr>
            <w:tcW w:w="520" w:type="pct"/>
            <w:shd w:val="clear" w:color="auto" w:fill="C6EFCE"/>
            <w:noWrap/>
            <w:vAlign w:val="center"/>
            <w:hideMark/>
          </w:tcPr>
          <w:p w14:paraId="33193FC2"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Ei kohaldata</w:t>
            </w:r>
          </w:p>
        </w:tc>
        <w:tc>
          <w:tcPr>
            <w:tcW w:w="368" w:type="pct"/>
            <w:shd w:val="clear" w:color="auto" w:fill="C6EFCE"/>
            <w:noWrap/>
            <w:vAlign w:val="center"/>
            <w:hideMark/>
          </w:tcPr>
          <w:p w14:paraId="6AAFBC22"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Arv</w:t>
            </w:r>
          </w:p>
        </w:tc>
        <w:tc>
          <w:tcPr>
            <w:tcW w:w="368" w:type="pct"/>
            <w:shd w:val="clear" w:color="auto" w:fill="C6EFCE"/>
            <w:noWrap/>
            <w:vAlign w:val="center"/>
            <w:hideMark/>
          </w:tcPr>
          <w:p w14:paraId="72D14934"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0</w:t>
            </w:r>
          </w:p>
        </w:tc>
        <w:tc>
          <w:tcPr>
            <w:tcW w:w="377" w:type="pct"/>
            <w:shd w:val="clear" w:color="auto" w:fill="C6EFCE"/>
            <w:noWrap/>
            <w:vAlign w:val="center"/>
            <w:hideMark/>
          </w:tcPr>
          <w:p w14:paraId="61F23C76"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30 000</w:t>
            </w:r>
          </w:p>
        </w:tc>
        <w:tc>
          <w:tcPr>
            <w:tcW w:w="321" w:type="pct"/>
            <w:shd w:val="clear" w:color="auto" w:fill="C6EFCE"/>
            <w:noWrap/>
            <w:vAlign w:val="center"/>
            <w:hideMark/>
          </w:tcPr>
          <w:p w14:paraId="25065C5A"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4. kv</w:t>
            </w:r>
          </w:p>
        </w:tc>
        <w:tc>
          <w:tcPr>
            <w:tcW w:w="224" w:type="pct"/>
            <w:shd w:val="clear" w:color="auto" w:fill="C6EFCE"/>
            <w:noWrap/>
            <w:vAlign w:val="center"/>
            <w:hideMark/>
          </w:tcPr>
          <w:p w14:paraId="0011A83D"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2025</w:t>
            </w:r>
          </w:p>
        </w:tc>
        <w:tc>
          <w:tcPr>
            <w:tcW w:w="1192" w:type="pct"/>
            <w:shd w:val="clear" w:color="auto" w:fill="C6EFCE"/>
            <w:noWrap/>
            <w:vAlign w:val="center"/>
            <w:hideMark/>
          </w:tcPr>
          <w:p w14:paraId="406FE0D6" w14:textId="77777777" w:rsidR="0084326C" w:rsidRPr="005D68A0" w:rsidRDefault="0084326C" w:rsidP="00003A97">
            <w:pPr>
              <w:rPr>
                <w:rFonts w:ascii="Arial Narrow" w:hAnsi="Arial Narrow"/>
                <w:noProof/>
                <w:color w:val="006100"/>
                <w:sz w:val="20"/>
                <w:szCs w:val="20"/>
              </w:rPr>
            </w:pPr>
            <w:r>
              <w:rPr>
                <w:rFonts w:ascii="Arial Narrow" w:hAnsi="Arial Narrow"/>
                <w:noProof/>
                <w:color w:val="006100"/>
                <w:sz w:val="20"/>
              </w:rPr>
              <w:t>Koolitatud sihtkasutajad mõõdavad elukestva õppe programmi jaoks digitaalselt pakutava koolituspakkumise tõhusust.</w:t>
            </w:r>
          </w:p>
          <w:p w14:paraId="1F113FD2" w14:textId="77777777" w:rsidR="0084326C" w:rsidRPr="005D68A0" w:rsidRDefault="0084326C" w:rsidP="00003A97">
            <w:pPr>
              <w:rPr>
                <w:rFonts w:ascii="Arial Narrow" w:hAnsi="Arial Narrow"/>
                <w:noProof/>
                <w:color w:val="006100"/>
                <w:sz w:val="20"/>
                <w:szCs w:val="20"/>
              </w:rPr>
            </w:pPr>
            <w:r>
              <w:rPr>
                <w:rFonts w:ascii="Arial Narrow" w:hAnsi="Arial Narrow"/>
                <w:noProof/>
                <w:color w:val="006100"/>
                <w:sz w:val="20"/>
              </w:rPr>
              <w:t>Sekkumised hõlmavad järgmist:</w:t>
            </w:r>
          </w:p>
          <w:p w14:paraId="73CA26BD" w14:textId="77777777" w:rsidR="0084326C" w:rsidRPr="005D68A0" w:rsidRDefault="0084326C" w:rsidP="00003A97">
            <w:pPr>
              <w:rPr>
                <w:rFonts w:ascii="Arial Narrow" w:hAnsi="Arial Narrow"/>
                <w:noProof/>
                <w:color w:val="006100"/>
                <w:sz w:val="20"/>
                <w:szCs w:val="20"/>
              </w:rPr>
            </w:pPr>
            <w:r>
              <w:rPr>
                <w:rFonts w:ascii="Arial Narrow" w:hAnsi="Arial Narrow"/>
                <w:noProof/>
                <w:color w:val="006100"/>
                <w:sz w:val="20"/>
              </w:rPr>
              <w:t>koolituskursuste koostamine, nende rakendamine esiõppe ja e-õppe programmide kaudu, mis on välja töötatud õppijate eri sihtrühmade pädevuse hindamise alusel (vastab kolmele kursusetasemele: alusoskused, erioskused, juhtimisoskused).</w:t>
            </w:r>
          </w:p>
          <w:p w14:paraId="2D3D1D7E" w14:textId="77777777" w:rsidR="0084326C" w:rsidRPr="005D68A0" w:rsidRDefault="0084326C" w:rsidP="00003A97">
            <w:pPr>
              <w:rPr>
                <w:rFonts w:ascii="Arial Narrow" w:hAnsi="Arial Narrow"/>
                <w:noProof/>
                <w:color w:val="006100"/>
                <w:sz w:val="20"/>
                <w:szCs w:val="20"/>
              </w:rPr>
            </w:pPr>
            <w:r>
              <w:rPr>
                <w:rFonts w:ascii="Arial Narrow" w:hAnsi="Arial Narrow"/>
                <w:noProof/>
                <w:color w:val="006100"/>
                <w:sz w:val="20"/>
              </w:rPr>
              <w:t>Meetmest saavad kasu: ministeeriumi töötajad, kohalike omavalitsuste kultuuriasutuste töötajad, vabakutselised kultuurivaldkonnas tegutsejad.</w:t>
            </w:r>
          </w:p>
          <w:p w14:paraId="1CA135EE" w14:textId="77777777" w:rsidR="0084326C" w:rsidRPr="00F33804" w:rsidRDefault="0084326C" w:rsidP="00003A97">
            <w:pPr>
              <w:rPr>
                <w:rFonts w:ascii="Arial Narrow" w:hAnsi="Arial Narrow"/>
                <w:noProof/>
                <w:color w:val="006100"/>
                <w:sz w:val="20"/>
                <w:szCs w:val="20"/>
              </w:rPr>
            </w:pPr>
          </w:p>
        </w:tc>
      </w:tr>
      <w:tr w:rsidR="0084326C" w:rsidRPr="00D90835" w14:paraId="0BCE5483" w14:textId="77777777" w:rsidTr="00003A97">
        <w:trPr>
          <w:trHeight w:val="309"/>
          <w:jc w:val="center"/>
        </w:trPr>
        <w:tc>
          <w:tcPr>
            <w:tcW w:w="366" w:type="pct"/>
            <w:shd w:val="clear" w:color="auto" w:fill="C6EFCE"/>
            <w:noWrap/>
            <w:vAlign w:val="center"/>
            <w:hideMark/>
          </w:tcPr>
          <w:p w14:paraId="34554293"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M1C3-2</w:t>
            </w:r>
          </w:p>
        </w:tc>
        <w:tc>
          <w:tcPr>
            <w:tcW w:w="460" w:type="pct"/>
            <w:shd w:val="clear" w:color="auto" w:fill="C6EFCE"/>
            <w:noWrap/>
            <w:vAlign w:val="center"/>
            <w:hideMark/>
          </w:tcPr>
          <w:p w14:paraId="45E7D300"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Investeering 1.1. Digitaalstrateegia ja kultuuripärandi platvormid</w:t>
            </w:r>
          </w:p>
        </w:tc>
        <w:tc>
          <w:tcPr>
            <w:tcW w:w="368" w:type="pct"/>
            <w:shd w:val="clear" w:color="auto" w:fill="C6EFCE"/>
            <w:noWrap/>
            <w:vAlign w:val="center"/>
            <w:hideMark/>
          </w:tcPr>
          <w:p w14:paraId="6996796B"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Siht</w:t>
            </w:r>
          </w:p>
        </w:tc>
        <w:tc>
          <w:tcPr>
            <w:tcW w:w="436" w:type="pct"/>
            <w:shd w:val="clear" w:color="auto" w:fill="C6EFCE"/>
            <w:noWrap/>
            <w:vAlign w:val="center"/>
            <w:hideMark/>
          </w:tcPr>
          <w:p w14:paraId="4CBCF695"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Digitaalsed ressursid, mis on loodud ja avaldatud digitaalses raamatukogus</w:t>
            </w:r>
          </w:p>
          <w:p w14:paraId="084C7D83" w14:textId="77777777" w:rsidR="0084326C" w:rsidRPr="005D68A0" w:rsidRDefault="0084326C" w:rsidP="00003A97">
            <w:pPr>
              <w:jc w:val="center"/>
              <w:rPr>
                <w:rFonts w:ascii="Arial Narrow" w:hAnsi="Arial Narrow"/>
                <w:noProof/>
                <w:color w:val="006100"/>
                <w:sz w:val="20"/>
                <w:szCs w:val="20"/>
                <w:lang w:val="en-GB"/>
              </w:rPr>
            </w:pPr>
          </w:p>
        </w:tc>
        <w:tc>
          <w:tcPr>
            <w:tcW w:w="520" w:type="pct"/>
            <w:shd w:val="clear" w:color="auto" w:fill="C6EFCE"/>
            <w:noWrap/>
            <w:vAlign w:val="center"/>
            <w:hideMark/>
          </w:tcPr>
          <w:p w14:paraId="7977B3B9"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Ei kohaldata</w:t>
            </w:r>
          </w:p>
        </w:tc>
        <w:tc>
          <w:tcPr>
            <w:tcW w:w="368" w:type="pct"/>
            <w:shd w:val="clear" w:color="auto" w:fill="C6EFCE"/>
            <w:noWrap/>
            <w:vAlign w:val="center"/>
            <w:hideMark/>
          </w:tcPr>
          <w:p w14:paraId="0036B5B3"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Arv</w:t>
            </w:r>
          </w:p>
        </w:tc>
        <w:tc>
          <w:tcPr>
            <w:tcW w:w="368" w:type="pct"/>
            <w:shd w:val="clear" w:color="auto" w:fill="C6EFCE"/>
            <w:noWrap/>
            <w:vAlign w:val="center"/>
            <w:hideMark/>
          </w:tcPr>
          <w:p w14:paraId="4DE5404F"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0</w:t>
            </w:r>
          </w:p>
        </w:tc>
        <w:tc>
          <w:tcPr>
            <w:tcW w:w="377" w:type="pct"/>
            <w:shd w:val="clear" w:color="auto" w:fill="C6EFCE"/>
            <w:noWrap/>
            <w:vAlign w:val="center"/>
            <w:hideMark/>
          </w:tcPr>
          <w:p w14:paraId="6EE0FDF3"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65 000 000</w:t>
            </w:r>
          </w:p>
        </w:tc>
        <w:tc>
          <w:tcPr>
            <w:tcW w:w="321" w:type="pct"/>
            <w:shd w:val="clear" w:color="auto" w:fill="C6EFCE"/>
            <w:noWrap/>
            <w:vAlign w:val="center"/>
            <w:hideMark/>
          </w:tcPr>
          <w:p w14:paraId="487B470B"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4. kv</w:t>
            </w:r>
          </w:p>
        </w:tc>
        <w:tc>
          <w:tcPr>
            <w:tcW w:w="224" w:type="pct"/>
            <w:shd w:val="clear" w:color="auto" w:fill="C6EFCE"/>
            <w:noWrap/>
            <w:vAlign w:val="center"/>
            <w:hideMark/>
          </w:tcPr>
          <w:p w14:paraId="3C613CE6" w14:textId="77777777" w:rsidR="0084326C" w:rsidRPr="005D68A0" w:rsidRDefault="0084326C" w:rsidP="00003A97">
            <w:pPr>
              <w:jc w:val="center"/>
              <w:rPr>
                <w:rFonts w:ascii="Arial Narrow" w:hAnsi="Arial Narrow"/>
                <w:noProof/>
                <w:color w:val="006100"/>
                <w:sz w:val="20"/>
                <w:szCs w:val="20"/>
                <w:lang w:val="en-GB"/>
              </w:rPr>
            </w:pPr>
          </w:p>
          <w:p w14:paraId="796A1D77"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2025</w:t>
            </w:r>
          </w:p>
          <w:p w14:paraId="76F95D3B" w14:textId="77777777" w:rsidR="0084326C" w:rsidRPr="005D68A0" w:rsidRDefault="0084326C" w:rsidP="00003A97">
            <w:pPr>
              <w:jc w:val="center"/>
              <w:rPr>
                <w:rFonts w:ascii="Arial Narrow" w:hAnsi="Arial Narrow"/>
                <w:noProof/>
                <w:color w:val="006100"/>
                <w:sz w:val="20"/>
                <w:szCs w:val="20"/>
                <w:lang w:val="en-GB"/>
              </w:rPr>
            </w:pPr>
          </w:p>
        </w:tc>
        <w:tc>
          <w:tcPr>
            <w:tcW w:w="1192" w:type="pct"/>
            <w:shd w:val="clear" w:color="auto" w:fill="C6EFCE"/>
            <w:noWrap/>
            <w:vAlign w:val="center"/>
            <w:hideMark/>
          </w:tcPr>
          <w:p w14:paraId="577A9C24" w14:textId="77777777" w:rsidR="0084326C" w:rsidRPr="005D68A0" w:rsidRDefault="0084326C" w:rsidP="00003A97">
            <w:pPr>
              <w:rPr>
                <w:rFonts w:ascii="Arial Narrow" w:hAnsi="Arial Narrow"/>
                <w:noProof/>
                <w:color w:val="006100"/>
                <w:sz w:val="20"/>
                <w:szCs w:val="20"/>
              </w:rPr>
            </w:pPr>
            <w:r>
              <w:rPr>
                <w:rFonts w:ascii="Arial Narrow" w:hAnsi="Arial Narrow"/>
                <w:noProof/>
                <w:color w:val="006100"/>
                <w:sz w:val="20"/>
              </w:rPr>
              <w:t>Sihtmärgiks olevate digitaalsete ressurssidega mõõdetakse selliste digiteeritud kultuuriväärtuste hulga suurenemist, mille digitaalseid reproduktsioone võib kasutada internetis digitaaltehnoloogia abil.</w:t>
            </w:r>
          </w:p>
          <w:p w14:paraId="15C4E6B9" w14:textId="77777777" w:rsidR="0084326C" w:rsidRPr="005D68A0" w:rsidRDefault="0084326C" w:rsidP="00003A97">
            <w:pPr>
              <w:rPr>
                <w:rFonts w:ascii="Arial Narrow" w:hAnsi="Arial Narrow"/>
                <w:noProof/>
                <w:color w:val="006100"/>
                <w:sz w:val="20"/>
                <w:szCs w:val="20"/>
              </w:rPr>
            </w:pPr>
            <w:r>
              <w:rPr>
                <w:rFonts w:ascii="Arial Narrow" w:hAnsi="Arial Narrow"/>
                <w:noProof/>
                <w:color w:val="006100"/>
                <w:sz w:val="20"/>
              </w:rPr>
              <w:t>Täidetavad digitaalsed ressursid hõlmavad järgmist : raamatute ja käsikirjade, dokumentide ja fotode, kunstiteoste ning ajalooliste ja arheoloogiliste artefaktide, monumentide ja arheoloogiliste paikade, audiovideomaterjalide digiteerimine, sealhulgas varasemate digiteerimiste ja metaandmete normaliseerimine</w:t>
            </w:r>
          </w:p>
          <w:p w14:paraId="3DD41249" w14:textId="77777777" w:rsidR="0084326C" w:rsidRPr="005D68A0" w:rsidRDefault="0084326C" w:rsidP="00003A97">
            <w:pPr>
              <w:rPr>
                <w:rFonts w:ascii="Arial Narrow" w:hAnsi="Arial Narrow"/>
                <w:noProof/>
                <w:color w:val="006100"/>
                <w:sz w:val="20"/>
                <w:szCs w:val="20"/>
              </w:rPr>
            </w:pPr>
            <w:r>
              <w:rPr>
                <w:rFonts w:ascii="Arial Narrow" w:hAnsi="Arial Narrow"/>
                <w:noProof/>
                <w:color w:val="006100"/>
                <w:sz w:val="20"/>
              </w:rPr>
              <w:t>Saajad: muuseumid, arhiivid, raamatukogud ja kultuuriinstituudid</w:t>
            </w:r>
          </w:p>
        </w:tc>
      </w:tr>
      <w:tr w:rsidR="0084326C" w:rsidRPr="00D90835" w14:paraId="20F87496" w14:textId="77777777" w:rsidTr="00003A97">
        <w:trPr>
          <w:trHeight w:val="309"/>
          <w:jc w:val="center"/>
        </w:trPr>
        <w:tc>
          <w:tcPr>
            <w:tcW w:w="366" w:type="pct"/>
            <w:shd w:val="clear" w:color="auto" w:fill="C6EFCE"/>
            <w:noWrap/>
            <w:vAlign w:val="center"/>
            <w:hideMark/>
          </w:tcPr>
          <w:p w14:paraId="058CDED7"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M1C3-3</w:t>
            </w:r>
          </w:p>
        </w:tc>
        <w:tc>
          <w:tcPr>
            <w:tcW w:w="460" w:type="pct"/>
            <w:shd w:val="clear" w:color="auto" w:fill="C6EFCE"/>
            <w:noWrap/>
            <w:vAlign w:val="center"/>
            <w:hideMark/>
          </w:tcPr>
          <w:p w14:paraId="084D88E5"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Investeering 1.2. Füüsiliste ja kognitiivsete tõkete eemaldamine muuseumides, raamatukogudes ja arhiivides, et võimaldada kultuurile laiemat juurdepääsu ja selles osalemist</w:t>
            </w:r>
          </w:p>
        </w:tc>
        <w:tc>
          <w:tcPr>
            <w:tcW w:w="368" w:type="pct"/>
            <w:shd w:val="clear" w:color="auto" w:fill="C6EFCE"/>
            <w:noWrap/>
            <w:vAlign w:val="center"/>
            <w:hideMark/>
          </w:tcPr>
          <w:p w14:paraId="218961CE"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Siht</w:t>
            </w:r>
          </w:p>
        </w:tc>
        <w:tc>
          <w:tcPr>
            <w:tcW w:w="436" w:type="pct"/>
            <w:shd w:val="clear" w:color="auto" w:fill="C6EFCE"/>
            <w:noWrap/>
            <w:vAlign w:val="center"/>
            <w:hideMark/>
          </w:tcPr>
          <w:p w14:paraId="2E79E08C"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Sekkumised füüsilise ja kognitiivse juurdepääsetavuse parandamiseks kultuuripaikades</w:t>
            </w:r>
          </w:p>
        </w:tc>
        <w:tc>
          <w:tcPr>
            <w:tcW w:w="520" w:type="pct"/>
            <w:shd w:val="clear" w:color="auto" w:fill="C6EFCE"/>
            <w:noWrap/>
            <w:vAlign w:val="center"/>
            <w:hideMark/>
          </w:tcPr>
          <w:p w14:paraId="14A823FE"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Ei kohaldata</w:t>
            </w:r>
          </w:p>
        </w:tc>
        <w:tc>
          <w:tcPr>
            <w:tcW w:w="368" w:type="pct"/>
            <w:shd w:val="clear" w:color="auto" w:fill="C6EFCE"/>
            <w:noWrap/>
            <w:vAlign w:val="center"/>
            <w:hideMark/>
          </w:tcPr>
          <w:p w14:paraId="1179858B"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Arv</w:t>
            </w:r>
          </w:p>
        </w:tc>
        <w:tc>
          <w:tcPr>
            <w:tcW w:w="368" w:type="pct"/>
            <w:shd w:val="clear" w:color="auto" w:fill="C6EFCE"/>
            <w:noWrap/>
            <w:vAlign w:val="center"/>
            <w:hideMark/>
          </w:tcPr>
          <w:p w14:paraId="7E04D6CC"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0</w:t>
            </w:r>
          </w:p>
        </w:tc>
        <w:tc>
          <w:tcPr>
            <w:tcW w:w="377" w:type="pct"/>
            <w:shd w:val="clear" w:color="auto" w:fill="C6EFCE"/>
            <w:noWrap/>
            <w:vAlign w:val="center"/>
            <w:hideMark/>
          </w:tcPr>
          <w:p w14:paraId="1AB13DE2"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617</w:t>
            </w:r>
          </w:p>
        </w:tc>
        <w:tc>
          <w:tcPr>
            <w:tcW w:w="321" w:type="pct"/>
            <w:shd w:val="clear" w:color="auto" w:fill="C6EFCE"/>
            <w:noWrap/>
            <w:vAlign w:val="center"/>
            <w:hideMark/>
          </w:tcPr>
          <w:p w14:paraId="1C9FBEA0"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2. kv</w:t>
            </w:r>
          </w:p>
        </w:tc>
        <w:tc>
          <w:tcPr>
            <w:tcW w:w="224" w:type="pct"/>
            <w:shd w:val="clear" w:color="auto" w:fill="C6EFCE"/>
            <w:noWrap/>
            <w:vAlign w:val="center"/>
            <w:hideMark/>
          </w:tcPr>
          <w:p w14:paraId="3760CA74"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2026</w:t>
            </w:r>
          </w:p>
        </w:tc>
        <w:tc>
          <w:tcPr>
            <w:tcW w:w="1192" w:type="pct"/>
            <w:shd w:val="clear" w:color="auto" w:fill="C6EFCE"/>
            <w:noWrap/>
            <w:vAlign w:val="center"/>
            <w:hideMark/>
          </w:tcPr>
          <w:p w14:paraId="1743A52D" w14:textId="77777777" w:rsidR="0084326C" w:rsidRPr="00F33804" w:rsidRDefault="0084326C" w:rsidP="00003A97">
            <w:pPr>
              <w:rPr>
                <w:rFonts w:ascii="Arial Narrow" w:hAnsi="Arial Narrow"/>
                <w:noProof/>
                <w:color w:val="006100"/>
                <w:sz w:val="20"/>
                <w:szCs w:val="20"/>
              </w:rPr>
            </w:pPr>
          </w:p>
          <w:p w14:paraId="19246B71" w14:textId="77777777" w:rsidR="0084326C" w:rsidRPr="005D68A0" w:rsidRDefault="0084326C" w:rsidP="00003A97">
            <w:pPr>
              <w:rPr>
                <w:rFonts w:ascii="Arial Narrow" w:hAnsi="Arial Narrow"/>
                <w:noProof/>
                <w:color w:val="006100"/>
                <w:sz w:val="20"/>
                <w:szCs w:val="20"/>
              </w:rPr>
            </w:pPr>
            <w:r>
              <w:rPr>
                <w:rFonts w:ascii="Arial Narrow" w:hAnsi="Arial Narrow"/>
                <w:noProof/>
                <w:color w:val="006100"/>
                <w:sz w:val="20"/>
              </w:rPr>
              <w:t>352 muuseumi, mälestisi/mälestisi, arheoloogilisi alasid ja parke, 129 arhiivi, 46 raamatukogu ja 90 mitteriiklikku kultuuriobjekti.</w:t>
            </w:r>
          </w:p>
          <w:p w14:paraId="253A9B74" w14:textId="77777777" w:rsidR="0084326C" w:rsidRPr="00F33804" w:rsidRDefault="0084326C" w:rsidP="00003A97">
            <w:pPr>
              <w:rPr>
                <w:rFonts w:ascii="Arial Narrow" w:hAnsi="Arial Narrow"/>
                <w:noProof/>
                <w:color w:val="006100"/>
                <w:sz w:val="20"/>
                <w:szCs w:val="20"/>
              </w:rPr>
            </w:pPr>
          </w:p>
          <w:p w14:paraId="546A7CF8" w14:textId="77777777" w:rsidR="0084326C" w:rsidRPr="005D68A0" w:rsidRDefault="0084326C" w:rsidP="00003A97">
            <w:pPr>
              <w:rPr>
                <w:rFonts w:ascii="Arial Narrow" w:hAnsi="Arial Narrow"/>
                <w:noProof/>
                <w:color w:val="006100"/>
                <w:sz w:val="20"/>
                <w:szCs w:val="20"/>
              </w:rPr>
            </w:pPr>
            <w:r>
              <w:rPr>
                <w:rFonts w:ascii="Arial Narrow" w:hAnsi="Arial Narrow"/>
                <w:noProof/>
                <w:color w:val="006100"/>
                <w:sz w:val="20"/>
              </w:rPr>
              <w:t>Sekkumised hõlmavad füüsilisi sekkumisi arhitektuuriliste tõkete eemaldamiseks ja tehnoloogiliste vahendite paigaldamist, et võimaldada nende kasutamist piiratud sensoorse võimekusega (kompleksne, heliline, haistmiskogemustega) ainete puhul.</w:t>
            </w:r>
          </w:p>
          <w:p w14:paraId="1449090B" w14:textId="77777777" w:rsidR="0084326C" w:rsidRPr="00F33804" w:rsidRDefault="0084326C" w:rsidP="00003A97">
            <w:pPr>
              <w:rPr>
                <w:rFonts w:ascii="Arial Narrow" w:hAnsi="Arial Narrow"/>
                <w:noProof/>
                <w:color w:val="006100"/>
                <w:sz w:val="20"/>
                <w:szCs w:val="20"/>
              </w:rPr>
            </w:pPr>
          </w:p>
          <w:p w14:paraId="50ECA165" w14:textId="77777777" w:rsidR="0084326C" w:rsidRPr="005D68A0" w:rsidRDefault="0084326C" w:rsidP="00003A97">
            <w:pPr>
              <w:rPr>
                <w:rFonts w:ascii="Arial Narrow" w:hAnsi="Arial Narrow"/>
                <w:noProof/>
                <w:color w:val="006100"/>
                <w:sz w:val="20"/>
                <w:szCs w:val="20"/>
              </w:rPr>
            </w:pPr>
            <w:r>
              <w:rPr>
                <w:rFonts w:ascii="Arial Narrow" w:hAnsi="Arial Narrow"/>
                <w:noProof/>
                <w:color w:val="006100"/>
                <w:sz w:val="20"/>
              </w:rPr>
              <w:t>37 % sekkumistest tehakse lõunapoolsetes piirkondades.</w:t>
            </w:r>
          </w:p>
        </w:tc>
      </w:tr>
      <w:tr w:rsidR="0084326C" w:rsidRPr="00D90835" w14:paraId="4F7AAF9D" w14:textId="77777777" w:rsidTr="00003A97">
        <w:trPr>
          <w:trHeight w:val="309"/>
          <w:jc w:val="center"/>
        </w:trPr>
        <w:tc>
          <w:tcPr>
            <w:tcW w:w="366" w:type="pct"/>
            <w:shd w:val="clear" w:color="auto" w:fill="C6EFCE"/>
            <w:noWrap/>
            <w:vAlign w:val="center"/>
            <w:hideMark/>
          </w:tcPr>
          <w:p w14:paraId="769D709C"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M1C3-4</w:t>
            </w:r>
          </w:p>
        </w:tc>
        <w:tc>
          <w:tcPr>
            <w:tcW w:w="460" w:type="pct"/>
            <w:shd w:val="clear" w:color="auto" w:fill="C6EFCE"/>
            <w:noWrap/>
            <w:vAlign w:val="center"/>
            <w:hideMark/>
          </w:tcPr>
          <w:p w14:paraId="10F613E0"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Investeering 1.3. Energiatõhususe parandamine kinodes, teatrites ja muuseumides</w:t>
            </w:r>
          </w:p>
        </w:tc>
        <w:tc>
          <w:tcPr>
            <w:tcW w:w="368" w:type="pct"/>
            <w:shd w:val="clear" w:color="auto" w:fill="C6EFCE"/>
            <w:noWrap/>
            <w:vAlign w:val="center"/>
            <w:hideMark/>
          </w:tcPr>
          <w:p w14:paraId="4B652DF3"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Siht</w:t>
            </w:r>
          </w:p>
        </w:tc>
        <w:tc>
          <w:tcPr>
            <w:tcW w:w="436" w:type="pct"/>
            <w:shd w:val="clear" w:color="auto" w:fill="C6EFCE"/>
            <w:noWrap/>
            <w:vAlign w:val="center"/>
            <w:hideMark/>
          </w:tcPr>
          <w:p w14:paraId="03A09840"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Sõnavõtud riigimuuseumide ja kultuuriobjektide, teatrihallide ja kinode kohta on lõpule viidud (esimene osa)</w:t>
            </w:r>
          </w:p>
        </w:tc>
        <w:tc>
          <w:tcPr>
            <w:tcW w:w="520" w:type="pct"/>
            <w:shd w:val="clear" w:color="auto" w:fill="C6EFCE"/>
            <w:noWrap/>
            <w:vAlign w:val="center"/>
            <w:hideMark/>
          </w:tcPr>
          <w:p w14:paraId="42FD81FA"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Ei kohaldata</w:t>
            </w:r>
          </w:p>
        </w:tc>
        <w:tc>
          <w:tcPr>
            <w:tcW w:w="368" w:type="pct"/>
            <w:shd w:val="clear" w:color="auto" w:fill="C6EFCE"/>
            <w:noWrap/>
            <w:vAlign w:val="center"/>
            <w:hideMark/>
          </w:tcPr>
          <w:p w14:paraId="12702C8A"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Arv</w:t>
            </w:r>
          </w:p>
        </w:tc>
        <w:tc>
          <w:tcPr>
            <w:tcW w:w="368" w:type="pct"/>
            <w:shd w:val="clear" w:color="auto" w:fill="C6EFCE"/>
            <w:noWrap/>
            <w:vAlign w:val="center"/>
            <w:hideMark/>
          </w:tcPr>
          <w:p w14:paraId="74696001"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0</w:t>
            </w:r>
          </w:p>
        </w:tc>
        <w:tc>
          <w:tcPr>
            <w:tcW w:w="377" w:type="pct"/>
            <w:shd w:val="clear" w:color="auto" w:fill="C6EFCE"/>
            <w:noWrap/>
            <w:vAlign w:val="center"/>
            <w:hideMark/>
          </w:tcPr>
          <w:p w14:paraId="0994F735"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80</w:t>
            </w:r>
          </w:p>
        </w:tc>
        <w:tc>
          <w:tcPr>
            <w:tcW w:w="321" w:type="pct"/>
            <w:shd w:val="clear" w:color="auto" w:fill="C6EFCE"/>
            <w:noWrap/>
            <w:vAlign w:val="center"/>
            <w:hideMark/>
          </w:tcPr>
          <w:p w14:paraId="32DC7503"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3. kv</w:t>
            </w:r>
          </w:p>
        </w:tc>
        <w:tc>
          <w:tcPr>
            <w:tcW w:w="224" w:type="pct"/>
            <w:shd w:val="clear" w:color="auto" w:fill="C6EFCE"/>
            <w:noWrap/>
            <w:vAlign w:val="center"/>
            <w:hideMark/>
          </w:tcPr>
          <w:p w14:paraId="4E81B5E0"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2023</w:t>
            </w:r>
          </w:p>
        </w:tc>
        <w:tc>
          <w:tcPr>
            <w:tcW w:w="1192" w:type="pct"/>
            <w:shd w:val="clear" w:color="auto" w:fill="C6EFCE"/>
            <w:noWrap/>
            <w:vAlign w:val="center"/>
            <w:hideMark/>
          </w:tcPr>
          <w:p w14:paraId="612B3EA5" w14:textId="77777777" w:rsidR="0084326C" w:rsidRPr="005D68A0" w:rsidRDefault="0084326C" w:rsidP="00003A97">
            <w:pPr>
              <w:rPr>
                <w:rFonts w:ascii="Arial Narrow" w:hAnsi="Arial Narrow"/>
                <w:noProof/>
                <w:color w:val="006100"/>
                <w:sz w:val="20"/>
                <w:szCs w:val="20"/>
              </w:rPr>
            </w:pPr>
            <w:r>
              <w:rPr>
                <w:rFonts w:ascii="Arial Narrow" w:hAnsi="Arial Narrow"/>
                <w:noProof/>
                <w:color w:val="006100"/>
                <w:sz w:val="20"/>
              </w:rPr>
              <w:t>Näitaja viitab lõpuleviidud sekkumiste arvule, mida tõendab tööde korrapärase teostamise sertifitseerimine.</w:t>
            </w:r>
          </w:p>
          <w:p w14:paraId="530F2BD6" w14:textId="77777777" w:rsidR="0084326C" w:rsidRPr="005D68A0" w:rsidRDefault="0084326C" w:rsidP="00003A97">
            <w:pPr>
              <w:rPr>
                <w:rFonts w:ascii="Arial Narrow" w:hAnsi="Arial Narrow"/>
                <w:noProof/>
                <w:color w:val="006100"/>
                <w:sz w:val="20"/>
                <w:szCs w:val="20"/>
              </w:rPr>
            </w:pPr>
            <w:r>
              <w:rPr>
                <w:rFonts w:ascii="Arial Narrow" w:hAnsi="Arial Narrow"/>
                <w:noProof/>
                <w:color w:val="006100"/>
                <w:sz w:val="20"/>
              </w:rPr>
              <w:t>Lõpuleviidavad sekkumised hõlmavad järgmist:</w:t>
            </w:r>
          </w:p>
          <w:p w14:paraId="0811A02A" w14:textId="77777777" w:rsidR="0084326C" w:rsidRPr="005D68A0" w:rsidRDefault="0084326C" w:rsidP="00003A97">
            <w:pPr>
              <w:ind w:left="315" w:hanging="315"/>
              <w:rPr>
                <w:rFonts w:ascii="Arial Narrow" w:hAnsi="Arial Narrow"/>
                <w:noProof/>
                <w:color w:val="006100"/>
                <w:sz w:val="20"/>
                <w:szCs w:val="20"/>
              </w:rPr>
            </w:pPr>
            <w:r>
              <w:rPr>
                <w:rFonts w:ascii="Arial Narrow" w:hAnsi="Arial Narrow"/>
                <w:noProof/>
                <w:color w:val="006100"/>
                <w:sz w:val="20"/>
              </w:rPr>
              <w:t>–</w:t>
            </w:r>
            <w:r>
              <w:rPr>
                <w:noProof/>
              </w:rPr>
              <w:tab/>
            </w:r>
            <w:r>
              <w:rPr>
                <w:rFonts w:ascii="Arial Narrow" w:hAnsi="Arial Narrow"/>
                <w:noProof/>
                <w:color w:val="006100"/>
                <w:sz w:val="20"/>
              </w:rPr>
              <w:t>tehniline ja majanduslik-rahaline planeerimine, energiaauditid, esialgsed keskkonnaanalüüsid, keskkonnamõju hindamine, leevendusmeetmed ja hindamised, mille eesmärk on teha kindlaks kriitilised probleemid, seejärel energiatõhususe parandamiseks võetavate sekkumismeetmete kindlakstegemine;</w:t>
            </w:r>
          </w:p>
          <w:p w14:paraId="273A228F" w14:textId="77777777" w:rsidR="0084326C" w:rsidRPr="005D68A0" w:rsidRDefault="0084326C" w:rsidP="00003A97">
            <w:pPr>
              <w:ind w:left="315" w:hanging="315"/>
              <w:rPr>
                <w:rFonts w:ascii="Arial Narrow" w:hAnsi="Arial Narrow"/>
                <w:noProof/>
                <w:color w:val="006100"/>
                <w:sz w:val="20"/>
                <w:szCs w:val="20"/>
              </w:rPr>
            </w:pPr>
            <w:r>
              <w:rPr>
                <w:rFonts w:ascii="Arial Narrow" w:hAnsi="Arial Narrow"/>
                <w:noProof/>
                <w:color w:val="006100"/>
                <w:sz w:val="20"/>
              </w:rPr>
              <w:t>–</w:t>
            </w:r>
            <w:r>
              <w:rPr>
                <w:noProof/>
              </w:rPr>
              <w:tab/>
            </w:r>
            <w:r>
              <w:rPr>
                <w:rFonts w:ascii="Arial Narrow" w:hAnsi="Arial Narrow"/>
                <w:noProof/>
                <w:color w:val="006100"/>
                <w:sz w:val="20"/>
              </w:rPr>
              <w:t>sõnavõtud hoone välispiirete kohta;</w:t>
            </w:r>
          </w:p>
          <w:p w14:paraId="7C4C7D5F" w14:textId="77777777" w:rsidR="0084326C" w:rsidRPr="005D68A0" w:rsidRDefault="0084326C" w:rsidP="00003A97">
            <w:pPr>
              <w:ind w:left="315" w:hanging="315"/>
              <w:rPr>
                <w:rFonts w:ascii="Arial Narrow" w:hAnsi="Arial Narrow"/>
                <w:noProof/>
                <w:color w:val="006100"/>
                <w:sz w:val="20"/>
                <w:szCs w:val="20"/>
              </w:rPr>
            </w:pPr>
            <w:r>
              <w:rPr>
                <w:rFonts w:ascii="Arial Narrow" w:hAnsi="Arial Narrow"/>
                <w:noProof/>
                <w:color w:val="006100"/>
                <w:sz w:val="20"/>
              </w:rPr>
              <w:t>–</w:t>
            </w:r>
            <w:r>
              <w:rPr>
                <w:noProof/>
              </w:rPr>
              <w:tab/>
            </w:r>
            <w:r>
              <w:rPr>
                <w:rFonts w:ascii="Arial Narrow" w:hAnsi="Arial Narrow"/>
                <w:noProof/>
                <w:color w:val="006100"/>
                <w:sz w:val="20"/>
              </w:rPr>
              <w:t>seadmete, tööriistade, süsteemide, seadmete, digitaalse rakendustarkvara ja nende tööks vajalike abivahendite asendamise/omandamise, patentide, litsentside ja oskusteabe omandamise sekkumisi;</w:t>
            </w:r>
          </w:p>
          <w:p w14:paraId="1D7292E9" w14:textId="77777777" w:rsidR="0084326C" w:rsidRPr="005D68A0" w:rsidRDefault="0084326C" w:rsidP="00003A97">
            <w:pPr>
              <w:ind w:left="315" w:hanging="315"/>
              <w:rPr>
                <w:rFonts w:ascii="Arial Narrow" w:hAnsi="Arial Narrow"/>
                <w:noProof/>
                <w:color w:val="006100"/>
                <w:sz w:val="20"/>
                <w:szCs w:val="20"/>
              </w:rPr>
            </w:pPr>
            <w:r>
              <w:rPr>
                <w:rFonts w:ascii="Arial Narrow" w:hAnsi="Arial Narrow"/>
                <w:noProof/>
                <w:color w:val="006100"/>
                <w:sz w:val="20"/>
              </w:rPr>
              <w:t>–</w:t>
            </w:r>
            <w:r>
              <w:rPr>
                <w:noProof/>
              </w:rPr>
              <w:tab/>
            </w:r>
            <w:r>
              <w:rPr>
                <w:rFonts w:ascii="Arial Narrow" w:hAnsi="Arial Narrow"/>
                <w:noProof/>
                <w:color w:val="006100"/>
                <w:sz w:val="20"/>
              </w:rPr>
              <w:t>intelligentsete kaugjuhtimis-, reguleerimis-, juhtimis-, seire- ja optimeerimissüsteemide paigaldamine energiatarbimise (arukad ehitised) ja saasteainete heite jaoks, kasutades selleks ka tehnoloogilisi kombinatsioone.</w:t>
            </w:r>
          </w:p>
        </w:tc>
      </w:tr>
      <w:tr w:rsidR="0084326C" w:rsidRPr="00D90835" w14:paraId="624BE316" w14:textId="77777777" w:rsidTr="00003A97">
        <w:trPr>
          <w:trHeight w:val="309"/>
          <w:jc w:val="center"/>
        </w:trPr>
        <w:tc>
          <w:tcPr>
            <w:tcW w:w="366" w:type="pct"/>
            <w:shd w:val="clear" w:color="auto" w:fill="C6EFCE"/>
            <w:noWrap/>
            <w:vAlign w:val="center"/>
            <w:hideMark/>
          </w:tcPr>
          <w:p w14:paraId="30AFF201"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M1C3-5</w:t>
            </w:r>
          </w:p>
        </w:tc>
        <w:tc>
          <w:tcPr>
            <w:tcW w:w="460" w:type="pct"/>
            <w:shd w:val="clear" w:color="auto" w:fill="C6EFCE"/>
            <w:noWrap/>
            <w:vAlign w:val="center"/>
            <w:hideMark/>
          </w:tcPr>
          <w:p w14:paraId="68E3CD47"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Investeering 1.3. Energiatõhususe parandamine kinodes, teatrites ja muuseumides</w:t>
            </w:r>
          </w:p>
        </w:tc>
        <w:tc>
          <w:tcPr>
            <w:tcW w:w="368" w:type="pct"/>
            <w:shd w:val="clear" w:color="auto" w:fill="C6EFCE"/>
            <w:noWrap/>
            <w:vAlign w:val="center"/>
            <w:hideMark/>
          </w:tcPr>
          <w:p w14:paraId="0647107C"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Siht</w:t>
            </w:r>
          </w:p>
        </w:tc>
        <w:tc>
          <w:tcPr>
            <w:tcW w:w="436" w:type="pct"/>
            <w:shd w:val="clear" w:color="auto" w:fill="C6EFCE"/>
            <w:noWrap/>
            <w:vAlign w:val="center"/>
            <w:hideMark/>
          </w:tcPr>
          <w:p w14:paraId="6F5029E7"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Sõnavõtud riigimuuseumide ja kultuuriobjektide, teatrihallide ja kinode kohta on lõpule viidud (teine osa)</w:t>
            </w:r>
          </w:p>
        </w:tc>
        <w:tc>
          <w:tcPr>
            <w:tcW w:w="520" w:type="pct"/>
            <w:shd w:val="clear" w:color="auto" w:fill="C6EFCE"/>
            <w:noWrap/>
            <w:vAlign w:val="center"/>
            <w:hideMark/>
          </w:tcPr>
          <w:p w14:paraId="71648058"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Ei kohaldata</w:t>
            </w:r>
          </w:p>
        </w:tc>
        <w:tc>
          <w:tcPr>
            <w:tcW w:w="368" w:type="pct"/>
            <w:shd w:val="clear" w:color="auto" w:fill="C6EFCE"/>
            <w:noWrap/>
            <w:vAlign w:val="center"/>
            <w:hideMark/>
          </w:tcPr>
          <w:p w14:paraId="379CB2DF"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Arv</w:t>
            </w:r>
          </w:p>
        </w:tc>
        <w:tc>
          <w:tcPr>
            <w:tcW w:w="368" w:type="pct"/>
            <w:shd w:val="clear" w:color="auto" w:fill="C6EFCE"/>
            <w:noWrap/>
            <w:vAlign w:val="center"/>
            <w:hideMark/>
          </w:tcPr>
          <w:p w14:paraId="1186D514"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0</w:t>
            </w:r>
          </w:p>
        </w:tc>
        <w:tc>
          <w:tcPr>
            <w:tcW w:w="377" w:type="pct"/>
            <w:shd w:val="clear" w:color="auto" w:fill="C6EFCE"/>
            <w:noWrap/>
            <w:vAlign w:val="center"/>
            <w:hideMark/>
          </w:tcPr>
          <w:p w14:paraId="7CA91F5A"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420</w:t>
            </w:r>
          </w:p>
        </w:tc>
        <w:tc>
          <w:tcPr>
            <w:tcW w:w="321" w:type="pct"/>
            <w:shd w:val="clear" w:color="auto" w:fill="C6EFCE"/>
            <w:noWrap/>
            <w:vAlign w:val="center"/>
            <w:hideMark/>
          </w:tcPr>
          <w:p w14:paraId="7F24BDA5"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4. kv</w:t>
            </w:r>
          </w:p>
        </w:tc>
        <w:tc>
          <w:tcPr>
            <w:tcW w:w="224" w:type="pct"/>
            <w:shd w:val="clear" w:color="auto" w:fill="C6EFCE"/>
            <w:noWrap/>
            <w:vAlign w:val="center"/>
            <w:hideMark/>
          </w:tcPr>
          <w:p w14:paraId="3F8C702E"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2025</w:t>
            </w:r>
          </w:p>
        </w:tc>
        <w:tc>
          <w:tcPr>
            <w:tcW w:w="1192" w:type="pct"/>
            <w:shd w:val="clear" w:color="auto" w:fill="C6EFCE"/>
            <w:noWrap/>
            <w:vAlign w:val="center"/>
            <w:hideMark/>
          </w:tcPr>
          <w:p w14:paraId="09B87DB0" w14:textId="77777777" w:rsidR="0084326C" w:rsidRPr="005D68A0" w:rsidRDefault="0084326C" w:rsidP="00003A97">
            <w:pPr>
              <w:rPr>
                <w:rFonts w:ascii="Arial Narrow" w:hAnsi="Arial Narrow"/>
                <w:noProof/>
                <w:color w:val="006100"/>
                <w:sz w:val="20"/>
                <w:szCs w:val="20"/>
              </w:rPr>
            </w:pPr>
            <w:r>
              <w:rPr>
                <w:rFonts w:ascii="Arial Narrow" w:hAnsi="Arial Narrow"/>
                <w:noProof/>
                <w:color w:val="006100"/>
                <w:sz w:val="20"/>
              </w:rPr>
              <w:t>Näitaja viitab 55 sekkumisele riigimuuseumide ja kultuuriobjektide, 230 teatrihalli ja 135 kino puhul, mille kohta on sõlmitud teoste korrapärase teostamise sertifikaat.</w:t>
            </w:r>
          </w:p>
          <w:p w14:paraId="05BA8EC6" w14:textId="77777777" w:rsidR="0084326C" w:rsidRPr="005D68A0" w:rsidRDefault="0084326C" w:rsidP="00003A97">
            <w:pPr>
              <w:rPr>
                <w:rFonts w:ascii="Arial Narrow" w:hAnsi="Arial Narrow"/>
                <w:noProof/>
                <w:color w:val="006100"/>
                <w:sz w:val="20"/>
                <w:szCs w:val="20"/>
              </w:rPr>
            </w:pPr>
            <w:r>
              <w:rPr>
                <w:rFonts w:ascii="Arial Narrow" w:hAnsi="Arial Narrow"/>
                <w:noProof/>
                <w:color w:val="006100"/>
                <w:sz w:val="20"/>
              </w:rPr>
              <w:t>Lõpuleviidavad sekkumised hõlmavad järgmist:</w:t>
            </w:r>
          </w:p>
          <w:p w14:paraId="6104007E" w14:textId="77777777" w:rsidR="0084326C" w:rsidRPr="005D68A0" w:rsidRDefault="0084326C" w:rsidP="00003A97">
            <w:pPr>
              <w:ind w:left="173" w:hanging="173"/>
              <w:rPr>
                <w:rFonts w:ascii="Arial Narrow" w:hAnsi="Arial Narrow"/>
                <w:noProof/>
                <w:color w:val="006100"/>
                <w:sz w:val="20"/>
                <w:szCs w:val="20"/>
              </w:rPr>
            </w:pPr>
            <w:r>
              <w:rPr>
                <w:rFonts w:ascii="Arial Narrow" w:hAnsi="Arial Narrow"/>
                <w:noProof/>
                <w:color w:val="006100"/>
                <w:sz w:val="20"/>
              </w:rPr>
              <w:t>–</w:t>
            </w:r>
            <w:r>
              <w:rPr>
                <w:noProof/>
              </w:rPr>
              <w:tab/>
            </w:r>
            <w:r>
              <w:rPr>
                <w:rFonts w:ascii="Arial Narrow" w:hAnsi="Arial Narrow"/>
                <w:noProof/>
                <w:color w:val="006100"/>
                <w:sz w:val="20"/>
              </w:rPr>
              <w:t>tehniline ja majanduslik-rahaline planeerimine, energiaauditid, esialgsed keskkonnaanalüüsid, keskkonnamõju hindamine, leevendusmeetmed ja hindamised, mille eesmärk on teha kindlaks kriitilised probleemid, seejärel energiatõhususe parandamiseks võetavate sekkumismeetmete kindlakstegemine;</w:t>
            </w:r>
          </w:p>
          <w:p w14:paraId="7193D54F" w14:textId="77777777" w:rsidR="0084326C" w:rsidRPr="005D68A0" w:rsidRDefault="0084326C" w:rsidP="00003A97">
            <w:pPr>
              <w:ind w:left="173" w:hanging="173"/>
              <w:rPr>
                <w:rFonts w:ascii="Arial Narrow" w:hAnsi="Arial Narrow"/>
                <w:noProof/>
                <w:color w:val="006100"/>
                <w:sz w:val="20"/>
                <w:szCs w:val="20"/>
              </w:rPr>
            </w:pPr>
            <w:r>
              <w:rPr>
                <w:rFonts w:ascii="Arial Narrow" w:hAnsi="Arial Narrow"/>
                <w:noProof/>
                <w:color w:val="006100"/>
                <w:sz w:val="20"/>
              </w:rPr>
              <w:t>–</w:t>
            </w:r>
            <w:r>
              <w:rPr>
                <w:noProof/>
              </w:rPr>
              <w:tab/>
            </w:r>
            <w:r>
              <w:rPr>
                <w:rFonts w:ascii="Arial Narrow" w:hAnsi="Arial Narrow"/>
                <w:noProof/>
                <w:color w:val="006100"/>
                <w:sz w:val="20"/>
              </w:rPr>
              <w:t>sõnavõtud hoone välispiirete kohta;</w:t>
            </w:r>
          </w:p>
          <w:p w14:paraId="4F6B3B59" w14:textId="77777777" w:rsidR="0084326C" w:rsidRPr="005D68A0" w:rsidRDefault="0084326C" w:rsidP="00003A97">
            <w:pPr>
              <w:ind w:left="173" w:hanging="173"/>
              <w:rPr>
                <w:rFonts w:ascii="Arial Narrow" w:hAnsi="Arial Narrow"/>
                <w:noProof/>
                <w:color w:val="006100"/>
                <w:sz w:val="20"/>
                <w:szCs w:val="20"/>
              </w:rPr>
            </w:pPr>
            <w:r>
              <w:rPr>
                <w:rFonts w:ascii="Arial Narrow" w:hAnsi="Arial Narrow"/>
                <w:noProof/>
                <w:color w:val="006100"/>
                <w:sz w:val="20"/>
              </w:rPr>
              <w:t>–</w:t>
            </w:r>
            <w:r>
              <w:rPr>
                <w:noProof/>
              </w:rPr>
              <w:tab/>
            </w:r>
            <w:r>
              <w:rPr>
                <w:rFonts w:ascii="Arial Narrow" w:hAnsi="Arial Narrow"/>
                <w:noProof/>
                <w:color w:val="006100"/>
                <w:sz w:val="20"/>
              </w:rPr>
              <w:t>seadmete, tööriistade, süsteemide, seadmete, digitaalse rakendustarkvara ja nende tööks vajalike abivahendite asendamise/omandamise, patentide, litsentside ja oskusteabe omandamise sekkumisi;</w:t>
            </w:r>
          </w:p>
          <w:p w14:paraId="5FD0A4B7" w14:textId="77777777" w:rsidR="0084326C" w:rsidRPr="005D68A0" w:rsidRDefault="0084326C" w:rsidP="00003A97">
            <w:pPr>
              <w:ind w:left="173" w:hanging="173"/>
              <w:rPr>
                <w:rFonts w:ascii="Arial Narrow" w:hAnsi="Arial Narrow"/>
                <w:noProof/>
                <w:color w:val="006100"/>
                <w:sz w:val="20"/>
                <w:szCs w:val="20"/>
              </w:rPr>
            </w:pPr>
            <w:r>
              <w:rPr>
                <w:rFonts w:ascii="Arial Narrow" w:hAnsi="Arial Narrow"/>
                <w:noProof/>
                <w:color w:val="006100"/>
                <w:sz w:val="20"/>
              </w:rPr>
              <w:t>–</w:t>
            </w:r>
            <w:r>
              <w:rPr>
                <w:noProof/>
              </w:rPr>
              <w:tab/>
            </w:r>
            <w:r>
              <w:rPr>
                <w:rFonts w:ascii="Arial Narrow" w:hAnsi="Arial Narrow"/>
                <w:noProof/>
                <w:color w:val="006100"/>
                <w:sz w:val="20"/>
              </w:rPr>
              <w:t>intelligentsete kaugjuhtimis-, reguleerimis-, juhtimis-, seire- ja optimeerimissüsteemide paigaldamine energiatarbimise (arukad ehitised) ja saasteainete heite jaoks, kasutades selleks ka tehnoloogilisi kombinatsioone.</w:t>
            </w:r>
          </w:p>
        </w:tc>
      </w:tr>
      <w:tr w:rsidR="0084326C" w:rsidRPr="00D90835" w14:paraId="389213BD" w14:textId="77777777" w:rsidTr="00003A97">
        <w:trPr>
          <w:trHeight w:val="309"/>
          <w:jc w:val="center"/>
        </w:trPr>
        <w:tc>
          <w:tcPr>
            <w:tcW w:w="366" w:type="pct"/>
            <w:shd w:val="clear" w:color="auto" w:fill="C6EFCE"/>
            <w:noWrap/>
            <w:vAlign w:val="center"/>
            <w:hideMark/>
          </w:tcPr>
          <w:p w14:paraId="14539E55"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M1C3-6</w:t>
            </w:r>
          </w:p>
        </w:tc>
        <w:tc>
          <w:tcPr>
            <w:tcW w:w="460" w:type="pct"/>
            <w:shd w:val="clear" w:color="auto" w:fill="C6EFCE"/>
            <w:noWrap/>
            <w:vAlign w:val="center"/>
            <w:hideMark/>
          </w:tcPr>
          <w:p w14:paraId="66EDE676"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Reform 3.1. Kultuuriürituste minimaalsete keskkonnakriteeriumide vastuvõtmine</w:t>
            </w:r>
          </w:p>
        </w:tc>
        <w:tc>
          <w:tcPr>
            <w:tcW w:w="368" w:type="pct"/>
            <w:shd w:val="clear" w:color="auto" w:fill="C6EFCE"/>
            <w:noWrap/>
            <w:vAlign w:val="center"/>
            <w:hideMark/>
          </w:tcPr>
          <w:p w14:paraId="4FAF36ED"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Eesmärk</w:t>
            </w:r>
          </w:p>
        </w:tc>
        <w:tc>
          <w:tcPr>
            <w:tcW w:w="436" w:type="pct"/>
            <w:shd w:val="clear" w:color="auto" w:fill="C6EFCE"/>
            <w:noWrap/>
            <w:vAlign w:val="center"/>
            <w:hideMark/>
          </w:tcPr>
          <w:p w14:paraId="0FDAF7D2"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Jõustub määrus, millega määratakse kindlaks riiklikult rahastatavate kultuuriüritustega seotud riigihangete sotsiaalsed ja keskkonnaalased kriteeriumid</w:t>
            </w:r>
          </w:p>
        </w:tc>
        <w:tc>
          <w:tcPr>
            <w:tcW w:w="520" w:type="pct"/>
            <w:shd w:val="clear" w:color="auto" w:fill="C6EFCE"/>
            <w:noWrap/>
            <w:vAlign w:val="center"/>
            <w:hideMark/>
          </w:tcPr>
          <w:p w14:paraId="5E61DEF9"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Dekreedi säte, milles mainitakse kultuurisündmuste minimaalsete keskkonnakriteeriumide vastuvõtmist käsitleva dekreedi jõustumist</w:t>
            </w:r>
          </w:p>
        </w:tc>
        <w:tc>
          <w:tcPr>
            <w:tcW w:w="368" w:type="pct"/>
            <w:shd w:val="clear" w:color="auto" w:fill="C6EFCE"/>
            <w:noWrap/>
            <w:vAlign w:val="center"/>
            <w:hideMark/>
          </w:tcPr>
          <w:p w14:paraId="6BB3CC53"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Ei kohaldata</w:t>
            </w:r>
          </w:p>
        </w:tc>
        <w:tc>
          <w:tcPr>
            <w:tcW w:w="368" w:type="pct"/>
            <w:shd w:val="clear" w:color="auto" w:fill="C6EFCE"/>
            <w:noWrap/>
            <w:vAlign w:val="center"/>
            <w:hideMark/>
          </w:tcPr>
          <w:p w14:paraId="6BB26C22"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Ei kohaldata</w:t>
            </w:r>
          </w:p>
        </w:tc>
        <w:tc>
          <w:tcPr>
            <w:tcW w:w="377" w:type="pct"/>
            <w:shd w:val="clear" w:color="auto" w:fill="C6EFCE"/>
            <w:noWrap/>
            <w:vAlign w:val="center"/>
            <w:hideMark/>
          </w:tcPr>
          <w:p w14:paraId="36EB486B"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Ei kohaldata</w:t>
            </w:r>
          </w:p>
        </w:tc>
        <w:tc>
          <w:tcPr>
            <w:tcW w:w="321" w:type="pct"/>
            <w:shd w:val="clear" w:color="auto" w:fill="C6EFCE"/>
            <w:noWrap/>
            <w:vAlign w:val="center"/>
            <w:hideMark/>
          </w:tcPr>
          <w:p w14:paraId="7B45F248"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4. kv</w:t>
            </w:r>
          </w:p>
        </w:tc>
        <w:tc>
          <w:tcPr>
            <w:tcW w:w="224" w:type="pct"/>
            <w:shd w:val="clear" w:color="auto" w:fill="C6EFCE"/>
            <w:noWrap/>
            <w:vAlign w:val="center"/>
            <w:hideMark/>
          </w:tcPr>
          <w:p w14:paraId="456CA3F3"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2022</w:t>
            </w:r>
          </w:p>
        </w:tc>
        <w:tc>
          <w:tcPr>
            <w:tcW w:w="1192" w:type="pct"/>
            <w:shd w:val="clear" w:color="auto" w:fill="C6EFCE"/>
            <w:noWrap/>
            <w:vAlign w:val="center"/>
            <w:hideMark/>
          </w:tcPr>
          <w:p w14:paraId="73DA7B6A" w14:textId="77777777" w:rsidR="0084326C" w:rsidRPr="005D68A0" w:rsidRDefault="0084326C" w:rsidP="00003A97">
            <w:pPr>
              <w:rPr>
                <w:rFonts w:ascii="Arial Narrow" w:hAnsi="Arial Narrow"/>
                <w:noProof/>
                <w:color w:val="006100"/>
                <w:sz w:val="20"/>
                <w:szCs w:val="20"/>
              </w:rPr>
            </w:pPr>
            <w:r>
              <w:rPr>
                <w:rFonts w:ascii="Arial Narrow" w:hAnsi="Arial Narrow"/>
                <w:noProof/>
                <w:color w:val="006100"/>
                <w:sz w:val="20"/>
              </w:rPr>
              <w:t>Võetakse vastu kriteeriumid järgmiste aspektide kohta: paberi ja trükiste kasutamise vähendamine, keskkonnasõbralike materjalide kasutamine, ringlusse võetud ja korduskasutatud materjalidest ja säästvatest sisustusmaterjalidest valmistatud lavastamine, vähese keskkonnamõjuga kingad, asukoha valimine bioloogilise mitmekesisuse kaitse alusel, vähese keskkonnamõjuga toitlustusteenused, transport üritusele jõudmiseks ja materjalide transportimiseks, energiatarbimine ürituse korraldamiseks.</w:t>
            </w:r>
          </w:p>
          <w:p w14:paraId="1FBD7F0E" w14:textId="77777777" w:rsidR="0084326C" w:rsidRPr="005D68A0" w:rsidRDefault="0084326C" w:rsidP="00003A97">
            <w:pPr>
              <w:rPr>
                <w:rFonts w:ascii="Arial Narrow" w:hAnsi="Arial Narrow"/>
                <w:noProof/>
                <w:color w:val="006100"/>
                <w:sz w:val="20"/>
                <w:szCs w:val="20"/>
              </w:rPr>
            </w:pPr>
            <w:r>
              <w:rPr>
                <w:rFonts w:ascii="Arial Narrow" w:hAnsi="Arial Narrow"/>
                <w:noProof/>
                <w:color w:val="006100"/>
                <w:sz w:val="20"/>
              </w:rPr>
              <w:t>Juurdepääsetavust ja kaasatust edendavad sotsiaalsed kriteeriumid hõlmavad järgmist: puuetega inimeste juurdepääsetavuse edendamine; noorte, pikaajaliste töötute, ebasoodsas olukorras olevatesse rühmadesse kuuluvate inimeste (nt võõrtöötajad ja rahvusvähemused) ja puuetega inimeste tööhõivevõimaluste edendamine; tagada võrdne juurdepääs hangetele ettevõtetele, mille omanikud või töötajad kuuluvad etnilistesse või vähemusrühmadesse, nagu ühistud, sotsiaalsed ettevõtted ja mittetulundusühendused; inimväärse töö edendamine tähendab õigust produktiivsele ja vabalt valitud tööle, aluspõhimõtetele ja -õigustele töökohal, inimväärsele töötasule, sotsiaalkaitsele ja sotsiaaldialoogile.</w:t>
            </w:r>
          </w:p>
          <w:p w14:paraId="43C00524" w14:textId="77777777" w:rsidR="0084326C" w:rsidRPr="005D68A0" w:rsidRDefault="0084326C" w:rsidP="00003A97">
            <w:pPr>
              <w:rPr>
                <w:rFonts w:ascii="Arial Narrow" w:hAnsi="Arial Narrow"/>
                <w:noProof/>
                <w:color w:val="006100"/>
                <w:sz w:val="20"/>
                <w:szCs w:val="20"/>
              </w:rPr>
            </w:pPr>
            <w:r>
              <w:rPr>
                <w:rFonts w:ascii="Arial Narrow" w:hAnsi="Arial Narrow"/>
                <w:noProof/>
                <w:color w:val="006100"/>
                <w:sz w:val="20"/>
              </w:rPr>
              <w:t>Reform hõlmab kultuuriüritusi, nagu näitused, festivalid ja etenduskunstide üritused.</w:t>
            </w:r>
          </w:p>
        </w:tc>
      </w:tr>
      <w:tr w:rsidR="0084326C" w:rsidRPr="00D90835" w14:paraId="57B8DA75" w14:textId="77777777" w:rsidTr="00003A97">
        <w:trPr>
          <w:trHeight w:val="309"/>
          <w:jc w:val="center"/>
        </w:trPr>
        <w:tc>
          <w:tcPr>
            <w:tcW w:w="366" w:type="pct"/>
            <w:shd w:val="clear" w:color="auto" w:fill="C6EFCE"/>
            <w:noWrap/>
            <w:vAlign w:val="center"/>
            <w:hideMark/>
          </w:tcPr>
          <w:p w14:paraId="570C1572"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M1C3-7</w:t>
            </w:r>
          </w:p>
        </w:tc>
        <w:tc>
          <w:tcPr>
            <w:tcW w:w="460" w:type="pct"/>
            <w:shd w:val="clear" w:color="auto" w:fill="C6EFCE"/>
            <w:noWrap/>
            <w:vAlign w:val="center"/>
            <w:hideMark/>
          </w:tcPr>
          <w:p w14:paraId="059FA3D0"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Investeering 3.3. Kultuurivaldkonna ettevõtjate suutlikkuse suurendamine, et juhtida digiüleminekut ja rohelist üleminekut.</w:t>
            </w:r>
          </w:p>
        </w:tc>
        <w:tc>
          <w:tcPr>
            <w:tcW w:w="368" w:type="pct"/>
            <w:shd w:val="clear" w:color="auto" w:fill="C6EFCE"/>
            <w:noWrap/>
            <w:vAlign w:val="center"/>
            <w:hideMark/>
          </w:tcPr>
          <w:p w14:paraId="585C1D88"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Eesmärk</w:t>
            </w:r>
          </w:p>
        </w:tc>
        <w:tc>
          <w:tcPr>
            <w:tcW w:w="436" w:type="pct"/>
            <w:shd w:val="clear" w:color="auto" w:fill="C6EFCE"/>
            <w:noWrap/>
            <w:vAlign w:val="center"/>
            <w:hideMark/>
          </w:tcPr>
          <w:p w14:paraId="60E5C25F"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Kõigi riigihankelepingute sõlmimine rakendusorganisatsiooni(de)/toetusesaajatega kõigi sekkumiste jaoks, et juhtida kultuurivaldkonnas tegutsejate üleminekut digitehnoloogiale ja keskkonnahoidlikule majandusele</w:t>
            </w:r>
          </w:p>
        </w:tc>
        <w:tc>
          <w:tcPr>
            <w:tcW w:w="520" w:type="pct"/>
            <w:shd w:val="clear" w:color="auto" w:fill="C6EFCE"/>
            <w:noWrap/>
            <w:vAlign w:val="center"/>
            <w:hideMark/>
          </w:tcPr>
          <w:p w14:paraId="695E99CA"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Teade kõigi selliste organisatsioonide ja võrgustikega seotud riigihankelepingute sõlmimise kohta, kes vastutavad suutlikkuse suurendamise meetmete elluviimise eest</w:t>
            </w:r>
          </w:p>
        </w:tc>
        <w:tc>
          <w:tcPr>
            <w:tcW w:w="368" w:type="pct"/>
            <w:shd w:val="clear" w:color="auto" w:fill="C6EFCE"/>
            <w:noWrap/>
            <w:vAlign w:val="center"/>
            <w:hideMark/>
          </w:tcPr>
          <w:p w14:paraId="6D3ECE12"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Ei kohaldata</w:t>
            </w:r>
          </w:p>
        </w:tc>
        <w:tc>
          <w:tcPr>
            <w:tcW w:w="368" w:type="pct"/>
            <w:shd w:val="clear" w:color="auto" w:fill="C6EFCE"/>
            <w:noWrap/>
            <w:vAlign w:val="center"/>
            <w:hideMark/>
          </w:tcPr>
          <w:p w14:paraId="1D7473C4"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Ei kohaldata</w:t>
            </w:r>
          </w:p>
        </w:tc>
        <w:tc>
          <w:tcPr>
            <w:tcW w:w="377" w:type="pct"/>
            <w:shd w:val="clear" w:color="auto" w:fill="C6EFCE"/>
            <w:noWrap/>
            <w:vAlign w:val="center"/>
            <w:hideMark/>
          </w:tcPr>
          <w:p w14:paraId="1789D6FC"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Ei kohaldata</w:t>
            </w:r>
          </w:p>
        </w:tc>
        <w:tc>
          <w:tcPr>
            <w:tcW w:w="321" w:type="pct"/>
            <w:shd w:val="clear" w:color="auto" w:fill="C6EFCE"/>
            <w:noWrap/>
            <w:vAlign w:val="center"/>
            <w:hideMark/>
          </w:tcPr>
          <w:p w14:paraId="1E093E8A"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4. kv</w:t>
            </w:r>
          </w:p>
        </w:tc>
        <w:tc>
          <w:tcPr>
            <w:tcW w:w="224" w:type="pct"/>
            <w:shd w:val="clear" w:color="auto" w:fill="C6EFCE"/>
            <w:noWrap/>
            <w:vAlign w:val="center"/>
            <w:hideMark/>
          </w:tcPr>
          <w:p w14:paraId="63B1086D"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2023</w:t>
            </w:r>
          </w:p>
        </w:tc>
        <w:tc>
          <w:tcPr>
            <w:tcW w:w="1192" w:type="pct"/>
            <w:shd w:val="clear" w:color="auto" w:fill="C6EFCE"/>
            <w:noWrap/>
            <w:vAlign w:val="center"/>
            <w:hideMark/>
          </w:tcPr>
          <w:p w14:paraId="199D24B4" w14:textId="77777777" w:rsidR="0084326C" w:rsidRPr="005D68A0" w:rsidRDefault="0084326C" w:rsidP="00003A97">
            <w:pPr>
              <w:rPr>
                <w:rFonts w:ascii="Arial Narrow" w:hAnsi="Arial Narrow"/>
                <w:noProof/>
                <w:color w:val="006100"/>
                <w:sz w:val="20"/>
                <w:szCs w:val="20"/>
              </w:rPr>
            </w:pPr>
            <w:r>
              <w:rPr>
                <w:rFonts w:ascii="Arial Narrow" w:hAnsi="Arial Narrow"/>
                <w:noProof/>
                <w:color w:val="006100"/>
                <w:sz w:val="20"/>
              </w:rPr>
              <w:t>Valitud rakendusasutused on spetsialiseeritud organisatsioonid või võrgustikud, kellel on oskused ja kogemused nii koolituse kui ka kultuuriloome, keskkonna, kultuurijuhtimise ja -koolituse valdkonnas.</w:t>
            </w:r>
          </w:p>
          <w:p w14:paraId="3C95BE78" w14:textId="4DED5AE8" w:rsidR="0084326C" w:rsidRPr="005D68A0" w:rsidRDefault="0084326C" w:rsidP="00003A97">
            <w:pPr>
              <w:rPr>
                <w:rFonts w:ascii="Arial Narrow" w:hAnsi="Arial Narrow"/>
                <w:noProof/>
                <w:color w:val="006100"/>
                <w:sz w:val="20"/>
                <w:szCs w:val="20"/>
              </w:rPr>
            </w:pPr>
            <w:r>
              <w:rPr>
                <w:rFonts w:ascii="Arial Narrow" w:hAnsi="Arial Narrow"/>
                <w:noProof/>
                <w:color w:val="006100"/>
                <w:sz w:val="20"/>
              </w:rPr>
              <w:t>Teade kõigi riigihankelepingute sõlmimise kohta projektide puhul, mis on välja valitud konkursikutsete alusel, peab vastama tehnilisele juhendile „Mitte tekitada olulist kahju“ (2021/C58/01), kasutades kõrvalejätmise loetelu ning asjaomaste ELi ja riiklike keskkonnaalaste õigusaktide järgimise nõuet.</w:t>
            </w:r>
          </w:p>
        </w:tc>
      </w:tr>
      <w:tr w:rsidR="0084326C" w:rsidRPr="00D90835" w14:paraId="3A95F5A2" w14:textId="77777777" w:rsidTr="00003A97">
        <w:trPr>
          <w:trHeight w:val="309"/>
          <w:jc w:val="center"/>
        </w:trPr>
        <w:tc>
          <w:tcPr>
            <w:tcW w:w="366" w:type="pct"/>
            <w:shd w:val="clear" w:color="auto" w:fill="C6EFCE"/>
            <w:noWrap/>
            <w:vAlign w:val="center"/>
            <w:hideMark/>
          </w:tcPr>
          <w:p w14:paraId="69A1A4AD"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M1C3-8</w:t>
            </w:r>
          </w:p>
        </w:tc>
        <w:tc>
          <w:tcPr>
            <w:tcW w:w="460" w:type="pct"/>
            <w:shd w:val="clear" w:color="auto" w:fill="C6EFCE"/>
            <w:noWrap/>
            <w:vAlign w:val="center"/>
            <w:hideMark/>
          </w:tcPr>
          <w:p w14:paraId="79376972"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Investeering 4.1. Digitaalne turismikeskus</w:t>
            </w:r>
          </w:p>
        </w:tc>
        <w:tc>
          <w:tcPr>
            <w:tcW w:w="368" w:type="pct"/>
            <w:shd w:val="clear" w:color="auto" w:fill="C6EFCE"/>
            <w:noWrap/>
            <w:vAlign w:val="center"/>
            <w:hideMark/>
          </w:tcPr>
          <w:p w14:paraId="5DD52A21"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Eesmärk</w:t>
            </w:r>
          </w:p>
        </w:tc>
        <w:tc>
          <w:tcPr>
            <w:tcW w:w="436" w:type="pct"/>
            <w:shd w:val="clear" w:color="auto" w:fill="C6EFCE"/>
            <w:noWrap/>
            <w:vAlign w:val="center"/>
            <w:hideMark/>
          </w:tcPr>
          <w:p w14:paraId="55BE2D99"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Lepingute sõlmimine digitaalse turismi portaali arendamiseks</w:t>
            </w:r>
          </w:p>
        </w:tc>
        <w:tc>
          <w:tcPr>
            <w:tcW w:w="520" w:type="pct"/>
            <w:shd w:val="clear" w:color="auto" w:fill="C6EFCE"/>
            <w:noWrap/>
            <w:vAlign w:val="center"/>
            <w:hideMark/>
          </w:tcPr>
          <w:p w14:paraId="7BE818DA"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Teade kõigi riigihankelepingute sõlmimise kohta digitaalse turismi portaali arendamiseks</w:t>
            </w:r>
          </w:p>
        </w:tc>
        <w:tc>
          <w:tcPr>
            <w:tcW w:w="368" w:type="pct"/>
            <w:shd w:val="clear" w:color="auto" w:fill="C6EFCE"/>
            <w:noWrap/>
            <w:vAlign w:val="center"/>
            <w:hideMark/>
          </w:tcPr>
          <w:p w14:paraId="120E4DF9"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Ei kohaldata</w:t>
            </w:r>
          </w:p>
        </w:tc>
        <w:tc>
          <w:tcPr>
            <w:tcW w:w="368" w:type="pct"/>
            <w:shd w:val="clear" w:color="auto" w:fill="C6EFCE"/>
            <w:noWrap/>
            <w:vAlign w:val="center"/>
            <w:hideMark/>
          </w:tcPr>
          <w:p w14:paraId="49D1F6CA"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Ei kohaldata</w:t>
            </w:r>
          </w:p>
        </w:tc>
        <w:tc>
          <w:tcPr>
            <w:tcW w:w="377" w:type="pct"/>
            <w:shd w:val="clear" w:color="auto" w:fill="C6EFCE"/>
            <w:noWrap/>
            <w:vAlign w:val="center"/>
            <w:hideMark/>
          </w:tcPr>
          <w:p w14:paraId="16F5791B"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Ei kohaldata</w:t>
            </w:r>
          </w:p>
        </w:tc>
        <w:tc>
          <w:tcPr>
            <w:tcW w:w="321" w:type="pct"/>
            <w:shd w:val="clear" w:color="auto" w:fill="C6EFCE"/>
            <w:noWrap/>
            <w:vAlign w:val="center"/>
            <w:hideMark/>
          </w:tcPr>
          <w:p w14:paraId="6233AC7D"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4. kv</w:t>
            </w:r>
          </w:p>
        </w:tc>
        <w:tc>
          <w:tcPr>
            <w:tcW w:w="224" w:type="pct"/>
            <w:shd w:val="clear" w:color="auto" w:fill="C6EFCE"/>
            <w:noWrap/>
            <w:vAlign w:val="center"/>
            <w:hideMark/>
          </w:tcPr>
          <w:p w14:paraId="736D33A3"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2021</w:t>
            </w:r>
          </w:p>
        </w:tc>
        <w:tc>
          <w:tcPr>
            <w:tcW w:w="1192" w:type="pct"/>
            <w:shd w:val="clear" w:color="auto" w:fill="C6EFCE"/>
            <w:noWrap/>
            <w:vAlign w:val="center"/>
            <w:hideMark/>
          </w:tcPr>
          <w:p w14:paraId="3F62FA90" w14:textId="30975F51" w:rsidR="0084326C" w:rsidRPr="005D68A0" w:rsidRDefault="0084326C" w:rsidP="00003A97">
            <w:pPr>
              <w:rPr>
                <w:rFonts w:ascii="Arial Narrow" w:hAnsi="Arial Narrow"/>
                <w:noProof/>
                <w:color w:val="006100"/>
                <w:sz w:val="20"/>
                <w:szCs w:val="20"/>
              </w:rPr>
            </w:pPr>
            <w:r>
              <w:rPr>
                <w:rFonts w:ascii="Arial Narrow" w:hAnsi="Arial Narrow"/>
                <w:noProof/>
                <w:color w:val="006100"/>
                <w:sz w:val="20"/>
              </w:rPr>
              <w:t>Digitaalse turismi portaali arendamiseks (kõikide) riigihankelepingute sõlmimisest teatamine.</w:t>
            </w:r>
          </w:p>
          <w:p w14:paraId="53333403" w14:textId="77777777" w:rsidR="0084326C" w:rsidRPr="005D68A0" w:rsidRDefault="0084326C" w:rsidP="00003A97">
            <w:pPr>
              <w:rPr>
                <w:rFonts w:ascii="Arial Narrow" w:hAnsi="Arial Narrow"/>
                <w:noProof/>
                <w:color w:val="006100"/>
                <w:sz w:val="20"/>
                <w:szCs w:val="20"/>
              </w:rPr>
            </w:pPr>
            <w:r>
              <w:rPr>
                <w:rFonts w:ascii="Arial Narrow" w:hAnsi="Arial Narrow"/>
                <w:noProof/>
                <w:color w:val="006100"/>
                <w:sz w:val="20"/>
              </w:rPr>
              <w:t>Digitaalse turismi portaal uuendab praegust portaali Italia.it, rakendades pilve ja avatud arhitektuuri, soodustades suuresti sidumist ökosüsteemiga. Ajakohastatud portaal sisaldab järgmist: uue front-end-liidese ja navigatsioonipuu loomine; osade, lehekülgede ja artiklite paigutuse, struktuuri ja funktsioonide läbivaatamine; kaartide kasutuselevõtt; mitmekeelne haldamine (ümberlülituse ajal esitatakse portaal itaalia ja inglise keeles). Teiste praegu toetatavate keelte integreerimist on oodata käikulaskmisele vahetult järgnevate kuude jooksul.</w:t>
            </w:r>
          </w:p>
          <w:p w14:paraId="6E5F3ECA" w14:textId="77777777" w:rsidR="0084326C" w:rsidRPr="005D68A0" w:rsidRDefault="0084326C" w:rsidP="00003A97">
            <w:pPr>
              <w:rPr>
                <w:rFonts w:ascii="Arial Narrow" w:hAnsi="Arial Narrow"/>
                <w:noProof/>
                <w:color w:val="006100"/>
                <w:sz w:val="20"/>
                <w:szCs w:val="20"/>
                <w:lang w:val="en-GB"/>
              </w:rPr>
            </w:pPr>
          </w:p>
          <w:p w14:paraId="56F8B435" w14:textId="25C547E1" w:rsidR="0084326C" w:rsidRPr="005D68A0" w:rsidRDefault="0084326C" w:rsidP="00003A97">
            <w:pPr>
              <w:rPr>
                <w:rFonts w:ascii="Arial Narrow" w:hAnsi="Arial Narrow"/>
                <w:noProof/>
                <w:color w:val="006100"/>
                <w:sz w:val="20"/>
                <w:szCs w:val="20"/>
              </w:rPr>
            </w:pPr>
            <w:r>
              <w:rPr>
                <w:rFonts w:ascii="Arial Narrow" w:hAnsi="Arial Narrow"/>
                <w:noProof/>
                <w:color w:val="006100"/>
                <w:sz w:val="20"/>
              </w:rPr>
              <w:t>Lepingute sõlmimine projektidega, mis on välja valitud konkursikutsete alusel kooskõlas tehnilise juhendiga „Mitte tekitada olulist kahju“ (2021/C58/01), kasutades kõrvalejätmise loetelu ning asjaomaste ELi ja riiklike keskkonnaalaste õigusaktide järgimise nõuet.</w:t>
            </w:r>
          </w:p>
          <w:p w14:paraId="1E263397" w14:textId="77777777" w:rsidR="0084326C" w:rsidRPr="005D68A0" w:rsidRDefault="0084326C" w:rsidP="00003A97">
            <w:pPr>
              <w:rPr>
                <w:rFonts w:ascii="Arial Narrow" w:hAnsi="Arial Narrow"/>
                <w:noProof/>
                <w:color w:val="006100"/>
                <w:sz w:val="20"/>
                <w:szCs w:val="20"/>
                <w:lang w:val="en-GB"/>
              </w:rPr>
            </w:pPr>
          </w:p>
        </w:tc>
      </w:tr>
      <w:tr w:rsidR="0084326C" w:rsidRPr="00D90835" w14:paraId="181F2B3E" w14:textId="77777777" w:rsidTr="00003A97">
        <w:trPr>
          <w:trHeight w:val="309"/>
          <w:jc w:val="center"/>
        </w:trPr>
        <w:tc>
          <w:tcPr>
            <w:tcW w:w="366" w:type="pct"/>
            <w:shd w:val="clear" w:color="auto" w:fill="C6EFCE"/>
            <w:noWrap/>
            <w:vAlign w:val="center"/>
            <w:hideMark/>
          </w:tcPr>
          <w:p w14:paraId="25FD1029"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M1C3-9</w:t>
            </w:r>
          </w:p>
        </w:tc>
        <w:tc>
          <w:tcPr>
            <w:tcW w:w="460" w:type="pct"/>
            <w:shd w:val="clear" w:color="auto" w:fill="C6EFCE"/>
            <w:noWrap/>
            <w:vAlign w:val="center"/>
            <w:hideMark/>
          </w:tcPr>
          <w:p w14:paraId="7861B33B" w14:textId="4E998C2E"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Investeering 4.1. Digitaalne turismikeskus</w:t>
            </w:r>
          </w:p>
        </w:tc>
        <w:tc>
          <w:tcPr>
            <w:tcW w:w="368" w:type="pct"/>
            <w:shd w:val="clear" w:color="auto" w:fill="C6EFCE"/>
            <w:noWrap/>
            <w:vAlign w:val="center"/>
            <w:hideMark/>
          </w:tcPr>
          <w:p w14:paraId="5725E36E"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Siht</w:t>
            </w:r>
          </w:p>
        </w:tc>
        <w:tc>
          <w:tcPr>
            <w:tcW w:w="436" w:type="pct"/>
            <w:shd w:val="clear" w:color="auto" w:fill="C6EFCE"/>
            <w:noWrap/>
            <w:vAlign w:val="center"/>
            <w:hideMark/>
          </w:tcPr>
          <w:p w14:paraId="6392DCAF" w14:textId="7F7860C5"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Turismiettevõtjate kaasamine digitaalse turismi keskuse tegevusse</w:t>
            </w:r>
          </w:p>
        </w:tc>
        <w:tc>
          <w:tcPr>
            <w:tcW w:w="520" w:type="pct"/>
            <w:shd w:val="clear" w:color="auto" w:fill="C6EFCE"/>
            <w:noWrap/>
            <w:vAlign w:val="center"/>
            <w:hideMark/>
          </w:tcPr>
          <w:p w14:paraId="14290ABB"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Ei kohaldata</w:t>
            </w:r>
          </w:p>
        </w:tc>
        <w:tc>
          <w:tcPr>
            <w:tcW w:w="368" w:type="pct"/>
            <w:shd w:val="clear" w:color="auto" w:fill="C6EFCE"/>
            <w:noWrap/>
            <w:vAlign w:val="center"/>
            <w:hideMark/>
          </w:tcPr>
          <w:p w14:paraId="058D63A8"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Arv</w:t>
            </w:r>
          </w:p>
        </w:tc>
        <w:tc>
          <w:tcPr>
            <w:tcW w:w="368" w:type="pct"/>
            <w:shd w:val="clear" w:color="auto" w:fill="C6EFCE"/>
            <w:noWrap/>
            <w:vAlign w:val="center"/>
            <w:hideMark/>
          </w:tcPr>
          <w:p w14:paraId="1C34CE98"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0</w:t>
            </w:r>
          </w:p>
        </w:tc>
        <w:tc>
          <w:tcPr>
            <w:tcW w:w="377" w:type="pct"/>
            <w:shd w:val="clear" w:color="auto" w:fill="C6EFCE"/>
            <w:noWrap/>
            <w:vAlign w:val="center"/>
            <w:hideMark/>
          </w:tcPr>
          <w:p w14:paraId="30E6574A"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20 000</w:t>
            </w:r>
          </w:p>
        </w:tc>
        <w:tc>
          <w:tcPr>
            <w:tcW w:w="321" w:type="pct"/>
            <w:shd w:val="clear" w:color="auto" w:fill="C6EFCE"/>
            <w:noWrap/>
            <w:vAlign w:val="center"/>
            <w:hideMark/>
          </w:tcPr>
          <w:p w14:paraId="0FAF82F5"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2. kv</w:t>
            </w:r>
          </w:p>
        </w:tc>
        <w:tc>
          <w:tcPr>
            <w:tcW w:w="224" w:type="pct"/>
            <w:shd w:val="clear" w:color="auto" w:fill="C6EFCE"/>
            <w:noWrap/>
            <w:vAlign w:val="center"/>
            <w:hideMark/>
          </w:tcPr>
          <w:p w14:paraId="5B3FB902"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2024</w:t>
            </w:r>
          </w:p>
        </w:tc>
        <w:tc>
          <w:tcPr>
            <w:tcW w:w="1192" w:type="pct"/>
            <w:shd w:val="clear" w:color="auto" w:fill="C6EFCE"/>
            <w:noWrap/>
            <w:vAlign w:val="center"/>
            <w:hideMark/>
          </w:tcPr>
          <w:p w14:paraId="36A970EC" w14:textId="77777777" w:rsidR="0084326C" w:rsidRPr="005D68A0" w:rsidRDefault="0084326C" w:rsidP="00003A97">
            <w:pPr>
              <w:jc w:val="both"/>
              <w:rPr>
                <w:rFonts w:ascii="Arial Narrow" w:hAnsi="Arial Narrow"/>
                <w:noProof/>
                <w:color w:val="006100"/>
                <w:sz w:val="20"/>
                <w:szCs w:val="20"/>
              </w:rPr>
            </w:pPr>
            <w:r>
              <w:rPr>
                <w:rFonts w:ascii="Arial Narrow" w:hAnsi="Arial Narrow"/>
                <w:noProof/>
                <w:color w:val="006100"/>
                <w:sz w:val="20"/>
              </w:rPr>
              <w:t>Asjaomaste turismiettevõtjate (nt hotelli-, reisikorraldaja ja ATECO koodidega 55.00.00 määratletud ettevõtete) arv; 56.00.00 790 000 ja muud sektorisse kuuluvad struktuurid) vastab 4 %-le hinnanguliselt 500 000 Itaalia ettevõtjast (oskuste täiendamine, koolitus, kommunikatsioon, andmeanalüüs, innovatsiooni toetavad lahendused).</w:t>
            </w:r>
          </w:p>
          <w:p w14:paraId="1D5DD67E" w14:textId="77777777" w:rsidR="0084326C" w:rsidRPr="00F33804" w:rsidRDefault="0084326C" w:rsidP="00003A97">
            <w:pPr>
              <w:jc w:val="both"/>
              <w:rPr>
                <w:rFonts w:ascii="Arial Narrow" w:hAnsi="Arial Narrow"/>
                <w:noProof/>
                <w:color w:val="006100"/>
                <w:sz w:val="20"/>
                <w:szCs w:val="20"/>
              </w:rPr>
            </w:pPr>
          </w:p>
          <w:p w14:paraId="33FA6190" w14:textId="77777777" w:rsidR="0084326C" w:rsidRPr="005D68A0" w:rsidRDefault="0084326C" w:rsidP="00003A97">
            <w:pPr>
              <w:jc w:val="both"/>
              <w:rPr>
                <w:rFonts w:ascii="Arial Narrow" w:hAnsi="Arial Narrow"/>
                <w:noProof/>
                <w:color w:val="006100"/>
                <w:sz w:val="20"/>
                <w:szCs w:val="20"/>
              </w:rPr>
            </w:pPr>
            <w:r>
              <w:rPr>
                <w:rFonts w:ascii="Arial Narrow" w:hAnsi="Arial Narrow"/>
                <w:noProof/>
                <w:color w:val="006100"/>
                <w:sz w:val="20"/>
              </w:rPr>
              <w:t>Vähemalt 37 % asjaomastest turismiettevõtjatest peavad asuma lõunas.</w:t>
            </w:r>
          </w:p>
          <w:p w14:paraId="277D9739" w14:textId="77777777" w:rsidR="0084326C" w:rsidRPr="005D68A0" w:rsidRDefault="0084326C" w:rsidP="00003A97">
            <w:pPr>
              <w:rPr>
                <w:rFonts w:ascii="Arial Narrow" w:hAnsi="Arial Narrow"/>
                <w:noProof/>
                <w:color w:val="006100"/>
                <w:sz w:val="20"/>
                <w:szCs w:val="20"/>
                <w:lang w:val="en-GB"/>
              </w:rPr>
            </w:pPr>
          </w:p>
        </w:tc>
      </w:tr>
      <w:tr w:rsidR="0084326C" w:rsidRPr="00D90835" w14:paraId="56C0FAAD" w14:textId="77777777" w:rsidTr="00003A97">
        <w:trPr>
          <w:trHeight w:val="309"/>
          <w:jc w:val="center"/>
        </w:trPr>
        <w:tc>
          <w:tcPr>
            <w:tcW w:w="366" w:type="pct"/>
            <w:shd w:val="clear" w:color="auto" w:fill="C6EFCE"/>
            <w:noWrap/>
            <w:vAlign w:val="center"/>
            <w:hideMark/>
          </w:tcPr>
          <w:p w14:paraId="7ECAB293"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M1C3-10</w:t>
            </w:r>
          </w:p>
        </w:tc>
        <w:tc>
          <w:tcPr>
            <w:tcW w:w="460" w:type="pct"/>
            <w:shd w:val="clear" w:color="auto" w:fill="C6EFCE"/>
            <w:noWrap/>
            <w:vAlign w:val="center"/>
            <w:hideMark/>
          </w:tcPr>
          <w:p w14:paraId="4131B56D"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Reform 4.1. Giidide kutsealade korralduse reguleerimine</w:t>
            </w:r>
          </w:p>
          <w:p w14:paraId="2B09F289" w14:textId="77777777" w:rsidR="0084326C" w:rsidRPr="005D68A0" w:rsidRDefault="0084326C" w:rsidP="00003A97">
            <w:pPr>
              <w:jc w:val="center"/>
              <w:rPr>
                <w:rFonts w:ascii="Arial Narrow" w:hAnsi="Arial Narrow"/>
                <w:noProof/>
                <w:color w:val="006100"/>
                <w:sz w:val="20"/>
                <w:szCs w:val="20"/>
                <w:lang w:val="en-GB"/>
              </w:rPr>
            </w:pPr>
          </w:p>
        </w:tc>
        <w:tc>
          <w:tcPr>
            <w:tcW w:w="368" w:type="pct"/>
            <w:shd w:val="clear" w:color="auto" w:fill="C6EFCE"/>
            <w:noWrap/>
            <w:vAlign w:val="center"/>
            <w:hideMark/>
          </w:tcPr>
          <w:p w14:paraId="37AA46BD"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Eesmärk</w:t>
            </w:r>
          </w:p>
        </w:tc>
        <w:tc>
          <w:tcPr>
            <w:tcW w:w="436" w:type="pct"/>
            <w:shd w:val="clear" w:color="auto" w:fill="C6EFCE"/>
            <w:noWrap/>
            <w:vAlign w:val="center"/>
            <w:hideMark/>
          </w:tcPr>
          <w:p w14:paraId="1A6899C1"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Giidide riikliku standardi määratlemine</w:t>
            </w:r>
          </w:p>
        </w:tc>
        <w:tc>
          <w:tcPr>
            <w:tcW w:w="520" w:type="pct"/>
            <w:shd w:val="clear" w:color="auto" w:fill="C6EFCE"/>
            <w:noWrap/>
            <w:vAlign w:val="center"/>
            <w:hideMark/>
          </w:tcPr>
          <w:p w14:paraId="39DF3377"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Siseriikliku miinimumstandardi määratlus ei tähenda uue reguleeritud kutseala loomist.</w:t>
            </w:r>
          </w:p>
        </w:tc>
        <w:tc>
          <w:tcPr>
            <w:tcW w:w="368" w:type="pct"/>
            <w:shd w:val="clear" w:color="auto" w:fill="C6EFCE"/>
            <w:noWrap/>
            <w:vAlign w:val="center"/>
            <w:hideMark/>
          </w:tcPr>
          <w:p w14:paraId="42C63878"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Ei kohaldata</w:t>
            </w:r>
          </w:p>
        </w:tc>
        <w:tc>
          <w:tcPr>
            <w:tcW w:w="368" w:type="pct"/>
            <w:shd w:val="clear" w:color="auto" w:fill="C6EFCE"/>
            <w:noWrap/>
            <w:vAlign w:val="center"/>
            <w:hideMark/>
          </w:tcPr>
          <w:p w14:paraId="49711E12"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Ei kohaldata</w:t>
            </w:r>
          </w:p>
        </w:tc>
        <w:tc>
          <w:tcPr>
            <w:tcW w:w="377" w:type="pct"/>
            <w:shd w:val="clear" w:color="auto" w:fill="C6EFCE"/>
            <w:noWrap/>
            <w:vAlign w:val="center"/>
            <w:hideMark/>
          </w:tcPr>
          <w:p w14:paraId="139B8783"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Ei kohaldata</w:t>
            </w:r>
          </w:p>
        </w:tc>
        <w:tc>
          <w:tcPr>
            <w:tcW w:w="321" w:type="pct"/>
            <w:shd w:val="clear" w:color="auto" w:fill="C6EFCE"/>
            <w:noWrap/>
            <w:vAlign w:val="center"/>
            <w:hideMark/>
          </w:tcPr>
          <w:p w14:paraId="50AA6071"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2. kv</w:t>
            </w:r>
          </w:p>
          <w:p w14:paraId="33429D34" w14:textId="77777777" w:rsidR="0084326C" w:rsidRPr="005D68A0" w:rsidRDefault="0084326C" w:rsidP="00003A97">
            <w:pPr>
              <w:jc w:val="center"/>
              <w:rPr>
                <w:rFonts w:ascii="Arial Narrow" w:hAnsi="Arial Narrow"/>
                <w:noProof/>
                <w:color w:val="006100"/>
                <w:sz w:val="20"/>
                <w:szCs w:val="20"/>
                <w:lang w:val="en-GB"/>
              </w:rPr>
            </w:pPr>
          </w:p>
        </w:tc>
        <w:tc>
          <w:tcPr>
            <w:tcW w:w="224" w:type="pct"/>
            <w:shd w:val="clear" w:color="auto" w:fill="C6EFCE"/>
            <w:noWrap/>
            <w:vAlign w:val="center"/>
            <w:hideMark/>
          </w:tcPr>
          <w:p w14:paraId="1D9598AD"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2024</w:t>
            </w:r>
          </w:p>
          <w:p w14:paraId="0F0EF4F3" w14:textId="77777777" w:rsidR="0084326C" w:rsidRPr="005D68A0" w:rsidRDefault="0084326C" w:rsidP="00003A97">
            <w:pPr>
              <w:jc w:val="center"/>
              <w:rPr>
                <w:rFonts w:ascii="Arial Narrow" w:hAnsi="Arial Narrow"/>
                <w:noProof/>
                <w:color w:val="006100"/>
                <w:sz w:val="20"/>
                <w:szCs w:val="20"/>
                <w:lang w:val="en-GB"/>
              </w:rPr>
            </w:pPr>
          </w:p>
        </w:tc>
        <w:tc>
          <w:tcPr>
            <w:tcW w:w="1192" w:type="pct"/>
            <w:shd w:val="clear" w:color="auto" w:fill="C6EFCE"/>
            <w:noWrap/>
            <w:vAlign w:val="center"/>
            <w:hideMark/>
          </w:tcPr>
          <w:p w14:paraId="4BD7C86C" w14:textId="77777777" w:rsidR="0084326C" w:rsidRPr="005D68A0" w:rsidRDefault="0084326C" w:rsidP="00003A97">
            <w:pPr>
              <w:rPr>
                <w:rFonts w:ascii="Arial Narrow" w:hAnsi="Arial Narrow"/>
                <w:noProof/>
                <w:color w:val="006100"/>
                <w:sz w:val="20"/>
                <w:szCs w:val="20"/>
              </w:rPr>
            </w:pPr>
            <w:r>
              <w:rPr>
                <w:rFonts w:ascii="Arial Narrow" w:hAnsi="Arial Narrow"/>
                <w:noProof/>
                <w:color w:val="006100"/>
                <w:sz w:val="20"/>
              </w:rPr>
              <w:t>Siseriikliku miinimumstandardi määratlus ei tähenda uue reguleeritud kutseala loomist.</w:t>
            </w:r>
          </w:p>
          <w:p w14:paraId="3030AF47" w14:textId="77777777" w:rsidR="0084326C" w:rsidRPr="005D68A0" w:rsidRDefault="0084326C" w:rsidP="00003A97">
            <w:pPr>
              <w:rPr>
                <w:rFonts w:ascii="Arial Narrow" w:hAnsi="Arial Narrow"/>
                <w:noProof/>
                <w:color w:val="006100"/>
                <w:sz w:val="20"/>
                <w:szCs w:val="20"/>
              </w:rPr>
            </w:pPr>
            <w:r>
              <w:rPr>
                <w:rFonts w:ascii="Arial Narrow" w:hAnsi="Arial Narrow"/>
                <w:noProof/>
                <w:color w:val="006100"/>
                <w:sz w:val="20"/>
              </w:rPr>
              <w:t>Reformiga nähakse ette ka koolitus ja kutsealane ajakohastamine, et pakkumist paremini toetada. Reform kvalifitseerub ainulaadse kutsekvalifikatsiooni omandamise meetodiks, mis on riiklikul tasandil vastu võetud ühtsete standarditega riikliku seaduse ja sellele järgnevate vastastikuse mõistmisega hõlmatud riikide piirkondade rakendusmäärustega.</w:t>
            </w:r>
          </w:p>
        </w:tc>
      </w:tr>
      <w:tr w:rsidR="0084326C" w:rsidRPr="00D90835" w14:paraId="56DEA701" w14:textId="77777777" w:rsidTr="00003A97">
        <w:trPr>
          <w:trHeight w:val="309"/>
          <w:jc w:val="center"/>
        </w:trPr>
        <w:tc>
          <w:tcPr>
            <w:tcW w:w="366" w:type="pct"/>
            <w:shd w:val="clear" w:color="auto" w:fill="C6EFCE"/>
            <w:noWrap/>
            <w:vAlign w:val="center"/>
          </w:tcPr>
          <w:p w14:paraId="445DAE6A"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M1C3-11</w:t>
            </w:r>
          </w:p>
        </w:tc>
        <w:tc>
          <w:tcPr>
            <w:tcW w:w="460" w:type="pct"/>
            <w:shd w:val="clear" w:color="auto" w:fill="C6EFCE"/>
            <w:noWrap/>
            <w:vAlign w:val="center"/>
          </w:tcPr>
          <w:p w14:paraId="58F9041B"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Investeering 1.3. Energiatõhususe parandamine kinodes, teatrites ja muuseumides</w:t>
            </w:r>
          </w:p>
        </w:tc>
        <w:tc>
          <w:tcPr>
            <w:tcW w:w="368" w:type="pct"/>
            <w:shd w:val="clear" w:color="auto" w:fill="C6EFCE"/>
            <w:noWrap/>
            <w:vAlign w:val="center"/>
          </w:tcPr>
          <w:p w14:paraId="641F535A"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Eesmärk</w:t>
            </w:r>
          </w:p>
        </w:tc>
        <w:tc>
          <w:tcPr>
            <w:tcW w:w="436" w:type="pct"/>
            <w:shd w:val="clear" w:color="auto" w:fill="C6EFCE"/>
            <w:noWrap/>
            <w:vAlign w:val="center"/>
          </w:tcPr>
          <w:p w14:paraId="20CD91D8"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Kultuuriministeeriumi vahendite eraldamise määruse jõustumine:</w:t>
            </w:r>
          </w:p>
          <w:p w14:paraId="0960BF66"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parandada energiatõhusust kultuurikohtades</w:t>
            </w:r>
          </w:p>
          <w:p w14:paraId="5F9B5ACF" w14:textId="77777777" w:rsidR="0084326C" w:rsidRPr="00F33804" w:rsidRDefault="0084326C" w:rsidP="00003A97">
            <w:pPr>
              <w:jc w:val="center"/>
              <w:rPr>
                <w:rFonts w:ascii="Arial Narrow" w:hAnsi="Arial Narrow"/>
                <w:noProof/>
                <w:color w:val="006100"/>
                <w:sz w:val="20"/>
                <w:szCs w:val="20"/>
              </w:rPr>
            </w:pPr>
          </w:p>
        </w:tc>
        <w:tc>
          <w:tcPr>
            <w:tcW w:w="520" w:type="pct"/>
            <w:shd w:val="clear" w:color="auto" w:fill="C6EFCE"/>
            <w:noWrap/>
            <w:vAlign w:val="center"/>
          </w:tcPr>
          <w:p w14:paraId="65F79E39"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Määruse säte, mis näitab kultuuriministeeriumi (MIK) määruse jõustumist ressursside eraldamiseks energiatõhususe parandamiseks kultuuripaikades</w:t>
            </w:r>
          </w:p>
          <w:p w14:paraId="677DE78B" w14:textId="77777777" w:rsidR="0084326C" w:rsidRPr="00F33804" w:rsidRDefault="0084326C" w:rsidP="00003A97">
            <w:pPr>
              <w:jc w:val="center"/>
              <w:rPr>
                <w:rFonts w:ascii="Arial Narrow" w:hAnsi="Arial Narrow"/>
                <w:noProof/>
                <w:color w:val="006100"/>
                <w:sz w:val="20"/>
                <w:szCs w:val="20"/>
              </w:rPr>
            </w:pPr>
          </w:p>
        </w:tc>
        <w:tc>
          <w:tcPr>
            <w:tcW w:w="368" w:type="pct"/>
            <w:shd w:val="clear" w:color="auto" w:fill="C6EFCE"/>
            <w:noWrap/>
            <w:vAlign w:val="center"/>
          </w:tcPr>
          <w:p w14:paraId="64289C7B"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Ei kohaldata</w:t>
            </w:r>
          </w:p>
        </w:tc>
        <w:tc>
          <w:tcPr>
            <w:tcW w:w="368" w:type="pct"/>
            <w:shd w:val="clear" w:color="auto" w:fill="C6EFCE"/>
            <w:noWrap/>
            <w:vAlign w:val="center"/>
          </w:tcPr>
          <w:p w14:paraId="0508047C"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Ei kohaldata</w:t>
            </w:r>
          </w:p>
        </w:tc>
        <w:tc>
          <w:tcPr>
            <w:tcW w:w="377" w:type="pct"/>
            <w:shd w:val="clear" w:color="auto" w:fill="C6EFCE"/>
            <w:noWrap/>
            <w:vAlign w:val="center"/>
          </w:tcPr>
          <w:p w14:paraId="1FA0CECF"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Ei kohaldata</w:t>
            </w:r>
          </w:p>
        </w:tc>
        <w:tc>
          <w:tcPr>
            <w:tcW w:w="321" w:type="pct"/>
            <w:shd w:val="clear" w:color="auto" w:fill="C6EFCE"/>
            <w:noWrap/>
            <w:vAlign w:val="center"/>
          </w:tcPr>
          <w:p w14:paraId="772A92CB"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2. kv</w:t>
            </w:r>
          </w:p>
        </w:tc>
        <w:tc>
          <w:tcPr>
            <w:tcW w:w="224" w:type="pct"/>
            <w:shd w:val="clear" w:color="auto" w:fill="C6EFCE"/>
            <w:noWrap/>
            <w:vAlign w:val="center"/>
          </w:tcPr>
          <w:p w14:paraId="374E6D68" w14:textId="77777777" w:rsidR="0084326C" w:rsidRPr="005D68A0" w:rsidRDefault="0084326C" w:rsidP="00003A97">
            <w:pPr>
              <w:jc w:val="center"/>
              <w:rPr>
                <w:rFonts w:ascii="Arial Narrow" w:hAnsi="Arial Narrow"/>
                <w:noProof/>
                <w:color w:val="006100"/>
                <w:sz w:val="20"/>
                <w:szCs w:val="20"/>
              </w:rPr>
            </w:pPr>
            <w:r>
              <w:rPr>
                <w:rFonts w:ascii="Arial Narrow" w:hAnsi="Arial Narrow"/>
                <w:noProof/>
                <w:color w:val="006100"/>
                <w:sz w:val="20"/>
              </w:rPr>
              <w:t>2022</w:t>
            </w:r>
          </w:p>
        </w:tc>
        <w:tc>
          <w:tcPr>
            <w:tcW w:w="1192" w:type="pct"/>
            <w:shd w:val="clear" w:color="auto" w:fill="C6EFCE"/>
            <w:noWrap/>
            <w:vAlign w:val="center"/>
          </w:tcPr>
          <w:p w14:paraId="56C80BC4" w14:textId="77777777" w:rsidR="0084326C" w:rsidRPr="005D68A0" w:rsidRDefault="0084326C" w:rsidP="00003A97">
            <w:pPr>
              <w:rPr>
                <w:rFonts w:ascii="Arial Narrow" w:hAnsi="Arial Narrow"/>
                <w:noProof/>
                <w:color w:val="006100"/>
                <w:sz w:val="20"/>
                <w:szCs w:val="20"/>
              </w:rPr>
            </w:pPr>
            <w:r>
              <w:rPr>
                <w:rFonts w:ascii="Arial Narrow" w:hAnsi="Arial Narrow"/>
                <w:noProof/>
                <w:color w:val="006100"/>
                <w:sz w:val="20"/>
              </w:rPr>
              <w:t>Kultuuripiirkonnad on kinod, teatrid ja muuseumid.</w:t>
            </w:r>
          </w:p>
          <w:p w14:paraId="53784800" w14:textId="77777777" w:rsidR="0084326C" w:rsidRPr="005D68A0" w:rsidRDefault="0084326C" w:rsidP="00003A97">
            <w:pPr>
              <w:rPr>
                <w:rFonts w:ascii="Arial Narrow" w:hAnsi="Arial Narrow"/>
                <w:noProof/>
                <w:color w:val="006100"/>
                <w:sz w:val="20"/>
                <w:szCs w:val="20"/>
              </w:rPr>
            </w:pPr>
            <w:r>
              <w:rPr>
                <w:rFonts w:ascii="Arial Narrow" w:hAnsi="Arial Narrow"/>
                <w:noProof/>
                <w:color w:val="006100"/>
                <w:sz w:val="20"/>
              </w:rPr>
              <w:t>(Investeering 1.3) Muuseumide ja kultuurikohtade energiatõhususe parandamiseks viiakse sekkumine läbi projektiettepanekute tunnustamise kaudu riiklikes kultuurikohtades kultuuriministeeriumis eesmärgi 1 puhul. Muudel juhtudel toimub valitsusväliste institutsioonide kindlaksmääramine eesmärkide 2 ja 3 puhul pakkumiskutsete kaudu.</w:t>
            </w:r>
          </w:p>
          <w:p w14:paraId="486F141F" w14:textId="1C635529" w:rsidR="0084326C" w:rsidRPr="005D68A0" w:rsidRDefault="0084326C" w:rsidP="00003A97">
            <w:pPr>
              <w:rPr>
                <w:rFonts w:ascii="Arial Narrow" w:hAnsi="Arial Narrow"/>
                <w:noProof/>
                <w:color w:val="006100"/>
                <w:sz w:val="20"/>
                <w:szCs w:val="20"/>
              </w:rPr>
            </w:pPr>
            <w:r>
              <w:rPr>
                <w:rFonts w:ascii="Arial Narrow" w:hAnsi="Arial Narrow"/>
                <w:noProof/>
                <w:color w:val="006100"/>
                <w:sz w:val="20"/>
              </w:rPr>
              <w:t>Lepingud sõlmitakse projektidega, mis on välja valitud konkursikutsete alusel, järgides tehnilisi suuniseid „Mitte tekitada olulist kahju“ (2021/C58/01), kasutades kõrvalejätmise loetelu ning asjaomaste ELi ja riiklike keskkonnaalaste õigusaktide järgimise nõuet.</w:t>
            </w:r>
          </w:p>
          <w:p w14:paraId="6863C738" w14:textId="77777777" w:rsidR="0084326C" w:rsidRPr="00F33804" w:rsidRDefault="0084326C" w:rsidP="00003A97">
            <w:pPr>
              <w:rPr>
                <w:rFonts w:ascii="Arial Narrow" w:hAnsi="Arial Narrow"/>
                <w:noProof/>
                <w:color w:val="006100"/>
                <w:sz w:val="20"/>
                <w:szCs w:val="20"/>
              </w:rPr>
            </w:pPr>
          </w:p>
        </w:tc>
      </w:tr>
    </w:tbl>
    <w:p w14:paraId="36B9AE46" w14:textId="77777777" w:rsidR="0084326C" w:rsidRPr="00F33804" w:rsidRDefault="0084326C" w:rsidP="0084326C">
      <w:pPr>
        <w:spacing w:before="120" w:after="120"/>
        <w:ind w:left="709"/>
        <w:jc w:val="both"/>
        <w:rPr>
          <w:noProof/>
        </w:rPr>
      </w:pPr>
    </w:p>
    <w:p w14:paraId="0C5F9643" w14:textId="77777777" w:rsidR="0084326C" w:rsidRPr="00F33804" w:rsidRDefault="0084326C" w:rsidP="0084326C">
      <w:pPr>
        <w:spacing w:before="120" w:after="120"/>
        <w:ind w:left="709"/>
        <w:jc w:val="both"/>
        <w:rPr>
          <w:noProof/>
        </w:rPr>
        <w:sectPr w:rsidR="0084326C" w:rsidRPr="00F33804">
          <w:headerReference w:type="even" r:id="rId86"/>
          <w:headerReference w:type="default" r:id="rId87"/>
          <w:footerReference w:type="even" r:id="rId88"/>
          <w:footerReference w:type="default" r:id="rId89"/>
          <w:headerReference w:type="first" r:id="rId90"/>
          <w:footerReference w:type="first" r:id="rId91"/>
          <w:pgSz w:w="16839" w:h="11907" w:orient="landscape"/>
          <w:pgMar w:top="1134" w:right="1134" w:bottom="1134" w:left="1134" w:header="567" w:footer="567" w:gutter="0"/>
          <w:cols w:space="720"/>
          <w:docGrid w:linePitch="360"/>
        </w:sectPr>
      </w:pPr>
    </w:p>
    <w:p w14:paraId="4A145238" w14:textId="77777777" w:rsidR="0084326C" w:rsidRPr="005D68A0" w:rsidRDefault="0084326C" w:rsidP="0084326C">
      <w:pPr>
        <w:pStyle w:val="Heading3"/>
        <w:numPr>
          <w:ilvl w:val="0"/>
          <w:numId w:val="0"/>
        </w:numPr>
        <w:ind w:left="850" w:hanging="850"/>
        <w:rPr>
          <w:b/>
          <w:bCs w:val="0"/>
          <w:i w:val="0"/>
          <w:iCs/>
          <w:noProof/>
          <w:u w:val="single"/>
        </w:rPr>
      </w:pPr>
      <w:r>
        <w:rPr>
          <w:b/>
          <w:i w:val="0"/>
          <w:noProof/>
          <w:u w:val="single"/>
        </w:rPr>
        <w:t xml:space="preserve">C3. </w:t>
      </w:r>
      <w:r>
        <w:rPr>
          <w:noProof/>
        </w:rPr>
        <w:tab/>
      </w:r>
      <w:r>
        <w:rPr>
          <w:b/>
          <w:i w:val="0"/>
          <w:noProof/>
          <w:u w:val="single"/>
        </w:rPr>
        <w:t xml:space="preserve">Laenuga seotud reformide ja investeeringute kirjeldus  </w:t>
      </w:r>
    </w:p>
    <w:p w14:paraId="08A30BEF" w14:textId="77777777" w:rsidR="0084326C" w:rsidRPr="005D68A0" w:rsidRDefault="0084326C" w:rsidP="0084326C">
      <w:pPr>
        <w:jc w:val="both"/>
        <w:rPr>
          <w:b/>
          <w:noProof/>
        </w:rPr>
      </w:pPr>
      <w:r>
        <w:rPr>
          <w:b/>
          <w:noProof/>
        </w:rPr>
        <w:t>Investeering 2.1. Väikeste ajalooliste linnade atraktiivsus</w:t>
      </w:r>
    </w:p>
    <w:p w14:paraId="720D7E47" w14:textId="77777777" w:rsidR="0084326C" w:rsidRPr="00F33804" w:rsidRDefault="0084326C" w:rsidP="0084326C">
      <w:pPr>
        <w:jc w:val="both"/>
        <w:rPr>
          <w:noProof/>
        </w:rPr>
      </w:pPr>
    </w:p>
    <w:p w14:paraId="0AB25B50" w14:textId="77777777" w:rsidR="0084326C" w:rsidRPr="005D68A0" w:rsidRDefault="0084326C" w:rsidP="0084326C">
      <w:pPr>
        <w:jc w:val="both"/>
        <w:rPr>
          <w:noProof/>
        </w:rPr>
      </w:pPr>
      <w:r>
        <w:rPr>
          <w:noProof/>
        </w:rPr>
        <w:t>See investeering on integreeritud programmi „Piano Nazionale Borghi“, mille eesmärk on toetada ebasoodsas olukorras olevate piirkondade majanduslikku ja sotsiaalset arengut, mis põhineb väikeste linnade kultuurilisel taaselustamisel ja turismi taaselustamisel. Meetmed on üles ehitatud integreeritud kultuuripõhistele kohalikele projektidele.</w:t>
      </w:r>
    </w:p>
    <w:p w14:paraId="7765C6BA" w14:textId="77777777" w:rsidR="0084326C" w:rsidRPr="00F33804" w:rsidRDefault="0084326C" w:rsidP="0084326C">
      <w:pPr>
        <w:jc w:val="both"/>
        <w:rPr>
          <w:noProof/>
        </w:rPr>
      </w:pPr>
    </w:p>
    <w:p w14:paraId="1685D664" w14:textId="77777777" w:rsidR="0084326C" w:rsidRPr="005D68A0" w:rsidRDefault="0084326C" w:rsidP="0084326C">
      <w:pPr>
        <w:spacing w:after="120"/>
        <w:jc w:val="both"/>
        <w:rPr>
          <w:noProof/>
        </w:rPr>
      </w:pPr>
      <w:r>
        <w:rPr>
          <w:noProof/>
        </w:rPr>
        <w:t>Meetmed keskenduvad järgmisele: i) ajaloopärandi taastamine, avatud avaliku ruumi ajakohastamine (nt arhitektuuriliste tõkete kõrvaldamine, linnamööbli parandamine), väikeste kultuuriteenuste loomine, sealhulgas turismi eesmärgil; ii) soodustatakse uute marsruutide (nt temaatilised marsruudid, ajaloolised marsruudid) ja giidiga ekskursioonide loomist ja edendamist; iii) kultuuri-, loome-, turismi-, kaubandus-, põllumajandusliku toidutööstuse ja käsitööndusliku tegevuse rahaline toetamine, mille eesmärk on elavdada kohalikku majandust, edendades kohalikke tooteid, teadmisi ja tehnikaid.</w:t>
      </w:r>
    </w:p>
    <w:p w14:paraId="277E87E1" w14:textId="77777777" w:rsidR="0084326C" w:rsidRPr="005D68A0" w:rsidRDefault="0084326C" w:rsidP="0084326C">
      <w:pPr>
        <w:spacing w:after="120"/>
        <w:jc w:val="both"/>
        <w:rPr>
          <w:noProof/>
        </w:rPr>
      </w:pPr>
      <w:r>
        <w:rPr>
          <w:noProof/>
        </w:rPr>
        <w:t>Tagamaks, et meede vastab „ei kahjusta oluliselt“ tehnilistele suunistele (2021/C58/01), jäetakse tulevaste projektikonkursside juhendites sisalduvatest rahastamiskõlblikkuse kriteeriumidest välja järgmised tegevused: i) fossiilkütustega seotud tegevus, sealhulgas allkasutus tootmisahela järgmistes etappides</w:t>
      </w:r>
      <w:r w:rsidRPr="005D68A0">
        <w:rPr>
          <w:rStyle w:val="FootnoteReference"/>
          <w:noProof/>
          <w:lang w:val="en-GB"/>
        </w:rPr>
        <w:footnoteReference w:id="27"/>
      </w:r>
      <w:r>
        <w:rPr>
          <w:noProof/>
        </w:rPr>
        <w:t>; ii) ELi heitkogustega kauplemise süsteemi (HKS) raames toimuv tegevus, mille prognoositav kasvuhoonegaaside heide ei ole asjaomastest võrdlusalustest</w:t>
      </w:r>
      <w:r w:rsidRPr="005D68A0">
        <w:rPr>
          <w:rStyle w:val="FootnoteReference"/>
          <w:noProof/>
          <w:lang w:val="en-GB"/>
        </w:rPr>
        <w:footnoteReference w:id="28"/>
      </w:r>
      <w:r>
        <w:rPr>
          <w:noProof/>
        </w:rPr>
        <w:t xml:space="preserve"> madalam; iii) prügilate, jäätmepõletustehaste</w:t>
      </w:r>
      <w:r w:rsidRPr="005D68A0">
        <w:rPr>
          <w:rStyle w:val="FootnoteReference"/>
          <w:noProof/>
          <w:lang w:val="en-GB"/>
        </w:rPr>
        <w:footnoteReference w:id="29"/>
      </w:r>
      <w:r>
        <w:rPr>
          <w:noProof/>
        </w:rPr>
        <w:t xml:space="preserve"> ja mehhaanilis-bioloogilise töötlemise jaamadega</w:t>
      </w:r>
      <w:r w:rsidRPr="005D68A0">
        <w:rPr>
          <w:rStyle w:val="FootnoteReference"/>
          <w:noProof/>
          <w:lang w:val="en-GB"/>
        </w:rPr>
        <w:footnoteReference w:id="30"/>
      </w:r>
      <w:r>
        <w:rPr>
          <w:noProof/>
        </w:rPr>
        <w:t xml:space="preserve"> seotud tegevus; iv) tegevused, mille puhul jäätmete pikaajaline kõrvaldamine võib kahjustada keskkonda. Lisaks nõutakse tingimustes, et valitakse ainult tegevused, mis on kooskõlas asjakohaste ELi ja riiklike keskkonnaalaste õigusaktidega.</w:t>
      </w:r>
    </w:p>
    <w:p w14:paraId="3C2F9C81" w14:textId="77777777" w:rsidR="0084326C" w:rsidRPr="005D68A0" w:rsidRDefault="0084326C" w:rsidP="0084326C">
      <w:pPr>
        <w:spacing w:after="120"/>
        <w:jc w:val="both"/>
        <w:rPr>
          <w:b/>
          <w:bCs/>
          <w:noProof/>
        </w:rPr>
      </w:pPr>
      <w:r>
        <w:rPr>
          <w:b/>
          <w:noProof/>
        </w:rPr>
        <w:t xml:space="preserve">Investeering 2.2. Maapiirkondade arhitektuuri ja maastiku kaitse ja parandamine </w:t>
      </w:r>
    </w:p>
    <w:p w14:paraId="0993CB92" w14:textId="77777777" w:rsidR="0084326C" w:rsidRPr="005D68A0" w:rsidRDefault="0084326C" w:rsidP="0084326C">
      <w:pPr>
        <w:spacing w:after="120"/>
        <w:jc w:val="both"/>
        <w:rPr>
          <w:noProof/>
        </w:rPr>
      </w:pPr>
      <w:r>
        <w:rPr>
          <w:noProof/>
        </w:rPr>
        <w:t>See investeering soodustab ajalooliste maaehitiste (era- või kolmanda sektori üksused) ja maastikukaitse süstemaatilise ajakohastamise protsessi.</w:t>
      </w:r>
    </w:p>
    <w:p w14:paraId="05F55731" w14:textId="77777777" w:rsidR="0084326C" w:rsidRPr="005D68A0" w:rsidRDefault="0084326C" w:rsidP="0084326C">
      <w:pPr>
        <w:spacing w:after="120"/>
        <w:jc w:val="both"/>
        <w:rPr>
          <w:noProof/>
        </w:rPr>
      </w:pPr>
      <w:r>
        <w:rPr>
          <w:noProof/>
        </w:rPr>
        <w:t xml:space="preserve">Paljud maapiirkonna hooned ja põllumajandusstruktuurid on järk-järgult maha jäänud, lagunenud ja muutunud, mis on kahjustanud nende eriomadusi ja seost ümbritseva keskkonnaga. Maapiirkondade hoonefondi taastamisega parandab meede maapiirkonna maastiku kvaliteeti, tagastades kogukonnale alakasutatud hoonefondi, mis ei ole üldsusele juurdepääsetav. </w:t>
      </w:r>
    </w:p>
    <w:p w14:paraId="1682FBFB" w14:textId="77777777" w:rsidR="00003A97" w:rsidRPr="00F33804" w:rsidRDefault="00003A97" w:rsidP="0084326C">
      <w:pPr>
        <w:spacing w:after="120"/>
        <w:jc w:val="both"/>
        <w:rPr>
          <w:b/>
          <w:noProof/>
        </w:rPr>
        <w:sectPr w:rsidR="00003A97" w:rsidRPr="00F33804">
          <w:headerReference w:type="even" r:id="rId92"/>
          <w:headerReference w:type="default" r:id="rId93"/>
          <w:footerReference w:type="even" r:id="rId94"/>
          <w:footerReference w:type="default" r:id="rId95"/>
          <w:headerReference w:type="first" r:id="rId96"/>
          <w:footerReference w:type="first" r:id="rId97"/>
          <w:pgSz w:w="11907" w:h="16839"/>
          <w:pgMar w:top="1134" w:right="1134" w:bottom="1134" w:left="1134" w:header="567" w:footer="567" w:gutter="0"/>
          <w:cols w:space="720"/>
          <w:docGrid w:linePitch="360"/>
        </w:sectPr>
      </w:pPr>
    </w:p>
    <w:p w14:paraId="301E9A4A" w14:textId="77777777" w:rsidR="0084326C" w:rsidRPr="005D68A0" w:rsidRDefault="0084326C" w:rsidP="0084326C">
      <w:pPr>
        <w:spacing w:after="120"/>
        <w:jc w:val="both"/>
        <w:rPr>
          <w:noProof/>
        </w:rPr>
      </w:pPr>
      <w:r>
        <w:rPr>
          <w:b/>
          <w:noProof/>
        </w:rPr>
        <w:t xml:space="preserve">Investeering 2.3. Programmid, mille eesmärk on parandada kohtade identiteeti: pargid ja ajaloolised aiad </w:t>
      </w:r>
    </w:p>
    <w:p w14:paraId="2111D829" w14:textId="77777777" w:rsidR="0084326C" w:rsidRPr="005D68A0" w:rsidRDefault="0084326C" w:rsidP="0084326C">
      <w:pPr>
        <w:spacing w:after="120"/>
        <w:jc w:val="both"/>
        <w:rPr>
          <w:noProof/>
        </w:rPr>
      </w:pPr>
      <w:r>
        <w:rPr>
          <w:noProof/>
        </w:rPr>
        <w:t xml:space="preserve">Selle investeeringu eesmärk on võidelda linnade mahajäämise vastu ja taastada kohtade ühine identiteet, luua uusi võimalusi kohaliku majanduse elavdamiseks ja kriisi mõju leevendamiseks ning parandada ajalooliste parkide ja aedade haldamise ja hooldamise oskusi. </w:t>
      </w:r>
    </w:p>
    <w:p w14:paraId="449E571D" w14:textId="77777777" w:rsidR="0084326C" w:rsidRPr="005D68A0" w:rsidRDefault="0084326C" w:rsidP="0084326C">
      <w:pPr>
        <w:spacing w:after="120"/>
        <w:jc w:val="both"/>
        <w:rPr>
          <w:noProof/>
        </w:rPr>
      </w:pPr>
      <w:r>
        <w:rPr>
          <w:noProof/>
        </w:rPr>
        <w:t>Investeeringuga nähakse ette ajalooliste parkide ja aedade renoveerimine ning luuakse ulatuslikud teadmised Itaalia ajalooliste parkide ja aedade kohta, et neid nõuetekohaselt hooldada, hallata ja kasutada. Vahendid eraldatakse nende kohtade taaselustamiseks ja kohalike töötajate koolitamiseks, kes võivad neid aja jooksul ravida/säilitada.</w:t>
      </w:r>
    </w:p>
    <w:p w14:paraId="0980D28C" w14:textId="77777777" w:rsidR="0084326C" w:rsidRPr="005D68A0" w:rsidRDefault="0084326C" w:rsidP="0084326C">
      <w:pPr>
        <w:spacing w:after="120"/>
        <w:jc w:val="both"/>
        <w:rPr>
          <w:noProof/>
        </w:rPr>
      </w:pPr>
      <w:r>
        <w:rPr>
          <w:noProof/>
        </w:rPr>
        <w:t>Lisaks kultuurilisele ja ajaloolisele väärtusele aitavad aiad ja ajaloolised pargid edendada keskkonnaväärtusi ning mängivad olulist rolli säilitamisel, hapniku tootmisel, keskkonnareostuse ja müra vähendamisel ning mikrokliima reguleerimisel.</w:t>
      </w:r>
    </w:p>
    <w:p w14:paraId="2E1A04A0" w14:textId="77777777" w:rsidR="0084326C" w:rsidRPr="005D68A0" w:rsidRDefault="0084326C" w:rsidP="0084326C">
      <w:pPr>
        <w:spacing w:after="120"/>
        <w:jc w:val="both"/>
        <w:rPr>
          <w:b/>
          <w:noProof/>
        </w:rPr>
      </w:pPr>
      <w:r>
        <w:rPr>
          <w:b/>
          <w:noProof/>
        </w:rPr>
        <w:t>Investeering 2.4. Pühapaikade seismiline ohutus, FECi pärandi taastamine ja varjualused kunstiteostele (taastuskunst)</w:t>
      </w:r>
    </w:p>
    <w:p w14:paraId="373037B5" w14:textId="3A306FEE" w:rsidR="0084326C" w:rsidRPr="005D68A0" w:rsidRDefault="0084326C" w:rsidP="0084326C">
      <w:pPr>
        <w:spacing w:after="120"/>
        <w:jc w:val="both"/>
        <w:rPr>
          <w:noProof/>
        </w:rPr>
      </w:pPr>
      <w:r>
        <w:rPr>
          <w:noProof/>
        </w:rPr>
        <w:t>Koostatakse maavärinavastane ennetusmeetmete kava, et märkimisväärselt vähendada kultuspaikadega seotud riske ja seeläbi vältida võimalikke katastroofijärgseid taastamiskulusid ning paljude varade püsivat kadumist. Tegevuskaval on kolm tegevussuunda: pühakodade kaitsmine seismiliste ohtude eest; Fondi pühapaikade pärandi taastamine ja ladude ehitamine kunstiteoste varjualusena katastroofiliste sündmuste korral.</w:t>
      </w:r>
    </w:p>
    <w:p w14:paraId="4FD5DC77" w14:textId="77777777" w:rsidR="0084326C" w:rsidRPr="005D68A0" w:rsidRDefault="0084326C" w:rsidP="0084326C">
      <w:pPr>
        <w:spacing w:after="120"/>
        <w:jc w:val="both"/>
        <w:rPr>
          <w:b/>
          <w:bCs/>
          <w:noProof/>
          <w:u w:val="single"/>
        </w:rPr>
      </w:pPr>
      <w:r>
        <w:rPr>
          <w:noProof/>
        </w:rPr>
        <w:t>Investeeringuga nähakse ette ka riikliku kultuurivarade kaitse inim- ja loodusriskide eest (CEFURISC) loomine, mis võimaldab olemasolevate tehnoloogiate ja keskkonnasüsteemide sünergilisemat kasutamist kultuuripaikade seireks, jälgimiseks ja haldamiseks.</w:t>
      </w:r>
      <w:r>
        <w:rPr>
          <w:b/>
          <w:noProof/>
          <w:u w:val="single"/>
        </w:rPr>
        <w:t xml:space="preserve"> </w:t>
      </w:r>
    </w:p>
    <w:p w14:paraId="5A77A688" w14:textId="77777777" w:rsidR="0084326C" w:rsidRPr="005D68A0" w:rsidRDefault="0084326C" w:rsidP="0084326C">
      <w:pPr>
        <w:spacing w:after="120"/>
        <w:jc w:val="both"/>
        <w:rPr>
          <w:b/>
          <w:noProof/>
        </w:rPr>
      </w:pPr>
      <w:r>
        <w:rPr>
          <w:b/>
          <w:noProof/>
        </w:rPr>
        <w:t>Investeering 4.2. Turismiettevõtete konkurentsivõime fondid</w:t>
      </w:r>
    </w:p>
    <w:p w14:paraId="3B3C9F6D" w14:textId="5CA24986" w:rsidR="0084326C" w:rsidRPr="005D68A0" w:rsidRDefault="0084326C" w:rsidP="0084326C">
      <w:pPr>
        <w:spacing w:after="120"/>
        <w:jc w:val="both"/>
        <w:rPr>
          <w:noProof/>
        </w:rPr>
      </w:pPr>
      <w:r>
        <w:rPr>
          <w:noProof/>
        </w:rPr>
        <w:t>Meetme eesmärk on toetada turismisektoris tegutsevaid ettevõtteid. See hõlmab maksusoodustust majutusvõimaluste parandamiseks tehtavatele töödele, tagatisfondi, et hõlbustada sektori ettevõtete juurdepääsu krediidile (VKEde tagatisfondi sihtotstarbelise osa kaudu), EIP temaatilise turismifondi aktiveerimist, et toetada innovaatilisi investeeringuid sektoris, aktsiafondi (riiklik turismifond) suure turismipotentsiaaliga kinnisvara ümberehitamiseks. Eespool nimetatud meetmeid täiendab täiendav rahastamisvahend (FRI – Fondo rotativo), et toetada turismisektoris tegutsevaid ettevõtteid. Eespool nimetatud sekkumised viiakse läbi kooskõlas investeerimispoliitikaga kooskõlas määruse (EL)</w:t>
      </w:r>
      <w:r w:rsidR="00D819D7">
        <w:rPr>
          <w:noProof/>
        </w:rPr>
        <w:t> </w:t>
      </w:r>
      <w:r>
        <w:rPr>
          <w:noProof/>
        </w:rPr>
        <w:t>2021/241 eesmärkidega, sealhulgas seoses põhimõtte „ära tee olulist kahju“ kohaldamisega, nagu on täpsustatud tehnilistes suunistes „ära tee olulist kahju“ kohaldamise kohta vastavalt taaste ja vastupidavuse rahastamisvahendi määrusele (2021/C58/01).</w:t>
      </w:r>
    </w:p>
    <w:p w14:paraId="1FBCE148" w14:textId="77777777" w:rsidR="0084326C" w:rsidRPr="005D68A0" w:rsidRDefault="0084326C" w:rsidP="0084326C">
      <w:pPr>
        <w:pStyle w:val="Text1"/>
        <w:spacing w:before="0"/>
        <w:ind w:left="0"/>
        <w:rPr>
          <w:noProof/>
        </w:rPr>
      </w:pPr>
      <w:r>
        <w:rPr>
          <w:noProof/>
        </w:rPr>
        <w:t xml:space="preserve">Tagamaks, et meede on kooskõlas tehniliste suunistega „Mitte tekitada olulist kahju“ (2021/C58/01), rahastamisvahendite õigusliku kokkuleppega ja sellele järgneva investeerimispoliitikaga, </w:t>
      </w:r>
    </w:p>
    <w:p w14:paraId="2C1B41FA" w14:textId="77777777" w:rsidR="0084326C" w:rsidRPr="005D68A0" w:rsidRDefault="0084326C" w:rsidP="0084326C">
      <w:pPr>
        <w:pStyle w:val="Text1"/>
        <w:numPr>
          <w:ilvl w:val="0"/>
          <w:numId w:val="78"/>
        </w:numPr>
        <w:spacing w:before="0"/>
        <w:ind w:left="567" w:hanging="283"/>
        <w:rPr>
          <w:noProof/>
        </w:rPr>
      </w:pPr>
      <w:r>
        <w:rPr>
          <w:noProof/>
        </w:rPr>
        <w:t>nõuet, et InvestEU fondi kestlikkuskontrolli suhtes kohaldataks komisjoni tehnilist suunist; ning</w:t>
      </w:r>
    </w:p>
    <w:p w14:paraId="2CBEDDDA" w14:textId="77777777" w:rsidR="0084326C" w:rsidRPr="005D68A0" w:rsidRDefault="0084326C" w:rsidP="0084326C">
      <w:pPr>
        <w:pStyle w:val="Text1"/>
        <w:numPr>
          <w:ilvl w:val="0"/>
          <w:numId w:val="78"/>
        </w:numPr>
        <w:spacing w:before="0"/>
        <w:ind w:left="567" w:hanging="283"/>
        <w:rPr>
          <w:noProof/>
        </w:rPr>
      </w:pPr>
      <w:r>
        <w:rPr>
          <w:noProof/>
        </w:rPr>
        <w:t>jätta välja järgmine tegevuste loetelu: i) fossiilkütustega seotud tegevus, sealhulgas allkasutus tootmisahela järgmistes etappides</w:t>
      </w:r>
      <w:r w:rsidRPr="005D68A0">
        <w:rPr>
          <w:rStyle w:val="FootnoteReference"/>
          <w:noProof/>
          <w:lang w:val="en-GB"/>
        </w:rPr>
        <w:footnoteReference w:id="31"/>
      </w:r>
      <w:r>
        <w:rPr>
          <w:noProof/>
        </w:rPr>
        <w:t>; ii) ELi heitkogustega kauplemise süsteemi (HKS) raames toimuv tegevus, mille prognoositav kasvuhoonegaaside heide ei ole asjaomastest võrdlusalustest</w:t>
      </w:r>
      <w:r w:rsidRPr="005D68A0">
        <w:rPr>
          <w:rStyle w:val="FootnoteReference"/>
          <w:noProof/>
          <w:lang w:val="en-GB"/>
        </w:rPr>
        <w:footnoteReference w:id="32"/>
      </w:r>
      <w:r>
        <w:rPr>
          <w:noProof/>
        </w:rPr>
        <w:t xml:space="preserve"> madalam; iii) prügilate, jäätmepõletustehaste</w:t>
      </w:r>
      <w:r w:rsidRPr="005D68A0">
        <w:rPr>
          <w:rStyle w:val="FootnoteReference"/>
          <w:noProof/>
          <w:lang w:val="en-GB"/>
        </w:rPr>
        <w:footnoteReference w:id="33"/>
      </w:r>
      <w:r>
        <w:rPr>
          <w:noProof/>
        </w:rPr>
        <w:t xml:space="preserve"> ja mehhaanilis-bioloogilise töötlemise jaamadega</w:t>
      </w:r>
      <w:r w:rsidRPr="005D68A0">
        <w:rPr>
          <w:rStyle w:val="FootnoteReference"/>
          <w:noProof/>
          <w:lang w:val="en-GB"/>
        </w:rPr>
        <w:footnoteReference w:id="34"/>
      </w:r>
      <w:r>
        <w:rPr>
          <w:noProof/>
        </w:rPr>
        <w:t xml:space="preserve"> seotud tegevus; ning iv) tegevus, mille puhul jäätmete pikaajaline kõrvaldamine võib kahjustada keskkonda. ning</w:t>
      </w:r>
    </w:p>
    <w:p w14:paraId="3151B95B" w14:textId="77777777" w:rsidR="0084326C" w:rsidRPr="005D68A0" w:rsidRDefault="0084326C" w:rsidP="0084326C">
      <w:pPr>
        <w:pStyle w:val="Text1"/>
        <w:numPr>
          <w:ilvl w:val="0"/>
          <w:numId w:val="78"/>
        </w:numPr>
        <w:spacing w:before="0"/>
        <w:ind w:left="567" w:hanging="283"/>
        <w:rPr>
          <w:noProof/>
        </w:rPr>
      </w:pPr>
      <w:r>
        <w:rPr>
          <w:noProof/>
        </w:rPr>
        <w:t>nõuda, et volitatud üksus või finantsvahendaja kontrolliks projektide vastavust asjakohastele ELi ja riiklikele keskkonnaalastele õigusaktidele kõigi tehingute puhul, sealhulgas nende puhul, mis on vabastatud jätkusuutlikkuse hindamisest.</w:t>
      </w:r>
    </w:p>
    <w:p w14:paraId="2740A4A3" w14:textId="77777777" w:rsidR="0084326C" w:rsidRPr="005D68A0" w:rsidRDefault="0084326C" w:rsidP="0084326C">
      <w:pPr>
        <w:spacing w:after="120"/>
        <w:jc w:val="both"/>
        <w:rPr>
          <w:b/>
          <w:bCs/>
          <w:noProof/>
        </w:rPr>
      </w:pPr>
      <w:r>
        <w:rPr>
          <w:b/>
          <w:noProof/>
        </w:rPr>
        <w:t>Investeering 3.2. Filmitööstuse arendamine (Cinecittà projekt)</w:t>
      </w:r>
    </w:p>
    <w:p w14:paraId="75F8CD1D" w14:textId="58EB770A" w:rsidR="0084326C" w:rsidRPr="005D68A0" w:rsidRDefault="0084326C" w:rsidP="0084326C">
      <w:pPr>
        <w:spacing w:after="120"/>
        <w:jc w:val="both"/>
        <w:rPr>
          <w:noProof/>
        </w:rPr>
      </w:pPr>
      <w:r>
        <w:rPr>
          <w:noProof/>
        </w:rPr>
        <w:t>Investeeringu eesmärk on suurendada Itaalia filmi- ja audiovisuaalsektori konkurentsivõimet. Projekti eesmärk on leevendada kriisi sotsiaalset ja majanduslikku mõju eesmärgiga suurendada majanduskasvu, tööhõivet ja konkurentsivõimet, sealhulgas koolituse kaudu, kasutades kolme tegevussuunda.</w:t>
      </w:r>
    </w:p>
    <w:p w14:paraId="64E1D1CF" w14:textId="77777777" w:rsidR="0084326C" w:rsidRPr="005D68A0" w:rsidRDefault="0084326C" w:rsidP="0084326C">
      <w:pPr>
        <w:pStyle w:val="ListParagraph"/>
        <w:numPr>
          <w:ilvl w:val="0"/>
          <w:numId w:val="77"/>
        </w:numPr>
        <w:spacing w:before="0"/>
        <w:contextualSpacing w:val="0"/>
        <w:rPr>
          <w:noProof/>
        </w:rPr>
      </w:pPr>
      <w:r>
        <w:rPr>
          <w:noProof/>
        </w:rPr>
        <w:t>Suund A: Uute stuudiote ehitamine ning olemasolevate ja lisade, sealhulgas kõrgtehnoloogiliste lahenduste taastamine.</w:t>
      </w:r>
    </w:p>
    <w:p w14:paraId="463AF134" w14:textId="77777777" w:rsidR="0084326C" w:rsidRPr="005D68A0" w:rsidRDefault="0084326C" w:rsidP="0084326C">
      <w:pPr>
        <w:pStyle w:val="ListParagraph"/>
        <w:numPr>
          <w:ilvl w:val="0"/>
          <w:numId w:val="77"/>
        </w:numPr>
        <w:spacing w:before="0"/>
        <w:contextualSpacing w:val="0"/>
        <w:rPr>
          <w:noProof/>
        </w:rPr>
      </w:pPr>
      <w:r>
        <w:rPr>
          <w:noProof/>
        </w:rPr>
        <w:t>Suund B: Uuenduslikud investeeringud kino eksperimentaalkeskuse tootmis- ja koolitustegevuse tõhustamiseks, sealhulgas uued vahendid audiovisuaalse tootmise, rahvusvahelistumise, kultuuri- ja haridusvahetuse jaoks; professionaalseks ja hariduslikuks kasutuseks vajaliku infrastruktuuri (virtuaalne tootmine) arendamine e-õppe, hoonete ja rajatiste digiteerimise ja moderniseerimise kaudu, pidades eelkõige silmas tehnoloogia ja keskkonna ümberkujundamise edendamist; audiovisuaalpärandi säilitamine ja digiteerimine</w:t>
      </w:r>
    </w:p>
    <w:p w14:paraId="5E442D28" w14:textId="77777777" w:rsidR="0084326C" w:rsidRPr="005D68A0" w:rsidRDefault="0084326C" w:rsidP="0084326C">
      <w:pPr>
        <w:pStyle w:val="ListParagraph"/>
        <w:numPr>
          <w:ilvl w:val="0"/>
          <w:numId w:val="77"/>
        </w:numPr>
        <w:spacing w:before="0"/>
        <w:contextualSpacing w:val="0"/>
        <w:rPr>
          <w:noProof/>
        </w:rPr>
      </w:pPr>
      <w:r>
        <w:rPr>
          <w:noProof/>
        </w:rPr>
        <w:t>Suund C: Kutseoskuste ja -pädevuste tugevdamine audiovisuaalsektoris kolmes kutsealases makrovaldkonnas: äritegevus/juhtkond; loov/kunstlik; tehnilised töötajad.</w:t>
      </w:r>
    </w:p>
    <w:p w14:paraId="78854C7E" w14:textId="77777777" w:rsidR="0084326C" w:rsidRPr="005D68A0" w:rsidRDefault="0084326C" w:rsidP="0084326C">
      <w:pPr>
        <w:spacing w:after="120"/>
        <w:jc w:val="both"/>
        <w:rPr>
          <w:b/>
          <w:bCs/>
          <w:noProof/>
        </w:rPr>
      </w:pPr>
      <w:r>
        <w:rPr>
          <w:b/>
          <w:noProof/>
        </w:rPr>
        <w:t>Investeering 4.3. Caput Mundi Next Generation EU turismialastele suurüritustele.</w:t>
      </w:r>
    </w:p>
    <w:p w14:paraId="2CD46C5E" w14:textId="77777777" w:rsidR="0084326C" w:rsidRPr="005D68A0" w:rsidRDefault="0084326C" w:rsidP="0084326C">
      <w:pPr>
        <w:tabs>
          <w:tab w:val="left" w:pos="1340"/>
          <w:tab w:val="left" w:pos="1341"/>
        </w:tabs>
        <w:spacing w:after="120"/>
        <w:ind w:right="-7"/>
        <w:jc w:val="both"/>
        <w:rPr>
          <w:noProof/>
        </w:rPr>
      </w:pPr>
      <w:r>
        <w:rPr>
          <w:noProof/>
        </w:rPr>
        <w:t>Projektiga suurendatakse juurdepääsetavate turismiobjektide arvu, luuakse sobivad ja kvalifitseeritud turismi- ja kultuurialternatiivid seoses ülerahvastatud kesksete piirkondadega ning suurendatakse digitehnoloogiate kasutamist, edendatakse rohealasid ja turismi kestlikkust. Investeeringuga nähakse ette kuus sekkumissuunda:</w:t>
      </w:r>
    </w:p>
    <w:p w14:paraId="6C4E2FE2" w14:textId="12A81EBB" w:rsidR="0084326C" w:rsidRPr="005D68A0" w:rsidRDefault="0084326C" w:rsidP="0084326C">
      <w:pPr>
        <w:pStyle w:val="ListParagraph"/>
        <w:numPr>
          <w:ilvl w:val="0"/>
          <w:numId w:val="137"/>
        </w:numPr>
        <w:tabs>
          <w:tab w:val="left" w:pos="1340"/>
          <w:tab w:val="left" w:pos="1341"/>
        </w:tabs>
        <w:ind w:right="-7"/>
        <w:rPr>
          <w:noProof/>
        </w:rPr>
      </w:pPr>
      <w:r>
        <w:rPr>
          <w:noProof/>
        </w:rPr>
        <w:t xml:space="preserve">„Rooma kultuuripärand ELi ja järgmise põlvkonna jaoks„ mis hõlmab Rooma linna kultuuri- ja linnapärandi ning suure ajaloolise ja arhitektuurilise väärtusega komplekside taaselustamist ja taastamist ;  </w:t>
      </w:r>
    </w:p>
    <w:p w14:paraId="0E8FD3DC" w14:textId="77777777" w:rsidR="0084326C" w:rsidRPr="005D68A0" w:rsidRDefault="0084326C" w:rsidP="0084326C">
      <w:pPr>
        <w:pStyle w:val="ListParagraph"/>
        <w:numPr>
          <w:ilvl w:val="0"/>
          <w:numId w:val="137"/>
        </w:numPr>
        <w:tabs>
          <w:tab w:val="left" w:pos="1340"/>
          <w:tab w:val="left" w:pos="1341"/>
        </w:tabs>
        <w:ind w:right="-7"/>
        <w:rPr>
          <w:noProof/>
        </w:rPr>
      </w:pPr>
      <w:r>
        <w:rPr>
          <w:noProof/>
        </w:rPr>
        <w:t>„Jubilee rada“ (paganlusest kristliku Roomani), mis on suunatud parendamisele, ohutusele, maavärinavastasele konsolideerumisele, ajaloolise väärtusega paikade ja hoonete taastamisele ning arheoloogilistele radadele;</w:t>
      </w:r>
    </w:p>
    <w:p w14:paraId="3EBF61FC" w14:textId="77777777" w:rsidR="0084326C" w:rsidRPr="005D68A0" w:rsidRDefault="0084326C" w:rsidP="0084326C">
      <w:pPr>
        <w:pStyle w:val="ListParagraph"/>
        <w:numPr>
          <w:ilvl w:val="0"/>
          <w:numId w:val="137"/>
        </w:numPr>
        <w:tabs>
          <w:tab w:val="left" w:pos="1340"/>
          <w:tab w:val="left" w:pos="1341"/>
        </w:tabs>
        <w:ind w:right="-7"/>
        <w:rPr>
          <w:noProof/>
        </w:rPr>
      </w:pPr>
      <w:r>
        <w:rPr>
          <w:noProof/>
        </w:rPr>
        <w:t>#LaCittàCondivisa, mis hõlmab äärealade mälestiste ümberehitamist;</w:t>
      </w:r>
    </w:p>
    <w:p w14:paraId="4F1EC9D3" w14:textId="77777777" w:rsidR="0084326C" w:rsidRPr="005D68A0" w:rsidRDefault="0084326C" w:rsidP="0084326C">
      <w:pPr>
        <w:pStyle w:val="ListParagraph"/>
        <w:numPr>
          <w:ilvl w:val="0"/>
          <w:numId w:val="137"/>
        </w:numPr>
        <w:tabs>
          <w:tab w:val="left" w:pos="1340"/>
          <w:tab w:val="left" w:pos="1341"/>
        </w:tabs>
        <w:ind w:right="-7"/>
        <w:rPr>
          <w:noProof/>
        </w:rPr>
      </w:pPr>
      <w:r>
        <w:rPr>
          <w:noProof/>
        </w:rPr>
        <w:t>#Mitingodiverde, mis hõlmab parkide, ajalooliste aedade, villade ja purskkaevudega seotud sekkumisi;</w:t>
      </w:r>
    </w:p>
    <w:p w14:paraId="6B319637" w14:textId="77777777" w:rsidR="0084326C" w:rsidRPr="005D68A0" w:rsidRDefault="0084326C" w:rsidP="0084326C">
      <w:pPr>
        <w:pStyle w:val="ListParagraph"/>
        <w:numPr>
          <w:ilvl w:val="0"/>
          <w:numId w:val="137"/>
        </w:numPr>
        <w:tabs>
          <w:tab w:val="left" w:pos="1340"/>
          <w:tab w:val="left" w:pos="1341"/>
        </w:tabs>
        <w:ind w:right="-7"/>
        <w:rPr>
          <w:noProof/>
        </w:rPr>
      </w:pPr>
      <w:r>
        <w:rPr>
          <w:noProof/>
        </w:rPr>
        <w:t>#Roma 4.0, mis hõlmab kultuuriteenuste digiteerimist ja turistidele mõeldud rakenduste arendamist;</w:t>
      </w:r>
    </w:p>
    <w:p w14:paraId="685CB1C4" w14:textId="77777777" w:rsidR="0084326C" w:rsidRPr="005D68A0" w:rsidRDefault="0084326C" w:rsidP="0084326C">
      <w:pPr>
        <w:pStyle w:val="ListParagraph"/>
        <w:numPr>
          <w:ilvl w:val="0"/>
          <w:numId w:val="137"/>
        </w:numPr>
        <w:tabs>
          <w:tab w:val="left" w:pos="1340"/>
          <w:tab w:val="left" w:pos="1341"/>
        </w:tabs>
        <w:ind w:right="-7"/>
        <w:rPr>
          <w:noProof/>
          <w:shd w:val="clear" w:color="auto" w:fill="E6E6E6"/>
        </w:rPr>
        <w:sectPr w:rsidR="0084326C" w:rsidRPr="005D68A0">
          <w:headerReference w:type="even" r:id="rId98"/>
          <w:headerReference w:type="default" r:id="rId99"/>
          <w:footerReference w:type="even" r:id="rId100"/>
          <w:footerReference w:type="default" r:id="rId101"/>
          <w:headerReference w:type="first" r:id="rId102"/>
          <w:footerReference w:type="first" r:id="rId103"/>
          <w:pgSz w:w="11907" w:h="16839"/>
          <w:pgMar w:top="1134" w:right="1134" w:bottom="1134" w:left="1134" w:header="567" w:footer="567" w:gutter="0"/>
          <w:cols w:space="720"/>
          <w:docGrid w:linePitch="360"/>
        </w:sectPr>
      </w:pPr>
      <w:r>
        <w:rPr>
          <w:noProof/>
        </w:rPr>
        <w:t>#Amanotesa, mille eesmärk on suurendada kultuurilise pakkumise pakkumist äärealadele sotsiaalseks integratsiooniks.</w:t>
      </w:r>
    </w:p>
    <w:p w14:paraId="471C9AB9" w14:textId="77777777" w:rsidR="0084326C" w:rsidRPr="005D68A0" w:rsidRDefault="0084326C" w:rsidP="0084326C">
      <w:pPr>
        <w:pStyle w:val="Heading3"/>
        <w:numPr>
          <w:ilvl w:val="0"/>
          <w:numId w:val="0"/>
        </w:numPr>
        <w:ind w:left="850" w:hanging="850"/>
        <w:rPr>
          <w:b/>
          <w:bCs w:val="0"/>
          <w:i w:val="0"/>
          <w:iCs/>
          <w:noProof/>
          <w:u w:val="single"/>
        </w:rPr>
      </w:pPr>
      <w:r>
        <w:rPr>
          <w:b/>
          <w:i w:val="0"/>
          <w:noProof/>
          <w:u w:val="single"/>
        </w:rPr>
        <w:t xml:space="preserve">C.4. </w:t>
      </w:r>
      <w:r>
        <w:rPr>
          <w:noProof/>
        </w:rPr>
        <w:tab/>
      </w:r>
      <w:r>
        <w:rPr>
          <w:b/>
          <w:i w:val="0"/>
          <w:noProof/>
          <w:u w:val="single"/>
        </w:rPr>
        <w:t xml:space="preserve">Laenu eesmärgid, sihid, näitajad ning seire ja rakendamise ajakava </w:t>
      </w: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1560"/>
        <w:gridCol w:w="1134"/>
        <w:gridCol w:w="1559"/>
        <w:gridCol w:w="1559"/>
        <w:gridCol w:w="992"/>
        <w:gridCol w:w="995"/>
        <w:gridCol w:w="1271"/>
        <w:gridCol w:w="995"/>
        <w:gridCol w:w="660"/>
        <w:gridCol w:w="3136"/>
      </w:tblGrid>
      <w:tr w:rsidR="0084326C" w:rsidRPr="00D90835" w14:paraId="50B8BF3F" w14:textId="77777777">
        <w:trPr>
          <w:trHeight w:val="313"/>
          <w:tblHeader/>
          <w:jc w:val="center"/>
        </w:trPr>
        <w:tc>
          <w:tcPr>
            <w:tcW w:w="377" w:type="pct"/>
            <w:vMerge w:val="restart"/>
            <w:shd w:val="clear" w:color="auto" w:fill="BDD7EE"/>
            <w:noWrap/>
            <w:vAlign w:val="center"/>
          </w:tcPr>
          <w:p w14:paraId="2F6881FA" w14:textId="77777777" w:rsidR="0084326C" w:rsidRPr="00F33804" w:rsidRDefault="0084326C">
            <w:pPr>
              <w:jc w:val="center"/>
              <w:rPr>
                <w:rFonts w:ascii="Arial Narrow" w:hAnsi="Arial Narrow"/>
                <w:noProof/>
                <w:sz w:val="20"/>
                <w:szCs w:val="20"/>
              </w:rPr>
            </w:pPr>
          </w:p>
          <w:p w14:paraId="574F1455" w14:textId="77777777" w:rsidR="0084326C" w:rsidRPr="005D68A0" w:rsidRDefault="0084326C">
            <w:pPr>
              <w:jc w:val="center"/>
              <w:rPr>
                <w:rFonts w:ascii="Arial Narrow" w:hAnsi="Arial Narrow"/>
                <w:noProof/>
                <w:sz w:val="20"/>
                <w:szCs w:val="20"/>
              </w:rPr>
            </w:pPr>
            <w:r>
              <w:rPr>
                <w:rFonts w:ascii="Arial Narrow" w:hAnsi="Arial Narrow"/>
                <w:b/>
                <w:noProof/>
                <w:sz w:val="20"/>
              </w:rPr>
              <w:t>Järjekorranumber</w:t>
            </w:r>
          </w:p>
        </w:tc>
        <w:tc>
          <w:tcPr>
            <w:tcW w:w="520" w:type="pct"/>
            <w:vMerge w:val="restart"/>
            <w:shd w:val="clear" w:color="auto" w:fill="BDD7EE"/>
            <w:noWrap/>
            <w:vAlign w:val="center"/>
          </w:tcPr>
          <w:p w14:paraId="0FCBE9C8" w14:textId="77777777" w:rsidR="0084326C" w:rsidRPr="005D68A0" w:rsidRDefault="0084326C">
            <w:pPr>
              <w:jc w:val="center"/>
              <w:rPr>
                <w:rFonts w:ascii="Arial Narrow" w:hAnsi="Arial Narrow"/>
                <w:b/>
                <w:noProof/>
                <w:sz w:val="20"/>
                <w:szCs w:val="20"/>
              </w:rPr>
            </w:pPr>
            <w:r>
              <w:rPr>
                <w:rFonts w:ascii="Arial Narrow" w:hAnsi="Arial Narrow"/>
                <w:b/>
                <w:noProof/>
                <w:sz w:val="20"/>
              </w:rPr>
              <w:t>Seotud meede (reform või investeering)</w:t>
            </w:r>
          </w:p>
        </w:tc>
        <w:tc>
          <w:tcPr>
            <w:tcW w:w="378" w:type="pct"/>
            <w:vMerge w:val="restart"/>
            <w:shd w:val="clear" w:color="auto" w:fill="BDD7EE"/>
            <w:noWrap/>
            <w:vAlign w:val="center"/>
          </w:tcPr>
          <w:p w14:paraId="1CD45C86" w14:textId="77777777" w:rsidR="0084326C" w:rsidRPr="005D68A0" w:rsidRDefault="0084326C">
            <w:pPr>
              <w:jc w:val="center"/>
              <w:rPr>
                <w:rFonts w:ascii="Arial Narrow" w:hAnsi="Arial Narrow"/>
                <w:b/>
                <w:noProof/>
                <w:sz w:val="20"/>
                <w:szCs w:val="20"/>
              </w:rPr>
            </w:pPr>
            <w:r>
              <w:rPr>
                <w:rFonts w:ascii="Arial Narrow" w:hAnsi="Arial Narrow"/>
                <w:b/>
                <w:noProof/>
                <w:sz w:val="20"/>
              </w:rPr>
              <w:t>Eesmärk / siht</w:t>
            </w:r>
          </w:p>
        </w:tc>
        <w:tc>
          <w:tcPr>
            <w:tcW w:w="520" w:type="pct"/>
            <w:vMerge w:val="restart"/>
            <w:shd w:val="clear" w:color="auto" w:fill="BDD7EE"/>
            <w:noWrap/>
            <w:vAlign w:val="center"/>
          </w:tcPr>
          <w:p w14:paraId="19EE435E" w14:textId="77777777" w:rsidR="0084326C" w:rsidRPr="005D68A0" w:rsidRDefault="0084326C">
            <w:pPr>
              <w:jc w:val="center"/>
              <w:rPr>
                <w:rFonts w:ascii="Arial Narrow" w:hAnsi="Arial Narrow"/>
                <w:b/>
                <w:noProof/>
                <w:sz w:val="20"/>
                <w:szCs w:val="20"/>
              </w:rPr>
            </w:pPr>
            <w:r>
              <w:rPr>
                <w:rFonts w:ascii="Arial Narrow" w:hAnsi="Arial Narrow"/>
                <w:b/>
                <w:noProof/>
                <w:sz w:val="20"/>
              </w:rPr>
              <w:t>Nimi</w:t>
            </w:r>
          </w:p>
        </w:tc>
        <w:tc>
          <w:tcPr>
            <w:tcW w:w="520" w:type="pct"/>
            <w:vMerge w:val="restart"/>
            <w:shd w:val="clear" w:color="auto" w:fill="BDD7EE"/>
            <w:noWrap/>
            <w:vAlign w:val="center"/>
          </w:tcPr>
          <w:p w14:paraId="649B39F3" w14:textId="77777777" w:rsidR="0084326C" w:rsidRPr="005D68A0" w:rsidRDefault="0084326C">
            <w:pPr>
              <w:jc w:val="center"/>
              <w:rPr>
                <w:rFonts w:ascii="Arial Narrow" w:hAnsi="Arial Narrow"/>
                <w:b/>
                <w:noProof/>
                <w:sz w:val="20"/>
                <w:szCs w:val="20"/>
              </w:rPr>
            </w:pPr>
            <w:r>
              <w:rPr>
                <w:rFonts w:ascii="Arial Narrow" w:hAnsi="Arial Narrow"/>
                <w:b/>
                <w:noProof/>
                <w:sz w:val="20"/>
              </w:rPr>
              <w:t>Kvalitatiivsed näitajad</w:t>
            </w:r>
            <w:r>
              <w:rPr>
                <w:noProof/>
              </w:rPr>
              <w:t xml:space="preserve"> </w:t>
            </w:r>
            <w:r>
              <w:rPr>
                <w:noProof/>
              </w:rPr>
              <w:br/>
            </w:r>
            <w:r>
              <w:rPr>
                <w:rFonts w:ascii="Arial Narrow" w:hAnsi="Arial Narrow"/>
                <w:b/>
                <w:noProof/>
                <w:sz w:val="20"/>
              </w:rPr>
              <w:t>(eesmärkide puhul)</w:t>
            </w:r>
          </w:p>
        </w:tc>
        <w:tc>
          <w:tcPr>
            <w:tcW w:w="1087" w:type="pct"/>
            <w:gridSpan w:val="3"/>
            <w:shd w:val="clear" w:color="auto" w:fill="BDD7EE"/>
            <w:noWrap/>
            <w:vAlign w:val="center"/>
          </w:tcPr>
          <w:p w14:paraId="320B0016" w14:textId="77777777" w:rsidR="0084326C" w:rsidRPr="005D68A0" w:rsidRDefault="0084326C">
            <w:pPr>
              <w:jc w:val="center"/>
              <w:rPr>
                <w:rFonts w:ascii="Arial Narrow" w:hAnsi="Arial Narrow"/>
                <w:noProof/>
                <w:sz w:val="20"/>
                <w:szCs w:val="20"/>
              </w:rPr>
            </w:pPr>
            <w:r>
              <w:rPr>
                <w:rFonts w:ascii="Arial Narrow" w:hAnsi="Arial Narrow"/>
                <w:b/>
                <w:noProof/>
                <w:sz w:val="20"/>
              </w:rPr>
              <w:t xml:space="preserve">Kvantitatiivsed näitajad </w:t>
            </w:r>
            <w:r>
              <w:rPr>
                <w:noProof/>
              </w:rPr>
              <w:br/>
            </w:r>
            <w:r>
              <w:rPr>
                <w:rFonts w:ascii="Arial Narrow" w:hAnsi="Arial Narrow"/>
                <w:b/>
                <w:noProof/>
                <w:sz w:val="20"/>
              </w:rPr>
              <w:t>(sihtide puhul)</w:t>
            </w:r>
          </w:p>
        </w:tc>
        <w:tc>
          <w:tcPr>
            <w:tcW w:w="551" w:type="pct"/>
            <w:gridSpan w:val="2"/>
            <w:shd w:val="clear" w:color="auto" w:fill="BDD7EE"/>
            <w:noWrap/>
            <w:vAlign w:val="center"/>
          </w:tcPr>
          <w:p w14:paraId="6B0F198A" w14:textId="77777777" w:rsidR="0084326C" w:rsidRPr="005D68A0" w:rsidRDefault="0084326C">
            <w:pPr>
              <w:jc w:val="center"/>
              <w:rPr>
                <w:rFonts w:ascii="Arial Narrow" w:hAnsi="Arial Narrow"/>
                <w:noProof/>
                <w:sz w:val="20"/>
                <w:szCs w:val="20"/>
              </w:rPr>
            </w:pPr>
            <w:r>
              <w:rPr>
                <w:rFonts w:ascii="Arial Narrow" w:hAnsi="Arial Narrow"/>
                <w:b/>
                <w:noProof/>
                <w:sz w:val="20"/>
              </w:rPr>
              <w:t>Lõpuleviimise soovituslik ajakava</w:t>
            </w:r>
          </w:p>
        </w:tc>
        <w:tc>
          <w:tcPr>
            <w:tcW w:w="1047" w:type="pct"/>
            <w:vMerge w:val="restart"/>
            <w:shd w:val="clear" w:color="auto" w:fill="BDD7EE"/>
            <w:noWrap/>
            <w:vAlign w:val="center"/>
          </w:tcPr>
          <w:p w14:paraId="3D53C343" w14:textId="77777777" w:rsidR="0084326C" w:rsidRPr="00F33804" w:rsidRDefault="0084326C">
            <w:pPr>
              <w:jc w:val="center"/>
              <w:rPr>
                <w:rFonts w:ascii="Arial Narrow" w:eastAsia="Calibri" w:hAnsi="Arial Narrow"/>
                <w:noProof/>
                <w:color w:val="006100"/>
                <w:sz w:val="20"/>
                <w:szCs w:val="20"/>
              </w:rPr>
            </w:pPr>
          </w:p>
          <w:p w14:paraId="5176AC31" w14:textId="77777777" w:rsidR="0084326C" w:rsidRPr="005D68A0" w:rsidRDefault="0084326C">
            <w:pPr>
              <w:jc w:val="center"/>
              <w:rPr>
                <w:rFonts w:ascii="Arial Narrow" w:eastAsia="Calibri" w:hAnsi="Arial Narrow"/>
                <w:noProof/>
                <w:color w:val="006100"/>
                <w:sz w:val="20"/>
                <w:szCs w:val="20"/>
              </w:rPr>
            </w:pPr>
            <w:r>
              <w:rPr>
                <w:rFonts w:ascii="Arial Narrow" w:hAnsi="Arial Narrow"/>
                <w:b/>
                <w:noProof/>
                <w:sz w:val="20"/>
              </w:rPr>
              <w:t>Iga eesmärgi ja sihi kirjeldus</w:t>
            </w:r>
          </w:p>
        </w:tc>
      </w:tr>
      <w:tr w:rsidR="0084326C" w:rsidRPr="005D68A0" w14:paraId="79B2A395" w14:textId="77777777">
        <w:trPr>
          <w:trHeight w:val="313"/>
          <w:tblHeader/>
          <w:jc w:val="center"/>
        </w:trPr>
        <w:tc>
          <w:tcPr>
            <w:tcW w:w="377" w:type="pct"/>
            <w:vMerge/>
            <w:noWrap/>
            <w:vAlign w:val="center"/>
          </w:tcPr>
          <w:p w14:paraId="5A8DBFDB" w14:textId="77777777" w:rsidR="0084326C" w:rsidRPr="00F33804" w:rsidRDefault="0084326C">
            <w:pPr>
              <w:jc w:val="center"/>
              <w:rPr>
                <w:rFonts w:ascii="Arial Narrow" w:hAnsi="Arial Narrow"/>
                <w:noProof/>
                <w:sz w:val="20"/>
                <w:szCs w:val="20"/>
              </w:rPr>
            </w:pPr>
          </w:p>
        </w:tc>
        <w:tc>
          <w:tcPr>
            <w:tcW w:w="520" w:type="pct"/>
            <w:vMerge/>
            <w:noWrap/>
            <w:vAlign w:val="center"/>
          </w:tcPr>
          <w:p w14:paraId="0B062AF3" w14:textId="77777777" w:rsidR="0084326C" w:rsidRPr="00F33804" w:rsidRDefault="0084326C">
            <w:pPr>
              <w:jc w:val="center"/>
              <w:rPr>
                <w:rFonts w:ascii="Arial Narrow" w:hAnsi="Arial Narrow"/>
                <w:noProof/>
                <w:sz w:val="20"/>
                <w:szCs w:val="20"/>
              </w:rPr>
            </w:pPr>
          </w:p>
        </w:tc>
        <w:tc>
          <w:tcPr>
            <w:tcW w:w="378" w:type="pct"/>
            <w:vMerge/>
            <w:noWrap/>
            <w:vAlign w:val="center"/>
          </w:tcPr>
          <w:p w14:paraId="06AA5F75" w14:textId="77777777" w:rsidR="0084326C" w:rsidRPr="00F33804" w:rsidRDefault="0084326C">
            <w:pPr>
              <w:jc w:val="center"/>
              <w:rPr>
                <w:rFonts w:ascii="Arial Narrow" w:hAnsi="Arial Narrow"/>
                <w:noProof/>
                <w:sz w:val="20"/>
                <w:szCs w:val="20"/>
              </w:rPr>
            </w:pPr>
          </w:p>
        </w:tc>
        <w:tc>
          <w:tcPr>
            <w:tcW w:w="520" w:type="pct"/>
            <w:vMerge/>
            <w:noWrap/>
            <w:vAlign w:val="center"/>
          </w:tcPr>
          <w:p w14:paraId="511CC14D" w14:textId="77777777" w:rsidR="0084326C" w:rsidRPr="00F33804" w:rsidRDefault="0084326C">
            <w:pPr>
              <w:jc w:val="center"/>
              <w:rPr>
                <w:rFonts w:ascii="Arial Narrow" w:hAnsi="Arial Narrow"/>
                <w:noProof/>
                <w:sz w:val="20"/>
                <w:szCs w:val="20"/>
              </w:rPr>
            </w:pPr>
          </w:p>
        </w:tc>
        <w:tc>
          <w:tcPr>
            <w:tcW w:w="520" w:type="pct"/>
            <w:vMerge/>
            <w:noWrap/>
            <w:vAlign w:val="center"/>
          </w:tcPr>
          <w:p w14:paraId="573090D8" w14:textId="77777777" w:rsidR="0084326C" w:rsidRPr="00F33804" w:rsidRDefault="0084326C">
            <w:pPr>
              <w:jc w:val="center"/>
              <w:rPr>
                <w:rFonts w:ascii="Arial Narrow" w:eastAsia="Calibri" w:hAnsi="Arial Narrow"/>
                <w:noProof/>
                <w:sz w:val="20"/>
                <w:szCs w:val="20"/>
              </w:rPr>
            </w:pPr>
          </w:p>
        </w:tc>
        <w:tc>
          <w:tcPr>
            <w:tcW w:w="331" w:type="pct"/>
            <w:shd w:val="clear" w:color="auto" w:fill="BDD7EE"/>
            <w:noWrap/>
            <w:vAlign w:val="center"/>
          </w:tcPr>
          <w:p w14:paraId="7D31A18E" w14:textId="77777777" w:rsidR="0084326C" w:rsidRPr="005D68A0" w:rsidRDefault="0084326C">
            <w:pPr>
              <w:jc w:val="center"/>
              <w:rPr>
                <w:rFonts w:ascii="Arial Narrow" w:hAnsi="Arial Narrow"/>
                <w:noProof/>
                <w:sz w:val="20"/>
                <w:szCs w:val="20"/>
              </w:rPr>
            </w:pPr>
            <w:r>
              <w:rPr>
                <w:rFonts w:ascii="Arial Narrow" w:hAnsi="Arial Narrow"/>
                <w:b/>
                <w:noProof/>
                <w:sz w:val="20"/>
              </w:rPr>
              <w:t>Mõõtühik</w:t>
            </w:r>
          </w:p>
        </w:tc>
        <w:tc>
          <w:tcPr>
            <w:tcW w:w="332" w:type="pct"/>
            <w:shd w:val="clear" w:color="auto" w:fill="BDD7EE"/>
            <w:noWrap/>
            <w:vAlign w:val="center"/>
          </w:tcPr>
          <w:p w14:paraId="740FC4C9" w14:textId="77777777" w:rsidR="0084326C" w:rsidRPr="005D68A0" w:rsidRDefault="0084326C">
            <w:pPr>
              <w:jc w:val="center"/>
              <w:rPr>
                <w:rFonts w:ascii="Arial Narrow" w:hAnsi="Arial Narrow"/>
                <w:noProof/>
                <w:sz w:val="20"/>
                <w:szCs w:val="20"/>
              </w:rPr>
            </w:pPr>
            <w:r>
              <w:rPr>
                <w:rFonts w:ascii="Arial Narrow" w:hAnsi="Arial Narrow"/>
                <w:b/>
                <w:noProof/>
                <w:sz w:val="20"/>
              </w:rPr>
              <w:t>Lähtetase</w:t>
            </w:r>
          </w:p>
        </w:tc>
        <w:tc>
          <w:tcPr>
            <w:tcW w:w="424" w:type="pct"/>
            <w:shd w:val="clear" w:color="auto" w:fill="BDD7EE"/>
            <w:noWrap/>
            <w:vAlign w:val="center"/>
          </w:tcPr>
          <w:p w14:paraId="1BFD4B22" w14:textId="77777777" w:rsidR="0084326C" w:rsidRPr="005D68A0" w:rsidRDefault="0084326C">
            <w:pPr>
              <w:jc w:val="center"/>
              <w:rPr>
                <w:rFonts w:ascii="Arial Narrow" w:hAnsi="Arial Narrow"/>
                <w:noProof/>
                <w:sz w:val="20"/>
                <w:szCs w:val="20"/>
              </w:rPr>
            </w:pPr>
            <w:r>
              <w:rPr>
                <w:rFonts w:ascii="Arial Narrow" w:hAnsi="Arial Narrow"/>
                <w:b/>
                <w:noProof/>
                <w:sz w:val="20"/>
              </w:rPr>
              <w:t>Eesmärk</w:t>
            </w:r>
          </w:p>
        </w:tc>
        <w:tc>
          <w:tcPr>
            <w:tcW w:w="332" w:type="pct"/>
            <w:shd w:val="clear" w:color="auto" w:fill="BDD7EE"/>
            <w:noWrap/>
            <w:vAlign w:val="center"/>
          </w:tcPr>
          <w:p w14:paraId="5F38116B" w14:textId="77777777" w:rsidR="0084326C" w:rsidRPr="005D68A0" w:rsidRDefault="0084326C">
            <w:pPr>
              <w:jc w:val="center"/>
              <w:rPr>
                <w:rFonts w:ascii="Arial Narrow" w:hAnsi="Arial Narrow"/>
                <w:noProof/>
                <w:sz w:val="20"/>
                <w:szCs w:val="20"/>
              </w:rPr>
            </w:pPr>
            <w:r>
              <w:rPr>
                <w:rFonts w:ascii="Arial Narrow" w:hAnsi="Arial Narrow"/>
                <w:b/>
                <w:noProof/>
                <w:sz w:val="20"/>
              </w:rPr>
              <w:t>Kvartal</w:t>
            </w:r>
          </w:p>
        </w:tc>
        <w:tc>
          <w:tcPr>
            <w:tcW w:w="220" w:type="pct"/>
            <w:shd w:val="clear" w:color="auto" w:fill="BDD7EE"/>
            <w:noWrap/>
            <w:vAlign w:val="center"/>
          </w:tcPr>
          <w:p w14:paraId="05012D50" w14:textId="77777777" w:rsidR="0084326C" w:rsidRPr="005D68A0" w:rsidRDefault="0084326C">
            <w:pPr>
              <w:jc w:val="center"/>
              <w:rPr>
                <w:rFonts w:ascii="Arial Narrow" w:hAnsi="Arial Narrow"/>
                <w:noProof/>
                <w:sz w:val="20"/>
                <w:szCs w:val="20"/>
              </w:rPr>
            </w:pPr>
            <w:r>
              <w:rPr>
                <w:rFonts w:ascii="Arial Narrow" w:hAnsi="Arial Narrow"/>
                <w:b/>
                <w:noProof/>
                <w:sz w:val="20"/>
              </w:rPr>
              <w:t>Aasta</w:t>
            </w:r>
          </w:p>
        </w:tc>
        <w:tc>
          <w:tcPr>
            <w:tcW w:w="1047" w:type="pct"/>
            <w:vMerge/>
            <w:noWrap/>
            <w:vAlign w:val="center"/>
          </w:tcPr>
          <w:p w14:paraId="1933F7B5" w14:textId="77777777" w:rsidR="0084326C" w:rsidRPr="005D68A0" w:rsidRDefault="0084326C">
            <w:pPr>
              <w:jc w:val="center"/>
              <w:rPr>
                <w:rFonts w:ascii="Arial Narrow" w:eastAsia="Calibri" w:hAnsi="Arial Narrow"/>
                <w:noProof/>
                <w:color w:val="006100"/>
                <w:sz w:val="20"/>
                <w:szCs w:val="20"/>
                <w:lang w:val="en-GB"/>
              </w:rPr>
            </w:pPr>
          </w:p>
        </w:tc>
      </w:tr>
      <w:tr w:rsidR="0084326C" w:rsidRPr="00D90835" w14:paraId="372F3153" w14:textId="77777777">
        <w:trPr>
          <w:trHeight w:val="313"/>
          <w:jc w:val="center"/>
        </w:trPr>
        <w:tc>
          <w:tcPr>
            <w:tcW w:w="377" w:type="pct"/>
            <w:shd w:val="clear" w:color="auto" w:fill="C6EFCE"/>
            <w:noWrap/>
            <w:vAlign w:val="center"/>
          </w:tcPr>
          <w:p w14:paraId="553A7A3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M1C3-12</w:t>
            </w:r>
          </w:p>
        </w:tc>
        <w:tc>
          <w:tcPr>
            <w:tcW w:w="520" w:type="pct"/>
            <w:shd w:val="clear" w:color="auto" w:fill="C6EFCE"/>
            <w:noWrap/>
            <w:vAlign w:val="center"/>
          </w:tcPr>
          <w:p w14:paraId="3F70AB1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2.1. Väikese ajaloolise linna atraktiivsus</w:t>
            </w:r>
          </w:p>
        </w:tc>
        <w:tc>
          <w:tcPr>
            <w:tcW w:w="378" w:type="pct"/>
            <w:shd w:val="clear" w:color="auto" w:fill="C6EFCE"/>
            <w:noWrap/>
            <w:vAlign w:val="center"/>
          </w:tcPr>
          <w:p w14:paraId="6061446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520" w:type="pct"/>
            <w:shd w:val="clear" w:color="auto" w:fill="C6EFCE"/>
            <w:noWrap/>
            <w:vAlign w:val="center"/>
          </w:tcPr>
          <w:p w14:paraId="0E8A57E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Kultuuriministeeriumi dekreedi jõustumine vahendite eraldamiseks kohalikele omavalitsustele, et suurendada väikeste ajalooliste linnade atraktiivsust</w:t>
            </w:r>
          </w:p>
        </w:tc>
        <w:tc>
          <w:tcPr>
            <w:tcW w:w="520" w:type="pct"/>
            <w:shd w:val="clear" w:color="auto" w:fill="C6EFCE"/>
            <w:noWrap/>
            <w:vAlign w:val="center"/>
          </w:tcPr>
          <w:p w14:paraId="6C5BC22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Kultuuriministeeriumi dekreedi jõustumisele osutava määruse säte, mis käsitleb kohalikele omavalitsustele vahendite eraldamist väikeste ajalooliste linnade ligitõmbavuse suurendamiseks</w:t>
            </w:r>
          </w:p>
        </w:tc>
        <w:tc>
          <w:tcPr>
            <w:tcW w:w="331" w:type="pct"/>
            <w:shd w:val="clear" w:color="auto" w:fill="C6EFCE"/>
            <w:noWrap/>
            <w:vAlign w:val="center"/>
          </w:tcPr>
          <w:p w14:paraId="17349F6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32" w:type="pct"/>
            <w:shd w:val="clear" w:color="auto" w:fill="C6EFCE"/>
            <w:noWrap/>
            <w:vAlign w:val="center"/>
          </w:tcPr>
          <w:p w14:paraId="58D3D34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424" w:type="pct"/>
            <w:shd w:val="clear" w:color="auto" w:fill="C6EFCE"/>
            <w:noWrap/>
            <w:vAlign w:val="center"/>
          </w:tcPr>
          <w:p w14:paraId="515E73E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32" w:type="pct"/>
            <w:shd w:val="clear" w:color="auto" w:fill="C6EFCE"/>
            <w:noWrap/>
            <w:vAlign w:val="center"/>
          </w:tcPr>
          <w:p w14:paraId="2F9289C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220" w:type="pct"/>
            <w:shd w:val="clear" w:color="auto" w:fill="C6EFCE"/>
            <w:noWrap/>
            <w:vAlign w:val="center"/>
          </w:tcPr>
          <w:p w14:paraId="23BCEEC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2022</w:t>
            </w:r>
          </w:p>
        </w:tc>
        <w:tc>
          <w:tcPr>
            <w:tcW w:w="1047" w:type="pct"/>
            <w:shd w:val="clear" w:color="auto" w:fill="C6EFCE"/>
            <w:noWrap/>
            <w:vAlign w:val="center"/>
          </w:tcPr>
          <w:p w14:paraId="22217E25" w14:textId="6F42DE91" w:rsidR="0084326C" w:rsidRPr="005D68A0" w:rsidRDefault="0084326C">
            <w:pPr>
              <w:rPr>
                <w:rFonts w:ascii="Arial Narrow" w:hAnsi="Arial Narrow"/>
                <w:noProof/>
                <w:color w:val="006100"/>
                <w:sz w:val="20"/>
                <w:szCs w:val="20"/>
              </w:rPr>
            </w:pPr>
            <w:r>
              <w:rPr>
                <w:rFonts w:ascii="Arial Narrow" w:hAnsi="Arial Narrow"/>
                <w:noProof/>
                <w:color w:val="006100"/>
                <w:sz w:val="20"/>
              </w:rPr>
              <w:t>Kultuuriministeeriumi dekreediga eraldatakse kohalikele omavalitsustele vahendeid väikeste ajalooliste linnade ligitõmbavuse suurendamiseks.</w:t>
            </w:r>
          </w:p>
          <w:p w14:paraId="79F12535" w14:textId="77777777" w:rsidR="0084326C" w:rsidRPr="00F33804" w:rsidRDefault="0084326C">
            <w:pPr>
              <w:rPr>
                <w:rFonts w:ascii="Arial Narrow" w:hAnsi="Arial Narrow"/>
                <w:noProof/>
                <w:color w:val="006100"/>
                <w:sz w:val="20"/>
                <w:szCs w:val="20"/>
              </w:rPr>
            </w:pPr>
          </w:p>
          <w:p w14:paraId="332D654E"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Ajaloolise väikelinna atraktiivsuse suurendamiseks kaasatud omavalitsused viitavad 250 omavalitsusele/külale, mis on kultuuriministeeriumile edastanud sekkumisprogrammid.</w:t>
            </w:r>
          </w:p>
          <w:p w14:paraId="6F942F55" w14:textId="77777777" w:rsidR="0084326C" w:rsidRPr="00F33804" w:rsidRDefault="0084326C">
            <w:pPr>
              <w:rPr>
                <w:rFonts w:ascii="Arial Narrow" w:hAnsi="Arial Narrow"/>
                <w:noProof/>
                <w:color w:val="006100"/>
                <w:sz w:val="20"/>
                <w:szCs w:val="20"/>
              </w:rPr>
            </w:pPr>
          </w:p>
          <w:p w14:paraId="22E8D375"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250 küla valimise kriteeriumid (Inv. 2.1) ühinevad Mikroneesia Liit, piirkonnad, ANCI ja siseruumid, mis kõigepealt määravad nad kindlaks territoriaalsed piirkonnad, mis on erinevate programmide vastastikuse täiendavuse tõttu abikõlblikud (Inv2.1). Seejärel valitakse külad vastavalt a) territoriaalsetele, majanduslikele ja sotsiaalsetele kriteeriumidele (statistilised näitajad), b) projekti suutlikkusele mõjutada turistide ligitõmbavust ja suurendada kultuurielus osalemist. Arvesse võetakse järgmisi statistilisi näitajaid: demograafiline suurus (kohalikud omavalitsused, kus on &lt; 5 000 elanikku) ja suundumus; turistide vood, muuseumikülastajad; turismipakkumise järjepidevus (hotellid ja muud hotellid, B&amp;Bs, tuba ja üürimajutus); kohaliku omavalitsuse demograafiline suundumus; elanikkonna kultuurielus osalemise määr; kultuuri-, loome- ja turismiettevõtete (kasumlikud ja mittetulunduslikud ettevõtted) ning nendega seotud töötajate sidusus.</w:t>
            </w:r>
          </w:p>
          <w:p w14:paraId="5904E17B"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Konkursikutse korras valitud projektide lepingute sõlmimine hõlmab järgmist: </w:t>
            </w:r>
          </w:p>
          <w:p w14:paraId="2B4B0B72"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a) Abikõlblikkuskriteeriumid, millega tagatakse, et valitud projektid vastavad tehnilisele juhendile „Mitte tekitada olulist kahju“ (2021/C58/01), kasutades kõrvalejätmise loetelu ning asjaomaste ELi ja riiklike keskkonnaalaste õigusaktide järgimise nõuet. </w:t>
            </w:r>
          </w:p>
          <w:p w14:paraId="7902CD22"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b) Kohustus, et määruse (EL) 2021/241 VI lisas sätestatud metoodika kohane investeeringu panus kliimameetmetesse moodustab vähemalt 25 % taaste- ja vastupidavusrahastust toetatavate investeeringute kogukuludest. </w:t>
            </w:r>
          </w:p>
          <w:p w14:paraId="7B847E72"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c) Kohustus esitada aruanne meetme rakendamise kohta kava kehtivusaja keskel ja kava lõppedes.</w:t>
            </w:r>
          </w:p>
          <w:p w14:paraId="24F3C73D" w14:textId="77777777" w:rsidR="0084326C" w:rsidRPr="00F33804" w:rsidRDefault="0084326C">
            <w:pPr>
              <w:rPr>
                <w:rFonts w:ascii="Arial Narrow" w:hAnsi="Arial Narrow"/>
                <w:noProof/>
                <w:color w:val="006100"/>
                <w:sz w:val="20"/>
                <w:szCs w:val="20"/>
              </w:rPr>
            </w:pPr>
          </w:p>
        </w:tc>
      </w:tr>
      <w:tr w:rsidR="0084326C" w:rsidRPr="00D90835" w14:paraId="3E6BEEB5" w14:textId="77777777">
        <w:trPr>
          <w:trHeight w:val="313"/>
          <w:jc w:val="center"/>
        </w:trPr>
        <w:tc>
          <w:tcPr>
            <w:tcW w:w="377" w:type="pct"/>
            <w:shd w:val="clear" w:color="auto" w:fill="C6EFCE"/>
            <w:noWrap/>
            <w:vAlign w:val="center"/>
          </w:tcPr>
          <w:p w14:paraId="2883FF8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M1C3-13</w:t>
            </w:r>
          </w:p>
        </w:tc>
        <w:tc>
          <w:tcPr>
            <w:tcW w:w="520" w:type="pct"/>
            <w:shd w:val="clear" w:color="auto" w:fill="C6EFCE"/>
            <w:noWrap/>
            <w:vAlign w:val="center"/>
          </w:tcPr>
          <w:p w14:paraId="6AEF286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2.2. Maaeluarhitektuuri ja maastike kaitse ja edendamine</w:t>
            </w:r>
          </w:p>
        </w:tc>
        <w:tc>
          <w:tcPr>
            <w:tcW w:w="378" w:type="pct"/>
            <w:shd w:val="clear" w:color="auto" w:fill="C6EFCE"/>
            <w:noWrap/>
            <w:vAlign w:val="center"/>
          </w:tcPr>
          <w:p w14:paraId="73EEA88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520" w:type="pct"/>
            <w:shd w:val="clear" w:color="auto" w:fill="C6EFCE"/>
            <w:noWrap/>
            <w:vAlign w:val="center"/>
          </w:tcPr>
          <w:p w14:paraId="25C40F1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Kultuuriministeeriumi vahendite eraldamise määruse jõustumine:</w:t>
            </w:r>
          </w:p>
          <w:p w14:paraId="6D83F3A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maaelu arhitektuuri ja maastiku kaitseks ja parandamiseks</w:t>
            </w:r>
          </w:p>
        </w:tc>
        <w:tc>
          <w:tcPr>
            <w:tcW w:w="520" w:type="pct"/>
            <w:shd w:val="clear" w:color="auto" w:fill="C6EFCE"/>
            <w:noWrap/>
            <w:vAlign w:val="center"/>
          </w:tcPr>
          <w:p w14:paraId="7A26D84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Kultuuriministeeriumi dekreedi jõustumisele viitav määruse säte vahendite eraldamise kohta</w:t>
            </w:r>
          </w:p>
          <w:p w14:paraId="3F4520B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maaelu arhitektuuri ja maastiku kaitseks ja parandamiseks</w:t>
            </w:r>
          </w:p>
        </w:tc>
        <w:tc>
          <w:tcPr>
            <w:tcW w:w="331" w:type="pct"/>
            <w:shd w:val="clear" w:color="auto" w:fill="C6EFCE"/>
            <w:noWrap/>
            <w:vAlign w:val="center"/>
          </w:tcPr>
          <w:p w14:paraId="5A06155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32" w:type="pct"/>
            <w:shd w:val="clear" w:color="auto" w:fill="C6EFCE"/>
            <w:noWrap/>
            <w:vAlign w:val="center"/>
          </w:tcPr>
          <w:p w14:paraId="366D1E7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424" w:type="pct"/>
            <w:shd w:val="clear" w:color="auto" w:fill="C6EFCE"/>
            <w:noWrap/>
            <w:vAlign w:val="center"/>
          </w:tcPr>
          <w:p w14:paraId="1336AB1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32" w:type="pct"/>
            <w:shd w:val="clear" w:color="auto" w:fill="C6EFCE"/>
            <w:noWrap/>
            <w:vAlign w:val="center"/>
          </w:tcPr>
          <w:p w14:paraId="334EBF3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220" w:type="pct"/>
            <w:shd w:val="clear" w:color="auto" w:fill="C6EFCE"/>
            <w:noWrap/>
            <w:vAlign w:val="center"/>
          </w:tcPr>
          <w:p w14:paraId="6F097DD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2022</w:t>
            </w:r>
          </w:p>
        </w:tc>
        <w:tc>
          <w:tcPr>
            <w:tcW w:w="1047" w:type="pct"/>
            <w:shd w:val="clear" w:color="auto" w:fill="C6EFCE"/>
            <w:noWrap/>
            <w:vAlign w:val="center"/>
          </w:tcPr>
          <w:p w14:paraId="5A2E5090"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Kultuuriministeeriumi määrusega eraldatakse vahendid</w:t>
            </w:r>
          </w:p>
          <w:p w14:paraId="3DD59707"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maaelu arhitektuuri ja maastiku kaitseks ja parandamiseks. </w:t>
            </w:r>
          </w:p>
          <w:p w14:paraId="460FC4E7" w14:textId="77777777" w:rsidR="0084326C" w:rsidRPr="00F33804" w:rsidRDefault="0084326C">
            <w:pPr>
              <w:rPr>
                <w:rFonts w:ascii="Arial Narrow" w:hAnsi="Arial Narrow"/>
                <w:noProof/>
                <w:color w:val="006100"/>
                <w:sz w:val="20"/>
                <w:szCs w:val="20"/>
              </w:rPr>
            </w:pPr>
          </w:p>
          <w:p w14:paraId="6601B831"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Maapiirkondade arhitektuuri ja maastiku kaitsmiseks ja parandamiseks (Inv 2.2) tuleb tagasinõutavate varade valikul eelistada investeeringu võimet mõjutada maastikuväärtuste kaitse-eesmärke. Eelistatakse:</w:t>
            </w:r>
          </w:p>
          <w:p w14:paraId="6B042DAE"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suure maastikuväärtusega territoriaalpiirkondades asuvatele varadele (maastikule huvi pakkuvatel või märkimisväärset avalikku huvi pakkuvatel aladel asuvad varad (DLgs 42/2004 artiklid 142-139), UNESCO tunnustusega hõlmatud maastikele, FAO GIAHS;</w:t>
            </w:r>
          </w:p>
          <w:p w14:paraId="1A594C0C"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varade suhtes, mis on juba kättesaadavad avalikuks kasutamiseks või mille omanik on nõus olema juurdepääsetavad, sealhulgas kohalikes ja integraallülitustes ja võrkudes;</w:t>
            </w:r>
          </w:p>
          <w:p w14:paraId="6EC7281F"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koondteemade kaupa esitatud „pindalaprojektidele“, mis suudavad tõhusamalt tagada maastiku ümberkujundamise eesmärkide saavutamise;</w:t>
            </w:r>
          </w:p>
          <w:p w14:paraId="695B1D34"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projektid, mis asuvad piirkondades, mis tugevdavad integratsiooni ja koostoimet teiste broneeringuinfo taotlejatega, ning muud territoriaalsed kavad/projektid, mida toetab programmi riiklik (kultuuriministeerium).</w:t>
            </w:r>
          </w:p>
          <w:p w14:paraId="677C3C1D"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Sekkumise objektiks olevate maaelu arhitektuuri liikide määratlemisel võib lähtuda MiBACi 6. oktoobri 2005. aasta dekreedist (24. detsembri 2003. aasta seaduse nr 378 (maapiirkondade arhitektuuri kaitse ja parendamise kohta) rakendamine). Esialgu võivad kriteeriumid hõlmata järgmist: varade säilitamise seis, kasutustasemed, nende roll territoriaalses ja linnakeskkonnas.</w:t>
            </w:r>
          </w:p>
          <w:p w14:paraId="241B17C7" w14:textId="1515CDF2" w:rsidR="0084326C" w:rsidRPr="005D68A0" w:rsidRDefault="0084326C">
            <w:pPr>
              <w:rPr>
                <w:rFonts w:ascii="Arial Narrow" w:hAnsi="Arial Narrow"/>
                <w:noProof/>
                <w:color w:val="006100"/>
                <w:sz w:val="20"/>
                <w:szCs w:val="20"/>
              </w:rPr>
            </w:pPr>
            <w:r>
              <w:rPr>
                <w:rFonts w:ascii="Arial Narrow" w:hAnsi="Arial Narrow"/>
                <w:noProof/>
                <w:color w:val="006100"/>
                <w:sz w:val="20"/>
              </w:rPr>
              <w:t>Lepingud sõlmitakse projektidega, mis on välja valitud konkursikutsete alusel, järgides tehnilisi suuniseid „Mitte tekitada olulist kahju“ (2021/C58/01), kasutades kõrvalejätmise loetelu ning asjaomaste ELi ja riiklike keskkonnaalaste õigusaktide järgimise nõuet.</w:t>
            </w:r>
          </w:p>
        </w:tc>
      </w:tr>
      <w:tr w:rsidR="0084326C" w:rsidRPr="00D90835" w14:paraId="70631621" w14:textId="77777777">
        <w:trPr>
          <w:trHeight w:val="313"/>
          <w:jc w:val="center"/>
        </w:trPr>
        <w:tc>
          <w:tcPr>
            <w:tcW w:w="377" w:type="pct"/>
            <w:shd w:val="clear" w:color="auto" w:fill="C6EFCE"/>
            <w:noWrap/>
            <w:vAlign w:val="center"/>
          </w:tcPr>
          <w:p w14:paraId="4DB15F2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M1C3-14</w:t>
            </w:r>
          </w:p>
        </w:tc>
        <w:tc>
          <w:tcPr>
            <w:tcW w:w="520" w:type="pct"/>
            <w:shd w:val="clear" w:color="auto" w:fill="C6EFCE"/>
            <w:noWrap/>
            <w:vAlign w:val="center"/>
          </w:tcPr>
          <w:p w14:paraId="289D683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2.3. Paikude, parkide ja ajalooliste aedade identiteedi edendamise programmid</w:t>
            </w:r>
          </w:p>
        </w:tc>
        <w:tc>
          <w:tcPr>
            <w:tcW w:w="378" w:type="pct"/>
            <w:shd w:val="clear" w:color="auto" w:fill="C6EFCE"/>
            <w:noWrap/>
            <w:vAlign w:val="center"/>
          </w:tcPr>
          <w:p w14:paraId="39B3CD2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520" w:type="pct"/>
            <w:shd w:val="clear" w:color="auto" w:fill="C6EFCE"/>
            <w:noWrap/>
            <w:vAlign w:val="center"/>
          </w:tcPr>
          <w:p w14:paraId="41D28D2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Kultuuriministeeriumi vahendite eraldamise määruse jõustumine: projektide puhul, mille eesmärk on parandada kohtade, parkide ja ajalooliste aedade identiteeti</w:t>
            </w:r>
          </w:p>
          <w:p w14:paraId="457E53FB" w14:textId="77777777" w:rsidR="0084326C" w:rsidRPr="00F33804" w:rsidRDefault="0084326C">
            <w:pPr>
              <w:jc w:val="center"/>
              <w:rPr>
                <w:rFonts w:ascii="Arial Narrow" w:hAnsi="Arial Narrow"/>
                <w:noProof/>
                <w:color w:val="006100"/>
                <w:sz w:val="20"/>
                <w:szCs w:val="20"/>
              </w:rPr>
            </w:pPr>
          </w:p>
        </w:tc>
        <w:tc>
          <w:tcPr>
            <w:tcW w:w="520" w:type="pct"/>
            <w:shd w:val="clear" w:color="auto" w:fill="C6EFCE"/>
            <w:noWrap/>
            <w:vAlign w:val="center"/>
          </w:tcPr>
          <w:p w14:paraId="1A68A83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Dekreedi säte kultuuriministeeriumi määruse jõustumise kohta, mis käsitleb vahendite eraldamist projektidele, mille eesmärk on parandada kohtade, parkide ja ajalooliste aedade identiteeti</w:t>
            </w:r>
          </w:p>
        </w:tc>
        <w:tc>
          <w:tcPr>
            <w:tcW w:w="331" w:type="pct"/>
            <w:shd w:val="clear" w:color="auto" w:fill="C6EFCE"/>
            <w:noWrap/>
            <w:vAlign w:val="center"/>
          </w:tcPr>
          <w:p w14:paraId="3C0A0C4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32" w:type="pct"/>
            <w:shd w:val="clear" w:color="auto" w:fill="C6EFCE"/>
            <w:noWrap/>
            <w:vAlign w:val="center"/>
          </w:tcPr>
          <w:p w14:paraId="68854EB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424" w:type="pct"/>
            <w:shd w:val="clear" w:color="auto" w:fill="C6EFCE"/>
            <w:noWrap/>
            <w:vAlign w:val="center"/>
          </w:tcPr>
          <w:p w14:paraId="5D299D4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32" w:type="pct"/>
            <w:shd w:val="clear" w:color="auto" w:fill="C6EFCE"/>
            <w:noWrap/>
            <w:vAlign w:val="center"/>
          </w:tcPr>
          <w:p w14:paraId="208425C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220" w:type="pct"/>
            <w:shd w:val="clear" w:color="auto" w:fill="C6EFCE"/>
            <w:noWrap/>
            <w:vAlign w:val="center"/>
          </w:tcPr>
          <w:p w14:paraId="08AA33D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2022</w:t>
            </w:r>
          </w:p>
        </w:tc>
        <w:tc>
          <w:tcPr>
            <w:tcW w:w="1047" w:type="pct"/>
            <w:shd w:val="clear" w:color="auto" w:fill="C6EFCE"/>
            <w:noWrap/>
            <w:vAlign w:val="center"/>
          </w:tcPr>
          <w:p w14:paraId="04936BD7"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Kultuuriministeeriumi dekreediga eraldatakse vahendid vastutavatele ametiasutustele projektide jaoks, mille eesmärk on parandada kohtade, parkide ja ajalooliste aedade identiteeti.</w:t>
            </w:r>
          </w:p>
          <w:p w14:paraId="269CDB71" w14:textId="77777777" w:rsidR="0084326C" w:rsidRPr="00F33804" w:rsidRDefault="0084326C">
            <w:pPr>
              <w:rPr>
                <w:rFonts w:ascii="Arial Narrow" w:hAnsi="Arial Narrow"/>
                <w:noProof/>
                <w:color w:val="006100"/>
                <w:sz w:val="20"/>
                <w:szCs w:val="20"/>
              </w:rPr>
            </w:pPr>
          </w:p>
          <w:p w14:paraId="6A9B4AB3"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Ajaloolised pargid ja aiad (Inv. 2.3) sekkumise alla kuuluvad üksnes kaitstud kultuuriväärtused, mille suhtes on deklareeritud kunstiline või ajalooline huvi. Nad võivad kuuluda nii riiklikku kultuuriministeeriumisse kui ka mitteriiklikku varasse. Valik tehakse kriteeriumide alusel, mille määrab kindlaks tehniline-teaduslik koordineerimisrühm, mis koosneb MiC, ülikooli, ANCI ja valdkondlike ühenduste esindajatest.</w:t>
            </w:r>
          </w:p>
          <w:p w14:paraId="628DAE42" w14:textId="7C9C592B" w:rsidR="0084326C" w:rsidRPr="005D68A0" w:rsidRDefault="0084326C">
            <w:pPr>
              <w:rPr>
                <w:rFonts w:ascii="Arial Narrow" w:hAnsi="Arial Narrow"/>
                <w:noProof/>
                <w:color w:val="006100"/>
                <w:sz w:val="20"/>
                <w:szCs w:val="20"/>
              </w:rPr>
            </w:pPr>
            <w:r>
              <w:rPr>
                <w:rFonts w:ascii="Arial Narrow" w:hAnsi="Arial Narrow"/>
                <w:noProof/>
                <w:color w:val="006100"/>
                <w:sz w:val="20"/>
              </w:rPr>
              <w:t>Lepingud sõlmitakse projektidega, mis on välja valitud konkursikutsete alusel, järgides tehnilisi suuniseid „Mitte tekitada olulist kahju“ (2021/C58/01), kasutades kõrvalejätmise loetelu ning asjaomaste ELi ja riiklike keskkonnaalaste õigusaktide järgimise nõuet.</w:t>
            </w:r>
          </w:p>
        </w:tc>
      </w:tr>
      <w:tr w:rsidR="0084326C" w:rsidRPr="00D90835" w14:paraId="7896FBEE" w14:textId="77777777">
        <w:trPr>
          <w:trHeight w:val="313"/>
          <w:jc w:val="center"/>
        </w:trPr>
        <w:tc>
          <w:tcPr>
            <w:tcW w:w="377" w:type="pct"/>
            <w:shd w:val="clear" w:color="auto" w:fill="C6EFCE"/>
            <w:noWrap/>
            <w:vAlign w:val="center"/>
          </w:tcPr>
          <w:p w14:paraId="2454EF5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M1C3-15</w:t>
            </w:r>
          </w:p>
        </w:tc>
        <w:tc>
          <w:tcPr>
            <w:tcW w:w="520" w:type="pct"/>
            <w:shd w:val="clear" w:color="auto" w:fill="C6EFCE"/>
            <w:noWrap/>
            <w:vAlign w:val="center"/>
          </w:tcPr>
          <w:p w14:paraId="696FBAE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2.4. Pühapaikade seismiline ohutus, FECi pärandi taastamine ja varjualused kunstiteostele</w:t>
            </w:r>
          </w:p>
        </w:tc>
        <w:tc>
          <w:tcPr>
            <w:tcW w:w="378" w:type="pct"/>
            <w:shd w:val="clear" w:color="auto" w:fill="C6EFCE"/>
            <w:noWrap/>
            <w:vAlign w:val="center"/>
          </w:tcPr>
          <w:p w14:paraId="7E61C38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520" w:type="pct"/>
            <w:shd w:val="clear" w:color="auto" w:fill="C6EFCE"/>
            <w:noWrap/>
            <w:vAlign w:val="center"/>
          </w:tcPr>
          <w:p w14:paraId="0797C25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Kultuuriministeeriumi vahendite eraldamise määruse jõustumine:</w:t>
            </w:r>
          </w:p>
          <w:p w14:paraId="6406DCB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seismiline ohutus pühade ja FECi (Fondo Edifici di Culto) pärandi taastamise asemel</w:t>
            </w:r>
          </w:p>
        </w:tc>
        <w:tc>
          <w:tcPr>
            <w:tcW w:w="520" w:type="pct"/>
            <w:shd w:val="clear" w:color="auto" w:fill="C6EFCE"/>
            <w:noWrap/>
            <w:vAlign w:val="center"/>
          </w:tcPr>
          <w:p w14:paraId="764E4E4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Kultuuriministeeriumi dekreedi jõustumisele viitav seaduse säte vahendite eraldamise kohta</w:t>
            </w:r>
          </w:p>
          <w:p w14:paraId="351D753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seismiline ohutus pühade ja FECi (Fondo Edifici di Culto) pärandi taastamise asemel</w:t>
            </w:r>
          </w:p>
        </w:tc>
        <w:tc>
          <w:tcPr>
            <w:tcW w:w="331" w:type="pct"/>
            <w:shd w:val="clear" w:color="auto" w:fill="C6EFCE"/>
            <w:noWrap/>
            <w:vAlign w:val="center"/>
          </w:tcPr>
          <w:p w14:paraId="4626E28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32" w:type="pct"/>
            <w:shd w:val="clear" w:color="auto" w:fill="C6EFCE"/>
            <w:noWrap/>
            <w:vAlign w:val="center"/>
          </w:tcPr>
          <w:p w14:paraId="5CCE02B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424" w:type="pct"/>
            <w:shd w:val="clear" w:color="auto" w:fill="C6EFCE"/>
            <w:noWrap/>
            <w:vAlign w:val="center"/>
          </w:tcPr>
          <w:p w14:paraId="664A982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32" w:type="pct"/>
            <w:shd w:val="clear" w:color="auto" w:fill="C6EFCE"/>
            <w:noWrap/>
            <w:vAlign w:val="center"/>
          </w:tcPr>
          <w:p w14:paraId="56BC8F3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220" w:type="pct"/>
            <w:shd w:val="clear" w:color="auto" w:fill="C6EFCE"/>
            <w:noWrap/>
            <w:vAlign w:val="center"/>
          </w:tcPr>
          <w:p w14:paraId="1ACF633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2022</w:t>
            </w:r>
          </w:p>
        </w:tc>
        <w:tc>
          <w:tcPr>
            <w:tcW w:w="1047" w:type="pct"/>
            <w:shd w:val="clear" w:color="auto" w:fill="C6EFCE"/>
            <w:noWrap/>
            <w:vAlign w:val="center"/>
          </w:tcPr>
          <w:p w14:paraId="211ED35C" w14:textId="77777777" w:rsidR="0084326C" w:rsidRPr="00F33804" w:rsidRDefault="0084326C">
            <w:pPr>
              <w:rPr>
                <w:rFonts w:ascii="Arial Narrow" w:hAnsi="Arial Narrow"/>
                <w:noProof/>
                <w:color w:val="006100"/>
                <w:sz w:val="20"/>
                <w:szCs w:val="20"/>
              </w:rPr>
            </w:pPr>
          </w:p>
          <w:p w14:paraId="369F2CBD"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Kultuuriministeeriumi määrusega määratakse kindlaks rakendusüksus ning sekkumisel olevate hoonete abikõlblikkus ja rahastamine.</w:t>
            </w:r>
          </w:p>
          <w:p w14:paraId="138430F8"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ja tüpoloogia.</w:t>
            </w:r>
          </w:p>
          <w:p w14:paraId="5157598F" w14:textId="77777777" w:rsidR="0084326C" w:rsidRPr="00F33804" w:rsidRDefault="0084326C">
            <w:pPr>
              <w:rPr>
                <w:rFonts w:ascii="Arial Narrow" w:hAnsi="Arial Narrow"/>
                <w:noProof/>
                <w:color w:val="006100"/>
                <w:sz w:val="20"/>
                <w:szCs w:val="20"/>
              </w:rPr>
            </w:pPr>
          </w:p>
          <w:p w14:paraId="1F139705"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(Punkt 2.4) Praktikakohtade maavärinaennetus- ja -ohutusmeetmed puudutavad piirkondi, mida on tabanud mitmed maavärinad, mis tabasid Itaalia piirkondi alates 2009. aastast (Abruzzo, Lazio, Marche ja Umbria).</w:t>
            </w:r>
          </w:p>
          <w:p w14:paraId="4D956D03"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FECi (Fondo Edifici di Culto) sekkumised valitakse FECi (Fondo Edifici di Culto) pärandi varade säilimise seisundi põhjal.</w:t>
            </w:r>
          </w:p>
          <w:p w14:paraId="7883EFE4" w14:textId="008A7231" w:rsidR="0084326C" w:rsidRPr="005D68A0" w:rsidRDefault="0084326C">
            <w:pPr>
              <w:rPr>
                <w:rFonts w:ascii="Arial Narrow" w:hAnsi="Arial Narrow"/>
                <w:noProof/>
                <w:color w:val="006100"/>
                <w:sz w:val="20"/>
                <w:szCs w:val="20"/>
              </w:rPr>
            </w:pPr>
            <w:r>
              <w:rPr>
                <w:rFonts w:ascii="Arial Narrow" w:hAnsi="Arial Narrow"/>
                <w:noProof/>
                <w:color w:val="006100"/>
                <w:sz w:val="20"/>
              </w:rPr>
              <w:t>Lepingud sõlmitakse projektidega, mis on välja valitud konkursikutsete alusel, järgides tehnilisi suuniseid „Mitte tekitada olulist kahju“ (2021/C58/01), kasutades kõrvalejätmise loetelu ning asjaomaste ELi ja riiklike keskkonnaalaste õigusaktide järgimise nõuet.</w:t>
            </w:r>
          </w:p>
        </w:tc>
      </w:tr>
      <w:tr w:rsidR="0084326C" w:rsidRPr="00D90835" w14:paraId="6DD8A3E9" w14:textId="77777777">
        <w:trPr>
          <w:trHeight w:val="313"/>
          <w:jc w:val="center"/>
        </w:trPr>
        <w:tc>
          <w:tcPr>
            <w:tcW w:w="377" w:type="pct"/>
            <w:shd w:val="clear" w:color="auto" w:fill="C6EFCE"/>
            <w:noWrap/>
            <w:vAlign w:val="center"/>
            <w:hideMark/>
          </w:tcPr>
          <w:p w14:paraId="534BCE4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M1C3-16</w:t>
            </w:r>
          </w:p>
        </w:tc>
        <w:tc>
          <w:tcPr>
            <w:tcW w:w="520" w:type="pct"/>
            <w:shd w:val="clear" w:color="auto" w:fill="C6EFCE"/>
            <w:noWrap/>
            <w:vAlign w:val="center"/>
          </w:tcPr>
          <w:p w14:paraId="1E35342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2.1. Väikeste ajalooliste linnade atraktiivsus</w:t>
            </w:r>
          </w:p>
        </w:tc>
        <w:tc>
          <w:tcPr>
            <w:tcW w:w="378" w:type="pct"/>
            <w:shd w:val="clear" w:color="auto" w:fill="C6EFCE"/>
            <w:noWrap/>
            <w:vAlign w:val="center"/>
            <w:hideMark/>
          </w:tcPr>
          <w:p w14:paraId="7A1EF5D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520" w:type="pct"/>
            <w:shd w:val="clear" w:color="auto" w:fill="C6EFCE"/>
            <w:noWrap/>
            <w:vAlign w:val="center"/>
          </w:tcPr>
          <w:p w14:paraId="10CA16F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KULTUURI- või turismiobjektide väärtustamiseks võetud sekkumismeetmed</w:t>
            </w:r>
          </w:p>
        </w:tc>
        <w:tc>
          <w:tcPr>
            <w:tcW w:w="520" w:type="pct"/>
            <w:shd w:val="clear" w:color="auto" w:fill="C6EFCE"/>
            <w:noWrap/>
            <w:vAlign w:val="center"/>
            <w:hideMark/>
          </w:tcPr>
          <w:p w14:paraId="33E0D8A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31" w:type="pct"/>
            <w:shd w:val="clear" w:color="auto" w:fill="C6EFCE"/>
            <w:noWrap/>
            <w:vAlign w:val="center"/>
            <w:hideMark/>
          </w:tcPr>
          <w:p w14:paraId="53E54CD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32" w:type="pct"/>
            <w:shd w:val="clear" w:color="auto" w:fill="C6EFCE"/>
            <w:noWrap/>
            <w:vAlign w:val="center"/>
          </w:tcPr>
          <w:p w14:paraId="1EC1FF2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424" w:type="pct"/>
            <w:shd w:val="clear" w:color="auto" w:fill="C6EFCE"/>
            <w:noWrap/>
            <w:vAlign w:val="center"/>
          </w:tcPr>
          <w:p w14:paraId="1366E26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1 300</w:t>
            </w:r>
          </w:p>
        </w:tc>
        <w:tc>
          <w:tcPr>
            <w:tcW w:w="332" w:type="pct"/>
            <w:shd w:val="clear" w:color="auto" w:fill="C6EFCE"/>
            <w:noWrap/>
            <w:vAlign w:val="center"/>
            <w:hideMark/>
          </w:tcPr>
          <w:p w14:paraId="6D082B5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220" w:type="pct"/>
            <w:shd w:val="clear" w:color="auto" w:fill="C6EFCE"/>
            <w:noWrap/>
            <w:vAlign w:val="center"/>
            <w:hideMark/>
          </w:tcPr>
          <w:p w14:paraId="6D744D2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2025</w:t>
            </w:r>
          </w:p>
        </w:tc>
        <w:tc>
          <w:tcPr>
            <w:tcW w:w="1047" w:type="pct"/>
            <w:shd w:val="clear" w:color="auto" w:fill="C6EFCE"/>
            <w:noWrap/>
            <w:vAlign w:val="center"/>
            <w:hideMark/>
          </w:tcPr>
          <w:p w14:paraId="21BFA343"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Eesmärgi rahuldav täitmine sõltub ka vähemalt 1 800 VKE toetusest projektides väikestes ajaloolistes linnades</w:t>
            </w:r>
          </w:p>
          <w:p w14:paraId="4FE704B3" w14:textId="77777777" w:rsidR="0084326C" w:rsidRPr="00F33804" w:rsidRDefault="0084326C">
            <w:pPr>
              <w:rPr>
                <w:rFonts w:ascii="Arial Narrow" w:hAnsi="Arial Narrow"/>
                <w:noProof/>
                <w:color w:val="006100"/>
                <w:sz w:val="20"/>
                <w:szCs w:val="20"/>
              </w:rPr>
            </w:pPr>
          </w:p>
          <w:p w14:paraId="6CAC2C2E"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Sihtmärk mõõdab kultuuri- ja turismiobjektide edendamiseks võetud sekkumismeetmete arvu, mida tõendavad regulaarse täitmise individuaalsed sertifikaadid (kultuuripärandi taastamine ja ümberkujundamine, kultuuri- ja turismiteenusteks mõeldud ehitised, väiketurismi infrastruktuur). See peab hõlmama:</w:t>
            </w:r>
          </w:p>
          <w:p w14:paraId="2427C2CB"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Kultuuriteenuste (muuseumid ja raamatukogud) jaoks hoonete ja avalike kohtade kohandatud korduskasutamine ja funktsionaalne, struktuuriline ja rajatiste insener-tehniline ümberarendamine, energiatõhususe parandamine, alternatiivse ja taastuva energia kasutamine ning puuetega inimeste juurdepääsu piiravate tõkete kõrvaldamine.</w:t>
            </w:r>
          </w:p>
          <w:p w14:paraId="2468B6BF"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Kultuuripärandi säilitamine ja väärtustamine (nt arheoloogiline, ajalooline, arhitektuuriline, demo-etno-antropoloogiline);</w:t>
            </w:r>
          </w:p>
          <w:p w14:paraId="60377E6C" w14:textId="1CB68CC5"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 </w:t>
            </w:r>
            <w:r w:rsidR="00B53D61">
              <w:rPr>
                <w:rFonts w:ascii="Arial Narrow" w:hAnsi="Arial Narrow"/>
                <w:noProof/>
                <w:color w:val="006100"/>
                <w:sz w:val="20"/>
              </w:rPr>
              <w:t>T</w:t>
            </w:r>
            <w:r>
              <w:rPr>
                <w:rFonts w:ascii="Arial Narrow" w:hAnsi="Arial Narrow"/>
                <w:noProof/>
                <w:color w:val="006100"/>
                <w:sz w:val="20"/>
              </w:rPr>
              <w:t>eadmiste ja teabeplatvormide ning integreeritud infosüsteemide loomine;</w:t>
            </w:r>
          </w:p>
          <w:p w14:paraId="4BF9E88C" w14:textId="03DE4969"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 </w:t>
            </w:r>
            <w:r w:rsidR="00B53D61">
              <w:rPr>
                <w:rFonts w:ascii="Arial Narrow" w:hAnsi="Arial Narrow"/>
                <w:noProof/>
                <w:color w:val="006100"/>
                <w:sz w:val="20"/>
              </w:rPr>
              <w:t>K</w:t>
            </w:r>
            <w:r>
              <w:rPr>
                <w:rFonts w:ascii="Arial Narrow" w:hAnsi="Arial Narrow"/>
                <w:noProof/>
                <w:color w:val="006100"/>
                <w:sz w:val="20"/>
              </w:rPr>
              <w:t>ultuuri- ja kunstiürituste loomine, kultuuri- ja temaatiliste marsruutide, ajalooliste marsruutide, jalgrattateede ja/või jalakäijate marsruutide loomine ja edendamine turismi ja kultuuriga seotud paikade (nt muuseumid, mälestusmärgid, UNESCO objektid, raamatukogud, arheoloogilised alad ning muud kultuurilised, usulised ja kunstilised vaatamisväärsused) ühendamiseks ja kasutamiseks;</w:t>
            </w:r>
          </w:p>
          <w:p w14:paraId="4D5B319A"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Kultuuri-, turismi-, kaubandus-, põllumajandusliku toidutööstuse ja käsitööndusettevõtete toetamine</w:t>
            </w:r>
          </w:p>
          <w:p w14:paraId="3E8ACC9E"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37 % sekkumistest viiakse läbi vähem arenenud piirkondades.</w:t>
            </w:r>
          </w:p>
        </w:tc>
      </w:tr>
      <w:tr w:rsidR="0084326C" w:rsidRPr="00D90835" w14:paraId="1696EA9D" w14:textId="77777777">
        <w:trPr>
          <w:trHeight w:val="313"/>
          <w:jc w:val="center"/>
        </w:trPr>
        <w:tc>
          <w:tcPr>
            <w:tcW w:w="377" w:type="pct"/>
            <w:shd w:val="clear" w:color="auto" w:fill="C6EFCE"/>
            <w:noWrap/>
            <w:vAlign w:val="center"/>
            <w:hideMark/>
          </w:tcPr>
          <w:p w14:paraId="2B150BA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M1C3-17</w:t>
            </w:r>
          </w:p>
        </w:tc>
        <w:tc>
          <w:tcPr>
            <w:tcW w:w="520" w:type="pct"/>
            <w:shd w:val="clear" w:color="auto" w:fill="C6EFCE"/>
            <w:noWrap/>
            <w:vAlign w:val="center"/>
            <w:hideMark/>
          </w:tcPr>
          <w:p w14:paraId="616D79D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2.2. Maaeluarhitektuuri ja maastike kaitse ja edendamine</w:t>
            </w:r>
          </w:p>
        </w:tc>
        <w:tc>
          <w:tcPr>
            <w:tcW w:w="378" w:type="pct"/>
            <w:shd w:val="clear" w:color="auto" w:fill="C6EFCE"/>
            <w:noWrap/>
            <w:vAlign w:val="center"/>
            <w:hideMark/>
          </w:tcPr>
          <w:p w14:paraId="3FE8C57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520" w:type="pct"/>
            <w:shd w:val="clear" w:color="auto" w:fill="C6EFCE"/>
            <w:noWrap/>
            <w:vAlign w:val="center"/>
            <w:hideMark/>
          </w:tcPr>
          <w:p w14:paraId="5FED1AB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Maaelu arhitektuuri ja maastiku kaitseks ja parandamiseks võetud sekkumismeetmed</w:t>
            </w:r>
          </w:p>
        </w:tc>
        <w:tc>
          <w:tcPr>
            <w:tcW w:w="520" w:type="pct"/>
            <w:shd w:val="clear" w:color="auto" w:fill="C6EFCE"/>
            <w:noWrap/>
            <w:vAlign w:val="center"/>
            <w:hideMark/>
          </w:tcPr>
          <w:p w14:paraId="26268AD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31" w:type="pct"/>
            <w:shd w:val="clear" w:color="auto" w:fill="C6EFCE"/>
            <w:noWrap/>
            <w:vAlign w:val="center"/>
            <w:hideMark/>
          </w:tcPr>
          <w:p w14:paraId="2FA921F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32" w:type="pct"/>
            <w:shd w:val="clear" w:color="auto" w:fill="C6EFCE"/>
            <w:noWrap/>
            <w:vAlign w:val="center"/>
            <w:hideMark/>
          </w:tcPr>
          <w:p w14:paraId="0688BBA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424" w:type="pct"/>
            <w:shd w:val="clear" w:color="auto" w:fill="C6EFCE"/>
            <w:noWrap/>
            <w:vAlign w:val="center"/>
            <w:hideMark/>
          </w:tcPr>
          <w:p w14:paraId="4692BA1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3 000</w:t>
            </w:r>
          </w:p>
        </w:tc>
        <w:tc>
          <w:tcPr>
            <w:tcW w:w="332" w:type="pct"/>
            <w:shd w:val="clear" w:color="auto" w:fill="C6EFCE"/>
            <w:noWrap/>
            <w:vAlign w:val="center"/>
            <w:hideMark/>
          </w:tcPr>
          <w:p w14:paraId="05FB1EA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20" w:type="pct"/>
            <w:shd w:val="clear" w:color="auto" w:fill="C6EFCE"/>
            <w:noWrap/>
            <w:vAlign w:val="center"/>
            <w:hideMark/>
          </w:tcPr>
          <w:p w14:paraId="0DD42CB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2025</w:t>
            </w:r>
          </w:p>
        </w:tc>
        <w:tc>
          <w:tcPr>
            <w:tcW w:w="1047" w:type="pct"/>
            <w:shd w:val="clear" w:color="auto" w:fill="C6EFCE"/>
            <w:noWrap/>
            <w:vAlign w:val="center"/>
            <w:hideMark/>
          </w:tcPr>
          <w:p w14:paraId="1FC40A80"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Eesmärk on teha kindlaks nende varade koguarv, mille suhtes rakendatakse lõpuleviidud sekkumisi (mida tõendab tööde korrapärase teostamise tõend).</w:t>
            </w:r>
          </w:p>
          <w:p w14:paraId="3ED395CF" w14:textId="77777777" w:rsidR="0084326C" w:rsidRPr="00F33804" w:rsidRDefault="0084326C">
            <w:pPr>
              <w:rPr>
                <w:rFonts w:ascii="Arial Narrow" w:hAnsi="Arial Narrow"/>
                <w:noProof/>
                <w:color w:val="006100"/>
                <w:sz w:val="20"/>
                <w:szCs w:val="20"/>
              </w:rPr>
            </w:pPr>
          </w:p>
          <w:p w14:paraId="562700B6"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Eesmärgi rahuldav täitmine sõltub ka 900 täiendava töö alustamisest maaelu arhitektuuri ja maastiku kaitse valdkonnas (mida tõendab tööde alustamise tõend).</w:t>
            </w:r>
          </w:p>
          <w:p w14:paraId="31533024" w14:textId="77777777" w:rsidR="0084326C" w:rsidRPr="00F33804" w:rsidRDefault="0084326C">
            <w:pPr>
              <w:rPr>
                <w:rFonts w:ascii="Arial Narrow" w:hAnsi="Arial Narrow"/>
                <w:noProof/>
                <w:color w:val="006100"/>
                <w:sz w:val="20"/>
                <w:szCs w:val="20"/>
              </w:rPr>
            </w:pPr>
          </w:p>
          <w:p w14:paraId="5F6AAFBD"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Lõpuleviidavate sekkumiste liigid on järgmised:</w:t>
            </w:r>
          </w:p>
          <w:p w14:paraId="1AE4DD9F" w14:textId="77777777" w:rsidR="0084326C" w:rsidRPr="00F33804" w:rsidRDefault="0084326C">
            <w:pPr>
              <w:rPr>
                <w:rFonts w:ascii="Arial Narrow" w:hAnsi="Arial Narrow"/>
                <w:noProof/>
                <w:color w:val="006100"/>
                <w:sz w:val="20"/>
                <w:szCs w:val="20"/>
              </w:rPr>
            </w:pPr>
          </w:p>
          <w:p w14:paraId="5916EF2E"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1. Põllumajanduslike asulate, kunstiteoste ja ajalooliste maaehitiste konservatiivne taastamine ja funktsionaalne taastamine, ajaloolise väärtusega põllukultuurid ning arhitektuuri ja maapiirkonna maastiku tüüpilised elemendid. Taastamise ja struktuurilise kohandamise meetodite hulgas tuleb eelistada ökoühilduvusega lahendusi ja alternatiivsete energiaallikate kasutamist.</w:t>
            </w:r>
          </w:p>
          <w:p w14:paraId="5FE2B06B"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2. Maapiirkondade ehituspärandi loenduse lõpuleviimine ning riiklike ja piirkondlike teabevahendite rakendamine</w:t>
            </w:r>
          </w:p>
        </w:tc>
      </w:tr>
      <w:tr w:rsidR="0084326C" w:rsidRPr="00D90835" w14:paraId="4439954E" w14:textId="77777777">
        <w:trPr>
          <w:trHeight w:val="364"/>
          <w:jc w:val="center"/>
        </w:trPr>
        <w:tc>
          <w:tcPr>
            <w:tcW w:w="377" w:type="pct"/>
            <w:shd w:val="clear" w:color="auto" w:fill="C6EFCE"/>
            <w:noWrap/>
            <w:vAlign w:val="center"/>
            <w:hideMark/>
          </w:tcPr>
          <w:p w14:paraId="36B3588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M1C3-18</w:t>
            </w:r>
          </w:p>
        </w:tc>
        <w:tc>
          <w:tcPr>
            <w:tcW w:w="520" w:type="pct"/>
            <w:shd w:val="clear" w:color="auto" w:fill="C6EFCE"/>
            <w:noWrap/>
            <w:vAlign w:val="center"/>
            <w:hideMark/>
          </w:tcPr>
          <w:p w14:paraId="19584EE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2.3. Programmid, mille eesmärk on parandada kohalikku identiteeti: pargid ja ajaloolised aiad</w:t>
            </w:r>
          </w:p>
        </w:tc>
        <w:tc>
          <w:tcPr>
            <w:tcW w:w="378" w:type="pct"/>
            <w:shd w:val="clear" w:color="auto" w:fill="C6EFCE"/>
            <w:noWrap/>
            <w:vAlign w:val="center"/>
            <w:hideMark/>
          </w:tcPr>
          <w:p w14:paraId="6BD779D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520" w:type="pct"/>
            <w:shd w:val="clear" w:color="auto" w:fill="C6EFCE"/>
            <w:noWrap/>
            <w:vAlign w:val="center"/>
            <w:hideMark/>
          </w:tcPr>
          <w:p w14:paraId="4469EDF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Ümberkvalifitseeritud parkide ja ajalooliste aedade arv</w:t>
            </w:r>
          </w:p>
        </w:tc>
        <w:tc>
          <w:tcPr>
            <w:tcW w:w="520" w:type="pct"/>
            <w:shd w:val="clear" w:color="auto" w:fill="C6EFCE"/>
            <w:noWrap/>
            <w:vAlign w:val="center"/>
            <w:hideMark/>
          </w:tcPr>
          <w:p w14:paraId="2EDC0EC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31" w:type="pct"/>
            <w:shd w:val="clear" w:color="auto" w:fill="C6EFCE"/>
            <w:noWrap/>
            <w:vAlign w:val="center"/>
            <w:hideMark/>
          </w:tcPr>
          <w:p w14:paraId="4B30AD0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32" w:type="pct"/>
            <w:shd w:val="clear" w:color="auto" w:fill="C6EFCE"/>
            <w:noWrap/>
            <w:vAlign w:val="center"/>
            <w:hideMark/>
          </w:tcPr>
          <w:p w14:paraId="256AEE9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424" w:type="pct"/>
            <w:shd w:val="clear" w:color="auto" w:fill="C6EFCE"/>
            <w:noWrap/>
            <w:vAlign w:val="center"/>
            <w:hideMark/>
          </w:tcPr>
          <w:p w14:paraId="124FD2C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40</w:t>
            </w:r>
          </w:p>
        </w:tc>
        <w:tc>
          <w:tcPr>
            <w:tcW w:w="332" w:type="pct"/>
            <w:shd w:val="clear" w:color="auto" w:fill="C6EFCE"/>
            <w:noWrap/>
            <w:vAlign w:val="center"/>
            <w:hideMark/>
          </w:tcPr>
          <w:p w14:paraId="1B56C1F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20" w:type="pct"/>
            <w:shd w:val="clear" w:color="auto" w:fill="C6EFCE"/>
            <w:noWrap/>
            <w:vAlign w:val="center"/>
            <w:hideMark/>
          </w:tcPr>
          <w:p w14:paraId="6A5AE84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2025</w:t>
            </w:r>
          </w:p>
        </w:tc>
        <w:tc>
          <w:tcPr>
            <w:tcW w:w="1047" w:type="pct"/>
            <w:shd w:val="clear" w:color="auto" w:fill="C6EFCE"/>
            <w:noWrap/>
            <w:vAlign w:val="center"/>
            <w:hideMark/>
          </w:tcPr>
          <w:p w14:paraId="3C8CFE2C"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Näitaja viitab ümberkvalifitseeritud ajalooliste parkide ja aedade arvule (mida tõendab tööde korrapärase teostamise tunnistus).</w:t>
            </w:r>
          </w:p>
          <w:p w14:paraId="07FFC1CB" w14:textId="77777777" w:rsidR="0084326C" w:rsidRPr="00F33804" w:rsidRDefault="0084326C">
            <w:pPr>
              <w:rPr>
                <w:rFonts w:ascii="Arial Narrow" w:hAnsi="Arial Narrow"/>
                <w:noProof/>
                <w:color w:val="006100"/>
                <w:sz w:val="20"/>
                <w:szCs w:val="20"/>
              </w:rPr>
            </w:pPr>
          </w:p>
          <w:p w14:paraId="79BA3A1F"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Eesmärgi rahuldav täitmine sõltub ka koolitustegevuse lõpuleviimisest vähemalt 1 260 operaatorile.</w:t>
            </w:r>
          </w:p>
          <w:p w14:paraId="7854ABFF" w14:textId="77777777" w:rsidR="0084326C" w:rsidRPr="005D68A0" w:rsidRDefault="0084326C">
            <w:pPr>
              <w:rPr>
                <w:rFonts w:ascii="Arial Narrow" w:hAnsi="Arial Narrow"/>
                <w:noProof/>
                <w:color w:val="006100"/>
              </w:rPr>
            </w:pPr>
            <w:r>
              <w:rPr>
                <w:rFonts w:ascii="Arial Narrow" w:hAnsi="Arial Narrow"/>
                <w:noProof/>
                <w:color w:val="006100"/>
                <w:sz w:val="20"/>
              </w:rPr>
              <w:t>Parkide ja ajalooliste aedade ümberkvalifitseerumise rahuldavaks sooritamiseks täidetavad sekkumisliigid on järgmised:</w:t>
            </w:r>
          </w:p>
          <w:p w14:paraId="635755D6" w14:textId="77777777" w:rsidR="0084326C" w:rsidRPr="005D68A0" w:rsidRDefault="0084326C" w:rsidP="005154EE">
            <w:pPr>
              <w:pStyle w:val="ListParagraph"/>
              <w:numPr>
                <w:ilvl w:val="0"/>
                <w:numId w:val="76"/>
              </w:numPr>
              <w:ind w:left="220" w:hanging="142"/>
              <w:rPr>
                <w:rFonts w:ascii="Arial Narrow" w:hAnsi="Arial Narrow"/>
                <w:noProof/>
                <w:color w:val="006100"/>
                <w:sz w:val="20"/>
                <w:szCs w:val="20"/>
              </w:rPr>
            </w:pPr>
            <w:r>
              <w:rPr>
                <w:rFonts w:ascii="Arial Narrow" w:hAnsi="Arial Narrow"/>
                <w:noProof/>
                <w:color w:val="006100"/>
                <w:sz w:val="20"/>
              </w:rPr>
              <w:t xml:space="preserve">taimestiku osa arengu hooldamine/taastamine/haldamine; </w:t>
            </w:r>
          </w:p>
          <w:p w14:paraId="2884EADB" w14:textId="77777777" w:rsidR="0084326C" w:rsidRPr="005D68A0" w:rsidRDefault="0084326C" w:rsidP="005154EE">
            <w:pPr>
              <w:pStyle w:val="ListParagraph"/>
              <w:numPr>
                <w:ilvl w:val="0"/>
                <w:numId w:val="76"/>
              </w:numPr>
              <w:ind w:left="220" w:hanging="142"/>
              <w:rPr>
                <w:rFonts w:ascii="Arial Narrow" w:hAnsi="Arial Narrow"/>
                <w:noProof/>
                <w:color w:val="006100"/>
                <w:sz w:val="20"/>
                <w:szCs w:val="20"/>
              </w:rPr>
            </w:pPr>
            <w:r>
              <w:rPr>
                <w:rFonts w:ascii="Arial Narrow" w:hAnsi="Arial Narrow"/>
                <w:noProof/>
                <w:color w:val="006100"/>
                <w:sz w:val="20"/>
              </w:rPr>
              <w:t xml:space="preserve">praeguste arhitektuuriliste ja monumentaalsete komponentide (väikeehitised, purskkaevud ja sisustus) taastamine; </w:t>
            </w:r>
          </w:p>
          <w:p w14:paraId="0E328D8E" w14:textId="77777777" w:rsidR="0084326C" w:rsidRPr="005D68A0" w:rsidRDefault="0084326C" w:rsidP="005154EE">
            <w:pPr>
              <w:pStyle w:val="ListParagraph"/>
              <w:numPr>
                <w:ilvl w:val="0"/>
                <w:numId w:val="76"/>
              </w:numPr>
              <w:ind w:left="220" w:hanging="142"/>
              <w:rPr>
                <w:rFonts w:ascii="Arial Narrow" w:hAnsi="Arial Narrow"/>
                <w:noProof/>
                <w:color w:val="006100"/>
                <w:sz w:val="20"/>
                <w:szCs w:val="20"/>
              </w:rPr>
            </w:pPr>
            <w:r>
              <w:rPr>
                <w:rFonts w:ascii="Arial Narrow" w:hAnsi="Arial Narrow"/>
                <w:noProof/>
                <w:color w:val="006100"/>
                <w:sz w:val="20"/>
              </w:rPr>
              <w:t xml:space="preserve">ruumide kasutamise praeguste meetodite analüüs ja optimeerimine, et võimaldada nende optimaalset kasutamist; </w:t>
            </w:r>
          </w:p>
          <w:p w14:paraId="446D4AB1" w14:textId="77777777" w:rsidR="0084326C" w:rsidRPr="005D68A0" w:rsidRDefault="0084326C" w:rsidP="005154EE">
            <w:pPr>
              <w:pStyle w:val="ListParagraph"/>
              <w:numPr>
                <w:ilvl w:val="0"/>
                <w:numId w:val="76"/>
              </w:numPr>
              <w:ind w:left="220" w:hanging="142"/>
              <w:rPr>
                <w:rFonts w:ascii="Arial Narrow" w:hAnsi="Arial Narrow"/>
                <w:noProof/>
                <w:color w:val="006100"/>
                <w:sz w:val="20"/>
                <w:szCs w:val="20"/>
              </w:rPr>
            </w:pPr>
            <w:r>
              <w:rPr>
                <w:rFonts w:ascii="Arial Narrow" w:hAnsi="Arial Narrow"/>
                <w:noProof/>
                <w:color w:val="006100"/>
                <w:sz w:val="20"/>
              </w:rPr>
              <w:t xml:space="preserve">kõige nõrgemate või väärtuslikemate piirkondade austamine; </w:t>
            </w:r>
          </w:p>
          <w:p w14:paraId="2FD7346E" w14:textId="77777777" w:rsidR="0084326C" w:rsidRPr="005D68A0" w:rsidRDefault="0084326C" w:rsidP="005154EE">
            <w:pPr>
              <w:pStyle w:val="ListParagraph"/>
              <w:numPr>
                <w:ilvl w:val="0"/>
                <w:numId w:val="76"/>
              </w:numPr>
              <w:ind w:left="220" w:hanging="142"/>
              <w:rPr>
                <w:rFonts w:ascii="Arial Narrow" w:hAnsi="Arial Narrow"/>
                <w:noProof/>
                <w:color w:val="006100"/>
                <w:sz w:val="20"/>
                <w:szCs w:val="20"/>
              </w:rPr>
            </w:pPr>
            <w:r>
              <w:rPr>
                <w:rFonts w:ascii="Arial Narrow" w:hAnsi="Arial Narrow"/>
                <w:noProof/>
                <w:color w:val="006100"/>
                <w:sz w:val="20"/>
              </w:rPr>
              <w:t xml:space="preserve">sekkumised, et tagada piiratud funktsionaalsusega inimeste juurdepääs; </w:t>
            </w:r>
          </w:p>
          <w:p w14:paraId="6E03286A" w14:textId="77777777" w:rsidR="0084326C" w:rsidRPr="005D68A0" w:rsidRDefault="0084326C" w:rsidP="005154EE">
            <w:pPr>
              <w:pStyle w:val="ListParagraph"/>
              <w:numPr>
                <w:ilvl w:val="0"/>
                <w:numId w:val="76"/>
              </w:numPr>
              <w:ind w:left="220" w:hanging="142"/>
              <w:rPr>
                <w:rFonts w:ascii="Arial Narrow" w:hAnsi="Arial Narrow"/>
                <w:noProof/>
                <w:color w:val="006100"/>
                <w:sz w:val="20"/>
                <w:szCs w:val="20"/>
              </w:rPr>
            </w:pPr>
            <w:r>
              <w:rPr>
                <w:rFonts w:ascii="Arial Narrow" w:hAnsi="Arial Narrow"/>
                <w:noProof/>
                <w:color w:val="006100"/>
                <w:sz w:val="20"/>
              </w:rPr>
              <w:t xml:space="preserve">tarastatud alade, sissepääsuväravate, videovalvesüsteemide turvamine; </w:t>
            </w:r>
          </w:p>
          <w:p w14:paraId="0A325D27" w14:textId="77777777" w:rsidR="0084326C" w:rsidRPr="005D68A0" w:rsidRDefault="0084326C" w:rsidP="005154EE">
            <w:pPr>
              <w:pStyle w:val="ListParagraph"/>
              <w:numPr>
                <w:ilvl w:val="0"/>
                <w:numId w:val="76"/>
              </w:numPr>
              <w:ind w:left="220" w:hanging="142"/>
              <w:rPr>
                <w:rFonts w:ascii="Arial Narrow" w:hAnsi="Arial Narrow"/>
                <w:noProof/>
                <w:color w:val="006100"/>
                <w:sz w:val="20"/>
                <w:szCs w:val="20"/>
              </w:rPr>
            </w:pPr>
            <w:r>
              <w:rPr>
                <w:rFonts w:ascii="Arial Narrow" w:hAnsi="Arial Narrow"/>
                <w:noProof/>
                <w:color w:val="006100"/>
                <w:sz w:val="20"/>
              </w:rPr>
              <w:t xml:space="preserve">teabevahendite (nt plakatite ja juhendite) rakendamine, et edendada kodanike teadmisi ja teadlikku kasutamist; </w:t>
            </w:r>
          </w:p>
          <w:p w14:paraId="492C5159" w14:textId="77777777" w:rsidR="0084326C" w:rsidRPr="005D68A0" w:rsidRDefault="0084326C" w:rsidP="005154EE">
            <w:pPr>
              <w:pStyle w:val="ListParagraph"/>
              <w:numPr>
                <w:ilvl w:val="0"/>
                <w:numId w:val="76"/>
              </w:numPr>
              <w:ind w:left="220" w:hanging="142"/>
              <w:rPr>
                <w:rFonts w:ascii="Arial Narrow" w:hAnsi="Arial Narrow"/>
                <w:noProof/>
                <w:color w:val="006100"/>
                <w:sz w:val="20"/>
                <w:szCs w:val="20"/>
              </w:rPr>
            </w:pPr>
            <w:r>
              <w:rPr>
                <w:rFonts w:ascii="Arial Narrow" w:hAnsi="Arial Narrow"/>
                <w:noProof/>
                <w:color w:val="006100"/>
                <w:sz w:val="20"/>
              </w:rPr>
              <w:t>väärtustamismeetmed kultuuri-, haridus- ja vaba aja veetmise edendamiseks.</w:t>
            </w:r>
          </w:p>
        </w:tc>
      </w:tr>
      <w:tr w:rsidR="0084326C" w:rsidRPr="00D90835" w14:paraId="543F3C9C" w14:textId="77777777">
        <w:trPr>
          <w:trHeight w:val="313"/>
          <w:jc w:val="center"/>
        </w:trPr>
        <w:tc>
          <w:tcPr>
            <w:tcW w:w="377" w:type="pct"/>
            <w:shd w:val="clear" w:color="auto" w:fill="C6EFCE"/>
            <w:noWrap/>
            <w:vAlign w:val="center"/>
            <w:hideMark/>
          </w:tcPr>
          <w:p w14:paraId="7021A03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M1C3-19</w:t>
            </w:r>
          </w:p>
        </w:tc>
        <w:tc>
          <w:tcPr>
            <w:tcW w:w="520" w:type="pct"/>
            <w:shd w:val="clear" w:color="auto" w:fill="C6EFCE"/>
            <w:noWrap/>
            <w:vAlign w:val="center"/>
            <w:hideMark/>
          </w:tcPr>
          <w:p w14:paraId="550D01E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2.4. Palvepaikade seismiline ohutus, FEC (Fondo Edifici di Culto) pärandi ja kunstiteoste varjupaikade taastamine (taastekunst)</w:t>
            </w:r>
          </w:p>
        </w:tc>
        <w:tc>
          <w:tcPr>
            <w:tcW w:w="378" w:type="pct"/>
            <w:shd w:val="clear" w:color="auto" w:fill="C6EFCE"/>
            <w:noWrap/>
            <w:vAlign w:val="center"/>
            <w:hideMark/>
          </w:tcPr>
          <w:p w14:paraId="6F0EC82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520" w:type="pct"/>
            <w:shd w:val="clear" w:color="auto" w:fill="C6EFCE"/>
            <w:noWrap/>
            <w:vAlign w:val="center"/>
            <w:hideMark/>
          </w:tcPr>
          <w:p w14:paraId="2521FDE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Meetmed seismilise ohutuse tagamiseks pühakodades, FECi (Fondo Edifici di Culto) pärandi taastamine ja kunstiteoste varjualused on lõpule viidud</w:t>
            </w:r>
          </w:p>
        </w:tc>
        <w:tc>
          <w:tcPr>
            <w:tcW w:w="520" w:type="pct"/>
            <w:shd w:val="clear" w:color="auto" w:fill="C6EFCE"/>
            <w:noWrap/>
            <w:vAlign w:val="center"/>
            <w:hideMark/>
          </w:tcPr>
          <w:p w14:paraId="241555B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31" w:type="pct"/>
            <w:shd w:val="clear" w:color="auto" w:fill="C6EFCE"/>
            <w:noWrap/>
            <w:vAlign w:val="center"/>
            <w:hideMark/>
          </w:tcPr>
          <w:p w14:paraId="6186111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32" w:type="pct"/>
            <w:shd w:val="clear" w:color="auto" w:fill="C6EFCE"/>
            <w:noWrap/>
            <w:vAlign w:val="center"/>
            <w:hideMark/>
          </w:tcPr>
          <w:p w14:paraId="6F498CD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424" w:type="pct"/>
            <w:shd w:val="clear" w:color="auto" w:fill="C6EFCE"/>
            <w:noWrap/>
            <w:vAlign w:val="center"/>
            <w:hideMark/>
          </w:tcPr>
          <w:p w14:paraId="73AE1CB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300</w:t>
            </w:r>
          </w:p>
        </w:tc>
        <w:tc>
          <w:tcPr>
            <w:tcW w:w="332" w:type="pct"/>
            <w:shd w:val="clear" w:color="auto" w:fill="C6EFCE"/>
            <w:noWrap/>
            <w:vAlign w:val="center"/>
            <w:hideMark/>
          </w:tcPr>
          <w:p w14:paraId="799103F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20" w:type="pct"/>
            <w:shd w:val="clear" w:color="auto" w:fill="C6EFCE"/>
            <w:noWrap/>
            <w:vAlign w:val="center"/>
            <w:hideMark/>
          </w:tcPr>
          <w:p w14:paraId="4B528A2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2025</w:t>
            </w:r>
          </w:p>
        </w:tc>
        <w:tc>
          <w:tcPr>
            <w:tcW w:w="1047" w:type="pct"/>
            <w:shd w:val="clear" w:color="auto" w:fill="C6EFCE"/>
            <w:noWrap/>
            <w:vAlign w:val="center"/>
            <w:hideMark/>
          </w:tcPr>
          <w:p w14:paraId="3889D4A7"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Sihtmärk mõõdab pühapaikade maavärinakindluse, FECi restaureerimise (Fondo Edifici di Culto) ja kunstiteoste varjestamisega seotud sekkumiste arvu lõpuleviidud õnnetuste korral (mida tõendab tööde korrapärase teostamise tunnistus).</w:t>
            </w:r>
          </w:p>
          <w:p w14:paraId="1AAFDB25"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Sekkumised hõlmavad järgmist: </w:t>
            </w:r>
          </w:p>
          <w:p w14:paraId="6776D110"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i) arhitektuuriliste varade ennetav maavärinavastane sekkumine, et taastada olemasolev kahju ja kindlustada kultuuripärand;</w:t>
            </w:r>
            <w:r>
              <w:rPr>
                <w:rFonts w:ascii="Arial Narrow" w:hAnsi="Arial Narrow"/>
                <w:noProof/>
              </w:rPr>
              <w:t xml:space="preserve"> </w:t>
            </w:r>
            <w:r>
              <w:rPr>
                <w:noProof/>
              </w:rPr>
              <w:t xml:space="preserve"> </w:t>
            </w:r>
            <w:r>
              <w:rPr>
                <w:noProof/>
              </w:rPr>
              <w:br/>
            </w:r>
            <w:r>
              <w:rPr>
                <w:rFonts w:ascii="Arial Narrow" w:hAnsi="Arial Narrow"/>
                <w:noProof/>
                <w:color w:val="006100"/>
                <w:sz w:val="20"/>
              </w:rPr>
              <w:t>ii) taastamisartikli Kaitseprojektiga luuakse ajutised ja kaitstud hoiused vallasvara säilitamiseks õnnetuse korral.</w:t>
            </w:r>
          </w:p>
        </w:tc>
      </w:tr>
      <w:tr w:rsidR="0084326C" w:rsidRPr="00D90835" w14:paraId="032DB4E7" w14:textId="77777777">
        <w:trPr>
          <w:trHeight w:val="313"/>
          <w:jc w:val="center"/>
        </w:trPr>
        <w:tc>
          <w:tcPr>
            <w:tcW w:w="377" w:type="pct"/>
            <w:shd w:val="clear" w:color="auto" w:fill="C6EFCE"/>
            <w:noWrap/>
            <w:vAlign w:val="center"/>
            <w:hideMark/>
          </w:tcPr>
          <w:p w14:paraId="190518C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M1C3-20</w:t>
            </w:r>
          </w:p>
        </w:tc>
        <w:tc>
          <w:tcPr>
            <w:tcW w:w="520" w:type="pct"/>
            <w:shd w:val="clear" w:color="auto" w:fill="C6EFCE"/>
            <w:noWrap/>
            <w:vAlign w:val="center"/>
            <w:hideMark/>
          </w:tcPr>
          <w:p w14:paraId="739501B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3.2. Filmitööstuse arendamine (Cinecittà projekt)</w:t>
            </w:r>
          </w:p>
        </w:tc>
        <w:tc>
          <w:tcPr>
            <w:tcW w:w="378" w:type="pct"/>
            <w:shd w:val="clear" w:color="auto" w:fill="C6EFCE"/>
            <w:noWrap/>
            <w:vAlign w:val="center"/>
            <w:hideMark/>
          </w:tcPr>
          <w:p w14:paraId="366F4E0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520" w:type="pct"/>
            <w:shd w:val="clear" w:color="auto" w:fill="C6EFCE"/>
            <w:noWrap/>
            <w:vAlign w:val="center"/>
            <w:hideMark/>
          </w:tcPr>
          <w:p w14:paraId="671225B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Rakendusüksuse Cinecittà SPA ja äriühingute vahel üheksa stuudio ehitamiseks sõlmitud lepingu allkirjastamine</w:t>
            </w:r>
          </w:p>
        </w:tc>
        <w:tc>
          <w:tcPr>
            <w:tcW w:w="520" w:type="pct"/>
            <w:shd w:val="clear" w:color="auto" w:fill="C6EFCE"/>
            <w:noWrap/>
            <w:vAlign w:val="center"/>
            <w:hideMark/>
          </w:tcPr>
          <w:p w14:paraId="3E3D7A8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Lepingute allkirjastamine</w:t>
            </w:r>
          </w:p>
        </w:tc>
        <w:tc>
          <w:tcPr>
            <w:tcW w:w="331" w:type="pct"/>
            <w:shd w:val="clear" w:color="auto" w:fill="C6EFCE"/>
            <w:noWrap/>
            <w:vAlign w:val="center"/>
            <w:hideMark/>
          </w:tcPr>
          <w:p w14:paraId="57935F58"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Ei kohaldata</w:t>
            </w:r>
          </w:p>
        </w:tc>
        <w:tc>
          <w:tcPr>
            <w:tcW w:w="332" w:type="pct"/>
            <w:shd w:val="clear" w:color="auto" w:fill="C6EFCE"/>
            <w:noWrap/>
            <w:vAlign w:val="center"/>
            <w:hideMark/>
          </w:tcPr>
          <w:p w14:paraId="4BBD90E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424" w:type="pct"/>
            <w:shd w:val="clear" w:color="auto" w:fill="C6EFCE"/>
            <w:noWrap/>
            <w:vAlign w:val="center"/>
            <w:hideMark/>
          </w:tcPr>
          <w:p w14:paraId="426DCBC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32" w:type="pct"/>
            <w:shd w:val="clear" w:color="auto" w:fill="C6EFCE"/>
            <w:noWrap/>
            <w:vAlign w:val="center"/>
            <w:hideMark/>
          </w:tcPr>
          <w:p w14:paraId="092EAE6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220" w:type="pct"/>
            <w:shd w:val="clear" w:color="auto" w:fill="C6EFCE"/>
            <w:noWrap/>
            <w:vAlign w:val="center"/>
            <w:hideMark/>
          </w:tcPr>
          <w:p w14:paraId="5EE4EEC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2023</w:t>
            </w:r>
          </w:p>
        </w:tc>
        <w:tc>
          <w:tcPr>
            <w:tcW w:w="1047" w:type="pct"/>
            <w:shd w:val="clear" w:color="auto" w:fill="C6EFCE"/>
            <w:noWrap/>
            <w:vAlign w:val="center"/>
            <w:hideMark/>
          </w:tcPr>
          <w:p w14:paraId="0FA9D1FE"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Rakendusüksuse Cinecittà SPA ja äriühingute vahel üheksa stuudio ehitamiseks sõlmitud lepingu allkirjastamine. </w:t>
            </w:r>
          </w:p>
          <w:p w14:paraId="00E9B480"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 </w:t>
            </w:r>
          </w:p>
          <w:p w14:paraId="20BE40F5"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See sekkumine hõlmab uute stuudiote ehitamist, olemasolevate stuudiote taastamist, investeeringuid uude digitehnoloogiasse, süsteemidesse ja teenustesse, mille eesmärk on tugevdada Cinecittà SPA hallatavaid Cinecittà filmstuudioid.</w:t>
            </w:r>
          </w:p>
          <w:p w14:paraId="3DCEC229" w14:textId="77777777" w:rsidR="0084326C" w:rsidRPr="00F33804" w:rsidRDefault="0084326C">
            <w:pPr>
              <w:rPr>
                <w:rFonts w:ascii="Arial Narrow" w:hAnsi="Arial Narrow"/>
                <w:noProof/>
                <w:color w:val="006100"/>
                <w:sz w:val="20"/>
                <w:szCs w:val="20"/>
              </w:rPr>
            </w:pPr>
          </w:p>
          <w:p w14:paraId="3FFB64FE"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Rakendusüksuse Cinecittà SPA ja äriühingute vaheline leping sisaldab toetatavate varade/tegevuste ja/või äriühingute DNSH tehnilistele suunistele (2021/C58/01) vastavuse valiku-/kõlblikkuskriteeriume.</w:t>
            </w:r>
          </w:p>
          <w:p w14:paraId="2A5E2803" w14:textId="77777777" w:rsidR="0084326C" w:rsidRPr="00F33804" w:rsidRDefault="0084326C">
            <w:pPr>
              <w:rPr>
                <w:rFonts w:ascii="Arial Narrow" w:hAnsi="Arial Narrow"/>
                <w:noProof/>
                <w:color w:val="006100"/>
                <w:sz w:val="20"/>
                <w:szCs w:val="20"/>
              </w:rPr>
            </w:pPr>
          </w:p>
          <w:p w14:paraId="7931B65B" w14:textId="77777777" w:rsidR="0084326C" w:rsidRPr="005D68A0" w:rsidRDefault="0084326C">
            <w:pPr>
              <w:rPr>
                <w:rFonts w:ascii="Arial Narrow" w:hAnsi="Arial Narrow"/>
                <w:noProof/>
                <w:color w:val="006100"/>
                <w:sz w:val="20"/>
              </w:rPr>
            </w:pPr>
            <w:r>
              <w:rPr>
                <w:rFonts w:ascii="Arial Narrow" w:hAnsi="Arial Narrow"/>
                <w:noProof/>
                <w:color w:val="006100"/>
                <w:sz w:val="20"/>
              </w:rPr>
              <w:t>Kohustus/siht investeerida 20 % varadesse/tegevustesse ja/või äriühingutesse, mis vastavad digitaalse märgistamise valikukriteeriumidele, ja 70 % varadesse/tegevustesse ja/või äriühingutesse, mis vastavad kliimaseire valikukriteeriumidele.</w:t>
            </w:r>
          </w:p>
        </w:tc>
      </w:tr>
      <w:tr w:rsidR="0084326C" w:rsidRPr="00D90835" w14:paraId="7C38361F" w14:textId="77777777">
        <w:trPr>
          <w:trHeight w:val="313"/>
          <w:jc w:val="center"/>
        </w:trPr>
        <w:tc>
          <w:tcPr>
            <w:tcW w:w="377" w:type="pct"/>
            <w:shd w:val="clear" w:color="auto" w:fill="C6EFCE"/>
            <w:noWrap/>
            <w:vAlign w:val="center"/>
            <w:hideMark/>
          </w:tcPr>
          <w:p w14:paraId="0B81AE8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M1C3-21</w:t>
            </w:r>
          </w:p>
        </w:tc>
        <w:tc>
          <w:tcPr>
            <w:tcW w:w="520" w:type="pct"/>
            <w:shd w:val="clear" w:color="auto" w:fill="C6EFCE"/>
            <w:noWrap/>
            <w:vAlign w:val="center"/>
            <w:hideMark/>
          </w:tcPr>
          <w:p w14:paraId="0910414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3.2. Filmitööstuse arendamine (Cinecittà projekt)</w:t>
            </w:r>
          </w:p>
        </w:tc>
        <w:tc>
          <w:tcPr>
            <w:tcW w:w="378" w:type="pct"/>
            <w:shd w:val="clear" w:color="auto" w:fill="C6EFCE"/>
            <w:noWrap/>
            <w:vAlign w:val="center"/>
            <w:hideMark/>
          </w:tcPr>
          <w:p w14:paraId="4FA4933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520" w:type="pct"/>
            <w:shd w:val="clear" w:color="auto" w:fill="C6EFCE"/>
            <w:noWrap/>
            <w:vAlign w:val="center"/>
            <w:hideMark/>
          </w:tcPr>
          <w:p w14:paraId="77B0F83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Nende stuudiote arv, mille ümberkvalifitseerimise, moderniseerimise ja ehitamisega seotud tööd on lõpetatud</w:t>
            </w:r>
          </w:p>
        </w:tc>
        <w:tc>
          <w:tcPr>
            <w:tcW w:w="520" w:type="pct"/>
            <w:shd w:val="clear" w:color="auto" w:fill="C6EFCE"/>
            <w:noWrap/>
            <w:vAlign w:val="center"/>
            <w:hideMark/>
          </w:tcPr>
          <w:p w14:paraId="5B2FD26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31" w:type="pct"/>
            <w:shd w:val="clear" w:color="auto" w:fill="C6EFCE"/>
            <w:noWrap/>
            <w:vAlign w:val="center"/>
            <w:hideMark/>
          </w:tcPr>
          <w:p w14:paraId="54A8046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32" w:type="pct"/>
            <w:shd w:val="clear" w:color="auto" w:fill="C6EFCE"/>
            <w:noWrap/>
            <w:vAlign w:val="center"/>
            <w:hideMark/>
          </w:tcPr>
          <w:p w14:paraId="4CBD995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424" w:type="pct"/>
            <w:shd w:val="clear" w:color="auto" w:fill="C6EFCE"/>
            <w:noWrap/>
            <w:vAlign w:val="center"/>
            <w:hideMark/>
          </w:tcPr>
          <w:p w14:paraId="20B17C99" w14:textId="77777777" w:rsidR="0084326C" w:rsidRPr="005D68A0" w:rsidRDefault="0084326C">
            <w:pPr>
              <w:jc w:val="center"/>
              <w:rPr>
                <w:rFonts w:ascii="Arial Narrow" w:hAnsi="Arial Narrow"/>
                <w:noProof/>
                <w:sz w:val="20"/>
                <w:szCs w:val="20"/>
              </w:rPr>
            </w:pPr>
            <w:r>
              <w:rPr>
                <w:rFonts w:ascii="Arial Narrow" w:hAnsi="Arial Narrow"/>
                <w:noProof/>
                <w:color w:val="006100"/>
                <w:sz w:val="20"/>
              </w:rPr>
              <w:t>9</w:t>
            </w:r>
          </w:p>
        </w:tc>
        <w:tc>
          <w:tcPr>
            <w:tcW w:w="332" w:type="pct"/>
            <w:shd w:val="clear" w:color="auto" w:fill="C6EFCE"/>
            <w:noWrap/>
            <w:vAlign w:val="center"/>
            <w:hideMark/>
          </w:tcPr>
          <w:p w14:paraId="5405BE1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220" w:type="pct"/>
            <w:shd w:val="clear" w:color="auto" w:fill="C6EFCE"/>
            <w:noWrap/>
            <w:vAlign w:val="center"/>
            <w:hideMark/>
          </w:tcPr>
          <w:p w14:paraId="7B596CC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1047" w:type="pct"/>
            <w:shd w:val="clear" w:color="auto" w:fill="C6EFCE"/>
            <w:noWrap/>
            <w:vAlign w:val="center"/>
            <w:hideMark/>
          </w:tcPr>
          <w:p w14:paraId="30AE65D5"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Sekkumised on seotud </w:t>
            </w:r>
          </w:p>
          <w:p w14:paraId="2D8572EC"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 viie uue stuudio ehitamine ja </w:t>
            </w:r>
          </w:p>
          <w:p w14:paraId="739699B4"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nelja olemasoleva stuudio renoveerimine.</w:t>
            </w:r>
          </w:p>
          <w:p w14:paraId="739383A7" w14:textId="77777777" w:rsidR="0084326C" w:rsidRPr="00F33804" w:rsidRDefault="0084326C">
            <w:pPr>
              <w:rPr>
                <w:rFonts w:ascii="Arial Narrow" w:hAnsi="Arial Narrow"/>
                <w:noProof/>
                <w:color w:val="006100"/>
                <w:sz w:val="20"/>
                <w:szCs w:val="20"/>
              </w:rPr>
            </w:pPr>
          </w:p>
          <w:p w14:paraId="7D2E81D8"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Eesmärgi rahuldav täitmine sõltub ka meetme kirjelduse ridadel B ja C märgitud sekkumiste lõpuleviimisest.</w:t>
            </w:r>
          </w:p>
        </w:tc>
      </w:tr>
      <w:tr w:rsidR="0084326C" w:rsidRPr="00D90835" w14:paraId="6B01E2D1" w14:textId="77777777">
        <w:trPr>
          <w:trHeight w:val="313"/>
          <w:jc w:val="center"/>
        </w:trPr>
        <w:tc>
          <w:tcPr>
            <w:tcW w:w="377" w:type="pct"/>
            <w:shd w:val="clear" w:color="auto" w:fill="C6EFCE"/>
            <w:noWrap/>
            <w:vAlign w:val="center"/>
          </w:tcPr>
          <w:p w14:paraId="138150C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M1C3-22</w:t>
            </w:r>
          </w:p>
        </w:tc>
        <w:tc>
          <w:tcPr>
            <w:tcW w:w="520" w:type="pct"/>
            <w:shd w:val="clear" w:color="auto" w:fill="C6EFCE"/>
            <w:noWrap/>
            <w:vAlign w:val="center"/>
          </w:tcPr>
          <w:p w14:paraId="6305A6F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4.2. Turismiettevõtete konkurentsivõime fondid</w:t>
            </w:r>
          </w:p>
        </w:tc>
        <w:tc>
          <w:tcPr>
            <w:tcW w:w="378" w:type="pct"/>
            <w:shd w:val="clear" w:color="auto" w:fill="C6EFCE"/>
            <w:noWrap/>
            <w:vAlign w:val="center"/>
          </w:tcPr>
          <w:p w14:paraId="6AE2E0B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520" w:type="pct"/>
            <w:shd w:val="clear" w:color="auto" w:fill="C6EFCE"/>
            <w:noWrap/>
            <w:vAlign w:val="center"/>
          </w:tcPr>
          <w:p w14:paraId="1CD3B2E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Investeerimispoliitika järgmiste valdkondade jaoks:</w:t>
            </w:r>
          </w:p>
          <w:p w14:paraId="008353D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Euroopa Investeerimispanga temaatiline fond;</w:t>
            </w:r>
          </w:p>
        </w:tc>
        <w:tc>
          <w:tcPr>
            <w:tcW w:w="520" w:type="pct"/>
            <w:shd w:val="clear" w:color="auto" w:fill="C6EFCE"/>
            <w:noWrap/>
            <w:vAlign w:val="center"/>
          </w:tcPr>
          <w:p w14:paraId="49330AC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Investeerimispoliitika vastuvõtmine</w:t>
            </w:r>
          </w:p>
        </w:tc>
        <w:tc>
          <w:tcPr>
            <w:tcW w:w="331" w:type="pct"/>
            <w:shd w:val="clear" w:color="auto" w:fill="C6EFCE"/>
            <w:noWrap/>
            <w:vAlign w:val="center"/>
          </w:tcPr>
          <w:p w14:paraId="4630972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32" w:type="pct"/>
            <w:shd w:val="clear" w:color="auto" w:fill="C6EFCE"/>
            <w:noWrap/>
            <w:vAlign w:val="center"/>
          </w:tcPr>
          <w:p w14:paraId="5123C74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424" w:type="pct"/>
            <w:shd w:val="clear" w:color="auto" w:fill="C6EFCE"/>
            <w:noWrap/>
            <w:vAlign w:val="center"/>
          </w:tcPr>
          <w:p w14:paraId="64A1B2C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32" w:type="pct"/>
            <w:shd w:val="clear" w:color="auto" w:fill="C6EFCE"/>
            <w:noWrap/>
            <w:vAlign w:val="center"/>
          </w:tcPr>
          <w:p w14:paraId="2A548C6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20" w:type="pct"/>
            <w:shd w:val="clear" w:color="auto" w:fill="C6EFCE"/>
            <w:noWrap/>
            <w:vAlign w:val="center"/>
          </w:tcPr>
          <w:p w14:paraId="089A4A6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2021</w:t>
            </w:r>
          </w:p>
        </w:tc>
        <w:tc>
          <w:tcPr>
            <w:tcW w:w="1047" w:type="pct"/>
            <w:shd w:val="clear" w:color="auto" w:fill="C6EFCE"/>
            <w:noWrap/>
            <w:vAlign w:val="center"/>
          </w:tcPr>
          <w:p w14:paraId="2224C069"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Investeerimispoliitikas määratakse kindlaks vähemalt järgmine: toetatavate tegevuste laad, ulatus ja ulatus, sihtrühma kuuluvad toetusesaajad, finantstoetusesaajate rahastamiskõlblikkuse kriteeriumid ja nende valimine avatud projektikonkursi kaudu; ning sätted võimalike tagasimaksete reinvesteerimiseks samade poliitikaeesmärkide saavutamiseks.</w:t>
            </w:r>
          </w:p>
          <w:p w14:paraId="76F64D10"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Investeerimispoliitikas nähakse ette, et 50 % fondi vahenditest on ette nähtud energiatõhususe meetmeteks.</w:t>
            </w:r>
          </w:p>
          <w:p w14:paraId="61F7659B"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Investeerimispoliitika hõlmab valikukriteeriume, et tagada käesoleva meetme raames toetatavate tehingute vastavus tehnilisele juhendile „Mitte tekitada olulist kahju“ (2021/C58/01), kasutades jätkusuutlikkuse hindamist, kõrvalejätmise loetelu ning asjaomaste ELi ja riiklike keskkonnaalaste õigusaktide järgimise nõuet.</w:t>
            </w:r>
          </w:p>
        </w:tc>
      </w:tr>
      <w:tr w:rsidR="0084326C" w:rsidRPr="00D90835" w14:paraId="67E6EFDB" w14:textId="77777777">
        <w:trPr>
          <w:trHeight w:val="313"/>
          <w:jc w:val="center"/>
        </w:trPr>
        <w:tc>
          <w:tcPr>
            <w:tcW w:w="377" w:type="pct"/>
            <w:shd w:val="clear" w:color="auto" w:fill="C6EFCE"/>
            <w:noWrap/>
            <w:vAlign w:val="center"/>
          </w:tcPr>
          <w:p w14:paraId="4267614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M1C3-23</w:t>
            </w:r>
          </w:p>
        </w:tc>
        <w:tc>
          <w:tcPr>
            <w:tcW w:w="520" w:type="pct"/>
            <w:shd w:val="clear" w:color="auto" w:fill="C6EFCE"/>
            <w:noWrap/>
            <w:vAlign w:val="center"/>
          </w:tcPr>
          <w:p w14:paraId="130B329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4.2.  Turismiettevõtete konkurentsivõime fondid</w:t>
            </w:r>
          </w:p>
        </w:tc>
        <w:tc>
          <w:tcPr>
            <w:tcW w:w="378" w:type="pct"/>
            <w:shd w:val="clear" w:color="auto" w:fill="C6EFCE"/>
            <w:noWrap/>
            <w:vAlign w:val="center"/>
          </w:tcPr>
          <w:p w14:paraId="2F9F956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520" w:type="pct"/>
            <w:shd w:val="clear" w:color="auto" w:fill="C6EFCE"/>
            <w:noWrap/>
            <w:vAlign w:val="center"/>
          </w:tcPr>
          <w:p w14:paraId="183286A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Riikliku turismifondi investeerimispoliitika,</w:t>
            </w:r>
          </w:p>
        </w:tc>
        <w:tc>
          <w:tcPr>
            <w:tcW w:w="520" w:type="pct"/>
            <w:shd w:val="clear" w:color="auto" w:fill="C6EFCE"/>
            <w:noWrap/>
            <w:vAlign w:val="center"/>
          </w:tcPr>
          <w:p w14:paraId="6563808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Investeerimispoliitika vastuvõtmine</w:t>
            </w:r>
          </w:p>
        </w:tc>
        <w:tc>
          <w:tcPr>
            <w:tcW w:w="331" w:type="pct"/>
            <w:shd w:val="clear" w:color="auto" w:fill="C6EFCE"/>
            <w:noWrap/>
            <w:vAlign w:val="center"/>
          </w:tcPr>
          <w:p w14:paraId="354714D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32" w:type="pct"/>
            <w:shd w:val="clear" w:color="auto" w:fill="C6EFCE"/>
            <w:noWrap/>
            <w:vAlign w:val="center"/>
          </w:tcPr>
          <w:p w14:paraId="02F816E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424" w:type="pct"/>
            <w:shd w:val="clear" w:color="auto" w:fill="C6EFCE"/>
            <w:noWrap/>
            <w:vAlign w:val="center"/>
          </w:tcPr>
          <w:p w14:paraId="0292C99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32" w:type="pct"/>
            <w:shd w:val="clear" w:color="auto" w:fill="C6EFCE"/>
            <w:noWrap/>
            <w:vAlign w:val="center"/>
          </w:tcPr>
          <w:p w14:paraId="544BCE5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20" w:type="pct"/>
            <w:shd w:val="clear" w:color="auto" w:fill="C6EFCE"/>
            <w:noWrap/>
            <w:vAlign w:val="center"/>
          </w:tcPr>
          <w:p w14:paraId="7B37CA7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2021</w:t>
            </w:r>
          </w:p>
        </w:tc>
        <w:tc>
          <w:tcPr>
            <w:tcW w:w="1047" w:type="pct"/>
            <w:shd w:val="clear" w:color="auto" w:fill="C6EFCE"/>
            <w:noWrap/>
            <w:vAlign w:val="center"/>
          </w:tcPr>
          <w:p w14:paraId="265E70BA"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Fond on pühendatud Itaalia kinnisvara ostmisele, restruktureerimisele ja ümberkvalifitseerimisele, et toetada turismi arengut kriisist kõige enam mõjutatud piirkondades või marginaalsetes piirkondades (rannikualad, väikesaared, äärepoolseimad piirkonnad ning maa- ja mägipiirkonnad). </w:t>
            </w:r>
          </w:p>
          <w:p w14:paraId="1017460C"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Investeerimispoliitika hõlmab valikukriteeriume, et tagada käesoleva meetme raames toetatavate tehingute vastavus tehnilisele juhendile „Mitte tekitada olulist kahju“ (2021/C58/01), kasutades jätkusuutlikkuse hindamist, kõrvalejätmise loetelu ning asjaomaste ELi ja riiklike keskkonnaalaste õigusaktide järgimise nõuet.</w:t>
            </w:r>
          </w:p>
        </w:tc>
      </w:tr>
      <w:tr w:rsidR="0084326C" w:rsidRPr="00D90835" w14:paraId="40029729" w14:textId="77777777">
        <w:trPr>
          <w:trHeight w:val="313"/>
          <w:jc w:val="center"/>
        </w:trPr>
        <w:tc>
          <w:tcPr>
            <w:tcW w:w="377" w:type="pct"/>
            <w:shd w:val="clear" w:color="auto" w:fill="C6EFCE"/>
            <w:noWrap/>
            <w:vAlign w:val="center"/>
          </w:tcPr>
          <w:p w14:paraId="218C98E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M1C3-24</w:t>
            </w:r>
          </w:p>
        </w:tc>
        <w:tc>
          <w:tcPr>
            <w:tcW w:w="520" w:type="pct"/>
            <w:shd w:val="clear" w:color="auto" w:fill="C6EFCE"/>
            <w:noWrap/>
            <w:vAlign w:val="center"/>
          </w:tcPr>
          <w:p w14:paraId="29D372F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4.2. Turismiettevõtte konkurentsivõime fondid</w:t>
            </w:r>
          </w:p>
        </w:tc>
        <w:tc>
          <w:tcPr>
            <w:tcW w:w="378" w:type="pct"/>
            <w:shd w:val="clear" w:color="auto" w:fill="C6EFCE"/>
            <w:noWrap/>
            <w:vAlign w:val="center"/>
          </w:tcPr>
          <w:p w14:paraId="2FED864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520" w:type="pct"/>
            <w:shd w:val="clear" w:color="auto" w:fill="C6EFCE"/>
            <w:noWrap/>
            <w:vAlign w:val="center"/>
          </w:tcPr>
          <w:p w14:paraId="46444B5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Investeerimispoliitika järgmiste valdkondade jaoks: VKEde tagatisfond;</w:t>
            </w:r>
          </w:p>
        </w:tc>
        <w:tc>
          <w:tcPr>
            <w:tcW w:w="520" w:type="pct"/>
            <w:shd w:val="clear" w:color="auto" w:fill="C6EFCE"/>
            <w:noWrap/>
            <w:vAlign w:val="center"/>
          </w:tcPr>
          <w:p w14:paraId="450C5A9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Investeerimispoliitika vastuvõtmine</w:t>
            </w:r>
          </w:p>
        </w:tc>
        <w:tc>
          <w:tcPr>
            <w:tcW w:w="331" w:type="pct"/>
            <w:shd w:val="clear" w:color="auto" w:fill="C6EFCE"/>
            <w:noWrap/>
            <w:vAlign w:val="center"/>
          </w:tcPr>
          <w:p w14:paraId="05FC665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32" w:type="pct"/>
            <w:shd w:val="clear" w:color="auto" w:fill="C6EFCE"/>
            <w:noWrap/>
            <w:vAlign w:val="center"/>
          </w:tcPr>
          <w:p w14:paraId="3EEDF6E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424" w:type="pct"/>
            <w:shd w:val="clear" w:color="auto" w:fill="C6EFCE"/>
            <w:noWrap/>
            <w:vAlign w:val="center"/>
          </w:tcPr>
          <w:p w14:paraId="4A25248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32" w:type="pct"/>
            <w:shd w:val="clear" w:color="auto" w:fill="C6EFCE"/>
            <w:noWrap/>
            <w:vAlign w:val="center"/>
          </w:tcPr>
          <w:p w14:paraId="0DF8170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20" w:type="pct"/>
            <w:shd w:val="clear" w:color="auto" w:fill="C6EFCE"/>
            <w:noWrap/>
            <w:vAlign w:val="center"/>
          </w:tcPr>
          <w:p w14:paraId="01975CC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2021</w:t>
            </w:r>
          </w:p>
        </w:tc>
        <w:tc>
          <w:tcPr>
            <w:tcW w:w="1047" w:type="pct"/>
            <w:shd w:val="clear" w:color="auto" w:fill="C6EFCE"/>
            <w:noWrap/>
            <w:vAlign w:val="center"/>
          </w:tcPr>
          <w:p w14:paraId="26CF08D9"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Investeerimispoliitikas nähakse ette, et 50 % fondi vahenditest on ette nähtud energiatõhususe meetmeteks.</w:t>
            </w:r>
          </w:p>
          <w:p w14:paraId="6F933C68"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Investeerimispoliitika hõlmab valikukriteeriume, et tagada käesoleva meetme raames toetatavate tehingute vastavus tehnilisele juhendile „Mitte tekitada olulist kahju“ (2021/C58/01), kasutades jätkusuutlikkuse hindamist, kõrvalejätmise loetelu ning asjaomaste ELi ja riiklike keskkonnaalaste õigusaktide järgimise nõuet.</w:t>
            </w:r>
          </w:p>
          <w:p w14:paraId="7E81435F" w14:textId="77777777" w:rsidR="0084326C" w:rsidRPr="00F33804" w:rsidRDefault="0084326C">
            <w:pPr>
              <w:rPr>
                <w:rFonts w:ascii="Arial Narrow" w:hAnsi="Arial Narrow"/>
                <w:noProof/>
                <w:color w:val="006100"/>
                <w:sz w:val="20"/>
                <w:szCs w:val="20"/>
              </w:rPr>
            </w:pPr>
          </w:p>
        </w:tc>
      </w:tr>
      <w:tr w:rsidR="0084326C" w:rsidRPr="00D90835" w14:paraId="23443348" w14:textId="77777777">
        <w:trPr>
          <w:trHeight w:val="313"/>
          <w:jc w:val="center"/>
        </w:trPr>
        <w:tc>
          <w:tcPr>
            <w:tcW w:w="377" w:type="pct"/>
            <w:shd w:val="clear" w:color="auto" w:fill="C6EFCE"/>
            <w:noWrap/>
            <w:vAlign w:val="center"/>
          </w:tcPr>
          <w:p w14:paraId="3E6DDF4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M1C3-25</w:t>
            </w:r>
          </w:p>
        </w:tc>
        <w:tc>
          <w:tcPr>
            <w:tcW w:w="520" w:type="pct"/>
            <w:shd w:val="clear" w:color="auto" w:fill="C6EFCE"/>
            <w:noWrap/>
            <w:vAlign w:val="center"/>
          </w:tcPr>
          <w:p w14:paraId="181B896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4.2.  Turismiettevõtete konkurentsivõime fondid</w:t>
            </w:r>
          </w:p>
        </w:tc>
        <w:tc>
          <w:tcPr>
            <w:tcW w:w="378" w:type="pct"/>
            <w:shd w:val="clear" w:color="auto" w:fill="C6EFCE"/>
            <w:noWrap/>
            <w:vAlign w:val="center"/>
          </w:tcPr>
          <w:p w14:paraId="7372E96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520" w:type="pct"/>
            <w:shd w:val="clear" w:color="auto" w:fill="C6EFCE"/>
            <w:noWrap/>
            <w:vAlign w:val="center"/>
          </w:tcPr>
          <w:p w14:paraId="1A708B4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Fondo Rotativo investeerimispoliitika</w:t>
            </w:r>
          </w:p>
        </w:tc>
        <w:tc>
          <w:tcPr>
            <w:tcW w:w="520" w:type="pct"/>
            <w:shd w:val="clear" w:color="auto" w:fill="C6EFCE"/>
            <w:noWrap/>
            <w:vAlign w:val="center"/>
          </w:tcPr>
          <w:p w14:paraId="6A9BF6A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Investeerimispoliitika vastuvõtmine</w:t>
            </w:r>
          </w:p>
        </w:tc>
        <w:tc>
          <w:tcPr>
            <w:tcW w:w="331" w:type="pct"/>
            <w:shd w:val="clear" w:color="auto" w:fill="C6EFCE"/>
            <w:noWrap/>
            <w:vAlign w:val="center"/>
          </w:tcPr>
          <w:p w14:paraId="7C51AED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32" w:type="pct"/>
            <w:shd w:val="clear" w:color="auto" w:fill="C6EFCE"/>
            <w:noWrap/>
            <w:vAlign w:val="center"/>
          </w:tcPr>
          <w:p w14:paraId="64AE6AD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424" w:type="pct"/>
            <w:shd w:val="clear" w:color="auto" w:fill="C6EFCE"/>
            <w:noWrap/>
            <w:vAlign w:val="center"/>
          </w:tcPr>
          <w:p w14:paraId="1244AA9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32" w:type="pct"/>
            <w:shd w:val="clear" w:color="auto" w:fill="C6EFCE"/>
            <w:noWrap/>
            <w:vAlign w:val="center"/>
          </w:tcPr>
          <w:p w14:paraId="6F524F4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20" w:type="pct"/>
            <w:shd w:val="clear" w:color="auto" w:fill="C6EFCE"/>
            <w:noWrap/>
            <w:vAlign w:val="center"/>
          </w:tcPr>
          <w:p w14:paraId="43B9505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2021</w:t>
            </w:r>
          </w:p>
        </w:tc>
        <w:tc>
          <w:tcPr>
            <w:tcW w:w="1047" w:type="pct"/>
            <w:shd w:val="clear" w:color="auto" w:fill="C6EFCE"/>
            <w:noWrap/>
            <w:vAlign w:val="center"/>
          </w:tcPr>
          <w:p w14:paraId="374C97FD"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Investeerimispoliitikas nähakse ette, et 50 % fondi vahenditest on ette nähtud energiatõhususe meetmeteks.</w:t>
            </w:r>
          </w:p>
          <w:p w14:paraId="106F9217"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Investeerimispoliitika hõlmab valikukriteeriume, et tagada käesoleva meetme raames toetatavate tehingute vastavus tehnilisele juhendile „Mitte tekitada olulist kahju“ (2021/C58/01), kasutades jätkusuutlikkuse hindamist, kõrvalejätmise loetelu ning asjaomaste ELi ja riiklike keskkonnaalaste õigusaktide järgimise nõuet.</w:t>
            </w:r>
          </w:p>
        </w:tc>
      </w:tr>
      <w:tr w:rsidR="0084326C" w:rsidRPr="00D90835" w14:paraId="3C745D84" w14:textId="77777777">
        <w:trPr>
          <w:trHeight w:val="313"/>
          <w:jc w:val="center"/>
        </w:trPr>
        <w:tc>
          <w:tcPr>
            <w:tcW w:w="377" w:type="pct"/>
            <w:shd w:val="clear" w:color="auto" w:fill="C6EFCE"/>
            <w:noWrap/>
            <w:vAlign w:val="center"/>
            <w:hideMark/>
          </w:tcPr>
          <w:p w14:paraId="0A700A1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M1C3-26</w:t>
            </w:r>
          </w:p>
        </w:tc>
        <w:tc>
          <w:tcPr>
            <w:tcW w:w="520" w:type="pct"/>
            <w:shd w:val="clear" w:color="auto" w:fill="C6EFCE"/>
            <w:noWrap/>
            <w:vAlign w:val="center"/>
            <w:hideMark/>
          </w:tcPr>
          <w:p w14:paraId="07406316" w14:textId="4B2B34BE"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4.2. Turismiettevõtete konkurentsivõime fondid</w:t>
            </w:r>
          </w:p>
        </w:tc>
        <w:tc>
          <w:tcPr>
            <w:tcW w:w="378" w:type="pct"/>
            <w:shd w:val="clear" w:color="auto" w:fill="C6EFCE"/>
            <w:noWrap/>
            <w:vAlign w:val="center"/>
            <w:hideMark/>
          </w:tcPr>
          <w:p w14:paraId="4C25FC1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520" w:type="pct"/>
            <w:shd w:val="clear" w:color="auto" w:fill="C6EFCE"/>
            <w:noWrap/>
            <w:vAlign w:val="center"/>
            <w:hideMark/>
          </w:tcPr>
          <w:p w14:paraId="6844C19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Majutusrajatiste ümberehitamise maksusoodustuse rakendusmääruse jõustumine.</w:t>
            </w:r>
          </w:p>
        </w:tc>
        <w:tc>
          <w:tcPr>
            <w:tcW w:w="520" w:type="pct"/>
            <w:shd w:val="clear" w:color="auto" w:fill="C6EFCE"/>
            <w:noWrap/>
            <w:vAlign w:val="center"/>
            <w:hideMark/>
          </w:tcPr>
          <w:p w14:paraId="30C2AEE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Seaduse säte, mis viitab maksu ümberarvutust võimaldava eelarveseaduse jõustumisele, ja sellega seotud rakendusaktide säte, mis osutab nende jõustumisele</w:t>
            </w:r>
          </w:p>
        </w:tc>
        <w:tc>
          <w:tcPr>
            <w:tcW w:w="331" w:type="pct"/>
            <w:shd w:val="clear" w:color="auto" w:fill="C6EFCE"/>
            <w:noWrap/>
            <w:vAlign w:val="center"/>
            <w:hideMark/>
          </w:tcPr>
          <w:p w14:paraId="37BC4B2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32" w:type="pct"/>
            <w:shd w:val="clear" w:color="auto" w:fill="C6EFCE"/>
            <w:noWrap/>
            <w:vAlign w:val="center"/>
            <w:hideMark/>
          </w:tcPr>
          <w:p w14:paraId="4D9BE75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424" w:type="pct"/>
            <w:shd w:val="clear" w:color="auto" w:fill="C6EFCE"/>
            <w:noWrap/>
            <w:vAlign w:val="center"/>
            <w:hideMark/>
          </w:tcPr>
          <w:p w14:paraId="7106DC1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32" w:type="pct"/>
            <w:shd w:val="clear" w:color="auto" w:fill="C6EFCE"/>
            <w:noWrap/>
            <w:vAlign w:val="center"/>
            <w:hideMark/>
          </w:tcPr>
          <w:p w14:paraId="2F35E58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20" w:type="pct"/>
            <w:shd w:val="clear" w:color="auto" w:fill="C6EFCE"/>
            <w:noWrap/>
            <w:vAlign w:val="center"/>
            <w:hideMark/>
          </w:tcPr>
          <w:p w14:paraId="41B4167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2021</w:t>
            </w:r>
          </w:p>
        </w:tc>
        <w:tc>
          <w:tcPr>
            <w:tcW w:w="1047" w:type="pct"/>
            <w:shd w:val="clear" w:color="auto" w:fill="C6EFCE"/>
            <w:noWrap/>
            <w:vAlign w:val="center"/>
            <w:hideMark/>
          </w:tcPr>
          <w:p w14:paraId="34CF58BB"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Maksu ümberarvutuse võimaldamise aluseks on 31. mai 2014. aasta seadus nr 83, millega kehtestati maksu ümberarvutuse lubamine majutusettevõtete ümberehitusse sekkumise korral.</w:t>
            </w:r>
          </w:p>
          <w:p w14:paraId="118BD4EE"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Toetatavate varade / tegevuste ja toetusesaajate DNSH tehniliste juhiste (2021/C58/01) järgimise valiku / abikõlblikkuse kriteeriumid, mis nõuavad vähemalt välistamisloendi kasutamist ja toetatavate varade / tegevuste asjakohase ELi ja siseriikliku keskkonnaõiguse järgimist abisaajatele ning vastavuse tagamine.</w:t>
            </w:r>
          </w:p>
        </w:tc>
      </w:tr>
      <w:tr w:rsidR="0084326C" w:rsidRPr="00D90835" w14:paraId="5C56235C" w14:textId="77777777">
        <w:trPr>
          <w:trHeight w:val="313"/>
          <w:jc w:val="center"/>
        </w:trPr>
        <w:tc>
          <w:tcPr>
            <w:tcW w:w="377" w:type="pct"/>
            <w:shd w:val="clear" w:color="auto" w:fill="C6EFCE"/>
            <w:noWrap/>
            <w:vAlign w:val="center"/>
            <w:hideMark/>
          </w:tcPr>
          <w:p w14:paraId="57346D7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M1C3-27</w:t>
            </w:r>
          </w:p>
        </w:tc>
        <w:tc>
          <w:tcPr>
            <w:tcW w:w="520" w:type="pct"/>
            <w:shd w:val="clear" w:color="auto" w:fill="C6EFCE"/>
            <w:noWrap/>
            <w:vAlign w:val="center"/>
            <w:hideMark/>
          </w:tcPr>
          <w:p w14:paraId="11593AC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4.3. Caput Mundi Next Generation EU turismialastele suurüritustele</w:t>
            </w:r>
          </w:p>
        </w:tc>
        <w:tc>
          <w:tcPr>
            <w:tcW w:w="378" w:type="pct"/>
            <w:shd w:val="clear" w:color="auto" w:fill="C6EFCE"/>
            <w:noWrap/>
            <w:vAlign w:val="center"/>
            <w:hideMark/>
          </w:tcPr>
          <w:p w14:paraId="2730295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520" w:type="pct"/>
            <w:shd w:val="clear" w:color="auto" w:fill="C6EFCE"/>
            <w:noWrap/>
            <w:vAlign w:val="center"/>
            <w:hideMark/>
          </w:tcPr>
          <w:p w14:paraId="7DAE30D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Kultuuri- ja turismiobjektid, mille ümberkvalifitseerumine jõudis keskmiselt 50 %ni Stato Avanzamento Lavori (SAL) (esimene partii)</w:t>
            </w:r>
          </w:p>
          <w:p w14:paraId="1E9574B7" w14:textId="77777777" w:rsidR="0084326C" w:rsidRPr="005D68A0" w:rsidRDefault="0084326C">
            <w:pPr>
              <w:jc w:val="center"/>
              <w:rPr>
                <w:rFonts w:ascii="Arial Narrow" w:hAnsi="Arial Narrow"/>
                <w:noProof/>
                <w:color w:val="006100"/>
                <w:sz w:val="20"/>
                <w:szCs w:val="20"/>
              </w:rPr>
            </w:pPr>
          </w:p>
        </w:tc>
        <w:tc>
          <w:tcPr>
            <w:tcW w:w="520" w:type="pct"/>
            <w:shd w:val="clear" w:color="auto" w:fill="C6EFCE"/>
            <w:noWrap/>
            <w:vAlign w:val="center"/>
            <w:hideMark/>
          </w:tcPr>
          <w:p w14:paraId="66AB4FA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31" w:type="pct"/>
            <w:shd w:val="clear" w:color="auto" w:fill="C6EFCE"/>
            <w:noWrap/>
            <w:vAlign w:val="center"/>
            <w:hideMark/>
          </w:tcPr>
          <w:p w14:paraId="551B4B8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32" w:type="pct"/>
            <w:shd w:val="clear" w:color="auto" w:fill="C6EFCE"/>
            <w:noWrap/>
            <w:vAlign w:val="center"/>
            <w:hideMark/>
          </w:tcPr>
          <w:p w14:paraId="132C502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424" w:type="pct"/>
            <w:shd w:val="clear" w:color="auto" w:fill="C6EFCE"/>
            <w:noWrap/>
            <w:vAlign w:val="center"/>
            <w:hideMark/>
          </w:tcPr>
          <w:p w14:paraId="260CD705" w14:textId="77777777" w:rsidR="0084326C" w:rsidRPr="005D68A0" w:rsidRDefault="0084326C">
            <w:pPr>
              <w:jc w:val="center"/>
              <w:rPr>
                <w:rFonts w:ascii="Arial Narrow" w:hAnsi="Arial Narrow"/>
                <w:noProof/>
                <w:sz w:val="20"/>
                <w:szCs w:val="20"/>
              </w:rPr>
            </w:pPr>
            <w:r>
              <w:rPr>
                <w:rFonts w:ascii="Arial Narrow" w:hAnsi="Arial Narrow"/>
                <w:noProof/>
                <w:color w:val="006100"/>
                <w:sz w:val="20"/>
              </w:rPr>
              <w:t>100</w:t>
            </w:r>
          </w:p>
        </w:tc>
        <w:tc>
          <w:tcPr>
            <w:tcW w:w="332" w:type="pct"/>
            <w:shd w:val="clear" w:color="auto" w:fill="C6EFCE"/>
            <w:noWrap/>
            <w:vAlign w:val="center"/>
            <w:hideMark/>
          </w:tcPr>
          <w:p w14:paraId="55A19A4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20" w:type="pct"/>
            <w:shd w:val="clear" w:color="auto" w:fill="C6EFCE"/>
            <w:noWrap/>
            <w:vAlign w:val="center"/>
            <w:hideMark/>
          </w:tcPr>
          <w:p w14:paraId="33A8903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2024</w:t>
            </w:r>
          </w:p>
        </w:tc>
        <w:tc>
          <w:tcPr>
            <w:tcW w:w="1047" w:type="pct"/>
            <w:shd w:val="clear" w:color="auto" w:fill="C6EFCE"/>
            <w:noWrap/>
            <w:vAlign w:val="center"/>
            <w:hideMark/>
          </w:tcPr>
          <w:p w14:paraId="64B1D344"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Investeering hõlmab sekkumisi, mis hõlmavad järgmist:</w:t>
            </w:r>
          </w:p>
          <w:p w14:paraId="1502BB83" w14:textId="01B3009D" w:rsidR="0084326C" w:rsidRPr="005D68A0" w:rsidRDefault="0084326C" w:rsidP="005154EE">
            <w:pPr>
              <w:pStyle w:val="ListParagraph"/>
              <w:numPr>
                <w:ilvl w:val="0"/>
                <w:numId w:val="86"/>
              </w:numPr>
              <w:ind w:left="362" w:hanging="284"/>
              <w:jc w:val="left"/>
              <w:rPr>
                <w:rFonts w:ascii="Arial Narrow" w:hAnsi="Arial Narrow"/>
                <w:noProof/>
                <w:color w:val="006100"/>
                <w:sz w:val="20"/>
                <w:szCs w:val="20"/>
              </w:rPr>
            </w:pPr>
            <w:r>
              <w:rPr>
                <w:rFonts w:ascii="Arial Narrow" w:hAnsi="Arial Narrow"/>
                <w:noProof/>
                <w:color w:val="006100"/>
                <w:sz w:val="20"/>
              </w:rPr>
              <w:t xml:space="preserve">Rooma linna kultuuri- ja linnapärandi ning suure ajaloolise ja arhitektuurilise väärtusega komplekside taaselustamine ja taastamine investeerimisliini „Rooma kultuuripärand ELi ja järgmise põlvkonna jaoks“ jaoks;  </w:t>
            </w:r>
          </w:p>
          <w:p w14:paraId="24E041F8" w14:textId="77777777" w:rsidR="0084326C" w:rsidRPr="005D68A0" w:rsidRDefault="0084326C" w:rsidP="005154EE">
            <w:pPr>
              <w:pStyle w:val="ListParagraph"/>
              <w:numPr>
                <w:ilvl w:val="0"/>
                <w:numId w:val="86"/>
              </w:numPr>
              <w:tabs>
                <w:tab w:val="left" w:pos="1340"/>
                <w:tab w:val="left" w:pos="1341"/>
              </w:tabs>
              <w:ind w:left="362" w:right="-7" w:hanging="284"/>
              <w:jc w:val="left"/>
              <w:rPr>
                <w:rFonts w:ascii="Arial Narrow" w:hAnsi="Arial Narrow"/>
                <w:noProof/>
                <w:color w:val="006100"/>
                <w:sz w:val="20"/>
                <w:szCs w:val="20"/>
              </w:rPr>
            </w:pPr>
            <w:r>
              <w:rPr>
                <w:rFonts w:ascii="Arial Narrow" w:hAnsi="Arial Narrow"/>
                <w:noProof/>
                <w:color w:val="006100"/>
                <w:sz w:val="20"/>
              </w:rPr>
              <w:t>investeerimisliini „Jubilee rajad“ tõhustamine, ohutus, maavärinavastane konsolideerumine, ajaloolise väärtusega paikade ja hoonete taastamine ja arheoloogilised rajad;</w:t>
            </w:r>
          </w:p>
          <w:p w14:paraId="4A4F9578" w14:textId="77777777" w:rsidR="0084326C" w:rsidRPr="005D68A0" w:rsidRDefault="0084326C" w:rsidP="005154EE">
            <w:pPr>
              <w:pStyle w:val="ListParagraph"/>
              <w:numPr>
                <w:ilvl w:val="0"/>
                <w:numId w:val="86"/>
              </w:numPr>
              <w:tabs>
                <w:tab w:val="left" w:pos="1340"/>
                <w:tab w:val="left" w:pos="1341"/>
              </w:tabs>
              <w:ind w:left="362" w:right="-7" w:hanging="284"/>
              <w:jc w:val="left"/>
              <w:rPr>
                <w:rFonts w:ascii="Arial Narrow" w:hAnsi="Arial Narrow"/>
                <w:noProof/>
                <w:color w:val="006100"/>
                <w:sz w:val="20"/>
                <w:szCs w:val="20"/>
              </w:rPr>
            </w:pPr>
            <w:r>
              <w:rPr>
                <w:rFonts w:ascii="Arial Narrow" w:hAnsi="Arial Narrow"/>
                <w:noProof/>
                <w:color w:val="006100"/>
                <w:sz w:val="20"/>
              </w:rPr>
              <w:t>investeerimisliini „#LaCittàCondivisa“ äärealadel asuvate alade ümberehitamine;</w:t>
            </w:r>
          </w:p>
          <w:p w14:paraId="6A25F648" w14:textId="77777777" w:rsidR="0084326C" w:rsidRPr="005D68A0" w:rsidRDefault="0084326C" w:rsidP="005154EE">
            <w:pPr>
              <w:pStyle w:val="ListParagraph"/>
              <w:numPr>
                <w:ilvl w:val="0"/>
                <w:numId w:val="86"/>
              </w:numPr>
              <w:tabs>
                <w:tab w:val="left" w:pos="1340"/>
                <w:tab w:val="left" w:pos="1341"/>
              </w:tabs>
              <w:ind w:left="362" w:right="-7" w:hanging="284"/>
              <w:jc w:val="left"/>
              <w:rPr>
                <w:rFonts w:ascii="Arial Narrow" w:hAnsi="Arial Narrow"/>
                <w:noProof/>
                <w:color w:val="006100"/>
                <w:sz w:val="20"/>
                <w:szCs w:val="20"/>
              </w:rPr>
            </w:pPr>
            <w:r>
              <w:rPr>
                <w:rFonts w:ascii="Arial Narrow" w:hAnsi="Arial Narrow"/>
                <w:noProof/>
                <w:color w:val="006100"/>
                <w:sz w:val="20"/>
              </w:rPr>
              <w:t>pargid, ajaloolised aiad, villad ja purskkaevud investeerimisliinil #Mitingodiverde;</w:t>
            </w:r>
          </w:p>
          <w:p w14:paraId="4D661241" w14:textId="77777777" w:rsidR="0084326C" w:rsidRPr="005D68A0" w:rsidRDefault="0084326C" w:rsidP="005154EE">
            <w:pPr>
              <w:pStyle w:val="ListParagraph"/>
              <w:numPr>
                <w:ilvl w:val="0"/>
                <w:numId w:val="86"/>
              </w:numPr>
              <w:tabs>
                <w:tab w:val="left" w:pos="1340"/>
                <w:tab w:val="left" w:pos="1341"/>
              </w:tabs>
              <w:ind w:left="362" w:right="-7" w:hanging="284"/>
              <w:jc w:val="left"/>
              <w:rPr>
                <w:rFonts w:ascii="Arial Narrow" w:hAnsi="Arial Narrow"/>
                <w:noProof/>
                <w:color w:val="006100"/>
                <w:sz w:val="20"/>
                <w:szCs w:val="20"/>
              </w:rPr>
            </w:pPr>
            <w:r>
              <w:rPr>
                <w:rFonts w:ascii="Arial Narrow" w:hAnsi="Arial Narrow"/>
                <w:noProof/>
                <w:color w:val="006100"/>
                <w:sz w:val="20"/>
              </w:rPr>
              <w:t>kultuuriteenuste digiteerimine ja turistidele mõeldud rakenduste väljatöötamine või investeerimisliin #Roma 4.0;</w:t>
            </w:r>
          </w:p>
          <w:p w14:paraId="5FD7293E" w14:textId="773310D7" w:rsidR="0084326C" w:rsidRPr="005D68A0" w:rsidRDefault="00B53D61" w:rsidP="005154EE">
            <w:pPr>
              <w:pStyle w:val="ListParagraph"/>
              <w:numPr>
                <w:ilvl w:val="0"/>
                <w:numId w:val="86"/>
              </w:numPr>
              <w:tabs>
                <w:tab w:val="left" w:pos="1340"/>
                <w:tab w:val="left" w:pos="1341"/>
              </w:tabs>
              <w:ind w:left="362" w:right="-7" w:hanging="284"/>
              <w:jc w:val="left"/>
              <w:rPr>
                <w:rFonts w:ascii="Arial Narrow" w:hAnsi="Arial Narrow"/>
                <w:noProof/>
                <w:color w:val="006100"/>
                <w:sz w:val="20"/>
                <w:szCs w:val="20"/>
              </w:rPr>
            </w:pPr>
            <w:r>
              <w:rPr>
                <w:rFonts w:ascii="Arial Narrow" w:hAnsi="Arial Narrow"/>
                <w:noProof/>
                <w:color w:val="006100"/>
                <w:sz w:val="20"/>
              </w:rPr>
              <w:t>s</w:t>
            </w:r>
            <w:r w:rsidR="0084326C">
              <w:rPr>
                <w:rFonts w:ascii="Arial Narrow" w:hAnsi="Arial Narrow"/>
                <w:noProof/>
                <w:color w:val="006100"/>
                <w:sz w:val="20"/>
              </w:rPr>
              <w:t>ekkumismeetmed, mille eesmärk on suurendada investeerimisliini #Amanotesa sotsiaalse integratsiooniga seotud kultuuripakkumisi äärealadele.</w:t>
            </w:r>
          </w:p>
        </w:tc>
      </w:tr>
      <w:tr w:rsidR="0084326C" w:rsidRPr="00D90835" w14:paraId="33FF1D5C" w14:textId="77777777">
        <w:trPr>
          <w:trHeight w:val="313"/>
          <w:jc w:val="center"/>
        </w:trPr>
        <w:tc>
          <w:tcPr>
            <w:tcW w:w="377" w:type="pct"/>
            <w:shd w:val="clear" w:color="auto" w:fill="C6EFCE"/>
            <w:noWrap/>
            <w:vAlign w:val="center"/>
            <w:hideMark/>
          </w:tcPr>
          <w:p w14:paraId="6F97799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M1C3-28</w:t>
            </w:r>
          </w:p>
        </w:tc>
        <w:tc>
          <w:tcPr>
            <w:tcW w:w="520" w:type="pct"/>
            <w:shd w:val="clear" w:color="auto" w:fill="C6EFCE"/>
            <w:noWrap/>
            <w:vAlign w:val="center"/>
            <w:hideMark/>
          </w:tcPr>
          <w:p w14:paraId="212017F5" w14:textId="7D19FDAA"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4.2. Turismiettevõtete konkurentsivõime fondid</w:t>
            </w:r>
          </w:p>
        </w:tc>
        <w:tc>
          <w:tcPr>
            <w:tcW w:w="378" w:type="pct"/>
            <w:shd w:val="clear" w:color="auto" w:fill="C6EFCE"/>
            <w:noWrap/>
            <w:vAlign w:val="center"/>
            <w:hideMark/>
          </w:tcPr>
          <w:p w14:paraId="6743C8C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520" w:type="pct"/>
            <w:shd w:val="clear" w:color="auto" w:fill="C6EFCE"/>
            <w:noWrap/>
            <w:vAlign w:val="center"/>
            <w:hideMark/>
          </w:tcPr>
          <w:p w14:paraId="2E7A4BA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Taristu ja/või teenuste maksukrediidiga toetatavate turismiettevõtete arv;</w:t>
            </w:r>
          </w:p>
        </w:tc>
        <w:tc>
          <w:tcPr>
            <w:tcW w:w="520" w:type="pct"/>
            <w:shd w:val="clear" w:color="auto" w:fill="C6EFCE"/>
            <w:noWrap/>
            <w:vAlign w:val="center"/>
            <w:hideMark/>
          </w:tcPr>
          <w:p w14:paraId="24B59CA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31" w:type="pct"/>
            <w:shd w:val="clear" w:color="auto" w:fill="C6EFCE"/>
            <w:noWrap/>
            <w:vAlign w:val="center"/>
            <w:hideMark/>
          </w:tcPr>
          <w:p w14:paraId="6646F7E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32" w:type="pct"/>
            <w:shd w:val="clear" w:color="auto" w:fill="C6EFCE"/>
            <w:noWrap/>
            <w:vAlign w:val="center"/>
            <w:hideMark/>
          </w:tcPr>
          <w:p w14:paraId="4BA2095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424" w:type="pct"/>
            <w:shd w:val="clear" w:color="auto" w:fill="C6EFCE"/>
            <w:noWrap/>
            <w:vAlign w:val="center"/>
            <w:hideMark/>
          </w:tcPr>
          <w:p w14:paraId="224D9BC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3 500</w:t>
            </w:r>
          </w:p>
        </w:tc>
        <w:tc>
          <w:tcPr>
            <w:tcW w:w="332" w:type="pct"/>
            <w:shd w:val="clear" w:color="auto" w:fill="C6EFCE"/>
            <w:noWrap/>
            <w:vAlign w:val="center"/>
            <w:hideMark/>
          </w:tcPr>
          <w:p w14:paraId="165D480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20" w:type="pct"/>
            <w:shd w:val="clear" w:color="auto" w:fill="C6EFCE"/>
            <w:noWrap/>
            <w:vAlign w:val="center"/>
            <w:hideMark/>
          </w:tcPr>
          <w:p w14:paraId="13A20E1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2025</w:t>
            </w:r>
          </w:p>
        </w:tc>
        <w:tc>
          <w:tcPr>
            <w:tcW w:w="1047" w:type="pct"/>
            <w:shd w:val="clear" w:color="auto" w:fill="C6EFCE"/>
            <w:noWrap/>
            <w:vAlign w:val="center"/>
            <w:hideMark/>
          </w:tcPr>
          <w:p w14:paraId="4B043DE2"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Vähemalt 3 500 turismiettevõtet, mida toetatakse taristu ja/või teenuste maksukrediidiga;</w:t>
            </w:r>
          </w:p>
          <w:p w14:paraId="7CC6EEA6"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Maksukrediidi pakutav toetus tõstab turismiteenuste kvaliteeti järgmiselt: </w:t>
            </w:r>
          </w:p>
          <w:p w14:paraId="76BE578E" w14:textId="77777777" w:rsidR="0084326C" w:rsidRPr="005D68A0" w:rsidRDefault="0084326C">
            <w:pPr>
              <w:pStyle w:val="ListParagraph"/>
              <w:numPr>
                <w:ilvl w:val="0"/>
                <w:numId w:val="88"/>
              </w:numPr>
              <w:ind w:left="310" w:hanging="310"/>
              <w:jc w:val="left"/>
              <w:rPr>
                <w:rFonts w:ascii="Arial Narrow" w:hAnsi="Arial Narrow"/>
                <w:noProof/>
                <w:color w:val="006100"/>
                <w:sz w:val="20"/>
                <w:szCs w:val="20"/>
              </w:rPr>
            </w:pPr>
            <w:r>
              <w:rPr>
                <w:rFonts w:ascii="Arial Narrow" w:hAnsi="Arial Narrow"/>
                <w:noProof/>
                <w:color w:val="006100"/>
                <w:sz w:val="20"/>
              </w:rPr>
              <w:t>investeerimine keskkonnasäästlikkusse (taastuvad energiaallikad vähem energiamahukad)</w:t>
            </w:r>
          </w:p>
          <w:p w14:paraId="7F31C929" w14:textId="77777777" w:rsidR="0084326C" w:rsidRPr="005D68A0" w:rsidRDefault="0084326C">
            <w:pPr>
              <w:pStyle w:val="ListParagraph"/>
              <w:numPr>
                <w:ilvl w:val="0"/>
                <w:numId w:val="88"/>
              </w:numPr>
              <w:ind w:left="310" w:hanging="310"/>
              <w:jc w:val="left"/>
              <w:rPr>
                <w:rFonts w:ascii="Arial Narrow" w:hAnsi="Arial Narrow"/>
                <w:noProof/>
                <w:color w:val="006100"/>
                <w:sz w:val="20"/>
                <w:szCs w:val="20"/>
              </w:rPr>
            </w:pPr>
            <w:r>
              <w:rPr>
                <w:rFonts w:ascii="Arial Narrow" w:hAnsi="Arial Narrow"/>
                <w:noProof/>
                <w:color w:val="006100"/>
                <w:sz w:val="20"/>
              </w:rPr>
              <w:t>Itaalia majutusasutuste ümberehitamine ja kvaliteedi tõstmine </w:t>
            </w:r>
          </w:p>
        </w:tc>
      </w:tr>
      <w:tr w:rsidR="0084326C" w:rsidRPr="00D90835" w14:paraId="5077DEE6" w14:textId="77777777">
        <w:trPr>
          <w:trHeight w:val="313"/>
          <w:jc w:val="center"/>
        </w:trPr>
        <w:tc>
          <w:tcPr>
            <w:tcW w:w="377" w:type="pct"/>
            <w:shd w:val="clear" w:color="auto" w:fill="C6EFCE"/>
            <w:noWrap/>
            <w:vAlign w:val="center"/>
            <w:hideMark/>
          </w:tcPr>
          <w:p w14:paraId="5D1628D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M1C3-29</w:t>
            </w:r>
          </w:p>
        </w:tc>
        <w:tc>
          <w:tcPr>
            <w:tcW w:w="520" w:type="pct"/>
            <w:shd w:val="clear" w:color="auto" w:fill="C6EFCE"/>
            <w:noWrap/>
            <w:vAlign w:val="center"/>
            <w:hideMark/>
          </w:tcPr>
          <w:p w14:paraId="36289DF6" w14:textId="692562CF"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4.2. Turismiettevõtete konkurentsivõime fondid</w:t>
            </w:r>
          </w:p>
        </w:tc>
        <w:tc>
          <w:tcPr>
            <w:tcW w:w="378" w:type="pct"/>
            <w:shd w:val="clear" w:color="auto" w:fill="C6EFCE"/>
            <w:noWrap/>
            <w:vAlign w:val="center"/>
            <w:hideMark/>
          </w:tcPr>
          <w:p w14:paraId="4F40BD8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520" w:type="pct"/>
            <w:shd w:val="clear" w:color="auto" w:fill="C6EFCE"/>
            <w:noWrap/>
            <w:vAlign w:val="center"/>
            <w:hideMark/>
          </w:tcPr>
          <w:p w14:paraId="01B3079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Euroopa Investeerimispanga temaatiliste fondide kaudu toetatavate turismiprojektide arv</w:t>
            </w:r>
          </w:p>
        </w:tc>
        <w:tc>
          <w:tcPr>
            <w:tcW w:w="520" w:type="pct"/>
            <w:shd w:val="clear" w:color="auto" w:fill="C6EFCE"/>
            <w:noWrap/>
            <w:vAlign w:val="center"/>
            <w:hideMark/>
          </w:tcPr>
          <w:p w14:paraId="4C36B36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31" w:type="pct"/>
            <w:shd w:val="clear" w:color="auto" w:fill="C6EFCE"/>
            <w:noWrap/>
            <w:vAlign w:val="center"/>
            <w:hideMark/>
          </w:tcPr>
          <w:p w14:paraId="698E1D5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32" w:type="pct"/>
            <w:shd w:val="clear" w:color="auto" w:fill="C6EFCE"/>
            <w:noWrap/>
            <w:vAlign w:val="center"/>
            <w:hideMark/>
          </w:tcPr>
          <w:p w14:paraId="0C085AB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424" w:type="pct"/>
            <w:shd w:val="clear" w:color="auto" w:fill="C6EFCE"/>
            <w:noWrap/>
            <w:vAlign w:val="center"/>
            <w:hideMark/>
          </w:tcPr>
          <w:p w14:paraId="378BE1B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170</w:t>
            </w:r>
          </w:p>
        </w:tc>
        <w:tc>
          <w:tcPr>
            <w:tcW w:w="332" w:type="pct"/>
            <w:shd w:val="clear" w:color="auto" w:fill="C6EFCE"/>
            <w:noWrap/>
            <w:vAlign w:val="center"/>
            <w:hideMark/>
          </w:tcPr>
          <w:p w14:paraId="0C5FD44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220" w:type="pct"/>
            <w:shd w:val="clear" w:color="auto" w:fill="C6EFCE"/>
            <w:noWrap/>
            <w:vAlign w:val="center"/>
            <w:hideMark/>
          </w:tcPr>
          <w:p w14:paraId="536029C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1047" w:type="pct"/>
            <w:shd w:val="clear" w:color="auto" w:fill="C6EFCE"/>
            <w:noWrap/>
            <w:vAlign w:val="center"/>
            <w:hideMark/>
          </w:tcPr>
          <w:p w14:paraId="2B2F5351"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Toetus vähemalt 170 turismiprojektile;</w:t>
            </w:r>
          </w:p>
          <w:p w14:paraId="519C21B7"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Euroopa Investeerimispanga temaatiliste fondide kaudu antav toetus on suunatud </w:t>
            </w:r>
          </w:p>
          <w:p w14:paraId="6DC65AC5" w14:textId="77777777" w:rsidR="0084326C" w:rsidRPr="005D68A0" w:rsidRDefault="0084326C" w:rsidP="0084326C">
            <w:pPr>
              <w:pStyle w:val="ListParagraph"/>
              <w:numPr>
                <w:ilvl w:val="0"/>
                <w:numId w:val="105"/>
              </w:numPr>
              <w:jc w:val="left"/>
              <w:rPr>
                <w:rFonts w:ascii="Arial Narrow" w:hAnsi="Arial Narrow"/>
                <w:noProof/>
                <w:color w:val="006100"/>
                <w:sz w:val="20"/>
                <w:szCs w:val="20"/>
              </w:rPr>
            </w:pPr>
            <w:r>
              <w:rPr>
                <w:rFonts w:ascii="Arial Narrow" w:hAnsi="Arial Narrow"/>
                <w:noProof/>
                <w:color w:val="006100"/>
                <w:sz w:val="20"/>
              </w:rPr>
              <w:t>uuenduslike investeeringute toetamine digitaalseks üleminekuks</w:t>
            </w:r>
          </w:p>
          <w:p w14:paraId="6D9529FB" w14:textId="77777777" w:rsidR="0084326C" w:rsidRPr="005D68A0" w:rsidRDefault="0084326C" w:rsidP="0084326C">
            <w:pPr>
              <w:pStyle w:val="ListParagraph"/>
              <w:numPr>
                <w:ilvl w:val="0"/>
                <w:numId w:val="105"/>
              </w:numPr>
              <w:jc w:val="left"/>
              <w:rPr>
                <w:rFonts w:ascii="Arial Narrow" w:hAnsi="Arial Narrow"/>
                <w:noProof/>
                <w:color w:val="006100"/>
                <w:sz w:val="20"/>
                <w:szCs w:val="20"/>
              </w:rPr>
            </w:pPr>
            <w:r>
              <w:rPr>
                <w:rFonts w:ascii="Arial Narrow" w:hAnsi="Arial Narrow"/>
                <w:noProof/>
                <w:color w:val="006100"/>
                <w:sz w:val="20"/>
              </w:rPr>
              <w:t>turismile teenuste pakkumise suurendamine</w:t>
            </w:r>
          </w:p>
          <w:p w14:paraId="0E786A1D" w14:textId="77777777" w:rsidR="0084326C" w:rsidRPr="005D68A0" w:rsidRDefault="0084326C" w:rsidP="0084326C">
            <w:pPr>
              <w:pStyle w:val="ListParagraph"/>
              <w:numPr>
                <w:ilvl w:val="0"/>
                <w:numId w:val="105"/>
              </w:numPr>
              <w:jc w:val="left"/>
              <w:rPr>
                <w:rFonts w:ascii="Arial Narrow" w:hAnsi="Arial Narrow"/>
                <w:noProof/>
                <w:color w:val="006100"/>
                <w:sz w:val="20"/>
                <w:szCs w:val="20"/>
              </w:rPr>
            </w:pPr>
            <w:r>
              <w:rPr>
                <w:rFonts w:ascii="Arial Narrow" w:hAnsi="Arial Narrow"/>
                <w:noProof/>
                <w:color w:val="006100"/>
                <w:sz w:val="20"/>
              </w:rPr>
              <w:t>ettevõtete liitmise protsesside soodustamine</w:t>
            </w:r>
          </w:p>
          <w:p w14:paraId="3C8B8B9D" w14:textId="77777777" w:rsidR="0084326C" w:rsidRPr="005D68A0" w:rsidRDefault="0084326C">
            <w:pPr>
              <w:rPr>
                <w:rFonts w:ascii="Arial Narrow" w:hAnsi="Arial Narrow"/>
                <w:noProof/>
                <w:color w:val="006100"/>
                <w:sz w:val="20"/>
                <w:szCs w:val="20"/>
                <w:lang w:val="en-GB"/>
              </w:rPr>
            </w:pPr>
          </w:p>
        </w:tc>
      </w:tr>
      <w:tr w:rsidR="0084326C" w:rsidRPr="00D90835" w14:paraId="245A841C" w14:textId="77777777">
        <w:trPr>
          <w:trHeight w:val="313"/>
          <w:jc w:val="center"/>
        </w:trPr>
        <w:tc>
          <w:tcPr>
            <w:tcW w:w="377" w:type="pct"/>
            <w:shd w:val="clear" w:color="auto" w:fill="C6EFCE"/>
            <w:noWrap/>
            <w:vAlign w:val="center"/>
          </w:tcPr>
          <w:p w14:paraId="21AF07B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M1C3-30</w:t>
            </w:r>
          </w:p>
        </w:tc>
        <w:tc>
          <w:tcPr>
            <w:tcW w:w="520" w:type="pct"/>
            <w:shd w:val="clear" w:color="auto" w:fill="C6EFCE"/>
            <w:noWrap/>
            <w:vAlign w:val="center"/>
          </w:tcPr>
          <w:p w14:paraId="52C8532B" w14:textId="5A4C895F"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4.2. Turismiettevõtete konkurentsivõime fondid</w:t>
            </w:r>
          </w:p>
          <w:p w14:paraId="6A2B885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ettevõtted</w:t>
            </w:r>
          </w:p>
        </w:tc>
        <w:tc>
          <w:tcPr>
            <w:tcW w:w="378" w:type="pct"/>
            <w:shd w:val="clear" w:color="auto" w:fill="C6EFCE"/>
            <w:noWrap/>
            <w:vAlign w:val="center"/>
          </w:tcPr>
          <w:p w14:paraId="231A44C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520" w:type="pct"/>
            <w:shd w:val="clear" w:color="auto" w:fill="C6EFCE"/>
            <w:noWrap/>
            <w:vAlign w:val="center"/>
          </w:tcPr>
          <w:p w14:paraId="41CD519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Euroopa Investeerimispanga temaatilised fondid :</w:t>
            </w:r>
          </w:p>
          <w:p w14:paraId="7CC0231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Fondile tehtud väljamaksed kogusummas 350 000 000 eurot.</w:t>
            </w:r>
          </w:p>
        </w:tc>
        <w:tc>
          <w:tcPr>
            <w:tcW w:w="520" w:type="pct"/>
            <w:shd w:val="clear" w:color="auto" w:fill="C6EFCE"/>
            <w:noWrap/>
            <w:vAlign w:val="center"/>
          </w:tcPr>
          <w:p w14:paraId="720FE2C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31" w:type="pct"/>
            <w:shd w:val="clear" w:color="auto" w:fill="C6EFCE"/>
            <w:noWrap/>
            <w:vAlign w:val="center"/>
          </w:tcPr>
          <w:p w14:paraId="667BE50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32" w:type="pct"/>
            <w:shd w:val="clear" w:color="auto" w:fill="C6EFCE"/>
            <w:noWrap/>
            <w:vAlign w:val="center"/>
          </w:tcPr>
          <w:p w14:paraId="3A0D22D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424" w:type="pct"/>
            <w:shd w:val="clear" w:color="auto" w:fill="C6EFCE"/>
            <w:noWrap/>
            <w:vAlign w:val="center"/>
          </w:tcPr>
          <w:p w14:paraId="24FD826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350 000 000</w:t>
            </w:r>
          </w:p>
        </w:tc>
        <w:tc>
          <w:tcPr>
            <w:tcW w:w="332" w:type="pct"/>
            <w:shd w:val="clear" w:color="auto" w:fill="C6EFCE"/>
            <w:noWrap/>
            <w:vAlign w:val="center"/>
          </w:tcPr>
          <w:p w14:paraId="2C8027B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20" w:type="pct"/>
            <w:shd w:val="clear" w:color="auto" w:fill="C6EFCE"/>
            <w:noWrap/>
            <w:vAlign w:val="center"/>
          </w:tcPr>
          <w:p w14:paraId="4B7FAAA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2022</w:t>
            </w:r>
          </w:p>
        </w:tc>
        <w:tc>
          <w:tcPr>
            <w:tcW w:w="1047" w:type="pct"/>
            <w:shd w:val="clear" w:color="auto" w:fill="C6EFCE"/>
            <w:noWrap/>
            <w:vAlign w:val="center"/>
          </w:tcPr>
          <w:p w14:paraId="7BC3DF4D"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Väljamaksed peavad olema kooskõlas eesmärgis määratletud investeerimispoliitikaga.</w:t>
            </w:r>
          </w:p>
        </w:tc>
      </w:tr>
      <w:tr w:rsidR="0084326C" w:rsidRPr="00D90835" w14:paraId="3C65F80A" w14:textId="77777777">
        <w:trPr>
          <w:trHeight w:val="313"/>
          <w:jc w:val="center"/>
        </w:trPr>
        <w:tc>
          <w:tcPr>
            <w:tcW w:w="377" w:type="pct"/>
            <w:shd w:val="clear" w:color="auto" w:fill="C6EFCE"/>
            <w:noWrap/>
            <w:vAlign w:val="center"/>
          </w:tcPr>
          <w:p w14:paraId="3F8AF8D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M1C3-31</w:t>
            </w:r>
          </w:p>
        </w:tc>
        <w:tc>
          <w:tcPr>
            <w:tcW w:w="520" w:type="pct"/>
            <w:shd w:val="clear" w:color="auto" w:fill="C6EFCE"/>
            <w:noWrap/>
            <w:vAlign w:val="center"/>
          </w:tcPr>
          <w:p w14:paraId="5178512D" w14:textId="453EEA1D"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4.2. Turismiettevõtete konkurentsivõime fondid</w:t>
            </w:r>
          </w:p>
        </w:tc>
        <w:tc>
          <w:tcPr>
            <w:tcW w:w="378" w:type="pct"/>
            <w:shd w:val="clear" w:color="auto" w:fill="C6EFCE"/>
            <w:noWrap/>
            <w:vAlign w:val="center"/>
          </w:tcPr>
          <w:p w14:paraId="0FCF10B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520" w:type="pct"/>
            <w:shd w:val="clear" w:color="auto" w:fill="C6EFCE"/>
            <w:noWrap/>
            <w:vAlign w:val="center"/>
          </w:tcPr>
          <w:p w14:paraId="15C18032" w14:textId="77777777" w:rsidR="0084326C" w:rsidRPr="00F33804" w:rsidRDefault="0084326C">
            <w:pPr>
              <w:jc w:val="center"/>
              <w:rPr>
                <w:rFonts w:ascii="Arial Narrow" w:hAnsi="Arial Narrow"/>
                <w:noProof/>
                <w:color w:val="006100"/>
                <w:sz w:val="20"/>
                <w:szCs w:val="20"/>
              </w:rPr>
            </w:pPr>
          </w:p>
          <w:p w14:paraId="3B5FC2B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Riiklik turismifond:</w:t>
            </w:r>
          </w:p>
          <w:p w14:paraId="63BE14C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Fondile tehtud väljamaksed kogusummas 150 000 000 eurot omakapitali toetusena.</w:t>
            </w:r>
          </w:p>
        </w:tc>
        <w:tc>
          <w:tcPr>
            <w:tcW w:w="520" w:type="pct"/>
            <w:shd w:val="clear" w:color="auto" w:fill="C6EFCE"/>
            <w:noWrap/>
            <w:vAlign w:val="center"/>
          </w:tcPr>
          <w:p w14:paraId="0E2F69B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31" w:type="pct"/>
            <w:shd w:val="clear" w:color="auto" w:fill="C6EFCE"/>
            <w:noWrap/>
            <w:vAlign w:val="center"/>
          </w:tcPr>
          <w:p w14:paraId="4BF7420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32" w:type="pct"/>
            <w:shd w:val="clear" w:color="auto" w:fill="C6EFCE"/>
            <w:noWrap/>
            <w:vAlign w:val="center"/>
          </w:tcPr>
          <w:p w14:paraId="67AD21B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424" w:type="pct"/>
            <w:shd w:val="clear" w:color="auto" w:fill="C6EFCE"/>
            <w:noWrap/>
            <w:vAlign w:val="center"/>
          </w:tcPr>
          <w:p w14:paraId="77F3708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150 000 000</w:t>
            </w:r>
          </w:p>
        </w:tc>
        <w:tc>
          <w:tcPr>
            <w:tcW w:w="332" w:type="pct"/>
            <w:shd w:val="clear" w:color="auto" w:fill="C6EFCE"/>
            <w:noWrap/>
            <w:vAlign w:val="center"/>
          </w:tcPr>
          <w:p w14:paraId="512FC47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20" w:type="pct"/>
            <w:shd w:val="clear" w:color="auto" w:fill="C6EFCE"/>
            <w:noWrap/>
            <w:vAlign w:val="center"/>
          </w:tcPr>
          <w:p w14:paraId="30915E6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2022</w:t>
            </w:r>
          </w:p>
        </w:tc>
        <w:tc>
          <w:tcPr>
            <w:tcW w:w="1047" w:type="pct"/>
            <w:shd w:val="clear" w:color="auto" w:fill="C6EFCE"/>
            <w:noWrap/>
            <w:vAlign w:val="center"/>
          </w:tcPr>
          <w:p w14:paraId="53DF6657"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Väljamaksed peavad olema kooskõlas eesmärgis määratletud investeerimispoliitikaga.</w:t>
            </w:r>
          </w:p>
        </w:tc>
      </w:tr>
      <w:tr w:rsidR="0084326C" w:rsidRPr="00D90835" w14:paraId="62B87CCF" w14:textId="77777777">
        <w:trPr>
          <w:trHeight w:val="313"/>
          <w:jc w:val="center"/>
        </w:trPr>
        <w:tc>
          <w:tcPr>
            <w:tcW w:w="377" w:type="pct"/>
            <w:shd w:val="clear" w:color="auto" w:fill="C6EFCE"/>
            <w:noWrap/>
            <w:vAlign w:val="center"/>
            <w:hideMark/>
          </w:tcPr>
          <w:p w14:paraId="2EE968B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M1C3-32</w:t>
            </w:r>
          </w:p>
        </w:tc>
        <w:tc>
          <w:tcPr>
            <w:tcW w:w="520" w:type="pct"/>
            <w:shd w:val="clear" w:color="auto" w:fill="C6EFCE"/>
            <w:noWrap/>
            <w:vAlign w:val="center"/>
            <w:hideMark/>
          </w:tcPr>
          <w:p w14:paraId="4B62AFC2" w14:textId="19A823E5"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4.2. Turismiettevõtete konkurentsivõime fondid</w:t>
            </w:r>
          </w:p>
        </w:tc>
        <w:tc>
          <w:tcPr>
            <w:tcW w:w="378" w:type="pct"/>
            <w:shd w:val="clear" w:color="auto" w:fill="C6EFCE"/>
            <w:noWrap/>
            <w:vAlign w:val="center"/>
            <w:hideMark/>
          </w:tcPr>
          <w:p w14:paraId="23FD94A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520" w:type="pct"/>
            <w:shd w:val="clear" w:color="auto" w:fill="C6EFCE"/>
            <w:noWrap/>
            <w:vAlign w:val="center"/>
            <w:hideMark/>
          </w:tcPr>
          <w:p w14:paraId="523D533D" w14:textId="77777777" w:rsidR="0084326C" w:rsidRPr="005D68A0" w:rsidRDefault="0084326C">
            <w:pPr>
              <w:jc w:val="center"/>
              <w:rPr>
                <w:rFonts w:ascii="Arial Narrow" w:hAnsi="Arial Narrow"/>
                <w:noProof/>
                <w:color w:val="006100"/>
                <w:sz w:val="20"/>
                <w:szCs w:val="20"/>
                <w:lang w:val="en-GB"/>
              </w:rPr>
            </w:pPr>
          </w:p>
          <w:p w14:paraId="15AF335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VKEde tagatisfondist toetust saavate turismiettevõtete arv</w:t>
            </w:r>
          </w:p>
        </w:tc>
        <w:tc>
          <w:tcPr>
            <w:tcW w:w="520" w:type="pct"/>
            <w:shd w:val="clear" w:color="auto" w:fill="C6EFCE"/>
            <w:noWrap/>
            <w:vAlign w:val="center"/>
            <w:hideMark/>
          </w:tcPr>
          <w:p w14:paraId="7D5049F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31" w:type="pct"/>
            <w:shd w:val="clear" w:color="auto" w:fill="C6EFCE"/>
            <w:noWrap/>
            <w:vAlign w:val="center"/>
            <w:hideMark/>
          </w:tcPr>
          <w:p w14:paraId="0C329AF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32" w:type="pct"/>
            <w:shd w:val="clear" w:color="auto" w:fill="C6EFCE"/>
            <w:noWrap/>
            <w:vAlign w:val="center"/>
            <w:hideMark/>
          </w:tcPr>
          <w:p w14:paraId="0C70CB5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424" w:type="pct"/>
            <w:shd w:val="clear" w:color="auto" w:fill="C6EFCE"/>
            <w:noWrap/>
            <w:vAlign w:val="center"/>
            <w:hideMark/>
          </w:tcPr>
          <w:p w14:paraId="5E35332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1 000</w:t>
            </w:r>
          </w:p>
        </w:tc>
        <w:tc>
          <w:tcPr>
            <w:tcW w:w="332" w:type="pct"/>
            <w:shd w:val="clear" w:color="auto" w:fill="C6EFCE"/>
            <w:noWrap/>
            <w:vAlign w:val="center"/>
            <w:hideMark/>
          </w:tcPr>
          <w:p w14:paraId="39F9212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20" w:type="pct"/>
            <w:shd w:val="clear" w:color="auto" w:fill="C6EFCE"/>
            <w:noWrap/>
            <w:vAlign w:val="center"/>
            <w:hideMark/>
          </w:tcPr>
          <w:p w14:paraId="257902C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2025</w:t>
            </w:r>
          </w:p>
        </w:tc>
        <w:tc>
          <w:tcPr>
            <w:tcW w:w="1047" w:type="pct"/>
            <w:shd w:val="clear" w:color="auto" w:fill="C6EFCE"/>
            <w:noWrap/>
            <w:vAlign w:val="center"/>
            <w:hideMark/>
          </w:tcPr>
          <w:p w14:paraId="2E6B3AB8"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Vähemalt 1 000 turismiettevõtet, mida toetab VKEde tagatisfond.</w:t>
            </w:r>
          </w:p>
        </w:tc>
      </w:tr>
      <w:tr w:rsidR="0084326C" w:rsidRPr="00D90835" w14:paraId="5AA8CA6A" w14:textId="77777777">
        <w:trPr>
          <w:trHeight w:val="313"/>
          <w:jc w:val="center"/>
        </w:trPr>
        <w:tc>
          <w:tcPr>
            <w:tcW w:w="377" w:type="pct"/>
            <w:shd w:val="clear" w:color="auto" w:fill="C6EFCE"/>
            <w:noWrap/>
            <w:vAlign w:val="center"/>
            <w:hideMark/>
          </w:tcPr>
          <w:p w14:paraId="5A98F47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M1C3-33</w:t>
            </w:r>
          </w:p>
        </w:tc>
        <w:tc>
          <w:tcPr>
            <w:tcW w:w="520" w:type="pct"/>
            <w:shd w:val="clear" w:color="auto" w:fill="C6EFCE"/>
            <w:noWrap/>
            <w:vAlign w:val="center"/>
            <w:hideMark/>
          </w:tcPr>
          <w:p w14:paraId="38E7E00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4.2. Turismiettevõtte konkurentsivõime fondid</w:t>
            </w:r>
          </w:p>
        </w:tc>
        <w:tc>
          <w:tcPr>
            <w:tcW w:w="378" w:type="pct"/>
            <w:shd w:val="clear" w:color="auto" w:fill="C6EFCE"/>
            <w:noWrap/>
            <w:vAlign w:val="center"/>
            <w:hideMark/>
          </w:tcPr>
          <w:p w14:paraId="328997F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520" w:type="pct"/>
            <w:shd w:val="clear" w:color="auto" w:fill="C6EFCE"/>
            <w:noWrap/>
            <w:vAlign w:val="center"/>
            <w:hideMark/>
          </w:tcPr>
          <w:p w14:paraId="63971C5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Fondo Rotative kaudu toetatavate ettevõtete arv (esimene partii)</w:t>
            </w:r>
          </w:p>
        </w:tc>
        <w:tc>
          <w:tcPr>
            <w:tcW w:w="520" w:type="pct"/>
            <w:shd w:val="clear" w:color="auto" w:fill="C6EFCE"/>
            <w:noWrap/>
            <w:vAlign w:val="center"/>
            <w:hideMark/>
          </w:tcPr>
          <w:p w14:paraId="3727385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31" w:type="pct"/>
            <w:shd w:val="clear" w:color="auto" w:fill="C6EFCE"/>
            <w:noWrap/>
            <w:vAlign w:val="center"/>
            <w:hideMark/>
          </w:tcPr>
          <w:p w14:paraId="76A9D37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32" w:type="pct"/>
            <w:shd w:val="clear" w:color="auto" w:fill="C6EFCE"/>
            <w:noWrap/>
            <w:vAlign w:val="center"/>
            <w:hideMark/>
          </w:tcPr>
          <w:p w14:paraId="6C22AFA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424" w:type="pct"/>
            <w:shd w:val="clear" w:color="auto" w:fill="C6EFCE"/>
            <w:noWrap/>
            <w:vAlign w:val="center"/>
            <w:hideMark/>
          </w:tcPr>
          <w:p w14:paraId="09BAA79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300</w:t>
            </w:r>
          </w:p>
        </w:tc>
        <w:tc>
          <w:tcPr>
            <w:tcW w:w="332" w:type="pct"/>
            <w:shd w:val="clear" w:color="auto" w:fill="C6EFCE"/>
            <w:noWrap/>
            <w:vAlign w:val="center"/>
            <w:hideMark/>
          </w:tcPr>
          <w:p w14:paraId="58BD002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20" w:type="pct"/>
            <w:shd w:val="clear" w:color="auto" w:fill="C6EFCE"/>
            <w:noWrap/>
            <w:vAlign w:val="center"/>
            <w:hideMark/>
          </w:tcPr>
          <w:p w14:paraId="65BCF63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2025</w:t>
            </w:r>
          </w:p>
        </w:tc>
        <w:tc>
          <w:tcPr>
            <w:tcW w:w="1047" w:type="pct"/>
            <w:shd w:val="clear" w:color="auto" w:fill="C6EFCE"/>
            <w:noWrap/>
            <w:vAlign w:val="center"/>
            <w:hideMark/>
          </w:tcPr>
          <w:p w14:paraId="1D3EB8CF"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Vähemalt 300 ettevõtet, mida toetab Fondo Rotativo;</w:t>
            </w:r>
          </w:p>
          <w:p w14:paraId="0A449759" w14:textId="77777777" w:rsidR="0084326C" w:rsidRPr="00F33804" w:rsidRDefault="0084326C">
            <w:pPr>
              <w:rPr>
                <w:rFonts w:ascii="Arial Narrow" w:hAnsi="Arial Narrow"/>
                <w:noProof/>
                <w:color w:val="006100"/>
                <w:sz w:val="20"/>
                <w:szCs w:val="20"/>
              </w:rPr>
            </w:pPr>
          </w:p>
          <w:p w14:paraId="046EE303"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Fondo Rotativo kaudu rahastatavad sekkumised hõlmavad järgmist:</w:t>
            </w:r>
          </w:p>
          <w:p w14:paraId="2D07ADFA" w14:textId="77777777" w:rsidR="0084326C" w:rsidRPr="005D68A0" w:rsidRDefault="0084326C">
            <w:pPr>
              <w:pStyle w:val="ListParagraph"/>
              <w:numPr>
                <w:ilvl w:val="0"/>
                <w:numId w:val="89"/>
              </w:numPr>
              <w:ind w:left="26" w:hanging="103"/>
              <w:jc w:val="left"/>
              <w:rPr>
                <w:rFonts w:ascii="Arial Narrow" w:hAnsi="Arial Narrow"/>
                <w:noProof/>
                <w:color w:val="006100"/>
                <w:sz w:val="20"/>
                <w:szCs w:val="20"/>
              </w:rPr>
            </w:pPr>
            <w:r>
              <w:rPr>
                <w:rFonts w:ascii="Arial Narrow" w:hAnsi="Arial Narrow"/>
                <w:noProof/>
                <w:color w:val="006100"/>
                <w:sz w:val="20"/>
              </w:rPr>
              <w:t>energiatõhususega seotud sekkumismeetmed;</w:t>
            </w:r>
          </w:p>
          <w:p w14:paraId="1AAA1907" w14:textId="77777777" w:rsidR="0084326C" w:rsidRPr="005D68A0" w:rsidRDefault="0084326C">
            <w:pPr>
              <w:pStyle w:val="ListParagraph"/>
              <w:numPr>
                <w:ilvl w:val="0"/>
                <w:numId w:val="89"/>
              </w:numPr>
              <w:ind w:left="26" w:hanging="103"/>
              <w:jc w:val="left"/>
              <w:rPr>
                <w:rFonts w:ascii="Arial Narrow" w:hAnsi="Arial Narrow"/>
                <w:noProof/>
                <w:color w:val="006100"/>
                <w:sz w:val="20"/>
                <w:szCs w:val="20"/>
              </w:rPr>
            </w:pPr>
            <w:r>
              <w:rPr>
                <w:rFonts w:ascii="Arial Narrow" w:hAnsi="Arial Narrow"/>
                <w:noProof/>
                <w:color w:val="006100"/>
                <w:sz w:val="20"/>
              </w:rPr>
              <w:t>sekkumised hoone ümbrisesse ja renoveerimisse vastavalt kunstile. 3, lõige 1, lett. b) DPR 380/2001 (ehitust käsitlevate õigus- ja haldusnormide ühtne tekst)</w:t>
            </w:r>
          </w:p>
          <w:p w14:paraId="0A8EE6C8" w14:textId="77777777" w:rsidR="0084326C" w:rsidRPr="005D68A0" w:rsidRDefault="0084326C">
            <w:pPr>
              <w:pStyle w:val="ListParagraph"/>
              <w:numPr>
                <w:ilvl w:val="0"/>
                <w:numId w:val="89"/>
              </w:numPr>
              <w:ind w:left="26" w:hanging="103"/>
              <w:jc w:val="left"/>
              <w:rPr>
                <w:rFonts w:ascii="Arial Narrow" w:hAnsi="Arial Narrow"/>
                <w:noProof/>
                <w:color w:val="006100"/>
                <w:sz w:val="20"/>
                <w:szCs w:val="20"/>
              </w:rPr>
            </w:pPr>
            <w:r>
              <w:rPr>
                <w:rFonts w:ascii="Arial Narrow" w:hAnsi="Arial Narrow"/>
                <w:noProof/>
                <w:color w:val="006100"/>
                <w:sz w:val="20"/>
              </w:rPr>
              <w:t>sekkumised arhitektuuriliste tõkete kõrvaldamiseks.</w:t>
            </w:r>
          </w:p>
          <w:p w14:paraId="273833D7" w14:textId="77777777" w:rsidR="0084326C" w:rsidRPr="005D68A0" w:rsidRDefault="0084326C">
            <w:pPr>
              <w:pStyle w:val="ListParagraph"/>
              <w:numPr>
                <w:ilvl w:val="0"/>
                <w:numId w:val="89"/>
              </w:numPr>
              <w:ind w:left="26" w:hanging="103"/>
              <w:jc w:val="left"/>
              <w:rPr>
                <w:rFonts w:ascii="Arial Narrow" w:hAnsi="Arial Narrow"/>
                <w:noProof/>
                <w:color w:val="006100"/>
                <w:sz w:val="20"/>
                <w:szCs w:val="20"/>
              </w:rPr>
            </w:pPr>
            <w:r>
              <w:rPr>
                <w:rFonts w:ascii="Arial Narrow" w:hAnsi="Arial Narrow"/>
                <w:noProof/>
                <w:color w:val="006100"/>
                <w:sz w:val="20"/>
              </w:rPr>
              <w:t>kliimaseadmete täieliku või osalise asendamise sekkumine.</w:t>
            </w:r>
          </w:p>
          <w:p w14:paraId="322986E3" w14:textId="77777777" w:rsidR="0084326C" w:rsidRPr="005D68A0" w:rsidRDefault="0084326C">
            <w:pPr>
              <w:pStyle w:val="ListParagraph"/>
              <w:numPr>
                <w:ilvl w:val="0"/>
                <w:numId w:val="89"/>
              </w:numPr>
              <w:ind w:left="26" w:hanging="103"/>
              <w:jc w:val="left"/>
              <w:rPr>
                <w:rFonts w:ascii="Arial Narrow" w:hAnsi="Arial Narrow"/>
                <w:noProof/>
                <w:color w:val="006100"/>
                <w:sz w:val="20"/>
                <w:szCs w:val="20"/>
              </w:rPr>
            </w:pPr>
            <w:r>
              <w:rPr>
                <w:rFonts w:ascii="Arial Narrow" w:hAnsi="Arial Narrow"/>
                <w:noProof/>
                <w:color w:val="006100"/>
                <w:sz w:val="20"/>
              </w:rPr>
              <w:t>eranditult käesoleva määrusega reguleeritud majutuskonstruktsioonide jaoks mõeldud mööbli ja sisustusesemete ostmine</w:t>
            </w:r>
          </w:p>
          <w:p w14:paraId="7E288CC0" w14:textId="77777777" w:rsidR="0084326C" w:rsidRPr="005D68A0" w:rsidRDefault="0084326C">
            <w:pPr>
              <w:pStyle w:val="ListParagraph"/>
              <w:numPr>
                <w:ilvl w:val="0"/>
                <w:numId w:val="89"/>
              </w:numPr>
              <w:ind w:left="26" w:hanging="103"/>
              <w:jc w:val="left"/>
              <w:rPr>
                <w:rFonts w:ascii="Arial Narrow" w:hAnsi="Arial Narrow"/>
                <w:noProof/>
                <w:color w:val="006100"/>
                <w:sz w:val="20"/>
                <w:szCs w:val="20"/>
              </w:rPr>
            </w:pPr>
            <w:r>
              <w:rPr>
                <w:rFonts w:ascii="Arial Narrow" w:hAnsi="Arial Narrow"/>
                <w:noProof/>
                <w:color w:val="006100"/>
                <w:sz w:val="20"/>
              </w:rPr>
              <w:t>sekkumised seismivastaste meetmete vastuvõtmiseks</w:t>
            </w:r>
          </w:p>
          <w:p w14:paraId="74AC9D3B" w14:textId="77777777" w:rsidR="0084326C" w:rsidRPr="005D68A0" w:rsidRDefault="0084326C">
            <w:pPr>
              <w:pStyle w:val="ListParagraph"/>
              <w:numPr>
                <w:ilvl w:val="0"/>
                <w:numId w:val="89"/>
              </w:numPr>
              <w:ind w:left="26" w:hanging="103"/>
              <w:jc w:val="left"/>
              <w:rPr>
                <w:rFonts w:ascii="Arial Narrow" w:hAnsi="Arial Narrow"/>
                <w:noProof/>
                <w:color w:val="006100"/>
                <w:sz w:val="20"/>
                <w:szCs w:val="20"/>
              </w:rPr>
            </w:pPr>
            <w:r>
              <w:rPr>
                <w:rFonts w:ascii="Arial Narrow" w:hAnsi="Arial Narrow"/>
                <w:noProof/>
                <w:color w:val="006100"/>
                <w:sz w:val="20"/>
              </w:rPr>
              <w:t>sisustusosade renoveerimine.</w:t>
            </w:r>
          </w:p>
          <w:p w14:paraId="1D18C776" w14:textId="77777777" w:rsidR="0084326C" w:rsidRPr="005D68A0" w:rsidRDefault="0084326C">
            <w:pPr>
              <w:pStyle w:val="ListParagraph"/>
              <w:numPr>
                <w:ilvl w:val="0"/>
                <w:numId w:val="89"/>
              </w:numPr>
              <w:ind w:left="26" w:hanging="103"/>
              <w:jc w:val="left"/>
              <w:rPr>
                <w:rFonts w:ascii="Arial Narrow" w:hAnsi="Arial Narrow"/>
                <w:noProof/>
                <w:color w:val="006100"/>
                <w:sz w:val="20"/>
                <w:szCs w:val="20"/>
              </w:rPr>
            </w:pPr>
            <w:r>
              <w:rPr>
                <w:rFonts w:ascii="Arial Narrow" w:hAnsi="Arial Narrow"/>
                <w:noProof/>
                <w:color w:val="006100"/>
                <w:sz w:val="20"/>
              </w:rPr>
              <w:t>termaalbasseinide realiseerimine ja spaateenuste osutamiseks vajalike seadmete ja seadmete soetamine ning messid näitusekonstruktsioonide uuendamiseks.</w:t>
            </w:r>
          </w:p>
        </w:tc>
      </w:tr>
      <w:tr w:rsidR="0084326C" w:rsidRPr="00D90835" w14:paraId="15E56B70" w14:textId="77777777">
        <w:trPr>
          <w:trHeight w:val="313"/>
          <w:jc w:val="center"/>
        </w:trPr>
        <w:tc>
          <w:tcPr>
            <w:tcW w:w="377" w:type="pct"/>
            <w:shd w:val="clear" w:color="auto" w:fill="C6EFCE"/>
            <w:noWrap/>
            <w:vAlign w:val="center"/>
            <w:hideMark/>
          </w:tcPr>
          <w:p w14:paraId="186A287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M1C3-34</w:t>
            </w:r>
          </w:p>
        </w:tc>
        <w:tc>
          <w:tcPr>
            <w:tcW w:w="520" w:type="pct"/>
            <w:shd w:val="clear" w:color="auto" w:fill="C6EFCE"/>
            <w:noWrap/>
            <w:vAlign w:val="center"/>
            <w:hideMark/>
          </w:tcPr>
          <w:p w14:paraId="3B9F1C8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4.2. Turismiettevõtte konkurentsivõime fondid</w:t>
            </w:r>
          </w:p>
        </w:tc>
        <w:tc>
          <w:tcPr>
            <w:tcW w:w="378" w:type="pct"/>
            <w:shd w:val="clear" w:color="auto" w:fill="C6EFCE"/>
            <w:noWrap/>
            <w:vAlign w:val="center"/>
            <w:hideMark/>
          </w:tcPr>
          <w:p w14:paraId="6216ECF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520" w:type="pct"/>
            <w:shd w:val="clear" w:color="auto" w:fill="C6EFCE"/>
            <w:noWrap/>
            <w:vAlign w:val="center"/>
            <w:hideMark/>
          </w:tcPr>
          <w:p w14:paraId="248EA6B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Riikliku turismifondi poolt turismi jaoks ümber arendatud kinnisvaraobjektide arv</w:t>
            </w:r>
          </w:p>
        </w:tc>
        <w:tc>
          <w:tcPr>
            <w:tcW w:w="520" w:type="pct"/>
            <w:shd w:val="clear" w:color="auto" w:fill="C6EFCE"/>
            <w:noWrap/>
            <w:vAlign w:val="center"/>
            <w:hideMark/>
          </w:tcPr>
          <w:p w14:paraId="0F9E772D" w14:textId="77777777" w:rsidR="0084326C" w:rsidRPr="005D68A0" w:rsidRDefault="0084326C">
            <w:pPr>
              <w:jc w:val="center"/>
              <w:rPr>
                <w:rFonts w:ascii="Arial Narrow" w:hAnsi="Arial Narrow"/>
                <w:noProof/>
                <w:color w:val="006100"/>
                <w:sz w:val="20"/>
                <w:szCs w:val="20"/>
                <w:lang w:val="en-GB"/>
              </w:rPr>
            </w:pPr>
          </w:p>
        </w:tc>
        <w:tc>
          <w:tcPr>
            <w:tcW w:w="331" w:type="pct"/>
            <w:shd w:val="clear" w:color="auto" w:fill="C6EFCE"/>
            <w:noWrap/>
            <w:vAlign w:val="center"/>
            <w:hideMark/>
          </w:tcPr>
          <w:p w14:paraId="4D4EB1C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32" w:type="pct"/>
            <w:shd w:val="clear" w:color="auto" w:fill="C6EFCE"/>
            <w:noWrap/>
            <w:vAlign w:val="center"/>
            <w:hideMark/>
          </w:tcPr>
          <w:p w14:paraId="5F06A3C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424" w:type="pct"/>
            <w:shd w:val="clear" w:color="auto" w:fill="C6EFCE"/>
            <w:noWrap/>
            <w:vAlign w:val="center"/>
            <w:hideMark/>
          </w:tcPr>
          <w:p w14:paraId="1CC6525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12</w:t>
            </w:r>
          </w:p>
        </w:tc>
        <w:tc>
          <w:tcPr>
            <w:tcW w:w="332" w:type="pct"/>
            <w:shd w:val="clear" w:color="auto" w:fill="C6EFCE"/>
            <w:noWrap/>
            <w:vAlign w:val="center"/>
            <w:hideMark/>
          </w:tcPr>
          <w:p w14:paraId="7F51211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20" w:type="pct"/>
            <w:shd w:val="clear" w:color="auto" w:fill="C6EFCE"/>
            <w:noWrap/>
            <w:vAlign w:val="center"/>
            <w:hideMark/>
          </w:tcPr>
          <w:p w14:paraId="666FD25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2025</w:t>
            </w:r>
          </w:p>
        </w:tc>
        <w:tc>
          <w:tcPr>
            <w:tcW w:w="1047" w:type="pct"/>
            <w:shd w:val="clear" w:color="auto" w:fill="C6EFCE"/>
            <w:noWrap/>
            <w:vAlign w:val="center"/>
            <w:hideMark/>
          </w:tcPr>
          <w:p w14:paraId="6AE4283E"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Riiklik turismifond on turismi jaoks välja töötanud vähemalt 12 kinnisvara, mis võimendusefekti arvestades võiks jõuda 17 kinnisvarani.</w:t>
            </w:r>
          </w:p>
          <w:p w14:paraId="4DE8C2EA" w14:textId="77777777" w:rsidR="0084326C" w:rsidRPr="005D68A0" w:rsidRDefault="0084326C">
            <w:pPr>
              <w:pStyle w:val="ListParagraph"/>
              <w:ind w:left="26"/>
              <w:jc w:val="left"/>
              <w:rPr>
                <w:rFonts w:ascii="Arial Narrow" w:hAnsi="Arial Narrow"/>
                <w:noProof/>
                <w:color w:val="006100"/>
                <w:sz w:val="20"/>
                <w:szCs w:val="20"/>
              </w:rPr>
            </w:pPr>
            <w:r>
              <w:rPr>
                <w:rFonts w:ascii="Arial Narrow" w:hAnsi="Arial Narrow"/>
                <w:noProof/>
                <w:color w:val="006100"/>
                <w:sz w:val="20"/>
              </w:rPr>
              <w:t xml:space="preserve">Riiklik turismifondi tagatisfondi toetus on suunatud: </w:t>
            </w:r>
          </w:p>
          <w:p w14:paraId="758A7687" w14:textId="77777777" w:rsidR="0084326C" w:rsidRPr="005D68A0" w:rsidRDefault="0084326C">
            <w:pPr>
              <w:pStyle w:val="ListParagraph"/>
              <w:numPr>
                <w:ilvl w:val="0"/>
                <w:numId w:val="89"/>
              </w:numPr>
              <w:ind w:left="26" w:hanging="103"/>
              <w:jc w:val="left"/>
              <w:rPr>
                <w:rFonts w:ascii="Arial Narrow" w:hAnsi="Arial Narrow"/>
                <w:noProof/>
                <w:color w:val="006100"/>
                <w:sz w:val="20"/>
                <w:szCs w:val="20"/>
              </w:rPr>
            </w:pPr>
            <w:r>
              <w:rPr>
                <w:rFonts w:ascii="Arial Narrow" w:hAnsi="Arial Narrow"/>
                <w:noProof/>
                <w:color w:val="006100"/>
                <w:sz w:val="20"/>
              </w:rPr>
              <w:t>Investeerimine toote-, protsessi- ja juhtimisinnovatsiooni, et edendada turismiteenuste pakkumise digitaalset muutmist,</w:t>
            </w:r>
          </w:p>
          <w:p w14:paraId="5BF20BFB" w14:textId="77777777" w:rsidR="0084326C" w:rsidRPr="005D68A0" w:rsidRDefault="0084326C">
            <w:pPr>
              <w:pStyle w:val="ListParagraph"/>
              <w:numPr>
                <w:ilvl w:val="0"/>
                <w:numId w:val="89"/>
              </w:numPr>
              <w:ind w:left="26" w:hanging="103"/>
              <w:jc w:val="left"/>
              <w:rPr>
                <w:rFonts w:ascii="Arial Narrow" w:hAnsi="Arial Narrow"/>
                <w:noProof/>
                <w:color w:val="006100"/>
                <w:sz w:val="20"/>
                <w:szCs w:val="20"/>
              </w:rPr>
            </w:pPr>
            <w:r>
              <w:rPr>
                <w:rFonts w:ascii="Arial Narrow" w:hAnsi="Arial Narrow"/>
                <w:noProof/>
                <w:color w:val="006100"/>
                <w:sz w:val="20"/>
              </w:rPr>
              <w:t xml:space="preserve">Investeerimine tagab turistide külalislahkuse standardite kvaliteedi </w:t>
            </w:r>
          </w:p>
          <w:p w14:paraId="6FC28E99" w14:textId="77777777" w:rsidR="0084326C" w:rsidRPr="005D68A0" w:rsidRDefault="0084326C">
            <w:pPr>
              <w:pStyle w:val="ListParagraph"/>
              <w:numPr>
                <w:ilvl w:val="0"/>
                <w:numId w:val="89"/>
              </w:numPr>
              <w:ind w:left="26" w:hanging="103"/>
              <w:jc w:val="left"/>
              <w:rPr>
                <w:rFonts w:ascii="Arial Narrow" w:hAnsi="Arial Narrow"/>
                <w:noProof/>
                <w:color w:val="006100"/>
                <w:sz w:val="20"/>
                <w:szCs w:val="20"/>
              </w:rPr>
            </w:pPr>
            <w:r>
              <w:rPr>
                <w:rFonts w:ascii="Arial Narrow" w:hAnsi="Arial Narrow"/>
                <w:noProof/>
                <w:color w:val="006100"/>
                <w:sz w:val="20"/>
              </w:rPr>
              <w:t>liitmise ja ärivõrkude arendamise edendamine.</w:t>
            </w:r>
          </w:p>
        </w:tc>
      </w:tr>
      <w:tr w:rsidR="0084326C" w:rsidRPr="00D90835" w14:paraId="57AB77B3" w14:textId="77777777">
        <w:trPr>
          <w:trHeight w:val="313"/>
          <w:jc w:val="center"/>
        </w:trPr>
        <w:tc>
          <w:tcPr>
            <w:tcW w:w="377" w:type="pct"/>
            <w:shd w:val="clear" w:color="auto" w:fill="C6EFCE"/>
            <w:noWrap/>
            <w:vAlign w:val="center"/>
            <w:hideMark/>
          </w:tcPr>
          <w:p w14:paraId="1D5751E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M1C3-35</w:t>
            </w:r>
          </w:p>
        </w:tc>
        <w:tc>
          <w:tcPr>
            <w:tcW w:w="520" w:type="pct"/>
            <w:shd w:val="clear" w:color="auto" w:fill="C6EFCE"/>
            <w:noWrap/>
            <w:vAlign w:val="center"/>
            <w:hideMark/>
          </w:tcPr>
          <w:p w14:paraId="39ECBBF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4.3. Caput Mundi Next Generation EU turismialastele suurüritustele</w:t>
            </w:r>
          </w:p>
        </w:tc>
        <w:tc>
          <w:tcPr>
            <w:tcW w:w="378" w:type="pct"/>
            <w:shd w:val="clear" w:color="auto" w:fill="C6EFCE"/>
            <w:noWrap/>
            <w:vAlign w:val="center"/>
            <w:hideMark/>
          </w:tcPr>
          <w:p w14:paraId="49F3D86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520" w:type="pct"/>
            <w:shd w:val="clear" w:color="auto" w:fill="C6EFCE"/>
            <w:noWrap/>
            <w:vAlign w:val="center"/>
            <w:hideMark/>
          </w:tcPr>
          <w:p w14:paraId="2AC1FA4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Iga lepingu allkirjastamine kuue projekti kohta turismiministeeriumi ja toetusesaajate/rakendusasutuste vahel</w:t>
            </w:r>
          </w:p>
        </w:tc>
        <w:tc>
          <w:tcPr>
            <w:tcW w:w="520" w:type="pct"/>
            <w:shd w:val="clear" w:color="auto" w:fill="C6EFCE"/>
            <w:noWrap/>
            <w:vAlign w:val="center"/>
            <w:hideMark/>
          </w:tcPr>
          <w:p w14:paraId="6EAB503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Turismiministeeriumi, Rooma pealinna omavalitsuse ja teiste asjaosaliste vahelise programmilepingu avaldamine.</w:t>
            </w:r>
          </w:p>
        </w:tc>
        <w:tc>
          <w:tcPr>
            <w:tcW w:w="331" w:type="pct"/>
            <w:shd w:val="clear" w:color="auto" w:fill="C6EFCE"/>
            <w:noWrap/>
            <w:vAlign w:val="center"/>
            <w:hideMark/>
          </w:tcPr>
          <w:p w14:paraId="3D31CA7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32" w:type="pct"/>
            <w:shd w:val="clear" w:color="auto" w:fill="C6EFCE"/>
            <w:noWrap/>
            <w:vAlign w:val="center"/>
            <w:hideMark/>
          </w:tcPr>
          <w:p w14:paraId="3A31FC5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424" w:type="pct"/>
            <w:shd w:val="clear" w:color="auto" w:fill="C6EFCE"/>
            <w:noWrap/>
            <w:vAlign w:val="center"/>
            <w:hideMark/>
          </w:tcPr>
          <w:p w14:paraId="2AAA9B2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32" w:type="pct"/>
            <w:shd w:val="clear" w:color="auto" w:fill="C6EFCE"/>
            <w:noWrap/>
            <w:vAlign w:val="center"/>
            <w:hideMark/>
          </w:tcPr>
          <w:p w14:paraId="6E0E0EB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220" w:type="pct"/>
            <w:shd w:val="clear" w:color="auto" w:fill="C6EFCE"/>
            <w:noWrap/>
            <w:vAlign w:val="center"/>
            <w:hideMark/>
          </w:tcPr>
          <w:p w14:paraId="2C565DA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2022</w:t>
            </w:r>
          </w:p>
        </w:tc>
        <w:tc>
          <w:tcPr>
            <w:tcW w:w="1047" w:type="pct"/>
            <w:shd w:val="clear" w:color="auto" w:fill="C6EFCE"/>
            <w:noWrap/>
            <w:vAlign w:val="center"/>
            <w:hideMark/>
          </w:tcPr>
          <w:p w14:paraId="08531F0B" w14:textId="77777777" w:rsidR="0084326C" w:rsidRPr="00F33804" w:rsidRDefault="0084326C">
            <w:pPr>
              <w:rPr>
                <w:rFonts w:ascii="Arial Narrow" w:hAnsi="Arial Narrow"/>
                <w:noProof/>
                <w:color w:val="006100"/>
                <w:sz w:val="20"/>
                <w:szCs w:val="20"/>
              </w:rPr>
            </w:pPr>
          </w:p>
          <w:p w14:paraId="77DAA0E4" w14:textId="050D4F2E" w:rsidR="0084326C" w:rsidRPr="005D68A0" w:rsidRDefault="0084326C">
            <w:pPr>
              <w:rPr>
                <w:rFonts w:ascii="Arial Narrow" w:hAnsi="Arial Narrow"/>
                <w:noProof/>
                <w:color w:val="006100"/>
                <w:sz w:val="20"/>
                <w:szCs w:val="20"/>
              </w:rPr>
            </w:pPr>
            <w:r>
              <w:rPr>
                <w:rFonts w:ascii="Arial Narrow" w:hAnsi="Arial Narrow"/>
                <w:noProof/>
                <w:color w:val="006100"/>
                <w:sz w:val="20"/>
              </w:rPr>
              <w:t>Lepingud sõlmitakse 6 projekti kohta:</w:t>
            </w:r>
            <w:r>
              <w:rPr>
                <w:rFonts w:ascii="Arial Narrow" w:hAnsi="Arial Narrow"/>
                <w:noProof/>
              </w:rPr>
              <w:t xml:space="preserve"> </w:t>
            </w:r>
            <w:r>
              <w:rPr>
                <w:noProof/>
              </w:rPr>
              <w:t xml:space="preserve"> </w:t>
            </w:r>
            <w:r>
              <w:rPr>
                <w:noProof/>
              </w:rPr>
              <w:br/>
            </w:r>
            <w:r>
              <w:rPr>
                <w:rFonts w:ascii="Arial Narrow" w:hAnsi="Arial Narrow"/>
                <w:noProof/>
                <w:color w:val="006100"/>
                <w:sz w:val="20"/>
              </w:rPr>
              <w:t>1) Rooma kultuuripärand ELi järgmise põlvkonna jaoks; 2) Paganlikust Roomast kristliku Roomani – Jubilee teed; 3) #Lacittàcondivisa; 4) #Mitingodiverde; 5) Rooma 4.0; 6) #Amanotesa</w:t>
            </w:r>
          </w:p>
          <w:p w14:paraId="195B3800" w14:textId="77777777" w:rsidR="0084326C" w:rsidRPr="00F33804" w:rsidRDefault="0084326C">
            <w:pPr>
              <w:rPr>
                <w:rFonts w:ascii="Arial Narrow" w:hAnsi="Arial Narrow"/>
                <w:noProof/>
                <w:color w:val="006100"/>
                <w:sz w:val="20"/>
                <w:szCs w:val="20"/>
              </w:rPr>
            </w:pPr>
          </w:p>
          <w:p w14:paraId="5B802480" w14:textId="45C853A5" w:rsidR="0084326C" w:rsidRPr="005D68A0" w:rsidRDefault="0084326C">
            <w:pPr>
              <w:rPr>
                <w:rFonts w:ascii="Arial Narrow" w:hAnsi="Arial Narrow"/>
                <w:noProof/>
                <w:color w:val="006100"/>
                <w:sz w:val="20"/>
                <w:szCs w:val="20"/>
              </w:rPr>
            </w:pPr>
            <w:r>
              <w:rPr>
                <w:rFonts w:ascii="Arial Narrow" w:hAnsi="Arial Narrow"/>
                <w:noProof/>
                <w:color w:val="006100"/>
                <w:sz w:val="20"/>
              </w:rPr>
              <w:t>Toetusesaajate/rakendusasutuste loetelu sisaldab järgmist: Rooma pealinn; Rooma kultuuri-, keskkonna- ja maastikupärandi arheoloogiline järelevalve (MIC); Colosseumi arheoloogiapark; Appia Antica arheoloogiapark; Rooma diokeena; Turismiministeerium Lazio maakond.</w:t>
            </w:r>
          </w:p>
          <w:p w14:paraId="5E052DCC" w14:textId="77777777" w:rsidR="0084326C" w:rsidRPr="00F33804" w:rsidRDefault="0084326C">
            <w:pPr>
              <w:rPr>
                <w:rFonts w:ascii="Arial Narrow" w:hAnsi="Arial Narrow"/>
                <w:noProof/>
                <w:color w:val="006100"/>
                <w:sz w:val="20"/>
                <w:szCs w:val="20"/>
              </w:rPr>
            </w:pPr>
          </w:p>
          <w:p w14:paraId="07BAC926"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Enne pakkumiskutset määratakse koos asjaomaste vahenditega kindlaks valiku- ja lepingu sõlmimise kriteeriumid ning projektide eripärad.</w:t>
            </w:r>
          </w:p>
          <w:p w14:paraId="23C368B5" w14:textId="77777777" w:rsidR="0084326C" w:rsidRPr="00F33804" w:rsidRDefault="0084326C">
            <w:pPr>
              <w:rPr>
                <w:rFonts w:ascii="Arial Narrow" w:hAnsi="Arial Narrow"/>
                <w:noProof/>
                <w:color w:val="006100"/>
                <w:sz w:val="20"/>
                <w:szCs w:val="20"/>
              </w:rPr>
            </w:pPr>
          </w:p>
          <w:p w14:paraId="1A94C08C" w14:textId="313DB41D" w:rsidR="0084326C" w:rsidRPr="005D68A0" w:rsidRDefault="0084326C">
            <w:pPr>
              <w:rPr>
                <w:rFonts w:ascii="Arial Narrow" w:hAnsi="Arial Narrow"/>
                <w:noProof/>
                <w:color w:val="006100"/>
                <w:sz w:val="20"/>
                <w:szCs w:val="20"/>
              </w:rPr>
            </w:pPr>
            <w:r>
              <w:rPr>
                <w:rFonts w:ascii="Arial Narrow" w:hAnsi="Arial Narrow"/>
                <w:noProof/>
                <w:color w:val="006100"/>
                <w:sz w:val="20"/>
              </w:rPr>
              <w:t>Lepingud sõlmitakse projektidega, mis on välja valitud konkursikutsete alusel, järgides tehnilisi suuniseid „Mitte tekitada olulist kahju“ (2021/C58/01), kasutades kõrvalejätmise loetelu ning asjaomaste ELi ja riiklike keskkonnaalaste õigusaktide järgimise nõuet.</w:t>
            </w:r>
          </w:p>
        </w:tc>
      </w:tr>
      <w:tr w:rsidR="0084326C" w:rsidRPr="00D90835" w14:paraId="2CF95BE8" w14:textId="77777777">
        <w:trPr>
          <w:trHeight w:val="313"/>
          <w:jc w:val="center"/>
        </w:trPr>
        <w:tc>
          <w:tcPr>
            <w:tcW w:w="377" w:type="pct"/>
            <w:shd w:val="clear" w:color="auto" w:fill="C6EFCE"/>
            <w:noWrap/>
            <w:vAlign w:val="center"/>
            <w:hideMark/>
          </w:tcPr>
          <w:p w14:paraId="681BFAB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M1C3-36</w:t>
            </w:r>
          </w:p>
        </w:tc>
        <w:tc>
          <w:tcPr>
            <w:tcW w:w="520" w:type="pct"/>
            <w:shd w:val="clear" w:color="auto" w:fill="C6EFCE"/>
            <w:noWrap/>
            <w:vAlign w:val="center"/>
            <w:hideMark/>
          </w:tcPr>
          <w:p w14:paraId="146F60B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4.3. Caput Mundi Next Generation EU turismialastele suurüritustele</w:t>
            </w:r>
          </w:p>
        </w:tc>
        <w:tc>
          <w:tcPr>
            <w:tcW w:w="378" w:type="pct"/>
            <w:shd w:val="clear" w:color="auto" w:fill="C6EFCE"/>
            <w:noWrap/>
            <w:vAlign w:val="center"/>
            <w:hideMark/>
          </w:tcPr>
          <w:p w14:paraId="0FDEBCA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520" w:type="pct"/>
            <w:shd w:val="clear" w:color="auto" w:fill="C6EFCE"/>
            <w:noWrap/>
            <w:vAlign w:val="center"/>
            <w:hideMark/>
          </w:tcPr>
          <w:p w14:paraId="6EF7260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Nende kultuuri- ja turismiobjektide arv, mille ümberkvalifikatsioon on lõpetatud</w:t>
            </w:r>
          </w:p>
        </w:tc>
        <w:tc>
          <w:tcPr>
            <w:tcW w:w="520" w:type="pct"/>
            <w:shd w:val="clear" w:color="auto" w:fill="C6EFCE"/>
            <w:noWrap/>
            <w:vAlign w:val="center"/>
            <w:hideMark/>
          </w:tcPr>
          <w:p w14:paraId="1A7AEDE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31" w:type="pct"/>
            <w:shd w:val="clear" w:color="auto" w:fill="C6EFCE"/>
            <w:noWrap/>
            <w:vAlign w:val="center"/>
            <w:hideMark/>
          </w:tcPr>
          <w:p w14:paraId="7906820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32" w:type="pct"/>
            <w:shd w:val="clear" w:color="auto" w:fill="C6EFCE"/>
            <w:noWrap/>
            <w:vAlign w:val="center"/>
            <w:hideMark/>
          </w:tcPr>
          <w:p w14:paraId="09B713B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424" w:type="pct"/>
            <w:shd w:val="clear" w:color="auto" w:fill="C6EFCE"/>
            <w:noWrap/>
            <w:vAlign w:val="center"/>
            <w:hideMark/>
          </w:tcPr>
          <w:p w14:paraId="4F7C574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200</w:t>
            </w:r>
          </w:p>
        </w:tc>
        <w:tc>
          <w:tcPr>
            <w:tcW w:w="332" w:type="pct"/>
            <w:shd w:val="clear" w:color="auto" w:fill="C6EFCE"/>
            <w:noWrap/>
            <w:vAlign w:val="center"/>
            <w:hideMark/>
          </w:tcPr>
          <w:p w14:paraId="702D2C0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220" w:type="pct"/>
            <w:shd w:val="clear" w:color="auto" w:fill="C6EFCE"/>
            <w:noWrap/>
            <w:vAlign w:val="center"/>
            <w:hideMark/>
          </w:tcPr>
          <w:p w14:paraId="0FFF4F0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1047" w:type="pct"/>
            <w:shd w:val="clear" w:color="auto" w:fill="C6EFCE"/>
            <w:noWrap/>
            <w:vAlign w:val="center"/>
            <w:hideMark/>
          </w:tcPr>
          <w:p w14:paraId="50879FD3"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Investeering hõlmab sekkumisi, mis hõlmavad järgmist:</w:t>
            </w:r>
          </w:p>
          <w:p w14:paraId="7E0B4B26" w14:textId="77777777" w:rsidR="0084326C" w:rsidRPr="005D68A0" w:rsidRDefault="0084326C" w:rsidP="005154EE">
            <w:pPr>
              <w:pStyle w:val="ListParagraph"/>
              <w:numPr>
                <w:ilvl w:val="0"/>
                <w:numId w:val="87"/>
              </w:numPr>
              <w:ind w:left="362" w:hanging="284"/>
              <w:jc w:val="left"/>
              <w:rPr>
                <w:rFonts w:ascii="Arial Narrow" w:hAnsi="Arial Narrow"/>
                <w:noProof/>
                <w:color w:val="006100"/>
                <w:sz w:val="20"/>
                <w:szCs w:val="20"/>
              </w:rPr>
            </w:pPr>
            <w:r>
              <w:rPr>
                <w:rFonts w:ascii="Arial Narrow" w:hAnsi="Arial Narrow"/>
                <w:noProof/>
                <w:color w:val="006100"/>
                <w:sz w:val="20"/>
              </w:rPr>
              <w:t xml:space="preserve">Rooma linna kultuuri- ja linnapärandi ning suure ajaloolise ja arhitektuurilise väärtusega komplekside taaselustamine ja taastamine investeerimisliini „Rooma kultuuripärand ELi ja järgmise põlvkonna jaoks“ jaoks;  </w:t>
            </w:r>
          </w:p>
          <w:p w14:paraId="124EE76B" w14:textId="77777777" w:rsidR="0084326C" w:rsidRPr="005D68A0" w:rsidRDefault="0084326C" w:rsidP="005154EE">
            <w:pPr>
              <w:pStyle w:val="ListParagraph"/>
              <w:numPr>
                <w:ilvl w:val="0"/>
                <w:numId w:val="87"/>
              </w:numPr>
              <w:tabs>
                <w:tab w:val="left" w:pos="1340"/>
                <w:tab w:val="left" w:pos="1341"/>
              </w:tabs>
              <w:spacing w:after="0"/>
              <w:ind w:left="362" w:hanging="284"/>
              <w:jc w:val="left"/>
              <w:rPr>
                <w:rFonts w:ascii="Arial Narrow" w:hAnsi="Arial Narrow"/>
                <w:noProof/>
                <w:color w:val="006100"/>
                <w:sz w:val="20"/>
                <w:szCs w:val="20"/>
              </w:rPr>
            </w:pPr>
            <w:r>
              <w:rPr>
                <w:rFonts w:ascii="Arial Narrow" w:hAnsi="Arial Narrow"/>
                <w:noProof/>
                <w:color w:val="006100"/>
                <w:sz w:val="20"/>
              </w:rPr>
              <w:t>investeerimisliini „Jubilee rajad“ tõhustamine, ohutus, maavärinavastane konsolideerumine, ajaloolise väärtusega paikade ja hoonete taastamine ja arheoloogilised rajad;</w:t>
            </w:r>
          </w:p>
          <w:p w14:paraId="7810BC06" w14:textId="77777777" w:rsidR="0084326C" w:rsidRPr="005D68A0" w:rsidRDefault="0084326C" w:rsidP="005154EE">
            <w:pPr>
              <w:pStyle w:val="ListParagraph"/>
              <w:numPr>
                <w:ilvl w:val="0"/>
                <w:numId w:val="87"/>
              </w:numPr>
              <w:tabs>
                <w:tab w:val="left" w:pos="1340"/>
                <w:tab w:val="left" w:pos="1341"/>
              </w:tabs>
              <w:spacing w:after="0"/>
              <w:ind w:left="362" w:hanging="284"/>
              <w:jc w:val="left"/>
              <w:rPr>
                <w:rFonts w:ascii="Arial Narrow" w:hAnsi="Arial Narrow"/>
                <w:noProof/>
                <w:color w:val="006100"/>
                <w:sz w:val="20"/>
                <w:szCs w:val="20"/>
              </w:rPr>
            </w:pPr>
            <w:r>
              <w:rPr>
                <w:rFonts w:ascii="Arial Narrow" w:hAnsi="Arial Narrow"/>
                <w:noProof/>
                <w:color w:val="006100"/>
                <w:sz w:val="20"/>
              </w:rPr>
              <w:t>investeerimisliini „#LaCittàCondivisa“ äärealadel asuvate alade ümberehitamine;</w:t>
            </w:r>
          </w:p>
          <w:p w14:paraId="350A2F50" w14:textId="77777777" w:rsidR="0084326C" w:rsidRPr="005D68A0" w:rsidRDefault="0084326C" w:rsidP="005154EE">
            <w:pPr>
              <w:pStyle w:val="ListParagraph"/>
              <w:numPr>
                <w:ilvl w:val="0"/>
                <w:numId w:val="87"/>
              </w:numPr>
              <w:ind w:left="362" w:hanging="284"/>
              <w:jc w:val="left"/>
              <w:rPr>
                <w:rFonts w:ascii="Arial Narrow" w:hAnsi="Arial Narrow"/>
                <w:noProof/>
                <w:color w:val="006100"/>
                <w:sz w:val="20"/>
                <w:szCs w:val="20"/>
              </w:rPr>
            </w:pPr>
            <w:r>
              <w:rPr>
                <w:rFonts w:ascii="Arial Narrow" w:hAnsi="Arial Narrow"/>
                <w:noProof/>
                <w:color w:val="006100"/>
                <w:sz w:val="20"/>
              </w:rPr>
              <w:t>pargid, ajaloolised aiad, villad ja purskkaevud investeerimisliinil #Mitingodiverde;</w:t>
            </w:r>
          </w:p>
          <w:p w14:paraId="62C5D0B9" w14:textId="77777777" w:rsidR="0084326C" w:rsidRPr="005D68A0" w:rsidRDefault="0084326C" w:rsidP="005154EE">
            <w:pPr>
              <w:pStyle w:val="ListParagraph"/>
              <w:numPr>
                <w:ilvl w:val="0"/>
                <w:numId w:val="87"/>
              </w:numPr>
              <w:ind w:left="362" w:hanging="284"/>
              <w:jc w:val="left"/>
              <w:rPr>
                <w:rFonts w:ascii="Arial Narrow" w:hAnsi="Arial Narrow"/>
                <w:noProof/>
                <w:color w:val="006100"/>
                <w:sz w:val="20"/>
                <w:szCs w:val="20"/>
              </w:rPr>
            </w:pPr>
            <w:r>
              <w:rPr>
                <w:rFonts w:ascii="Arial Narrow" w:hAnsi="Arial Narrow"/>
                <w:noProof/>
                <w:color w:val="006100"/>
                <w:sz w:val="20"/>
              </w:rPr>
              <w:t>kultuuriteenuste digiteerimine ja turistidele mõeldud rakenduste väljatöötamine või investeerimisliin #Roma 4.0;</w:t>
            </w:r>
          </w:p>
          <w:p w14:paraId="59E5400B" w14:textId="273387D7" w:rsidR="0084326C" w:rsidRPr="005D68A0" w:rsidRDefault="0084326C" w:rsidP="005154EE">
            <w:pPr>
              <w:pStyle w:val="ListParagraph"/>
              <w:numPr>
                <w:ilvl w:val="0"/>
                <w:numId w:val="87"/>
              </w:numPr>
              <w:ind w:left="362" w:hanging="284"/>
              <w:jc w:val="left"/>
              <w:rPr>
                <w:rFonts w:ascii="Arial Narrow" w:hAnsi="Arial Narrow"/>
                <w:noProof/>
                <w:color w:val="006100"/>
                <w:sz w:val="20"/>
                <w:szCs w:val="20"/>
              </w:rPr>
            </w:pPr>
            <w:r>
              <w:rPr>
                <w:rFonts w:ascii="Arial Narrow" w:hAnsi="Arial Narrow"/>
                <w:noProof/>
                <w:color w:val="006100"/>
                <w:sz w:val="20"/>
              </w:rPr>
              <w:t>Sekkumismeetmed, mille eesmärk on suurendada investeerimisliini #Amanotesa sotsiaalse integratsiooniga seotud kultuuripakkumisi äärealadele.</w:t>
            </w:r>
          </w:p>
          <w:p w14:paraId="4AD6C2FB" w14:textId="77777777" w:rsidR="0084326C" w:rsidRPr="00F33804" w:rsidRDefault="0084326C">
            <w:pPr>
              <w:pStyle w:val="ListParagraph"/>
              <w:tabs>
                <w:tab w:val="left" w:pos="1340"/>
                <w:tab w:val="left" w:pos="1341"/>
              </w:tabs>
              <w:spacing w:after="0"/>
              <w:jc w:val="left"/>
              <w:rPr>
                <w:rFonts w:ascii="Arial Narrow" w:hAnsi="Arial Narrow"/>
                <w:noProof/>
                <w:color w:val="006100"/>
                <w:sz w:val="20"/>
                <w:szCs w:val="20"/>
              </w:rPr>
            </w:pPr>
          </w:p>
          <w:p w14:paraId="2C0300FC"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Investeering hõlmab ümberkvalifitseerumist, mis toimub vähemalt viies arheoloogilises/kultuurilises mälestises investeerimisliinis „Rooma kultuuripärand ELi ja järgmise põlvkonna jaoks“, vähemalt 125 arheoloogilises/kultuurilises mälestises Jubilee raja jaoks; #Lacittàcondivisa puhul vähemalt 50 arheoloogilist/kultuuriobjekti; #Mitingodiverde puhul vähemalt 15 arheoloogilist /kultuuriobjekti, Rooma puhul vähemalt 5 arheoloogilist/kultuuriobjekti 4.0 </w:t>
            </w:r>
          </w:p>
          <w:p w14:paraId="0A49894F" w14:textId="77777777" w:rsidR="0084326C" w:rsidRPr="00F33804" w:rsidRDefault="0084326C">
            <w:pPr>
              <w:rPr>
                <w:rFonts w:ascii="Arial Narrow" w:hAnsi="Arial Narrow"/>
                <w:noProof/>
                <w:color w:val="006100"/>
                <w:sz w:val="20"/>
                <w:szCs w:val="20"/>
              </w:rPr>
            </w:pPr>
          </w:p>
          <w:p w14:paraId="4225534C"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Eesmärgi rahuldav saavutamine sõltub ka kõigi investeerimisliini „#Amanotesa“ projektide lõpuleviimisest ja rakenduse „CaputMundi – Roma4U“ üldsusele kättesaadavusest.</w:t>
            </w:r>
          </w:p>
        </w:tc>
      </w:tr>
    </w:tbl>
    <w:p w14:paraId="7547B030" w14:textId="77777777" w:rsidR="0084326C" w:rsidRPr="00F33804" w:rsidRDefault="0084326C" w:rsidP="0084326C">
      <w:pPr>
        <w:rPr>
          <w:b/>
          <w:bCs/>
          <w:noProof/>
        </w:rPr>
      </w:pPr>
    </w:p>
    <w:p w14:paraId="5A3F2AA1" w14:textId="77777777" w:rsidR="0084326C" w:rsidRPr="00F33804" w:rsidRDefault="0084326C" w:rsidP="0084326C">
      <w:pPr>
        <w:rPr>
          <w:b/>
          <w:bCs/>
          <w:noProof/>
        </w:rPr>
      </w:pPr>
    </w:p>
    <w:p w14:paraId="445352CE" w14:textId="77777777" w:rsidR="0084326C" w:rsidRPr="00F33804" w:rsidRDefault="0084326C" w:rsidP="0084326C">
      <w:pPr>
        <w:spacing w:before="120" w:after="120"/>
        <w:jc w:val="both"/>
        <w:rPr>
          <w:noProof/>
        </w:rPr>
        <w:sectPr w:rsidR="0084326C" w:rsidRPr="00F33804">
          <w:headerReference w:type="even" r:id="rId104"/>
          <w:headerReference w:type="default" r:id="rId105"/>
          <w:footerReference w:type="even" r:id="rId106"/>
          <w:footerReference w:type="default" r:id="rId107"/>
          <w:headerReference w:type="first" r:id="rId108"/>
          <w:footerReference w:type="first" r:id="rId109"/>
          <w:pgSz w:w="16839" w:h="11907" w:orient="landscape"/>
          <w:pgMar w:top="1134" w:right="1134" w:bottom="1134" w:left="1134" w:header="567" w:footer="567" w:gutter="0"/>
          <w:cols w:space="720"/>
          <w:docGrid w:linePitch="360"/>
        </w:sectPr>
      </w:pPr>
    </w:p>
    <w:p w14:paraId="4B9C8D64" w14:textId="77777777" w:rsidR="0084326C" w:rsidRPr="005D68A0" w:rsidRDefault="0084326C" w:rsidP="0084326C">
      <w:pPr>
        <w:pStyle w:val="Heading2"/>
        <w:numPr>
          <w:ilvl w:val="0"/>
          <w:numId w:val="0"/>
        </w:numPr>
        <w:ind w:left="850" w:hanging="850"/>
        <w:rPr>
          <w:noProof/>
        </w:rPr>
      </w:pPr>
      <w:r>
        <w:rPr>
          <w:noProof/>
        </w:rPr>
        <w:t>H. ÜLESANNE 2 KOMPONENT 1. Ringmajandus, põllumajanduslik toidutööstus ja üleminek keskkonnasäästlikule majandusele</w:t>
      </w:r>
    </w:p>
    <w:p w14:paraId="4FE90606" w14:textId="77777777" w:rsidR="0084326C" w:rsidRPr="005D68A0" w:rsidRDefault="0084326C" w:rsidP="0084326C">
      <w:pPr>
        <w:spacing w:before="120" w:after="120"/>
        <w:jc w:val="both"/>
        <w:rPr>
          <w:noProof/>
        </w:rPr>
      </w:pPr>
      <w:r>
        <w:rPr>
          <w:noProof/>
        </w:rPr>
        <w:t xml:space="preserve">See Itaalia taaste- ja vastupidavuskava komponent hõlmab investeeringuid ja reforme jäätmekäitluse, ringmajanduse, põllumajandusliku toidutööstuse väärtusahelate toetamise ja keskkonnasäästlikule majandusele ülemineku valdkonnas. Neid reforme ja investeeringuid täiendavad reformid, mille eesmärk on suurendada konkurentsi jäätmekäitluse ja kohalike avalike teenuste valdkonnas ettevõtluskeskkonna reformi komponendi raames ning parandada vee tarbimist põllumajanduses. See komponent vastab riigipõhistele soovitustele suunata investeeringud rohelisse üleminekusse, sealhulgas ringmajandusse.  </w:t>
      </w:r>
    </w:p>
    <w:p w14:paraId="39990612" w14:textId="77777777" w:rsidR="0084326C" w:rsidRPr="005D68A0" w:rsidRDefault="0084326C" w:rsidP="0084326C">
      <w:pPr>
        <w:spacing w:before="120" w:after="120"/>
        <w:jc w:val="both"/>
        <w:rPr>
          <w:noProof/>
        </w:rPr>
      </w:pPr>
      <w:r>
        <w:rPr>
          <w:noProof/>
        </w:rPr>
        <w:t>Selle komponendi raames tehtavad investeeringud ja reformid aitavad täita Itaaliale 2020. ja 2019. aastal esitatud riigipõhiseid soovitusi, milles käsitletakse vajadust keskendada investeeringud rohe- ja digipöördele, eelkõige [...] jäätmekäitlusele ja veemajandusele (riigipõhised soovitused nr 3, 2020), ning investeeringutega seotud majanduspoliitika keskendamist [...]-le ja taristu kvaliteedile, võttes arvesse ka piirkondlikke erinevusi (riigipõhised soovitused nr 3, 2019).</w:t>
      </w:r>
    </w:p>
    <w:p w14:paraId="3E8ABDFA" w14:textId="339E3F76" w:rsidR="0084326C" w:rsidRPr="005D68A0" w:rsidRDefault="0084326C" w:rsidP="0084326C">
      <w:pPr>
        <w:spacing w:before="120" w:after="120"/>
        <w:jc w:val="both"/>
        <w:rPr>
          <w:noProof/>
        </w:rPr>
      </w:pPr>
      <w:r>
        <w:rPr>
          <w:noProof/>
        </w:rPr>
        <w:t>Lähtudes meetmete kirjeldusest taaste- ja vastupidavuskavas ja võttes arvesse põhimõtte „Ei kahjusta oluliselt“ tehniliste suuniste (2021/C58/01) kohaseid leevendavaid samme, mis kavas on sätestatud, võib eeldada, et ükski selle komponendi meede ei kahjusta määruse (EL)</w:t>
      </w:r>
      <w:r w:rsidR="00CE54E6">
        <w:rPr>
          <w:noProof/>
        </w:rPr>
        <w:t> </w:t>
      </w:r>
      <w:r>
        <w:rPr>
          <w:noProof/>
        </w:rPr>
        <w:t xml:space="preserve">2020/852 artikli 17 tähenduses oluliselt keskkonnaeesmärke.  </w:t>
      </w:r>
    </w:p>
    <w:p w14:paraId="6BA6E6B3" w14:textId="77777777" w:rsidR="0084326C" w:rsidRPr="005D68A0" w:rsidRDefault="0084326C" w:rsidP="0084326C">
      <w:pPr>
        <w:pStyle w:val="Heading3"/>
        <w:numPr>
          <w:ilvl w:val="0"/>
          <w:numId w:val="0"/>
        </w:numPr>
        <w:ind w:left="850" w:hanging="850"/>
        <w:rPr>
          <w:b/>
          <w:i w:val="0"/>
          <w:noProof/>
          <w:u w:val="single"/>
        </w:rPr>
      </w:pPr>
      <w:r>
        <w:rPr>
          <w:b/>
          <w:i w:val="0"/>
          <w:noProof/>
          <w:u w:val="single"/>
        </w:rPr>
        <w:t>D.1.</w:t>
      </w:r>
      <w:r>
        <w:rPr>
          <w:b/>
          <w:noProof/>
          <w:u w:val="single"/>
        </w:rPr>
        <w:t xml:space="preserve"> </w:t>
      </w:r>
      <w:r>
        <w:rPr>
          <w:noProof/>
        </w:rPr>
        <w:tab/>
      </w:r>
      <w:r>
        <w:rPr>
          <w:b/>
          <w:i w:val="0"/>
          <w:noProof/>
          <w:u w:val="single"/>
        </w:rPr>
        <w:t xml:space="preserve">Tagastamatu rahalise toetusega seotud reformide ja investeeringute kirjeldus </w:t>
      </w:r>
    </w:p>
    <w:p w14:paraId="7CED5AC8" w14:textId="77777777" w:rsidR="0084326C" w:rsidRPr="005D68A0" w:rsidRDefault="0084326C" w:rsidP="0084326C">
      <w:pPr>
        <w:pStyle w:val="Axistitle"/>
        <w:ind w:left="0"/>
        <w:rPr>
          <w:noProof/>
        </w:rPr>
      </w:pPr>
      <w:r>
        <w:rPr>
          <w:noProof/>
        </w:rPr>
        <w:t xml:space="preserve">Ringmajandus </w:t>
      </w:r>
    </w:p>
    <w:p w14:paraId="38C0B14E" w14:textId="77777777" w:rsidR="0084326C" w:rsidRPr="005D68A0" w:rsidRDefault="0084326C" w:rsidP="0084326C">
      <w:pPr>
        <w:spacing w:before="120" w:after="120"/>
        <w:jc w:val="both"/>
        <w:rPr>
          <w:b/>
          <w:noProof/>
        </w:rPr>
      </w:pPr>
      <w:r>
        <w:rPr>
          <w:b/>
          <w:noProof/>
        </w:rPr>
        <w:t>Reform 1.1. Riiklik ringmajanduse strateegia</w:t>
      </w:r>
    </w:p>
    <w:p w14:paraId="535EC08C" w14:textId="77777777" w:rsidR="0084326C" w:rsidRPr="005D68A0" w:rsidRDefault="0084326C" w:rsidP="0084326C">
      <w:pPr>
        <w:spacing w:before="120" w:after="120"/>
        <w:jc w:val="both"/>
        <w:rPr>
          <w:noProof/>
        </w:rPr>
      </w:pPr>
      <w:r>
        <w:rPr>
          <w:noProof/>
        </w:rPr>
        <w:t>Reformi käigus võetakse vastu ulatuslik riiklik ringmajanduse strateegia, mis hõlmab uut digitaalset jäätmete jälgitavuse süsteemi, maksusoodustusi ringlussevõtu ja teiseste toorainete kasutamise toetamiseks, keskkonnamaksude läbivaatamist, õigust korduskasutamisele ja parandamisele, laiendatud tootjavastutuse ja Consortia süsteemi reformi, toetust olemasolevatele regulatiivsetele vahenditele (nt jäätmealased õigusaktid ja keskkonna miinimumkriteeriumid keskkonnahoidlike riigihangete puhul) ning toetust tööstussümbioosi projektile. Laiendatud tootjavastutuse ja konsortsiumisüsteemi reformimisel võetakse arvesse ka vajadust kasutada tõhusamalt keskkonnapanust, et tagada läbipaistvate ja mittediskrimineerivate kriteeriumide kohaldamine. Luuakse spetsiaalne järelevalveorgan, mille ülesandeks on jälgida konsortsiumisüsteemide toimimist ja tõhusust ökoloogilise ülemineku ministeeriumi (MITE) juhtimisel. Meede hõlmab kõiki konsortsiume (mitte ainult CONAI pakendamissüsteemi).</w:t>
      </w:r>
    </w:p>
    <w:p w14:paraId="750D9213" w14:textId="77777777" w:rsidR="0084326C" w:rsidRPr="005D68A0" w:rsidRDefault="0084326C" w:rsidP="0084326C">
      <w:pPr>
        <w:spacing w:before="120" w:after="120"/>
        <w:jc w:val="both"/>
        <w:rPr>
          <w:b/>
          <w:noProof/>
        </w:rPr>
      </w:pPr>
      <w:r>
        <w:rPr>
          <w:b/>
          <w:noProof/>
        </w:rPr>
        <w:t>Reform 1.3. Tehniline tugi kohalikele omavalitsustele</w:t>
      </w:r>
    </w:p>
    <w:p w14:paraId="24A9CD3A" w14:textId="77777777" w:rsidR="0084326C" w:rsidRPr="005D68A0" w:rsidRDefault="0084326C" w:rsidP="0084326C">
      <w:pPr>
        <w:spacing w:before="120" w:after="120"/>
        <w:jc w:val="both"/>
        <w:rPr>
          <w:noProof/>
        </w:rPr>
      </w:pPr>
      <w:r>
        <w:rPr>
          <w:noProof/>
        </w:rPr>
        <w:t>Reform hõlmab tehnilist abi, mida valitsus annab kohalikele omavalitsustele ELi ja riiklike keskkonnaalaste õigusaktide rakendamiseks, jäätmekäitlust ja hankemenetlusi käsitlevate kavade ja projektide väljatöötamiseks. Hankemenetluste toetamisega tagatakse, et jäätmekäitluse kontsessioonid antakse läbipaistval ja mittediskrimineerival viisil, suurendades konkurentsiprotsesse, et saavutada avalike teenuste paremad standardid. Seetõttu toetatakse käesoleva reformiga ettevõtluskeskkonna reformi komponendi raames kavandatud jäätmekäitlusreformide rakendamist. Tehniline tugi hõlmab ka keskkonnahoidlikke riigihankeid.</w:t>
      </w:r>
    </w:p>
    <w:p w14:paraId="4332856F" w14:textId="77777777" w:rsidR="00003A97" w:rsidRPr="00F33804" w:rsidRDefault="00003A97" w:rsidP="0084326C">
      <w:pPr>
        <w:spacing w:before="120" w:after="120"/>
        <w:jc w:val="both"/>
        <w:rPr>
          <w:b/>
          <w:noProof/>
        </w:rPr>
        <w:sectPr w:rsidR="00003A97" w:rsidRPr="00F33804">
          <w:headerReference w:type="even" r:id="rId110"/>
          <w:headerReference w:type="default" r:id="rId111"/>
          <w:footerReference w:type="even" r:id="rId112"/>
          <w:footerReference w:type="default" r:id="rId113"/>
          <w:headerReference w:type="first" r:id="rId114"/>
          <w:footerReference w:type="first" r:id="rId115"/>
          <w:pgSz w:w="11907" w:h="16839"/>
          <w:pgMar w:top="1440" w:right="1440" w:bottom="1440" w:left="1440" w:header="567" w:footer="567" w:gutter="0"/>
          <w:cols w:space="720"/>
          <w:docGrid w:linePitch="360"/>
        </w:sectPr>
      </w:pPr>
    </w:p>
    <w:p w14:paraId="2132FA52" w14:textId="77777777" w:rsidR="0084326C" w:rsidRPr="005D68A0" w:rsidRDefault="0084326C" w:rsidP="0084326C">
      <w:pPr>
        <w:spacing w:before="120" w:after="120"/>
        <w:jc w:val="both"/>
        <w:rPr>
          <w:b/>
          <w:noProof/>
        </w:rPr>
      </w:pPr>
      <w:r>
        <w:rPr>
          <w:b/>
          <w:noProof/>
        </w:rPr>
        <w:t>Investeering 2.1. Põllumajandusliku toidutööstuse, kalanduse ja vesiviljeluse, metsanduse, lillekasvatuse ja taimekasvatussektori logistikakava</w:t>
      </w:r>
    </w:p>
    <w:p w14:paraId="3BB9E3DF" w14:textId="77777777" w:rsidR="0084326C" w:rsidRPr="005D68A0" w:rsidRDefault="0084326C" w:rsidP="0084326C">
      <w:pPr>
        <w:spacing w:before="120" w:after="120"/>
        <w:jc w:val="both"/>
        <w:rPr>
          <w:noProof/>
        </w:rPr>
      </w:pPr>
      <w:r>
        <w:rPr>
          <w:noProof/>
        </w:rPr>
        <w:t xml:space="preserve">Meede seisneb toetuse andmises materiaalsetesse ja immateriaalsetesse investeeringutesse (nt põllumajandusliku tooraine ladustamisrajatised, tooraine töötlemine ja säilitamine, logistika digiteerimine ja infrastruktuuri sekkumine toiduaineturgudel), toiduainete transporti ja logistikasse tehtavatesse investeeringutesse, et vähendada keskkonna- ja majanduskulusid ning tootmisprotsesside, täppispõllumajanduse ja jälgitavuse (nt plokiahel) innovatsiooni. Valikukriteeriumid peavad olema kooskõlas vajaduste hindamisega, mille on ühise põllumajanduspoliitika strateegiakava alusel välja töötanud põllumajandus-, toidu- ja metsanduspoliitika ministeerium. Meetme eesmärk on soodustada heitkoguste vähendamist põllumajandusliku toidutööstuse transpordi- ja logistikaetappides elektrisõidukite ja transpordisüsteemide abil ning edendada sektori digiteerimist ja taastuvenergia kasutamist. </w:t>
      </w:r>
    </w:p>
    <w:p w14:paraId="6567B1CF" w14:textId="77777777" w:rsidR="0084326C" w:rsidRPr="005D68A0" w:rsidRDefault="0084326C" w:rsidP="0084326C">
      <w:pPr>
        <w:spacing w:before="120" w:after="120"/>
        <w:jc w:val="both"/>
        <w:rPr>
          <w:b/>
          <w:bCs/>
          <w:noProof/>
        </w:rPr>
      </w:pPr>
      <w:r>
        <w:rPr>
          <w:b/>
          <w:noProof/>
        </w:rPr>
        <w:t>Investeering 2.2. Põllumajanduslik päikesepark</w:t>
      </w:r>
    </w:p>
    <w:p w14:paraId="561D3D32" w14:textId="77777777" w:rsidR="0084326C" w:rsidRPr="005D68A0" w:rsidRDefault="0084326C" w:rsidP="0084326C">
      <w:pPr>
        <w:spacing w:before="120" w:after="120"/>
        <w:jc w:val="both"/>
        <w:rPr>
          <w:noProof/>
        </w:rPr>
      </w:pPr>
      <w:r>
        <w:rPr>
          <w:noProof/>
        </w:rPr>
        <w:t xml:space="preserve">Meede seisneb põllumajandus-, loomakasvatus- ja agrotööstussektori tootmisstruktuuridesse tehtavate investeeringute toetamises, olemasoleva katuse kõrvaldamises ja kõrvaldamises ning uue isoleeritud katuse ehitamises, automaatsete ventilatsiooni- ja/või jahutussüsteemide loomises ning päikesepaneelide paigaldamises, voogude ja akude arukas juhtimises. </w:t>
      </w:r>
    </w:p>
    <w:p w14:paraId="3AC18FB1" w14:textId="77777777" w:rsidR="0084326C" w:rsidRPr="005D68A0" w:rsidRDefault="0084326C" w:rsidP="0084326C">
      <w:pPr>
        <w:spacing w:before="120" w:after="120"/>
        <w:jc w:val="both"/>
        <w:rPr>
          <w:b/>
          <w:noProof/>
        </w:rPr>
      </w:pPr>
      <w:r>
        <w:rPr>
          <w:b/>
          <w:noProof/>
        </w:rPr>
        <w:t>Investeering 2.3. Innovatsioon ja mehhaniseerimine põllumajandus- ja toiduainesektoris</w:t>
      </w:r>
    </w:p>
    <w:p w14:paraId="2EB23BB0" w14:textId="77777777" w:rsidR="0084326C" w:rsidRPr="005D68A0" w:rsidRDefault="0084326C" w:rsidP="0084326C">
      <w:pPr>
        <w:spacing w:before="120" w:after="120"/>
        <w:jc w:val="both"/>
        <w:rPr>
          <w:noProof/>
        </w:rPr>
      </w:pPr>
      <w:r>
        <w:rPr>
          <w:noProof/>
        </w:rPr>
        <w:t>Meede seisneb toetuse andmises investeeringutele materiaalsesse ja immateriaalsesse varasse, mille eesmärk on:</w:t>
      </w:r>
    </w:p>
    <w:p w14:paraId="06A8A63C" w14:textId="77777777" w:rsidR="0084326C" w:rsidRPr="005D68A0" w:rsidRDefault="0084326C" w:rsidP="0084326C">
      <w:pPr>
        <w:numPr>
          <w:ilvl w:val="0"/>
          <w:numId w:val="63"/>
        </w:numPr>
        <w:spacing w:before="120" w:after="120" w:line="259" w:lineRule="auto"/>
        <w:ind w:left="360"/>
        <w:contextualSpacing/>
        <w:jc w:val="both"/>
        <w:rPr>
          <w:noProof/>
        </w:rPr>
      </w:pPr>
      <w:r>
        <w:rPr>
          <w:noProof/>
        </w:rPr>
        <w:t>põllumajanduslik innovatsioon ja mehhaniseerimine, eelkõige maastikul kasutatavad masinad;</w:t>
      </w:r>
    </w:p>
    <w:p w14:paraId="0EFDF05D" w14:textId="77777777" w:rsidR="0084326C" w:rsidRPr="005D68A0" w:rsidRDefault="0084326C" w:rsidP="0084326C">
      <w:pPr>
        <w:numPr>
          <w:ilvl w:val="0"/>
          <w:numId w:val="63"/>
        </w:numPr>
        <w:spacing w:before="120" w:after="120" w:line="259" w:lineRule="auto"/>
        <w:ind w:left="360"/>
        <w:contextualSpacing/>
        <w:jc w:val="both"/>
        <w:rPr>
          <w:i/>
          <w:iCs/>
          <w:noProof/>
        </w:rPr>
      </w:pPr>
      <w:r>
        <w:rPr>
          <w:noProof/>
        </w:rPr>
        <w:t>innovatsioon ekstra neitsioliiviõli töötlemise, ladustamise ja pakendamise protsessides.</w:t>
      </w:r>
    </w:p>
    <w:p w14:paraId="3EFAEBD6" w14:textId="77777777" w:rsidR="0084326C" w:rsidRPr="005D68A0" w:rsidRDefault="0084326C" w:rsidP="0084326C">
      <w:pPr>
        <w:spacing w:before="120" w:after="120" w:line="259" w:lineRule="auto"/>
        <w:contextualSpacing/>
        <w:jc w:val="both"/>
        <w:rPr>
          <w:noProof/>
        </w:rPr>
      </w:pPr>
      <w:r>
        <w:rPr>
          <w:noProof/>
        </w:rPr>
        <w:t xml:space="preserve">Maastikusõidukid peavad olema heitevabad või töötama üksnes biometaanil, mis vastab direktiivis 2018/2001 (RED II direktiiv) sätestatud kriteeriumidele. Biokütuse ja biometaani ning gaasi ja biokütuse tootjad peavad esitama tõendid (säästvuse tõend), mille on välja andnud sõltumatud hindajad, nagu on sätestatud direktiivis 2018/2001. Käitaja ostab päritolutagatise sertifikaadid vastavalt eeldatavale kütusekasutusele.  </w:t>
      </w:r>
    </w:p>
    <w:p w14:paraId="3B365898" w14:textId="77777777" w:rsidR="0084326C" w:rsidRPr="005D68A0" w:rsidRDefault="0084326C" w:rsidP="0084326C">
      <w:pPr>
        <w:spacing w:before="120" w:after="120"/>
        <w:jc w:val="both"/>
        <w:rPr>
          <w:b/>
          <w:noProof/>
        </w:rPr>
      </w:pPr>
      <w:r>
        <w:rPr>
          <w:b/>
          <w:noProof/>
        </w:rPr>
        <w:t>Investeering 3.3. Kultuur ning teadlikkus keskkonnateemadest ja -probleemidest</w:t>
      </w:r>
    </w:p>
    <w:p w14:paraId="2EF18F9E" w14:textId="77777777" w:rsidR="0084326C" w:rsidRPr="005D68A0" w:rsidRDefault="0084326C" w:rsidP="0084326C">
      <w:pPr>
        <w:spacing w:before="120" w:after="120"/>
        <w:jc w:val="both"/>
        <w:rPr>
          <w:noProof/>
        </w:rPr>
        <w:sectPr w:rsidR="0084326C" w:rsidRPr="005D68A0">
          <w:headerReference w:type="even" r:id="rId116"/>
          <w:headerReference w:type="default" r:id="rId117"/>
          <w:footerReference w:type="even" r:id="rId118"/>
          <w:footerReference w:type="default" r:id="rId119"/>
          <w:headerReference w:type="first" r:id="rId120"/>
          <w:footerReference w:type="first" r:id="rId121"/>
          <w:pgSz w:w="11907" w:h="16839"/>
          <w:pgMar w:top="1440" w:right="1440" w:bottom="1440" w:left="1440" w:header="567" w:footer="567" w:gutter="0"/>
          <w:cols w:space="720"/>
          <w:docGrid w:linePitch="360"/>
        </w:sectPr>
      </w:pPr>
      <w:r>
        <w:rPr>
          <w:noProof/>
        </w:rPr>
        <w:t>See investeering seisneb digitaalse infosisu kavandamises ja tootmises, et suurendada teadlikkust keskkonna- ja kliimaprobleemidest. Digitaalne infosisu koosneb netisaadetest, koolivideotundidest, videotest ja artiklitest. Luuakse veebipõhine tasuta platvorm, mille eesmärk on saada kõige põhjalikumaks keskkonnaga seotud teemasid käsitlevate õppe- ja vaba aja veetmise materjalide „hoidlaks“. Digitaalse infosisu tootmises osalevad eeldatavasti peamised mõjutajad. Eri kanalite kaudu käsitletavad teemad võivad olla näiteks järgmised: üleminekueeskirjad, energiaallikate jaotus ja taastuvate energiaallikate roll, kliimamuutused, atmosfääri ja ülemaailmsete temperatuuride jätkusuutlikkus, ookeanide varjatud roll, veevarud, individuaalne ja organisatsiooniline ökoloogiline jalajälg, ringmajandus ja uus põllumajandus.</w:t>
      </w:r>
    </w:p>
    <w:p w14:paraId="041F766C" w14:textId="77777777" w:rsidR="0084326C" w:rsidRPr="005D68A0" w:rsidRDefault="0084326C" w:rsidP="0084326C">
      <w:pPr>
        <w:pStyle w:val="Heading3"/>
        <w:numPr>
          <w:ilvl w:val="0"/>
          <w:numId w:val="0"/>
        </w:numPr>
        <w:ind w:left="850" w:hanging="850"/>
        <w:rPr>
          <w:b/>
          <w:bCs w:val="0"/>
          <w:i w:val="0"/>
          <w:iCs/>
          <w:noProof/>
          <w:u w:val="single"/>
        </w:rPr>
      </w:pPr>
      <w:r>
        <w:rPr>
          <w:b/>
          <w:i w:val="0"/>
          <w:noProof/>
          <w:u w:val="single"/>
        </w:rPr>
        <w:t xml:space="preserve">D.2. </w:t>
      </w:r>
      <w:r>
        <w:rPr>
          <w:noProof/>
        </w:rPr>
        <w:tab/>
      </w:r>
      <w:r>
        <w:rPr>
          <w:b/>
          <w:i w:val="0"/>
          <w:noProof/>
          <w:u w:val="single"/>
        </w:rPr>
        <w:t>Tagastamatu rahalise toetuse eesmärgid, sihid, näitajad ning seire ja rakendamise ajakava</w:t>
      </w:r>
    </w:p>
    <w:tbl>
      <w:tblPr>
        <w:tblW w:w="15309" w:type="dxa"/>
        <w:jc w:val="center"/>
        <w:tblLayout w:type="fixed"/>
        <w:tblLook w:val="04A0" w:firstRow="1" w:lastRow="0" w:firstColumn="1" w:lastColumn="0" w:noHBand="0" w:noVBand="1"/>
      </w:tblPr>
      <w:tblGrid>
        <w:gridCol w:w="1129"/>
        <w:gridCol w:w="1701"/>
        <w:gridCol w:w="1134"/>
        <w:gridCol w:w="1701"/>
        <w:gridCol w:w="1843"/>
        <w:gridCol w:w="1180"/>
        <w:gridCol w:w="1159"/>
        <w:gridCol w:w="1347"/>
        <w:gridCol w:w="992"/>
        <w:gridCol w:w="680"/>
        <w:gridCol w:w="2443"/>
      </w:tblGrid>
      <w:tr w:rsidR="0084326C" w:rsidRPr="00D90835" w14:paraId="32393A4F" w14:textId="77777777" w:rsidTr="00003A97">
        <w:trPr>
          <w:trHeight w:val="927"/>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60EAE6D" w14:textId="77777777" w:rsidR="0084326C" w:rsidRPr="005D68A0" w:rsidRDefault="0084326C" w:rsidP="00003A97">
            <w:pPr>
              <w:jc w:val="center"/>
              <w:rPr>
                <w:rFonts w:ascii="Arial Narrow" w:hAnsi="Arial Narrow"/>
                <w:b/>
                <w:noProof/>
                <w:sz w:val="20"/>
                <w:szCs w:val="20"/>
              </w:rPr>
            </w:pPr>
            <w:r>
              <w:rPr>
                <w:rFonts w:ascii="Arial Narrow" w:hAnsi="Arial Narrow"/>
                <w:b/>
                <w:noProof/>
                <w:sz w:val="20"/>
              </w:rPr>
              <w:t>Järjekorranumber</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C467758" w14:textId="77777777" w:rsidR="0084326C" w:rsidRPr="005D68A0" w:rsidRDefault="0084326C" w:rsidP="00003A97">
            <w:pPr>
              <w:jc w:val="center"/>
              <w:rPr>
                <w:rFonts w:ascii="Arial Narrow" w:hAnsi="Arial Narrow"/>
                <w:b/>
                <w:noProof/>
                <w:sz w:val="20"/>
                <w:szCs w:val="20"/>
              </w:rPr>
            </w:pPr>
            <w:r>
              <w:rPr>
                <w:rFonts w:ascii="Arial Narrow" w:hAnsi="Arial Narrow"/>
                <w:b/>
                <w:noProof/>
                <w:sz w:val="20"/>
              </w:rPr>
              <w:t>Seotud meede (reform või investeering)</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65D4C73" w14:textId="77777777" w:rsidR="0084326C" w:rsidRPr="005D68A0" w:rsidRDefault="0084326C" w:rsidP="00003A97">
            <w:pPr>
              <w:jc w:val="center"/>
              <w:rPr>
                <w:rFonts w:ascii="Arial Narrow" w:hAnsi="Arial Narrow"/>
                <w:b/>
                <w:noProof/>
                <w:sz w:val="20"/>
                <w:szCs w:val="20"/>
              </w:rPr>
            </w:pPr>
            <w:r>
              <w:rPr>
                <w:rFonts w:ascii="Arial Narrow" w:hAnsi="Arial Narrow"/>
                <w:b/>
                <w:noProof/>
                <w:sz w:val="20"/>
              </w:rPr>
              <w:t>Eesmärk / siht</w:t>
            </w:r>
          </w:p>
        </w:tc>
        <w:tc>
          <w:tcPr>
            <w:tcW w:w="1701" w:type="dxa"/>
            <w:vMerge w:val="restart"/>
            <w:tcBorders>
              <w:top w:val="single" w:sz="4" w:space="0" w:color="auto"/>
              <w:left w:val="nil"/>
              <w:bottom w:val="single" w:sz="4" w:space="0" w:color="auto"/>
              <w:right w:val="single" w:sz="4" w:space="0" w:color="auto"/>
            </w:tcBorders>
            <w:shd w:val="clear" w:color="auto" w:fill="BDD7EE"/>
            <w:vAlign w:val="center"/>
            <w:hideMark/>
          </w:tcPr>
          <w:p w14:paraId="744ABDAD" w14:textId="77777777" w:rsidR="0084326C" w:rsidRPr="005D68A0" w:rsidRDefault="0084326C" w:rsidP="00003A97">
            <w:pPr>
              <w:jc w:val="center"/>
              <w:rPr>
                <w:rFonts w:ascii="Arial Narrow" w:hAnsi="Arial Narrow"/>
                <w:b/>
                <w:noProof/>
                <w:sz w:val="20"/>
                <w:szCs w:val="20"/>
              </w:rPr>
            </w:pPr>
            <w:r>
              <w:rPr>
                <w:rFonts w:ascii="Arial Narrow" w:hAnsi="Arial Narrow"/>
                <w:b/>
                <w:noProof/>
                <w:sz w:val="20"/>
              </w:rPr>
              <w:t>Nimi</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25B973F" w14:textId="77777777" w:rsidR="0084326C" w:rsidRPr="005D68A0" w:rsidRDefault="0084326C" w:rsidP="00003A97">
            <w:pPr>
              <w:jc w:val="center"/>
              <w:rPr>
                <w:rFonts w:ascii="Arial Narrow" w:hAnsi="Arial Narrow"/>
                <w:b/>
                <w:noProof/>
                <w:sz w:val="20"/>
                <w:szCs w:val="20"/>
              </w:rPr>
            </w:pPr>
            <w:r>
              <w:rPr>
                <w:rFonts w:ascii="Arial Narrow" w:hAnsi="Arial Narrow"/>
                <w:b/>
                <w:noProof/>
                <w:sz w:val="20"/>
              </w:rPr>
              <w:t>Kvalitatiivsed näitajad</w:t>
            </w:r>
            <w:r>
              <w:rPr>
                <w:noProof/>
              </w:rPr>
              <w:t xml:space="preserve"> </w:t>
            </w:r>
            <w:r>
              <w:rPr>
                <w:noProof/>
              </w:rPr>
              <w:br/>
            </w:r>
            <w:r>
              <w:rPr>
                <w:rFonts w:ascii="Arial Narrow" w:hAnsi="Arial Narrow"/>
                <w:b/>
                <w:noProof/>
                <w:sz w:val="20"/>
              </w:rPr>
              <w:t>(eesmärkide puhul)</w:t>
            </w:r>
          </w:p>
        </w:tc>
        <w:tc>
          <w:tcPr>
            <w:tcW w:w="3686" w:type="dxa"/>
            <w:gridSpan w:val="3"/>
            <w:tcBorders>
              <w:top w:val="single" w:sz="4" w:space="0" w:color="auto"/>
              <w:left w:val="nil"/>
              <w:bottom w:val="single" w:sz="4" w:space="0" w:color="auto"/>
              <w:right w:val="single" w:sz="4" w:space="0" w:color="auto"/>
            </w:tcBorders>
            <w:shd w:val="clear" w:color="auto" w:fill="BDD7EE"/>
            <w:vAlign w:val="center"/>
            <w:hideMark/>
          </w:tcPr>
          <w:p w14:paraId="3EC64067" w14:textId="77777777" w:rsidR="0084326C" w:rsidRPr="005D68A0" w:rsidRDefault="0084326C" w:rsidP="00003A97">
            <w:pPr>
              <w:jc w:val="center"/>
              <w:rPr>
                <w:rFonts w:ascii="Arial Narrow" w:hAnsi="Arial Narrow"/>
                <w:b/>
                <w:noProof/>
                <w:sz w:val="20"/>
                <w:szCs w:val="20"/>
              </w:rPr>
            </w:pPr>
            <w:r>
              <w:rPr>
                <w:rFonts w:ascii="Arial Narrow" w:hAnsi="Arial Narrow"/>
                <w:b/>
                <w:noProof/>
                <w:sz w:val="20"/>
              </w:rPr>
              <w:t xml:space="preserve">Kvantitatiivsed näitajad </w:t>
            </w:r>
            <w:r>
              <w:rPr>
                <w:noProof/>
              </w:rPr>
              <w:br/>
            </w:r>
            <w:r>
              <w:rPr>
                <w:rFonts w:ascii="Arial Narrow" w:hAnsi="Arial Narrow"/>
                <w:b/>
                <w:noProof/>
                <w:sz w:val="20"/>
              </w:rPr>
              <w:t>(sihtide puhul)</w:t>
            </w:r>
          </w:p>
        </w:tc>
        <w:tc>
          <w:tcPr>
            <w:tcW w:w="1672" w:type="dxa"/>
            <w:gridSpan w:val="2"/>
            <w:tcBorders>
              <w:top w:val="single" w:sz="4" w:space="0" w:color="auto"/>
              <w:left w:val="nil"/>
              <w:bottom w:val="single" w:sz="4" w:space="0" w:color="auto"/>
              <w:right w:val="single" w:sz="4" w:space="0" w:color="auto"/>
            </w:tcBorders>
            <w:shd w:val="clear" w:color="auto" w:fill="BDD7EE"/>
            <w:vAlign w:val="center"/>
            <w:hideMark/>
          </w:tcPr>
          <w:p w14:paraId="56A17447" w14:textId="77777777" w:rsidR="0084326C" w:rsidRPr="005D68A0" w:rsidRDefault="0084326C" w:rsidP="00003A97">
            <w:pPr>
              <w:jc w:val="center"/>
              <w:rPr>
                <w:rFonts w:ascii="Arial Narrow" w:hAnsi="Arial Narrow"/>
                <w:b/>
                <w:noProof/>
                <w:sz w:val="20"/>
                <w:szCs w:val="20"/>
              </w:rPr>
            </w:pPr>
            <w:r>
              <w:rPr>
                <w:rFonts w:ascii="Arial Narrow" w:hAnsi="Arial Narrow"/>
                <w:b/>
                <w:noProof/>
                <w:sz w:val="20"/>
              </w:rPr>
              <w:t>Lõpuleviimise soovituslik ajakava</w:t>
            </w:r>
          </w:p>
        </w:tc>
        <w:tc>
          <w:tcPr>
            <w:tcW w:w="24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AF69EDD" w14:textId="77777777" w:rsidR="0084326C" w:rsidRPr="005D68A0" w:rsidRDefault="0084326C" w:rsidP="00003A97">
            <w:pPr>
              <w:rPr>
                <w:rFonts w:ascii="Arial Narrow" w:hAnsi="Arial Narrow"/>
                <w:b/>
                <w:noProof/>
                <w:sz w:val="20"/>
                <w:szCs w:val="20"/>
              </w:rPr>
            </w:pPr>
            <w:r>
              <w:rPr>
                <w:rFonts w:ascii="Arial Narrow" w:hAnsi="Arial Narrow"/>
                <w:b/>
                <w:noProof/>
                <w:sz w:val="20"/>
              </w:rPr>
              <w:t>Iga eesmärgi ja sihi kirjeldus</w:t>
            </w:r>
          </w:p>
        </w:tc>
      </w:tr>
      <w:tr w:rsidR="0084326C" w:rsidRPr="005D68A0" w14:paraId="2196C66C" w14:textId="77777777" w:rsidTr="00003A97">
        <w:trPr>
          <w:trHeight w:val="617"/>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587EC11D" w14:textId="77777777" w:rsidR="0084326C" w:rsidRPr="00F33804" w:rsidRDefault="0084326C" w:rsidP="00003A97">
            <w:pPr>
              <w:jc w:val="center"/>
              <w:rPr>
                <w:rFonts w:ascii="Arial Narrow" w:hAnsi="Arial Narrow"/>
                <w:b/>
                <w:bCs/>
                <w:noProof/>
                <w:sz w:val="20"/>
                <w:szCs w:val="20"/>
              </w:rPr>
            </w:pPr>
          </w:p>
        </w:tc>
        <w:tc>
          <w:tcPr>
            <w:tcW w:w="1701" w:type="dxa"/>
            <w:vMerge/>
            <w:tcBorders>
              <w:left w:val="single" w:sz="4" w:space="0" w:color="auto"/>
              <w:bottom w:val="single" w:sz="4" w:space="0" w:color="auto"/>
              <w:right w:val="single" w:sz="4" w:space="0" w:color="auto"/>
            </w:tcBorders>
            <w:vAlign w:val="center"/>
            <w:hideMark/>
          </w:tcPr>
          <w:p w14:paraId="11C35C44" w14:textId="77777777" w:rsidR="0084326C" w:rsidRPr="00F33804" w:rsidRDefault="0084326C" w:rsidP="00003A97">
            <w:pPr>
              <w:jc w:val="center"/>
              <w:rPr>
                <w:rFonts w:ascii="Arial Narrow" w:hAnsi="Arial Narrow"/>
                <w:b/>
                <w:bCs/>
                <w:noProof/>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EB7514E" w14:textId="77777777" w:rsidR="0084326C" w:rsidRPr="00F33804" w:rsidRDefault="0084326C" w:rsidP="00003A97">
            <w:pPr>
              <w:jc w:val="center"/>
              <w:rPr>
                <w:rFonts w:ascii="Arial Narrow" w:hAnsi="Arial Narrow"/>
                <w:b/>
                <w:bCs/>
                <w:noProof/>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9B6E472" w14:textId="77777777" w:rsidR="0084326C" w:rsidRPr="00F33804" w:rsidRDefault="0084326C" w:rsidP="00003A97">
            <w:pPr>
              <w:jc w:val="center"/>
              <w:rPr>
                <w:rFonts w:ascii="Arial Narrow" w:hAnsi="Arial Narrow"/>
                <w:b/>
                <w:bCs/>
                <w:noProof/>
                <w:sz w:val="20"/>
                <w:szCs w:val="20"/>
              </w:rPr>
            </w:pPr>
          </w:p>
        </w:tc>
        <w:tc>
          <w:tcPr>
            <w:tcW w:w="1843" w:type="dxa"/>
            <w:vMerge/>
            <w:tcBorders>
              <w:left w:val="single" w:sz="4" w:space="0" w:color="auto"/>
              <w:bottom w:val="single" w:sz="4" w:space="0" w:color="auto"/>
            </w:tcBorders>
            <w:vAlign w:val="center"/>
            <w:hideMark/>
          </w:tcPr>
          <w:p w14:paraId="6866AB59" w14:textId="77777777" w:rsidR="0084326C" w:rsidRPr="00F33804" w:rsidRDefault="0084326C" w:rsidP="00003A97">
            <w:pPr>
              <w:jc w:val="center"/>
              <w:rPr>
                <w:rFonts w:ascii="Arial Narrow" w:hAnsi="Arial Narrow"/>
                <w:b/>
                <w:bCs/>
                <w:noProof/>
                <w:sz w:val="20"/>
                <w:szCs w:val="20"/>
              </w:rPr>
            </w:pPr>
          </w:p>
        </w:tc>
        <w:tc>
          <w:tcPr>
            <w:tcW w:w="1180" w:type="dxa"/>
            <w:tcBorders>
              <w:top w:val="nil"/>
              <w:left w:val="single" w:sz="4" w:space="0" w:color="auto"/>
              <w:bottom w:val="single" w:sz="4" w:space="0" w:color="auto"/>
              <w:right w:val="single" w:sz="4" w:space="0" w:color="auto"/>
            </w:tcBorders>
            <w:shd w:val="clear" w:color="auto" w:fill="BDD7EE"/>
            <w:vAlign w:val="center"/>
            <w:hideMark/>
          </w:tcPr>
          <w:p w14:paraId="45C86F8A" w14:textId="77777777" w:rsidR="0084326C" w:rsidRPr="005D68A0" w:rsidRDefault="0084326C" w:rsidP="00003A97">
            <w:pPr>
              <w:jc w:val="center"/>
              <w:rPr>
                <w:rFonts w:ascii="Arial Narrow" w:hAnsi="Arial Narrow"/>
                <w:b/>
                <w:noProof/>
                <w:sz w:val="20"/>
                <w:szCs w:val="20"/>
              </w:rPr>
            </w:pPr>
            <w:r>
              <w:rPr>
                <w:rFonts w:ascii="Arial Narrow" w:hAnsi="Arial Narrow"/>
                <w:b/>
                <w:noProof/>
                <w:sz w:val="20"/>
              </w:rPr>
              <w:t>Mõõtühik</w:t>
            </w:r>
          </w:p>
        </w:tc>
        <w:tc>
          <w:tcPr>
            <w:tcW w:w="1159" w:type="dxa"/>
            <w:tcBorders>
              <w:top w:val="nil"/>
              <w:left w:val="nil"/>
              <w:bottom w:val="single" w:sz="4" w:space="0" w:color="auto"/>
              <w:right w:val="single" w:sz="4" w:space="0" w:color="auto"/>
            </w:tcBorders>
            <w:shd w:val="clear" w:color="auto" w:fill="BDD7EE"/>
            <w:vAlign w:val="center"/>
            <w:hideMark/>
          </w:tcPr>
          <w:p w14:paraId="356BE4CA" w14:textId="77777777" w:rsidR="0084326C" w:rsidRPr="005D68A0" w:rsidRDefault="0084326C" w:rsidP="00003A97">
            <w:pPr>
              <w:jc w:val="center"/>
              <w:rPr>
                <w:rFonts w:ascii="Arial Narrow" w:hAnsi="Arial Narrow"/>
                <w:b/>
                <w:noProof/>
                <w:sz w:val="20"/>
                <w:szCs w:val="20"/>
              </w:rPr>
            </w:pPr>
            <w:r>
              <w:rPr>
                <w:rFonts w:ascii="Arial Narrow" w:hAnsi="Arial Narrow"/>
                <w:b/>
                <w:noProof/>
                <w:sz w:val="20"/>
              </w:rPr>
              <w:t>Lähtetase</w:t>
            </w:r>
          </w:p>
        </w:tc>
        <w:tc>
          <w:tcPr>
            <w:tcW w:w="1347" w:type="dxa"/>
            <w:tcBorders>
              <w:top w:val="nil"/>
              <w:left w:val="nil"/>
              <w:bottom w:val="single" w:sz="4" w:space="0" w:color="auto"/>
              <w:right w:val="single" w:sz="4" w:space="0" w:color="auto"/>
            </w:tcBorders>
            <w:shd w:val="clear" w:color="auto" w:fill="BDD7EE"/>
            <w:vAlign w:val="center"/>
            <w:hideMark/>
          </w:tcPr>
          <w:p w14:paraId="0734E331" w14:textId="77777777" w:rsidR="0084326C" w:rsidRPr="005D68A0" w:rsidRDefault="0084326C" w:rsidP="00003A97">
            <w:pPr>
              <w:jc w:val="center"/>
              <w:rPr>
                <w:rFonts w:ascii="Arial Narrow" w:hAnsi="Arial Narrow"/>
                <w:b/>
                <w:noProof/>
                <w:sz w:val="20"/>
                <w:szCs w:val="20"/>
              </w:rPr>
            </w:pPr>
            <w:r>
              <w:rPr>
                <w:rFonts w:ascii="Arial Narrow" w:hAnsi="Arial Narrow"/>
                <w:b/>
                <w:noProof/>
                <w:sz w:val="20"/>
              </w:rPr>
              <w:t>Eesmärk</w:t>
            </w:r>
          </w:p>
        </w:tc>
        <w:tc>
          <w:tcPr>
            <w:tcW w:w="992" w:type="dxa"/>
            <w:tcBorders>
              <w:top w:val="nil"/>
              <w:left w:val="nil"/>
              <w:bottom w:val="single" w:sz="4" w:space="0" w:color="auto"/>
              <w:right w:val="single" w:sz="4" w:space="0" w:color="auto"/>
            </w:tcBorders>
            <w:shd w:val="clear" w:color="auto" w:fill="BDD7EE"/>
            <w:vAlign w:val="center"/>
            <w:hideMark/>
          </w:tcPr>
          <w:p w14:paraId="12FC7F0F" w14:textId="77777777" w:rsidR="0084326C" w:rsidRPr="005D68A0" w:rsidRDefault="0084326C" w:rsidP="00003A97">
            <w:pPr>
              <w:jc w:val="center"/>
              <w:rPr>
                <w:rFonts w:ascii="Arial Narrow" w:hAnsi="Arial Narrow"/>
                <w:b/>
                <w:noProof/>
                <w:sz w:val="20"/>
                <w:szCs w:val="20"/>
              </w:rPr>
            </w:pPr>
            <w:r>
              <w:rPr>
                <w:rFonts w:ascii="Arial Narrow" w:hAnsi="Arial Narrow"/>
                <w:b/>
                <w:noProof/>
                <w:sz w:val="20"/>
              </w:rPr>
              <w:t>Kvartal</w:t>
            </w:r>
          </w:p>
        </w:tc>
        <w:tc>
          <w:tcPr>
            <w:tcW w:w="680" w:type="dxa"/>
            <w:tcBorders>
              <w:top w:val="nil"/>
              <w:left w:val="nil"/>
              <w:bottom w:val="single" w:sz="4" w:space="0" w:color="auto"/>
              <w:right w:val="single" w:sz="4" w:space="0" w:color="auto"/>
            </w:tcBorders>
            <w:shd w:val="clear" w:color="auto" w:fill="BDD7EE"/>
            <w:vAlign w:val="center"/>
            <w:hideMark/>
          </w:tcPr>
          <w:p w14:paraId="7BA31506" w14:textId="77777777" w:rsidR="0084326C" w:rsidRPr="005D68A0" w:rsidRDefault="0084326C" w:rsidP="00003A97">
            <w:pPr>
              <w:jc w:val="center"/>
              <w:rPr>
                <w:rFonts w:ascii="Arial Narrow" w:hAnsi="Arial Narrow"/>
                <w:b/>
                <w:noProof/>
                <w:sz w:val="20"/>
                <w:szCs w:val="20"/>
              </w:rPr>
            </w:pPr>
            <w:r>
              <w:rPr>
                <w:rFonts w:ascii="Arial Narrow" w:hAnsi="Arial Narrow"/>
                <w:b/>
                <w:noProof/>
                <w:sz w:val="20"/>
              </w:rPr>
              <w:t>Aasta</w:t>
            </w:r>
          </w:p>
        </w:tc>
        <w:tc>
          <w:tcPr>
            <w:tcW w:w="2443" w:type="dxa"/>
            <w:vMerge/>
            <w:tcBorders>
              <w:top w:val="single" w:sz="4" w:space="0" w:color="auto"/>
              <w:bottom w:val="single" w:sz="4" w:space="0" w:color="auto"/>
              <w:right w:val="single" w:sz="4" w:space="0" w:color="auto"/>
            </w:tcBorders>
            <w:vAlign w:val="center"/>
            <w:hideMark/>
          </w:tcPr>
          <w:p w14:paraId="3A6A7852" w14:textId="77777777" w:rsidR="0084326C" w:rsidRPr="005D68A0" w:rsidRDefault="0084326C" w:rsidP="00003A97">
            <w:pPr>
              <w:rPr>
                <w:rFonts w:ascii="Arial Narrow" w:hAnsi="Arial Narrow"/>
                <w:b/>
                <w:bCs/>
                <w:noProof/>
                <w:sz w:val="20"/>
                <w:szCs w:val="20"/>
                <w:lang w:val="en-GB"/>
              </w:rPr>
            </w:pPr>
          </w:p>
        </w:tc>
      </w:tr>
      <w:tr w:rsidR="0084326C" w:rsidRPr="00D90835" w14:paraId="30EAAA2C" w14:textId="77777777" w:rsidTr="00003A97">
        <w:trPr>
          <w:trHeight w:val="309"/>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046CE8A"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M2C1-1</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76E4B8B"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Reform 1.1. Riiklik ringmajanduse strateegia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D54CAF1"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8FA6946"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Ministri käskkirja jõustumine riikliku ringmajanduse strateegia vastuvõtmiseks</w:t>
            </w:r>
          </w:p>
        </w:tc>
        <w:tc>
          <w:tcPr>
            <w:tcW w:w="184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9A58795"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Ministri määruse jõustumisele viitav säte</w:t>
            </w:r>
          </w:p>
        </w:tc>
        <w:tc>
          <w:tcPr>
            <w:tcW w:w="1180"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E4F4135"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159"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1858589"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347"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A60DF91"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16D8ED2"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2. kv</w:t>
            </w:r>
          </w:p>
        </w:tc>
        <w:tc>
          <w:tcPr>
            <w:tcW w:w="680"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30D03A0"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2022</w:t>
            </w:r>
          </w:p>
        </w:tc>
        <w:tc>
          <w:tcPr>
            <w:tcW w:w="244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550FC32" w14:textId="77777777" w:rsidR="0084326C" w:rsidRPr="005D68A0" w:rsidRDefault="0084326C" w:rsidP="00003A97">
            <w:pPr>
              <w:spacing w:before="120" w:after="120" w:line="276" w:lineRule="auto"/>
              <w:rPr>
                <w:rFonts w:ascii="Arial Narrow" w:hAnsi="Arial Narrow"/>
                <w:noProof/>
                <w:color w:val="006100"/>
                <w:sz w:val="20"/>
                <w:szCs w:val="20"/>
              </w:rPr>
            </w:pPr>
            <w:r>
              <w:rPr>
                <w:rFonts w:ascii="Arial Narrow" w:hAnsi="Arial Narrow"/>
                <w:noProof/>
                <w:color w:val="006100"/>
                <w:sz w:val="20"/>
              </w:rPr>
              <w:t>Ministrite dekreet riikliku ringmajanduse strateegia vastuvõtmise kohta sisaldab vähemalt järgmisi meetmeid:</w:t>
            </w:r>
          </w:p>
          <w:p w14:paraId="6EE7F9A8" w14:textId="77777777" w:rsidR="0084326C" w:rsidRPr="005D68A0" w:rsidRDefault="0084326C" w:rsidP="005154EE">
            <w:pPr>
              <w:numPr>
                <w:ilvl w:val="0"/>
                <w:numId w:val="58"/>
              </w:numPr>
              <w:spacing w:before="120" w:line="276" w:lineRule="auto"/>
              <w:ind w:left="244" w:hanging="188"/>
              <w:rPr>
                <w:rFonts w:ascii="Arial Narrow" w:hAnsi="Arial Narrow"/>
                <w:noProof/>
                <w:color w:val="006100"/>
                <w:sz w:val="20"/>
                <w:szCs w:val="20"/>
              </w:rPr>
            </w:pPr>
            <w:r>
              <w:rPr>
                <w:rFonts w:ascii="Arial Narrow" w:hAnsi="Arial Narrow"/>
                <w:noProof/>
                <w:color w:val="006100"/>
                <w:sz w:val="20"/>
              </w:rPr>
              <w:t>uus digitaalne jäätmete jälgitavuse süsteem, mis toetab ühelt poolt toorainete järelturu arengut (mis annab selge raamistiku teisese toorme tarnimiseks), teisest küljest kontrolliasutustele ebaseadusliku jäätmekäitluse ennetamisel ja selle vastu võitlemisel.</w:t>
            </w:r>
          </w:p>
          <w:p w14:paraId="546186A9" w14:textId="77777777" w:rsidR="0084326C" w:rsidRPr="005D68A0" w:rsidRDefault="0084326C" w:rsidP="005154EE">
            <w:pPr>
              <w:numPr>
                <w:ilvl w:val="0"/>
                <w:numId w:val="58"/>
              </w:numPr>
              <w:spacing w:before="120" w:line="276" w:lineRule="auto"/>
              <w:ind w:left="244" w:hanging="188"/>
              <w:rPr>
                <w:rFonts w:ascii="Arial Narrow" w:hAnsi="Arial Narrow"/>
                <w:noProof/>
                <w:color w:val="006100"/>
                <w:sz w:val="20"/>
                <w:szCs w:val="20"/>
              </w:rPr>
            </w:pPr>
            <w:r>
              <w:rPr>
                <w:rFonts w:ascii="Arial Narrow" w:hAnsi="Arial Narrow"/>
                <w:noProof/>
                <w:color w:val="006100"/>
                <w:sz w:val="20"/>
              </w:rPr>
              <w:t>maksusoodustused ringlussevõtu ja teisese toorme kasutamise toetamiseks;</w:t>
            </w:r>
          </w:p>
          <w:p w14:paraId="3C77D923" w14:textId="77777777" w:rsidR="0084326C" w:rsidRPr="005D68A0" w:rsidRDefault="0084326C" w:rsidP="005154EE">
            <w:pPr>
              <w:numPr>
                <w:ilvl w:val="0"/>
                <w:numId w:val="58"/>
              </w:numPr>
              <w:spacing w:before="120" w:line="276" w:lineRule="auto"/>
              <w:ind w:left="244" w:hanging="188"/>
              <w:rPr>
                <w:rFonts w:ascii="Arial Narrow" w:hAnsi="Arial Narrow"/>
                <w:noProof/>
                <w:color w:val="006100"/>
                <w:sz w:val="20"/>
                <w:szCs w:val="20"/>
              </w:rPr>
            </w:pPr>
            <w:r>
              <w:rPr>
                <w:rFonts w:ascii="Arial Narrow" w:hAnsi="Arial Narrow"/>
                <w:noProof/>
                <w:color w:val="006100"/>
                <w:sz w:val="20"/>
              </w:rPr>
              <w:t>jäätmete maksustamise süsteemi läbivaatamine, et muuta ringlussevõtt mugavamaks kui prügilasse ladestamine ja põletamine kogu riigi territooriumil;</w:t>
            </w:r>
          </w:p>
          <w:p w14:paraId="5CD1E217" w14:textId="77777777" w:rsidR="0084326C" w:rsidRPr="005D68A0" w:rsidRDefault="0084326C" w:rsidP="005154EE">
            <w:pPr>
              <w:numPr>
                <w:ilvl w:val="0"/>
                <w:numId w:val="58"/>
              </w:numPr>
              <w:spacing w:before="120" w:line="276" w:lineRule="auto"/>
              <w:ind w:left="244" w:hanging="188"/>
              <w:rPr>
                <w:rFonts w:ascii="Arial Narrow" w:hAnsi="Arial Narrow"/>
                <w:noProof/>
                <w:color w:val="006100"/>
                <w:sz w:val="20"/>
                <w:szCs w:val="20"/>
              </w:rPr>
            </w:pPr>
            <w:r>
              <w:rPr>
                <w:rFonts w:ascii="Arial Narrow" w:hAnsi="Arial Narrow"/>
                <w:noProof/>
                <w:color w:val="006100"/>
                <w:sz w:val="20"/>
              </w:rPr>
              <w:t>õigus korduskasutada ja parandada;</w:t>
            </w:r>
          </w:p>
          <w:p w14:paraId="7ADB660B" w14:textId="77777777" w:rsidR="0084326C" w:rsidRPr="005D68A0" w:rsidRDefault="0084326C" w:rsidP="005154EE">
            <w:pPr>
              <w:numPr>
                <w:ilvl w:val="0"/>
                <w:numId w:val="58"/>
              </w:numPr>
              <w:spacing w:before="120" w:line="276" w:lineRule="auto"/>
              <w:ind w:left="244" w:hanging="188"/>
              <w:rPr>
                <w:rFonts w:ascii="Arial Narrow" w:hAnsi="Arial Narrow"/>
                <w:noProof/>
                <w:color w:val="006100"/>
                <w:sz w:val="20"/>
                <w:szCs w:val="20"/>
              </w:rPr>
            </w:pPr>
            <w:r>
              <w:rPr>
                <w:rFonts w:ascii="Arial Narrow" w:hAnsi="Arial Narrow"/>
                <w:noProof/>
                <w:color w:val="006100"/>
                <w:sz w:val="20"/>
              </w:rPr>
              <w:t>laiendatud tootjavastutuse süsteemi ja konsortsiumide süsteemi reform, et toetada ELi eesmärkide saavutamist spetsiaalse järelevalveasutuse loomisega MITE juhtimisel, et jälgida konsortsiumide süsteemide toimimist ja tõhusust;</w:t>
            </w:r>
          </w:p>
          <w:p w14:paraId="4DE69E18" w14:textId="77777777" w:rsidR="0084326C" w:rsidRPr="005D68A0" w:rsidRDefault="0084326C" w:rsidP="005154EE">
            <w:pPr>
              <w:numPr>
                <w:ilvl w:val="0"/>
                <w:numId w:val="58"/>
              </w:numPr>
              <w:spacing w:before="120" w:line="276" w:lineRule="auto"/>
              <w:ind w:left="244" w:hanging="188"/>
              <w:rPr>
                <w:rFonts w:ascii="Arial Narrow" w:hAnsi="Arial Narrow"/>
                <w:noProof/>
                <w:color w:val="006100"/>
                <w:sz w:val="20"/>
                <w:szCs w:val="20"/>
              </w:rPr>
            </w:pPr>
            <w:r>
              <w:rPr>
                <w:rFonts w:ascii="Arial Narrow" w:hAnsi="Arial Narrow"/>
                <w:noProof/>
                <w:color w:val="006100"/>
                <w:sz w:val="20"/>
              </w:rPr>
              <w:t>toetus olemasolevatele regulatiivsetele vahenditele: Jäätmete lakkamist käsitlevad õigusaktid (riiklikud ja piirkondlikud), minimaalsed keskkonnakriteeriumid (CAM) keskkonnahoidlike riigihangete raames. EOW ja CAM arendamisel/ajakohastamisel käsitletakse eelkõige ehitus-, tekstiili-, plasti-, elektri- ja elektroonikaseadmete jäätmeid.</w:t>
            </w:r>
          </w:p>
          <w:p w14:paraId="234BE05A" w14:textId="77777777" w:rsidR="0084326C" w:rsidRPr="005D68A0" w:rsidRDefault="0084326C" w:rsidP="005154EE">
            <w:pPr>
              <w:numPr>
                <w:ilvl w:val="0"/>
                <w:numId w:val="58"/>
              </w:numPr>
              <w:spacing w:before="120" w:line="276" w:lineRule="auto"/>
              <w:ind w:left="244" w:hanging="188"/>
              <w:rPr>
                <w:rFonts w:ascii="Arial Narrow" w:hAnsi="Arial Narrow"/>
                <w:noProof/>
                <w:color w:val="006100"/>
                <w:sz w:val="20"/>
                <w:szCs w:val="20"/>
              </w:rPr>
            </w:pPr>
            <w:r>
              <w:rPr>
                <w:rFonts w:ascii="Arial Narrow" w:hAnsi="Arial Narrow"/>
                <w:noProof/>
                <w:color w:val="006100"/>
                <w:sz w:val="20"/>
              </w:rPr>
              <w:t>tööstussümbioosi projekti toetamine regulatiivsete ja rahastamisvahendite kaudu.)</w:t>
            </w:r>
          </w:p>
        </w:tc>
      </w:tr>
      <w:tr w:rsidR="0084326C" w:rsidRPr="00D90835" w14:paraId="565E0960" w14:textId="77777777" w:rsidTr="00003A97">
        <w:trPr>
          <w:trHeight w:val="309"/>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58F2CC8"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M2C1-2</w:t>
            </w:r>
          </w:p>
        </w:tc>
        <w:tc>
          <w:tcPr>
            <w:tcW w:w="1701" w:type="dxa"/>
            <w:tcBorders>
              <w:top w:val="single" w:sz="4" w:space="0" w:color="auto"/>
              <w:left w:val="nil"/>
              <w:bottom w:val="single" w:sz="4" w:space="0" w:color="auto"/>
              <w:right w:val="single" w:sz="4" w:space="0" w:color="auto"/>
            </w:tcBorders>
            <w:shd w:val="clear" w:color="auto" w:fill="C6EFCE"/>
            <w:noWrap/>
            <w:vAlign w:val="center"/>
            <w:hideMark/>
          </w:tcPr>
          <w:p w14:paraId="50B5C37B"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Reform 1.3. Tehniline tugi kohalikele omavalitsustele</w:t>
            </w:r>
          </w:p>
        </w:tc>
        <w:tc>
          <w:tcPr>
            <w:tcW w:w="1134" w:type="dxa"/>
            <w:tcBorders>
              <w:top w:val="single" w:sz="4" w:space="0" w:color="auto"/>
              <w:left w:val="nil"/>
              <w:bottom w:val="single" w:sz="4" w:space="0" w:color="auto"/>
              <w:right w:val="single" w:sz="4" w:space="0" w:color="auto"/>
            </w:tcBorders>
            <w:shd w:val="clear" w:color="auto" w:fill="C6EFCE"/>
            <w:noWrap/>
            <w:vAlign w:val="center"/>
            <w:hideMark/>
          </w:tcPr>
          <w:p w14:paraId="681922D1"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1701" w:type="dxa"/>
            <w:tcBorders>
              <w:top w:val="single" w:sz="4" w:space="0" w:color="auto"/>
              <w:left w:val="nil"/>
              <w:bottom w:val="single" w:sz="4" w:space="0" w:color="auto"/>
              <w:right w:val="single" w:sz="4" w:space="0" w:color="auto"/>
            </w:tcBorders>
            <w:shd w:val="clear" w:color="auto" w:fill="C6EFCE"/>
            <w:noWrap/>
            <w:vAlign w:val="center"/>
            <w:hideMark/>
          </w:tcPr>
          <w:p w14:paraId="2759A3AA"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Kohalike ametiasutuste toetamist käsitleva suutlikkuse suurendamise tegevuskava väljatöötamise kokkuleppe heakskiitmine</w:t>
            </w:r>
          </w:p>
        </w:tc>
        <w:tc>
          <w:tcPr>
            <w:tcW w:w="1843" w:type="dxa"/>
            <w:tcBorders>
              <w:top w:val="single" w:sz="4" w:space="0" w:color="auto"/>
              <w:left w:val="nil"/>
              <w:bottom w:val="single" w:sz="4" w:space="0" w:color="auto"/>
              <w:right w:val="single" w:sz="4" w:space="0" w:color="auto"/>
            </w:tcBorders>
            <w:shd w:val="clear" w:color="auto" w:fill="C6EFCE"/>
            <w:noWrap/>
            <w:vAlign w:val="center"/>
            <w:hideMark/>
          </w:tcPr>
          <w:p w14:paraId="34E86E46"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Heakskiidetud lepingu avaldamine ministeeriumi veebisaidil</w:t>
            </w:r>
          </w:p>
        </w:tc>
        <w:tc>
          <w:tcPr>
            <w:tcW w:w="1180" w:type="dxa"/>
            <w:tcBorders>
              <w:top w:val="single" w:sz="4" w:space="0" w:color="auto"/>
              <w:left w:val="nil"/>
              <w:bottom w:val="single" w:sz="4" w:space="0" w:color="auto"/>
              <w:right w:val="single" w:sz="4" w:space="0" w:color="auto"/>
            </w:tcBorders>
            <w:shd w:val="clear" w:color="auto" w:fill="C6EFCE"/>
            <w:noWrap/>
            <w:vAlign w:val="center"/>
            <w:hideMark/>
          </w:tcPr>
          <w:p w14:paraId="53DB5223"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159" w:type="dxa"/>
            <w:tcBorders>
              <w:top w:val="single" w:sz="4" w:space="0" w:color="auto"/>
              <w:left w:val="nil"/>
              <w:bottom w:val="single" w:sz="4" w:space="0" w:color="auto"/>
              <w:right w:val="single" w:sz="4" w:space="0" w:color="auto"/>
            </w:tcBorders>
            <w:shd w:val="clear" w:color="auto" w:fill="C6EFCE"/>
            <w:noWrap/>
            <w:vAlign w:val="center"/>
            <w:hideMark/>
          </w:tcPr>
          <w:p w14:paraId="1FEAF956"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347" w:type="dxa"/>
            <w:tcBorders>
              <w:top w:val="single" w:sz="4" w:space="0" w:color="auto"/>
              <w:left w:val="nil"/>
              <w:bottom w:val="single" w:sz="4" w:space="0" w:color="auto"/>
              <w:right w:val="single" w:sz="4" w:space="0" w:color="auto"/>
            </w:tcBorders>
            <w:shd w:val="clear" w:color="auto" w:fill="C6EFCE"/>
            <w:noWrap/>
            <w:vAlign w:val="center"/>
            <w:hideMark/>
          </w:tcPr>
          <w:p w14:paraId="146C0BF2"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92" w:type="dxa"/>
            <w:tcBorders>
              <w:top w:val="single" w:sz="4" w:space="0" w:color="auto"/>
              <w:left w:val="nil"/>
              <w:bottom w:val="single" w:sz="4" w:space="0" w:color="auto"/>
              <w:right w:val="single" w:sz="4" w:space="0" w:color="auto"/>
            </w:tcBorders>
            <w:shd w:val="clear" w:color="auto" w:fill="C6EFCE"/>
            <w:noWrap/>
            <w:vAlign w:val="center"/>
            <w:hideMark/>
          </w:tcPr>
          <w:p w14:paraId="10130322"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2. kv</w:t>
            </w:r>
          </w:p>
        </w:tc>
        <w:tc>
          <w:tcPr>
            <w:tcW w:w="680" w:type="dxa"/>
            <w:tcBorders>
              <w:top w:val="single" w:sz="4" w:space="0" w:color="auto"/>
              <w:left w:val="nil"/>
              <w:bottom w:val="single" w:sz="4" w:space="0" w:color="auto"/>
              <w:right w:val="single" w:sz="4" w:space="0" w:color="auto"/>
            </w:tcBorders>
            <w:shd w:val="clear" w:color="auto" w:fill="C6EFCE"/>
            <w:noWrap/>
            <w:vAlign w:val="center"/>
            <w:hideMark/>
          </w:tcPr>
          <w:p w14:paraId="446BD604"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2022</w:t>
            </w:r>
          </w:p>
        </w:tc>
        <w:tc>
          <w:tcPr>
            <w:tcW w:w="2443" w:type="dxa"/>
            <w:tcBorders>
              <w:top w:val="single" w:sz="4" w:space="0" w:color="auto"/>
              <w:left w:val="nil"/>
              <w:bottom w:val="single" w:sz="4" w:space="0" w:color="auto"/>
              <w:right w:val="single" w:sz="4" w:space="0" w:color="auto"/>
            </w:tcBorders>
            <w:shd w:val="clear" w:color="auto" w:fill="C6EFCE"/>
            <w:noWrap/>
            <w:vAlign w:val="center"/>
            <w:hideMark/>
          </w:tcPr>
          <w:p w14:paraId="77FE26CD" w14:textId="77777777" w:rsidR="0084326C" w:rsidRPr="005D68A0" w:rsidRDefault="0084326C" w:rsidP="00003A97">
            <w:pPr>
              <w:spacing w:before="120" w:after="120" w:line="276" w:lineRule="auto"/>
              <w:rPr>
                <w:rFonts w:ascii="Arial Narrow" w:hAnsi="Arial Narrow"/>
                <w:noProof/>
                <w:color w:val="006100"/>
                <w:sz w:val="20"/>
                <w:szCs w:val="20"/>
              </w:rPr>
            </w:pPr>
            <w:r>
              <w:rPr>
                <w:rFonts w:ascii="Arial Narrow" w:hAnsi="Arial Narrow"/>
                <w:noProof/>
                <w:color w:val="006100"/>
                <w:sz w:val="20"/>
              </w:rPr>
              <w:t>Kiidetakse heaks kokkulepe töötada välja suutlikkuse suurendamise tegevuskava, et toetada kohalikke ametiasutusi keskkonnahoidlike riigihangete raames seadusega (seadusandlik dekreet nr 50/2016 riigihangete kohta) kehtestatud minimaalsete keskkonnakriteeriumide rakendamisel hankemenetluste raames ja toetusmeetme käivitamisel.</w:t>
            </w:r>
          </w:p>
          <w:p w14:paraId="6C236E05" w14:textId="77777777" w:rsidR="0084326C" w:rsidRPr="005D68A0" w:rsidRDefault="0084326C" w:rsidP="00003A97">
            <w:pPr>
              <w:suppressAutoHyphens/>
              <w:spacing w:line="276" w:lineRule="auto"/>
              <w:rPr>
                <w:rFonts w:ascii="Arial Narrow" w:hAnsi="Arial Narrow"/>
                <w:noProof/>
                <w:color w:val="006100"/>
                <w:sz w:val="20"/>
                <w:szCs w:val="20"/>
              </w:rPr>
            </w:pPr>
            <w:r>
              <w:rPr>
                <w:rFonts w:ascii="Arial Narrow" w:hAnsi="Arial Narrow"/>
                <w:noProof/>
                <w:color w:val="006100"/>
                <w:sz w:val="20"/>
              </w:rPr>
              <w:t>Tehnilise toe kohalikele omavalitsustele (piirkonnad, provintsid ja omavalitsused) tagab valitsus (ökoloogilise ülemineku ministeerium, majandusarengu ministeerium ja muu asjakohane) majasiseste ettevõtete kaudu. Tehniline tugi hõlmab järgmist:</w:t>
            </w:r>
          </w:p>
          <w:p w14:paraId="2640B738" w14:textId="77777777" w:rsidR="0084326C" w:rsidRPr="005D68A0" w:rsidRDefault="0084326C" w:rsidP="005154EE">
            <w:pPr>
              <w:numPr>
                <w:ilvl w:val="0"/>
                <w:numId w:val="58"/>
              </w:numPr>
              <w:suppressAutoHyphens/>
              <w:spacing w:before="120" w:line="276" w:lineRule="auto"/>
              <w:ind w:left="340" w:hanging="284"/>
              <w:contextualSpacing/>
              <w:rPr>
                <w:rFonts w:ascii="Arial Narrow" w:hAnsi="Arial Narrow"/>
                <w:noProof/>
                <w:color w:val="006100"/>
                <w:sz w:val="20"/>
                <w:szCs w:val="20"/>
              </w:rPr>
            </w:pPr>
            <w:r>
              <w:rPr>
                <w:rFonts w:ascii="Arial Narrow" w:hAnsi="Arial Narrow"/>
                <w:noProof/>
                <w:color w:val="006100"/>
                <w:sz w:val="20"/>
              </w:rPr>
              <w:t>tehniline abi ELi ja riiklike keskkonnaalaste õigusaktide rakendamiseks;</w:t>
            </w:r>
          </w:p>
          <w:p w14:paraId="1BC1AD7F" w14:textId="77777777" w:rsidR="0084326C" w:rsidRPr="005D68A0" w:rsidRDefault="0084326C" w:rsidP="005154EE">
            <w:pPr>
              <w:numPr>
                <w:ilvl w:val="0"/>
                <w:numId w:val="58"/>
              </w:numPr>
              <w:suppressAutoHyphens/>
              <w:spacing w:before="120" w:line="276" w:lineRule="auto"/>
              <w:ind w:left="340" w:hanging="284"/>
              <w:contextualSpacing/>
              <w:rPr>
                <w:rFonts w:ascii="Arial Narrow" w:hAnsi="Arial Narrow"/>
                <w:noProof/>
                <w:color w:val="006100"/>
                <w:sz w:val="20"/>
                <w:szCs w:val="20"/>
              </w:rPr>
            </w:pPr>
            <w:r>
              <w:rPr>
                <w:rFonts w:ascii="Arial Narrow" w:hAnsi="Arial Narrow"/>
                <w:noProof/>
                <w:color w:val="006100"/>
                <w:sz w:val="20"/>
              </w:rPr>
              <w:t>jäätmekäitlusega seotud kavade ja projektide väljatöötamise toetamine;</w:t>
            </w:r>
          </w:p>
          <w:p w14:paraId="7029A5EB" w14:textId="77777777" w:rsidR="0084326C" w:rsidRPr="005D68A0" w:rsidRDefault="0084326C" w:rsidP="005154EE">
            <w:pPr>
              <w:numPr>
                <w:ilvl w:val="0"/>
                <w:numId w:val="58"/>
              </w:numPr>
              <w:suppressAutoHyphens/>
              <w:spacing w:before="120" w:line="276" w:lineRule="auto"/>
              <w:ind w:left="340" w:hanging="284"/>
              <w:contextualSpacing/>
              <w:rPr>
                <w:rFonts w:ascii="Arial Narrow" w:hAnsi="Arial Narrow"/>
                <w:noProof/>
                <w:color w:val="006100"/>
                <w:sz w:val="20"/>
                <w:szCs w:val="20"/>
              </w:rPr>
            </w:pPr>
            <w:r>
              <w:rPr>
                <w:rFonts w:ascii="Arial Narrow" w:hAnsi="Arial Narrow"/>
                <w:noProof/>
                <w:color w:val="006100"/>
                <w:sz w:val="20"/>
              </w:rPr>
              <w:t>toetada hankemenetlusi, muu hulgas tagamaks, et jäätmekäitlusele antaks kontsessioone läbipaistval ja mittediskrimineerival viisil, suurendades konkurentsivõimelisi protsesse, et saavutada avalike teenuste paremad standardid.</w:t>
            </w:r>
          </w:p>
          <w:p w14:paraId="08CF1ED6" w14:textId="77777777" w:rsidR="0084326C" w:rsidRPr="00F33804" w:rsidRDefault="0084326C" w:rsidP="00003A97">
            <w:pPr>
              <w:suppressAutoHyphens/>
              <w:spacing w:line="276" w:lineRule="auto"/>
              <w:rPr>
                <w:rFonts w:ascii="Arial Narrow" w:hAnsi="Arial Narrow"/>
                <w:noProof/>
                <w:color w:val="006100"/>
                <w:sz w:val="20"/>
                <w:szCs w:val="20"/>
              </w:rPr>
            </w:pPr>
          </w:p>
          <w:p w14:paraId="0CDEB1F7" w14:textId="77777777" w:rsidR="0084326C" w:rsidRPr="005D68A0" w:rsidRDefault="0084326C" w:rsidP="00003A97">
            <w:pPr>
              <w:suppressAutoHyphens/>
              <w:spacing w:line="276" w:lineRule="auto"/>
              <w:rPr>
                <w:rFonts w:ascii="Arial Narrow" w:hAnsi="Arial Narrow"/>
                <w:noProof/>
                <w:color w:val="006100"/>
                <w:sz w:val="20"/>
                <w:szCs w:val="20"/>
              </w:rPr>
            </w:pPr>
            <w:r>
              <w:rPr>
                <w:rFonts w:ascii="Arial Narrow" w:hAnsi="Arial Narrow"/>
                <w:noProof/>
                <w:color w:val="006100"/>
                <w:sz w:val="20"/>
              </w:rPr>
              <w:t>Ökoloogilise ülemineku ministeerium töötab välja konkreetse suutlikkuse suurendamise tegevuskava, et toetada kohalikke ametiasutusi ja professionaalseid avaliku sektori hankijaid keskkonnahoidlike riigihangete raames seadusega (seadusandlik dekreet nr 50/2016 riigihangete kohta) kehtestatud minimaalsete keskkonnakriteeriumide kohaldamisel hankemenetlustes.</w:t>
            </w:r>
          </w:p>
        </w:tc>
      </w:tr>
      <w:tr w:rsidR="0084326C" w:rsidRPr="00D90835" w14:paraId="2666D0A8" w14:textId="77777777" w:rsidTr="00003A97">
        <w:trPr>
          <w:trHeight w:val="309"/>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9A8E00"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M2C1-3</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744685F1"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Investeering 2.1. Logistikakava põllumajandusliku toidutööstuse, kalanduse ja vesiviljeluse, metsanduse, lillekasvatuse ja taimekasvatussektori jaoks</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508D56C6"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5946DD3E"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Lõpliku pingerea avaldamine logistiliste stiimulite kava alusel</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0EA28245"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Avaldamine ministeeriumi veebisaidil või muus tugikanalis</w:t>
            </w:r>
          </w:p>
        </w:tc>
        <w:tc>
          <w:tcPr>
            <w:tcW w:w="1180" w:type="dxa"/>
            <w:tcBorders>
              <w:top w:val="single" w:sz="4" w:space="0" w:color="auto"/>
              <w:left w:val="nil"/>
              <w:bottom w:val="single" w:sz="4" w:space="0" w:color="auto"/>
              <w:right w:val="single" w:sz="4" w:space="0" w:color="auto"/>
            </w:tcBorders>
            <w:shd w:val="clear" w:color="auto" w:fill="C6EFCE"/>
            <w:noWrap/>
            <w:vAlign w:val="center"/>
          </w:tcPr>
          <w:p w14:paraId="0B6C5661"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14:paraId="563A7B63"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347" w:type="dxa"/>
            <w:tcBorders>
              <w:top w:val="single" w:sz="4" w:space="0" w:color="auto"/>
              <w:left w:val="nil"/>
              <w:bottom w:val="single" w:sz="4" w:space="0" w:color="auto"/>
              <w:right w:val="single" w:sz="4" w:space="0" w:color="auto"/>
            </w:tcBorders>
            <w:shd w:val="clear" w:color="auto" w:fill="C6EFCE"/>
            <w:noWrap/>
            <w:vAlign w:val="center"/>
          </w:tcPr>
          <w:p w14:paraId="1C9C6EFE"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385ABA93"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680" w:type="dxa"/>
            <w:tcBorders>
              <w:top w:val="single" w:sz="4" w:space="0" w:color="auto"/>
              <w:left w:val="nil"/>
              <w:bottom w:val="single" w:sz="4" w:space="0" w:color="auto"/>
              <w:right w:val="single" w:sz="4" w:space="0" w:color="auto"/>
            </w:tcBorders>
            <w:shd w:val="clear" w:color="auto" w:fill="C6EFCE"/>
            <w:noWrap/>
            <w:vAlign w:val="center"/>
          </w:tcPr>
          <w:p w14:paraId="0BB46B01"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2022</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14:paraId="2379B16C" w14:textId="77777777" w:rsidR="0084326C" w:rsidRPr="005D68A0" w:rsidRDefault="0084326C" w:rsidP="00003A97">
            <w:pPr>
              <w:spacing w:line="276" w:lineRule="auto"/>
              <w:rPr>
                <w:rFonts w:ascii="Arial Narrow" w:hAnsi="Arial Narrow"/>
                <w:noProof/>
                <w:color w:val="006100"/>
                <w:sz w:val="20"/>
                <w:szCs w:val="20"/>
              </w:rPr>
            </w:pPr>
            <w:r>
              <w:rPr>
                <w:rFonts w:ascii="Arial Narrow" w:hAnsi="Arial Narrow"/>
                <w:noProof/>
                <w:color w:val="006100"/>
                <w:sz w:val="20"/>
              </w:rPr>
              <w:t>Lõplik järjestus määratakse kindlaks heakskiitmismääruses.</w:t>
            </w:r>
          </w:p>
          <w:p w14:paraId="0E984E95" w14:textId="77777777" w:rsidR="0084326C" w:rsidRPr="00F33804" w:rsidRDefault="0084326C" w:rsidP="00003A97">
            <w:pPr>
              <w:spacing w:line="276" w:lineRule="auto"/>
              <w:rPr>
                <w:rFonts w:ascii="Arial Narrow" w:hAnsi="Arial Narrow"/>
                <w:noProof/>
                <w:color w:val="006100"/>
                <w:sz w:val="20"/>
                <w:szCs w:val="20"/>
              </w:rPr>
            </w:pPr>
          </w:p>
          <w:p w14:paraId="040B7583" w14:textId="77777777" w:rsidR="0084326C" w:rsidRPr="005D68A0" w:rsidRDefault="0084326C" w:rsidP="00003A97">
            <w:pPr>
              <w:pStyle w:val="paragraph"/>
              <w:spacing w:before="0" w:beforeAutospacing="0" w:after="0" w:afterAutospacing="0" w:line="276" w:lineRule="auto"/>
              <w:textAlignment w:val="baseline"/>
              <w:rPr>
                <w:rFonts w:ascii="Arial Narrow" w:hAnsi="Arial Narrow"/>
                <w:noProof/>
                <w:color w:val="006100"/>
                <w:sz w:val="20"/>
                <w:szCs w:val="20"/>
              </w:rPr>
            </w:pPr>
            <w:r>
              <w:rPr>
                <w:rFonts w:ascii="Arial Narrow" w:hAnsi="Arial Narrow"/>
                <w:noProof/>
                <w:color w:val="006100"/>
                <w:sz w:val="20"/>
              </w:rPr>
              <w:t>Logistika stimuleerimiskava hõlmab järgmist:</w:t>
            </w:r>
          </w:p>
          <w:p w14:paraId="46A7CBBA" w14:textId="77777777" w:rsidR="0084326C" w:rsidRPr="005D68A0" w:rsidRDefault="0084326C" w:rsidP="00003A97">
            <w:pPr>
              <w:pStyle w:val="paragraph"/>
              <w:spacing w:before="0" w:beforeAutospacing="0" w:after="0" w:afterAutospacing="0" w:line="276" w:lineRule="auto"/>
              <w:textAlignment w:val="baseline"/>
              <w:rPr>
                <w:rFonts w:ascii="Arial Narrow" w:hAnsi="Arial Narrow"/>
                <w:noProof/>
                <w:color w:val="006100"/>
                <w:sz w:val="20"/>
                <w:szCs w:val="20"/>
              </w:rPr>
            </w:pPr>
            <w:r>
              <w:rPr>
                <w:rFonts w:ascii="Arial Narrow" w:hAnsi="Arial Narrow"/>
                <w:noProof/>
                <w:color w:val="006100"/>
                <w:sz w:val="20"/>
              </w:rPr>
              <w:t>a) Abikõlblikkuskriteeriumid, millega tagatakse, et valitud projektid vastavad tehnilisele juhendile „Mitte tekitada olulist kahju“ (2021/C58/01), kasutades kõrvalejätmise loetelu ning asjaomaste ELi ja riiklike keskkonnaalaste õigusaktide järgimise nõuet.</w:t>
            </w:r>
          </w:p>
          <w:p w14:paraId="2E3F6DB2" w14:textId="77777777" w:rsidR="0084326C" w:rsidRPr="005D68A0" w:rsidRDefault="0084326C" w:rsidP="00003A97">
            <w:pPr>
              <w:pStyle w:val="paragraph"/>
              <w:spacing w:before="0" w:beforeAutospacing="0" w:after="0" w:afterAutospacing="0" w:line="276" w:lineRule="auto"/>
              <w:textAlignment w:val="baseline"/>
              <w:rPr>
                <w:rFonts w:ascii="Arial Narrow" w:hAnsi="Arial Narrow"/>
                <w:noProof/>
                <w:color w:val="006100"/>
                <w:sz w:val="20"/>
                <w:szCs w:val="20"/>
              </w:rPr>
            </w:pPr>
            <w:r>
              <w:rPr>
                <w:rFonts w:ascii="Arial Narrow" w:hAnsi="Arial Narrow"/>
                <w:noProof/>
                <w:color w:val="006100"/>
                <w:sz w:val="20"/>
              </w:rPr>
              <w:t>b) Kohustus, et määruse (EL) 2021/241 VI lisas sätestatud metoodika kohane investeeringu panus kliimameetmetesse moodustab vähemalt 32 % taaste- ja vastupidavusrahastust toetatavate investeeringute kogukuludest.</w:t>
            </w:r>
          </w:p>
          <w:p w14:paraId="5260184F" w14:textId="477D69DC" w:rsidR="0084326C" w:rsidRPr="005D68A0" w:rsidRDefault="0084326C" w:rsidP="00003A97">
            <w:pPr>
              <w:spacing w:line="276" w:lineRule="auto"/>
              <w:rPr>
                <w:rFonts w:ascii="Arial Narrow" w:hAnsi="Arial Narrow"/>
                <w:noProof/>
                <w:color w:val="006100"/>
                <w:sz w:val="20"/>
                <w:szCs w:val="20"/>
              </w:rPr>
            </w:pPr>
            <w:r>
              <w:rPr>
                <w:rFonts w:ascii="Arial Narrow" w:hAnsi="Arial Narrow"/>
                <w:noProof/>
                <w:color w:val="006100"/>
                <w:sz w:val="20"/>
              </w:rPr>
              <w:t>c) Kohustus, et määruse (EL)</w:t>
            </w:r>
            <w:r w:rsidR="00CE54E6">
              <w:rPr>
                <w:rFonts w:ascii="Arial Narrow" w:hAnsi="Arial Narrow"/>
                <w:noProof/>
                <w:color w:val="006100"/>
                <w:sz w:val="20"/>
              </w:rPr>
              <w:t> </w:t>
            </w:r>
            <w:r>
              <w:rPr>
                <w:rFonts w:ascii="Arial Narrow" w:hAnsi="Arial Narrow"/>
                <w:noProof/>
                <w:color w:val="006100"/>
                <w:sz w:val="20"/>
              </w:rPr>
              <w:t>2021/241 VII lisas esitatud metoodika kohane investeeringu digivaldkonna panus moodustab vähemalt 27 % taaste- ja vastupidavusrahastust toetatavate investeeringute kogukuludest.</w:t>
            </w:r>
          </w:p>
          <w:p w14:paraId="4B9175F3" w14:textId="77777777" w:rsidR="0084326C" w:rsidRPr="005D68A0" w:rsidRDefault="0084326C" w:rsidP="00003A97">
            <w:pPr>
              <w:spacing w:line="276" w:lineRule="auto"/>
              <w:rPr>
                <w:rFonts w:ascii="Arial Narrow" w:hAnsi="Arial Narrow"/>
                <w:noProof/>
                <w:color w:val="006100"/>
                <w:sz w:val="20"/>
                <w:szCs w:val="20"/>
              </w:rPr>
            </w:pPr>
            <w:r>
              <w:rPr>
                <w:rFonts w:ascii="Arial Narrow" w:hAnsi="Arial Narrow"/>
                <w:noProof/>
                <w:color w:val="006100"/>
                <w:sz w:val="20"/>
              </w:rPr>
              <w:t>d) Kohustus esitada aruanne meetme rakendamise kohta kava kehtivusaja keskel ja kava lõppedes.</w:t>
            </w:r>
          </w:p>
        </w:tc>
      </w:tr>
      <w:tr w:rsidR="0084326C" w:rsidRPr="00D90835" w14:paraId="03A98390" w14:textId="77777777" w:rsidTr="00003A97">
        <w:trPr>
          <w:trHeight w:val="309"/>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5F8DA7"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M2C1-4</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59CA2A97"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Investeering 2.2. Põllumajanduslik päikesepark</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3BD0C46A"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530BDD04"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Vahendite eraldamine toetusesaajatele protsendina investeeringule eraldatud rahaliste vahendite kogusummast</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092AB960"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180" w:type="dxa"/>
            <w:tcBorders>
              <w:top w:val="single" w:sz="4" w:space="0" w:color="auto"/>
              <w:left w:val="nil"/>
              <w:bottom w:val="single" w:sz="4" w:space="0" w:color="auto"/>
              <w:right w:val="single" w:sz="4" w:space="0" w:color="auto"/>
            </w:tcBorders>
            <w:shd w:val="clear" w:color="auto" w:fill="C6EFCE"/>
            <w:noWrap/>
            <w:vAlign w:val="center"/>
          </w:tcPr>
          <w:p w14:paraId="47163FF6"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Protsent</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14:paraId="3BA0A106"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0</w:t>
            </w:r>
          </w:p>
        </w:tc>
        <w:tc>
          <w:tcPr>
            <w:tcW w:w="1347" w:type="dxa"/>
            <w:tcBorders>
              <w:top w:val="single" w:sz="4" w:space="0" w:color="auto"/>
              <w:left w:val="nil"/>
              <w:bottom w:val="single" w:sz="4" w:space="0" w:color="auto"/>
              <w:right w:val="single" w:sz="4" w:space="0" w:color="auto"/>
            </w:tcBorders>
            <w:shd w:val="clear" w:color="auto" w:fill="C6EFCE"/>
            <w:noWrap/>
            <w:vAlign w:val="center"/>
          </w:tcPr>
          <w:p w14:paraId="1C4E4929"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30</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0259658B"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680" w:type="dxa"/>
            <w:tcBorders>
              <w:top w:val="single" w:sz="4" w:space="0" w:color="auto"/>
              <w:left w:val="nil"/>
              <w:bottom w:val="single" w:sz="4" w:space="0" w:color="auto"/>
              <w:right w:val="single" w:sz="4" w:space="0" w:color="auto"/>
            </w:tcBorders>
            <w:shd w:val="clear" w:color="auto" w:fill="C6EFCE"/>
            <w:noWrap/>
            <w:vAlign w:val="center"/>
          </w:tcPr>
          <w:p w14:paraId="3A992916"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2022</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14:paraId="20CA158D" w14:textId="77777777" w:rsidR="0084326C" w:rsidRPr="005D68A0" w:rsidRDefault="0084326C" w:rsidP="00003A97">
            <w:pPr>
              <w:spacing w:line="276" w:lineRule="auto"/>
              <w:rPr>
                <w:rFonts w:ascii="Arial Narrow" w:hAnsi="Arial Narrow"/>
                <w:noProof/>
                <w:color w:val="006100"/>
                <w:sz w:val="20"/>
                <w:szCs w:val="20"/>
              </w:rPr>
            </w:pPr>
            <w:r>
              <w:rPr>
                <w:rFonts w:ascii="Arial Narrow" w:hAnsi="Arial Narrow"/>
                <w:noProof/>
                <w:color w:val="006100"/>
                <w:sz w:val="20"/>
              </w:rPr>
              <w:t>Abisaajad projektid, mille koguväärtus on vähemalt 30 % investeeringule eraldatud rahalistest vahenditest. Investeering tehakse kahe erineva juba olemasoleva menetluse kaudu ja refinantseeritakse. Nende menetlustega nähakse ette laenude väljamaksmine ettevõtetele, kes vastavad nõuetele ja esitavad taotluse.</w:t>
            </w:r>
          </w:p>
        </w:tc>
      </w:tr>
      <w:tr w:rsidR="0084326C" w:rsidRPr="00D90835" w14:paraId="58A8C66E" w14:textId="77777777" w:rsidTr="00003A97">
        <w:trPr>
          <w:trHeight w:val="309"/>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928EDC7"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M2C1-5</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5236A330"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Investeering 2.2. Põllumajanduslik päikesepark</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151F559C"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6E240E19"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Vahendite eraldamine toetusesaajatele protsendina investeeringule eraldatud rahaliste vahendite kogusummast</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783DB968"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180" w:type="dxa"/>
            <w:tcBorders>
              <w:top w:val="single" w:sz="4" w:space="0" w:color="auto"/>
              <w:left w:val="nil"/>
              <w:bottom w:val="single" w:sz="4" w:space="0" w:color="auto"/>
              <w:right w:val="single" w:sz="4" w:space="0" w:color="auto"/>
            </w:tcBorders>
            <w:shd w:val="clear" w:color="auto" w:fill="C6EFCE"/>
            <w:noWrap/>
            <w:vAlign w:val="center"/>
          </w:tcPr>
          <w:p w14:paraId="72FED35F"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Protsent</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14:paraId="34FFE8CF"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19</w:t>
            </w:r>
          </w:p>
        </w:tc>
        <w:tc>
          <w:tcPr>
            <w:tcW w:w="1347" w:type="dxa"/>
            <w:tcBorders>
              <w:top w:val="single" w:sz="4" w:space="0" w:color="auto"/>
              <w:left w:val="nil"/>
              <w:bottom w:val="single" w:sz="4" w:space="0" w:color="auto"/>
              <w:right w:val="single" w:sz="4" w:space="0" w:color="auto"/>
            </w:tcBorders>
            <w:shd w:val="clear" w:color="auto" w:fill="C6EFCE"/>
            <w:noWrap/>
            <w:vAlign w:val="center"/>
          </w:tcPr>
          <w:p w14:paraId="58932C6F"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32</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211C72FF"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680" w:type="dxa"/>
            <w:tcBorders>
              <w:top w:val="single" w:sz="4" w:space="0" w:color="auto"/>
              <w:left w:val="nil"/>
              <w:bottom w:val="single" w:sz="4" w:space="0" w:color="auto"/>
              <w:right w:val="single" w:sz="4" w:space="0" w:color="auto"/>
            </w:tcBorders>
            <w:shd w:val="clear" w:color="auto" w:fill="C6EFCE"/>
            <w:noWrap/>
            <w:vAlign w:val="center"/>
          </w:tcPr>
          <w:p w14:paraId="5B745DDA"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2023</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14:paraId="1A415D66" w14:textId="77777777" w:rsidR="0084326C" w:rsidRPr="005D68A0" w:rsidRDefault="0084326C" w:rsidP="00003A97">
            <w:pPr>
              <w:spacing w:line="276" w:lineRule="auto"/>
              <w:rPr>
                <w:rFonts w:ascii="Arial Narrow" w:hAnsi="Arial Narrow"/>
                <w:noProof/>
                <w:color w:val="006100"/>
                <w:sz w:val="20"/>
                <w:szCs w:val="20"/>
              </w:rPr>
            </w:pPr>
            <w:r>
              <w:rPr>
                <w:rFonts w:ascii="Arial Narrow" w:hAnsi="Arial Narrow"/>
                <w:noProof/>
                <w:color w:val="006100"/>
                <w:sz w:val="20"/>
              </w:rPr>
              <w:t>Abisaajad projektid, mille koguväärtus on vähemalt 32 % investeeringule eraldatud rahalistest vahenditest. Toetuse andmise menetlusega nähakse ette toetuste või muude stiimulite väljamaksmine ettevõtjatele, kes vastavad nõuetele ja esitavad taotluse.</w:t>
            </w:r>
          </w:p>
        </w:tc>
      </w:tr>
      <w:tr w:rsidR="0084326C" w:rsidRPr="00D90835" w14:paraId="2081E0E6" w14:textId="77777777" w:rsidTr="00003A97">
        <w:trPr>
          <w:trHeight w:val="309"/>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DD14286"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M2C1-6</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3FF20358"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Investeering 2.2. Põllumajanduslik päikesepark</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427719B1"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6E216328"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Vahendite eraldamine toetusesaajatele protsendina investeeringule eraldatud rahaliste vahendite kogusummast</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11E5D6CB"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180" w:type="dxa"/>
            <w:tcBorders>
              <w:top w:val="single" w:sz="4" w:space="0" w:color="auto"/>
              <w:left w:val="nil"/>
              <w:bottom w:val="single" w:sz="4" w:space="0" w:color="auto"/>
              <w:right w:val="single" w:sz="4" w:space="0" w:color="auto"/>
            </w:tcBorders>
            <w:shd w:val="clear" w:color="auto" w:fill="C6EFCE"/>
            <w:noWrap/>
            <w:vAlign w:val="center"/>
          </w:tcPr>
          <w:p w14:paraId="396DD488"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Protsent</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14:paraId="457F3461"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32</w:t>
            </w:r>
          </w:p>
        </w:tc>
        <w:tc>
          <w:tcPr>
            <w:tcW w:w="1347" w:type="dxa"/>
            <w:tcBorders>
              <w:top w:val="single" w:sz="4" w:space="0" w:color="auto"/>
              <w:left w:val="nil"/>
              <w:bottom w:val="single" w:sz="4" w:space="0" w:color="auto"/>
              <w:right w:val="single" w:sz="4" w:space="0" w:color="auto"/>
            </w:tcBorders>
            <w:shd w:val="clear" w:color="auto" w:fill="C6EFCE"/>
            <w:noWrap/>
            <w:vAlign w:val="center"/>
          </w:tcPr>
          <w:p w14:paraId="3C095850"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63,5</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4D8DBE31"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2. kv</w:t>
            </w:r>
          </w:p>
        </w:tc>
        <w:tc>
          <w:tcPr>
            <w:tcW w:w="680" w:type="dxa"/>
            <w:tcBorders>
              <w:top w:val="single" w:sz="4" w:space="0" w:color="auto"/>
              <w:left w:val="nil"/>
              <w:bottom w:val="single" w:sz="4" w:space="0" w:color="auto"/>
              <w:right w:val="single" w:sz="4" w:space="0" w:color="auto"/>
            </w:tcBorders>
            <w:shd w:val="clear" w:color="auto" w:fill="C6EFCE"/>
            <w:noWrap/>
            <w:vAlign w:val="center"/>
          </w:tcPr>
          <w:p w14:paraId="51C6426E"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2024</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14:paraId="3DEF4DA1" w14:textId="3152EF92" w:rsidR="0084326C" w:rsidRPr="005D68A0" w:rsidRDefault="0084326C" w:rsidP="00003A97">
            <w:pPr>
              <w:spacing w:line="276" w:lineRule="auto"/>
              <w:rPr>
                <w:rFonts w:ascii="Arial Narrow" w:hAnsi="Arial Narrow"/>
                <w:noProof/>
                <w:color w:val="006100"/>
                <w:sz w:val="20"/>
                <w:szCs w:val="20"/>
              </w:rPr>
            </w:pPr>
            <w:r>
              <w:rPr>
                <w:rFonts w:ascii="Arial Narrow" w:hAnsi="Arial Narrow"/>
                <w:noProof/>
                <w:color w:val="006100"/>
                <w:sz w:val="20"/>
              </w:rPr>
              <w:t>Abisaajad projektid, mille koguväärtus on vähemalt 63,5 % investeeringule eraldatud rahalistest vahenditest. Toetuse andmise menetlusega nähakse ette toetuste või muude stiimulite väljamaksmine ettevõtjatele, kes vastavad nõuetele ja esitavad taotluse.</w:t>
            </w:r>
          </w:p>
        </w:tc>
      </w:tr>
      <w:tr w:rsidR="0084326C" w:rsidRPr="00D90835" w14:paraId="0DD44793" w14:textId="77777777" w:rsidTr="00003A97">
        <w:trPr>
          <w:trHeight w:val="309"/>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19D8F01"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M2C1-6bis</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0483DCBA"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Investeering 2.2. Põllumajanduslik päikesepark</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51B78A5C"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0943CD82"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Vahendite eraldamine toetusesaajatele protsendina investeeringule eraldatud rahaliste vahendite kogusummast</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092F9ECA"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180" w:type="dxa"/>
            <w:tcBorders>
              <w:top w:val="single" w:sz="4" w:space="0" w:color="auto"/>
              <w:left w:val="nil"/>
              <w:bottom w:val="single" w:sz="4" w:space="0" w:color="auto"/>
              <w:right w:val="single" w:sz="4" w:space="0" w:color="auto"/>
            </w:tcBorders>
            <w:shd w:val="clear" w:color="auto" w:fill="C6EFCE"/>
            <w:noWrap/>
            <w:vAlign w:val="center"/>
          </w:tcPr>
          <w:p w14:paraId="02EB6575"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Protsent</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14:paraId="1B9FE437"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63,5</w:t>
            </w:r>
          </w:p>
        </w:tc>
        <w:tc>
          <w:tcPr>
            <w:tcW w:w="1347" w:type="dxa"/>
            <w:tcBorders>
              <w:top w:val="single" w:sz="4" w:space="0" w:color="auto"/>
              <w:left w:val="nil"/>
              <w:bottom w:val="single" w:sz="4" w:space="0" w:color="auto"/>
              <w:right w:val="single" w:sz="4" w:space="0" w:color="auto"/>
            </w:tcBorders>
            <w:shd w:val="clear" w:color="auto" w:fill="C6EFCE"/>
            <w:noWrap/>
            <w:vAlign w:val="center"/>
          </w:tcPr>
          <w:p w14:paraId="6002D9FD"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100</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68719EBE"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680" w:type="dxa"/>
            <w:tcBorders>
              <w:top w:val="single" w:sz="4" w:space="0" w:color="auto"/>
              <w:left w:val="nil"/>
              <w:bottom w:val="single" w:sz="4" w:space="0" w:color="auto"/>
              <w:right w:val="single" w:sz="4" w:space="0" w:color="auto"/>
            </w:tcBorders>
            <w:shd w:val="clear" w:color="auto" w:fill="C6EFCE"/>
            <w:noWrap/>
            <w:vAlign w:val="center"/>
          </w:tcPr>
          <w:p w14:paraId="69E3C513"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2024</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14:paraId="620C52E0" w14:textId="77777777" w:rsidR="0084326C" w:rsidRPr="005D68A0" w:rsidRDefault="0084326C" w:rsidP="00003A97">
            <w:pPr>
              <w:spacing w:line="276" w:lineRule="auto"/>
              <w:rPr>
                <w:rFonts w:ascii="Arial Narrow" w:hAnsi="Arial Narrow"/>
                <w:noProof/>
                <w:color w:val="006100"/>
                <w:sz w:val="20"/>
                <w:szCs w:val="20"/>
              </w:rPr>
            </w:pPr>
            <w:r>
              <w:rPr>
                <w:rFonts w:ascii="Arial Narrow" w:hAnsi="Arial Narrow"/>
                <w:noProof/>
                <w:color w:val="006100"/>
                <w:sz w:val="20"/>
              </w:rPr>
              <w:t>Abisaajad projektid, mille koguväärtus on vähemalt 100 % investeeringule eraldatud täiendavatest rahalistest vahenditest. Toetuse andmise menetlusega nähakse ette toetuste või muude stiimulite väljamaksmine ettevõtjatele, kes vastavad nõuetele ja esitavad taotluse.</w:t>
            </w:r>
          </w:p>
        </w:tc>
      </w:tr>
      <w:tr w:rsidR="0084326C" w:rsidRPr="00D90835" w14:paraId="080AFD50" w14:textId="77777777" w:rsidTr="00003A97">
        <w:trPr>
          <w:trHeight w:val="309"/>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3CA90F8"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M2C1-7</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2D284745"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Investeering 2.3. Innovatsioon ja mehhaniseerimine põllumajandus- ja toiduainesektoris</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7D42FF59"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0E4AFF02"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Lõplike pingeridade avaldamine koos lõplike vahendite saajate kindlaksmääramisega.</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6E25A500"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180" w:type="dxa"/>
            <w:tcBorders>
              <w:top w:val="single" w:sz="4" w:space="0" w:color="auto"/>
              <w:left w:val="nil"/>
              <w:bottom w:val="single" w:sz="4" w:space="0" w:color="auto"/>
              <w:right w:val="single" w:sz="4" w:space="0" w:color="auto"/>
            </w:tcBorders>
            <w:shd w:val="clear" w:color="auto" w:fill="C6EFCE"/>
            <w:noWrap/>
            <w:vAlign w:val="center"/>
          </w:tcPr>
          <w:p w14:paraId="3537D076"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Arv</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14:paraId="3945023A"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0</w:t>
            </w:r>
          </w:p>
        </w:tc>
        <w:tc>
          <w:tcPr>
            <w:tcW w:w="1347" w:type="dxa"/>
            <w:tcBorders>
              <w:top w:val="single" w:sz="4" w:space="0" w:color="auto"/>
              <w:left w:val="nil"/>
              <w:bottom w:val="single" w:sz="4" w:space="0" w:color="auto"/>
              <w:right w:val="single" w:sz="4" w:space="0" w:color="auto"/>
            </w:tcBorders>
            <w:shd w:val="clear" w:color="auto" w:fill="C6EFCE"/>
            <w:noWrap/>
            <w:vAlign w:val="center"/>
          </w:tcPr>
          <w:p w14:paraId="2773503A"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10 000</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0DD97CCB"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680" w:type="dxa"/>
            <w:tcBorders>
              <w:top w:val="single" w:sz="4" w:space="0" w:color="auto"/>
              <w:left w:val="nil"/>
              <w:bottom w:val="single" w:sz="4" w:space="0" w:color="auto"/>
              <w:right w:val="single" w:sz="4" w:space="0" w:color="auto"/>
            </w:tcBorders>
            <w:shd w:val="clear" w:color="auto" w:fill="C6EFCE"/>
            <w:noWrap/>
            <w:vAlign w:val="center"/>
          </w:tcPr>
          <w:p w14:paraId="6B95224E"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2024</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14:paraId="5351EAC5" w14:textId="614F7664" w:rsidR="0084326C" w:rsidRPr="005D68A0" w:rsidRDefault="0084326C" w:rsidP="00003A97">
            <w:pPr>
              <w:spacing w:line="276" w:lineRule="auto"/>
              <w:rPr>
                <w:rFonts w:ascii="Arial Narrow" w:hAnsi="Arial Narrow"/>
                <w:noProof/>
                <w:color w:val="006100"/>
                <w:sz w:val="20"/>
                <w:szCs w:val="20"/>
              </w:rPr>
            </w:pPr>
            <w:r>
              <w:rPr>
                <w:rFonts w:ascii="Arial Narrow" w:hAnsi="Arial Narrow"/>
                <w:noProof/>
                <w:color w:val="006100"/>
                <w:sz w:val="20"/>
              </w:rPr>
              <w:t>Tehakse kindlaks vähemalt 10  000 lõppsaajat investeeringuteks ringmajandusse ja biomajandusse.</w:t>
            </w:r>
          </w:p>
          <w:p w14:paraId="08A858B8" w14:textId="77777777" w:rsidR="0084326C" w:rsidRPr="005D68A0" w:rsidRDefault="0084326C" w:rsidP="00003A97">
            <w:pPr>
              <w:spacing w:line="276" w:lineRule="auto"/>
              <w:rPr>
                <w:rFonts w:ascii="Arial Narrow" w:hAnsi="Arial Narrow"/>
                <w:noProof/>
                <w:color w:val="006100"/>
                <w:sz w:val="20"/>
                <w:szCs w:val="20"/>
              </w:rPr>
            </w:pPr>
            <w:r>
              <w:rPr>
                <w:rFonts w:ascii="Arial Narrow" w:hAnsi="Arial Narrow"/>
                <w:noProof/>
                <w:color w:val="006100"/>
                <w:sz w:val="20"/>
              </w:rPr>
              <w:t>Investeeringute puhul võetakse arvesse vähemalt ühte järgmistest:</w:t>
            </w:r>
          </w:p>
          <w:p w14:paraId="2EA2D437" w14:textId="257FF2C0" w:rsidR="0084326C" w:rsidRPr="005D68A0" w:rsidRDefault="0084326C" w:rsidP="00003A97">
            <w:pPr>
              <w:spacing w:line="276" w:lineRule="auto"/>
              <w:rPr>
                <w:rFonts w:ascii="Arial Narrow" w:hAnsi="Arial Narrow"/>
                <w:noProof/>
                <w:color w:val="006100"/>
                <w:sz w:val="20"/>
                <w:szCs w:val="20"/>
              </w:rPr>
            </w:pPr>
            <w:r>
              <w:rPr>
                <w:rFonts w:ascii="Arial Narrow" w:hAnsi="Arial Narrow"/>
                <w:noProof/>
                <w:color w:val="006100"/>
                <w:sz w:val="20"/>
              </w:rPr>
              <w:t xml:space="preserve">– </w:t>
            </w:r>
            <w:r w:rsidR="00211FC9" w:rsidRPr="00211FC9">
              <w:rPr>
                <w:rFonts w:ascii="Arial Narrow" w:hAnsi="Arial Narrow"/>
                <w:noProof/>
                <w:color w:val="006100"/>
                <w:sz w:val="20"/>
              </w:rPr>
              <w:t>Saastavamate maastikusõidukite asendamine</w:t>
            </w:r>
          </w:p>
          <w:p w14:paraId="37B40B1C" w14:textId="77777777" w:rsidR="0084326C" w:rsidRPr="005D68A0" w:rsidRDefault="0084326C" w:rsidP="00003A97">
            <w:pPr>
              <w:spacing w:line="276" w:lineRule="auto"/>
              <w:rPr>
                <w:rFonts w:ascii="Arial Narrow" w:hAnsi="Arial Narrow"/>
                <w:noProof/>
                <w:color w:val="006100"/>
                <w:sz w:val="20"/>
                <w:szCs w:val="20"/>
              </w:rPr>
            </w:pPr>
            <w:r>
              <w:rPr>
                <w:rFonts w:ascii="Arial Narrow" w:hAnsi="Arial Narrow"/>
                <w:noProof/>
                <w:color w:val="006100"/>
                <w:sz w:val="20"/>
              </w:rPr>
              <w:t>– Täppispõllumajanduse ja -masinate kasutuselevõtt põllumajanduses 4.0</w:t>
            </w:r>
          </w:p>
          <w:p w14:paraId="111B15CE" w14:textId="77777777" w:rsidR="0084326C" w:rsidRPr="005D68A0" w:rsidRDefault="0084326C" w:rsidP="00003A97">
            <w:pPr>
              <w:spacing w:line="276" w:lineRule="auto"/>
              <w:rPr>
                <w:rFonts w:ascii="Arial Narrow" w:hAnsi="Arial Narrow"/>
                <w:noProof/>
                <w:color w:val="006100"/>
                <w:sz w:val="20"/>
                <w:szCs w:val="20"/>
              </w:rPr>
            </w:pPr>
            <w:r>
              <w:rPr>
                <w:rFonts w:ascii="Arial Narrow" w:hAnsi="Arial Narrow"/>
                <w:noProof/>
                <w:color w:val="006100"/>
                <w:sz w:val="20"/>
              </w:rPr>
              <w:t>– Oliivipressimisettevõtete vananenud rajatiste asendamine</w:t>
            </w:r>
          </w:p>
          <w:p w14:paraId="0909F97D" w14:textId="3361AABD" w:rsidR="0084326C" w:rsidRPr="005D68A0" w:rsidRDefault="00211FC9" w:rsidP="00003A97">
            <w:pPr>
              <w:spacing w:line="276" w:lineRule="auto"/>
              <w:rPr>
                <w:rFonts w:ascii="Arial Narrow" w:hAnsi="Arial Narrow"/>
                <w:noProof/>
                <w:color w:val="006100"/>
                <w:sz w:val="20"/>
                <w:szCs w:val="20"/>
              </w:rPr>
            </w:pPr>
            <w:r w:rsidRPr="00211FC9">
              <w:rPr>
                <w:rFonts w:ascii="Arial Narrow" w:hAnsi="Arial Narrow"/>
                <w:noProof/>
                <w:color w:val="006100"/>
                <w:sz w:val="20"/>
              </w:rPr>
              <w:t>Olulise kahju ärahoidmise põhimõtte järgimiseks peavad maastikusõidukid olema heitevabad või töötavad üksnes biometaanil, mis vastavad direktiivis 2018/2001 (II taastuvenergia direktiiv) sätestatud kriteeriumidele.</w:t>
            </w:r>
          </w:p>
          <w:p w14:paraId="5EB4E7DB" w14:textId="77777777" w:rsidR="0084326C" w:rsidRPr="005D68A0" w:rsidRDefault="0084326C" w:rsidP="00003A97">
            <w:pPr>
              <w:spacing w:line="276" w:lineRule="auto"/>
              <w:rPr>
                <w:rFonts w:ascii="Arial Narrow" w:hAnsi="Arial Narrow"/>
                <w:noProof/>
                <w:color w:val="006100"/>
                <w:sz w:val="20"/>
                <w:szCs w:val="20"/>
              </w:rPr>
            </w:pPr>
            <w:r>
              <w:rPr>
                <w:rFonts w:ascii="Arial Narrow" w:hAnsi="Arial Narrow"/>
                <w:noProof/>
                <w:color w:val="006100"/>
                <w:sz w:val="20"/>
              </w:rPr>
              <w:t>Biokütuse ja biometaani ning gaasi ja biokütuse tootjad peavad esitama tõendid (säästvuse tõend), mille on välja andnud sõltumatud hindajad, nagu on sätestatud direktiivis 2018/2001.</w:t>
            </w:r>
          </w:p>
          <w:p w14:paraId="5D2FA648" w14:textId="77777777" w:rsidR="0084326C" w:rsidRPr="005D68A0" w:rsidRDefault="0084326C" w:rsidP="00003A97">
            <w:pPr>
              <w:spacing w:line="276" w:lineRule="auto"/>
              <w:rPr>
                <w:rFonts w:ascii="Arial Narrow" w:hAnsi="Arial Narrow"/>
                <w:noProof/>
                <w:color w:val="006100"/>
                <w:sz w:val="20"/>
                <w:szCs w:val="20"/>
              </w:rPr>
            </w:pPr>
            <w:r>
              <w:rPr>
                <w:rFonts w:ascii="Arial Narrow" w:hAnsi="Arial Narrow"/>
                <w:noProof/>
                <w:color w:val="006100"/>
                <w:sz w:val="20"/>
              </w:rPr>
              <w:t>Käitaja ostab päritolutagatise sertifikaadid vastavalt eeldatavale kütusekasutusele.</w:t>
            </w:r>
          </w:p>
        </w:tc>
      </w:tr>
      <w:tr w:rsidR="0084326C" w:rsidRPr="00D90835" w14:paraId="01EAEAB7" w14:textId="77777777" w:rsidTr="00003A97">
        <w:trPr>
          <w:trHeight w:val="309"/>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A4A1C8"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M2C1-8</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4EDF4694"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Investeering 2.3. Innovatsioon ja mehhaniseerimine põllumajandus- ja toiduainesektoris</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66A37C32"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28E0819A"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Toetus investeeringutele innovatsiooni ringmajanduses ja biomajanduses</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47D8B8F4"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180" w:type="dxa"/>
            <w:tcBorders>
              <w:top w:val="single" w:sz="4" w:space="0" w:color="auto"/>
              <w:left w:val="nil"/>
              <w:bottom w:val="single" w:sz="4" w:space="0" w:color="auto"/>
              <w:right w:val="single" w:sz="4" w:space="0" w:color="auto"/>
            </w:tcBorders>
            <w:shd w:val="clear" w:color="auto" w:fill="C6EFCE"/>
            <w:noWrap/>
            <w:vAlign w:val="center"/>
          </w:tcPr>
          <w:p w14:paraId="603C3178"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Arv</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14:paraId="0042B7B7"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10 000</w:t>
            </w:r>
          </w:p>
        </w:tc>
        <w:tc>
          <w:tcPr>
            <w:tcW w:w="1347" w:type="dxa"/>
            <w:tcBorders>
              <w:top w:val="single" w:sz="4" w:space="0" w:color="auto"/>
              <w:left w:val="nil"/>
              <w:bottom w:val="single" w:sz="4" w:space="0" w:color="auto"/>
              <w:right w:val="single" w:sz="4" w:space="0" w:color="auto"/>
            </w:tcBorders>
            <w:shd w:val="clear" w:color="auto" w:fill="C6EFCE"/>
            <w:noWrap/>
            <w:vAlign w:val="center"/>
          </w:tcPr>
          <w:p w14:paraId="1A8EA945"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15 000</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6E0081F9"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2. kv</w:t>
            </w:r>
          </w:p>
        </w:tc>
        <w:tc>
          <w:tcPr>
            <w:tcW w:w="680" w:type="dxa"/>
            <w:tcBorders>
              <w:top w:val="single" w:sz="4" w:space="0" w:color="auto"/>
              <w:left w:val="nil"/>
              <w:bottom w:val="single" w:sz="4" w:space="0" w:color="auto"/>
              <w:right w:val="single" w:sz="4" w:space="0" w:color="auto"/>
            </w:tcBorders>
            <w:shd w:val="clear" w:color="auto" w:fill="C6EFCE"/>
            <w:noWrap/>
            <w:vAlign w:val="center"/>
          </w:tcPr>
          <w:p w14:paraId="248727B9"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2026</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14:paraId="700BB068" w14:textId="77777777" w:rsidR="0084326C" w:rsidRPr="005D68A0" w:rsidRDefault="0084326C" w:rsidP="00003A97">
            <w:pPr>
              <w:spacing w:line="276" w:lineRule="auto"/>
              <w:rPr>
                <w:rFonts w:ascii="Arial Narrow" w:hAnsi="Arial Narrow"/>
                <w:noProof/>
                <w:color w:val="006100"/>
                <w:sz w:val="20"/>
                <w:szCs w:val="20"/>
              </w:rPr>
            </w:pPr>
            <w:r>
              <w:rPr>
                <w:rFonts w:ascii="Arial Narrow" w:hAnsi="Arial Narrow"/>
                <w:noProof/>
                <w:color w:val="006100"/>
                <w:sz w:val="20"/>
              </w:rPr>
              <w:t>Pärast projektide lõpuleviimist on vähemalt 15 000 lõppsaajat saanud toetust tasustatud investeeringuteks ringmajandusse ja biomajandusse.</w:t>
            </w:r>
          </w:p>
          <w:p w14:paraId="0B7B7B92" w14:textId="77777777" w:rsidR="0084326C" w:rsidRPr="005D68A0" w:rsidRDefault="0084326C" w:rsidP="00003A97">
            <w:pPr>
              <w:spacing w:line="276" w:lineRule="auto"/>
              <w:rPr>
                <w:rFonts w:ascii="Arial Narrow" w:hAnsi="Arial Narrow"/>
                <w:noProof/>
                <w:color w:val="006100"/>
                <w:sz w:val="20"/>
                <w:szCs w:val="20"/>
              </w:rPr>
            </w:pPr>
            <w:r>
              <w:rPr>
                <w:rFonts w:ascii="Arial Narrow" w:hAnsi="Arial Narrow"/>
                <w:noProof/>
                <w:color w:val="006100"/>
                <w:sz w:val="20"/>
              </w:rPr>
              <w:t>Toetatavad investeeringud on järgmised:</w:t>
            </w:r>
          </w:p>
          <w:p w14:paraId="1B405833" w14:textId="77777777" w:rsidR="0084326C" w:rsidRPr="005D68A0" w:rsidRDefault="0084326C" w:rsidP="00003A97">
            <w:pPr>
              <w:spacing w:line="276" w:lineRule="auto"/>
              <w:rPr>
                <w:rFonts w:ascii="Arial Narrow" w:hAnsi="Arial Narrow"/>
                <w:noProof/>
                <w:color w:val="006100"/>
                <w:sz w:val="20"/>
                <w:szCs w:val="20"/>
              </w:rPr>
            </w:pPr>
            <w:r>
              <w:rPr>
                <w:rFonts w:ascii="Arial Narrow" w:hAnsi="Arial Narrow"/>
                <w:noProof/>
                <w:color w:val="006100"/>
                <w:sz w:val="20"/>
              </w:rPr>
              <w:t>– Saastavamate maastikusõidukite asendamine</w:t>
            </w:r>
          </w:p>
          <w:p w14:paraId="0E844CEF" w14:textId="77777777" w:rsidR="0084326C" w:rsidRPr="005D68A0" w:rsidRDefault="0084326C" w:rsidP="00003A97">
            <w:pPr>
              <w:spacing w:line="276" w:lineRule="auto"/>
              <w:rPr>
                <w:rFonts w:ascii="Arial Narrow" w:hAnsi="Arial Narrow"/>
                <w:noProof/>
                <w:color w:val="006100"/>
                <w:sz w:val="20"/>
                <w:szCs w:val="20"/>
              </w:rPr>
            </w:pPr>
            <w:r>
              <w:rPr>
                <w:rFonts w:ascii="Arial Narrow" w:hAnsi="Arial Narrow"/>
                <w:noProof/>
                <w:color w:val="006100"/>
                <w:sz w:val="20"/>
              </w:rPr>
              <w:t>– Täppispõllumajanduse kasutuselevõtt</w:t>
            </w:r>
          </w:p>
          <w:p w14:paraId="04882D57" w14:textId="77777777" w:rsidR="0084326C" w:rsidRPr="005D68A0" w:rsidRDefault="0084326C" w:rsidP="00003A97">
            <w:pPr>
              <w:spacing w:line="276" w:lineRule="auto"/>
              <w:rPr>
                <w:rFonts w:ascii="Arial Narrow" w:hAnsi="Arial Narrow"/>
                <w:noProof/>
                <w:color w:val="006100"/>
                <w:sz w:val="20"/>
                <w:szCs w:val="20"/>
              </w:rPr>
            </w:pPr>
            <w:r>
              <w:rPr>
                <w:rFonts w:ascii="Arial Narrow" w:hAnsi="Arial Narrow"/>
                <w:noProof/>
                <w:color w:val="006100"/>
                <w:sz w:val="20"/>
              </w:rPr>
              <w:t>– Oliivipressimisettevõtete vananenud rajatiste asendamine</w:t>
            </w:r>
          </w:p>
          <w:p w14:paraId="77402524" w14:textId="77777777" w:rsidR="0084326C" w:rsidRPr="00F33804" w:rsidRDefault="0084326C" w:rsidP="00003A97">
            <w:pPr>
              <w:spacing w:line="276" w:lineRule="auto"/>
              <w:rPr>
                <w:rFonts w:ascii="Arial Narrow" w:hAnsi="Arial Narrow"/>
                <w:noProof/>
                <w:color w:val="006100"/>
                <w:sz w:val="20"/>
                <w:szCs w:val="20"/>
              </w:rPr>
            </w:pPr>
          </w:p>
          <w:p w14:paraId="72DDBB4E" w14:textId="77777777" w:rsidR="0084326C" w:rsidRPr="005D68A0" w:rsidRDefault="0084326C" w:rsidP="00003A97">
            <w:pPr>
              <w:spacing w:line="276" w:lineRule="auto"/>
              <w:rPr>
                <w:rFonts w:ascii="Arial Narrow" w:hAnsi="Arial Narrow"/>
                <w:noProof/>
                <w:color w:val="006100"/>
                <w:sz w:val="20"/>
                <w:szCs w:val="20"/>
              </w:rPr>
            </w:pPr>
            <w:r>
              <w:rPr>
                <w:rFonts w:ascii="Arial Narrow" w:hAnsi="Arial Narrow"/>
                <w:noProof/>
                <w:color w:val="006100"/>
                <w:sz w:val="20"/>
              </w:rPr>
              <w:t>Olulise seisundi ärahoidmise põhimõtte järgimiseks peavad maastikusõidukid olema heitevabad või töötama üksnes biometaanil, mis peab vastama direktiivis 2018/2001 (II taastuvenergia direktiiv) sätestatud kriteeriumidele.</w:t>
            </w:r>
          </w:p>
          <w:p w14:paraId="3F678876" w14:textId="77777777" w:rsidR="0084326C" w:rsidRPr="005D68A0" w:rsidRDefault="0084326C" w:rsidP="00003A97">
            <w:pPr>
              <w:spacing w:line="276" w:lineRule="auto"/>
              <w:rPr>
                <w:rFonts w:ascii="Arial Narrow" w:hAnsi="Arial Narrow"/>
                <w:noProof/>
                <w:color w:val="006100"/>
                <w:sz w:val="20"/>
                <w:szCs w:val="20"/>
              </w:rPr>
            </w:pPr>
            <w:r>
              <w:rPr>
                <w:rFonts w:ascii="Arial Narrow" w:hAnsi="Arial Narrow"/>
                <w:noProof/>
                <w:color w:val="006100"/>
                <w:sz w:val="20"/>
              </w:rPr>
              <w:t>Biokütuse ja biometaani ning gaasi ja biokütuse tootjad peavad esitama tõendid (säästvuse tõend), mille on välja andnud sõltumatud hindajad, nagu on sätestatud direktiivis 2018/2001. Käitaja ostab päritolutagatise sertifikaadid vastavalt eeldatavale kütusekasutusele.</w:t>
            </w:r>
          </w:p>
        </w:tc>
      </w:tr>
      <w:tr w:rsidR="0084326C" w:rsidRPr="00D90835" w14:paraId="6E1DF2F1" w14:textId="77777777" w:rsidTr="00003A97">
        <w:trPr>
          <w:trHeight w:val="309"/>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C3B2BC6"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M2C1-9</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750B14BC"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Investeering 2.2. Põllumajanduslik päikesepark</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45275DEB"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124AD053"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Põllumajanduslik vulkaaniline energiatootmine</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5B26AC5C"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180" w:type="dxa"/>
            <w:tcBorders>
              <w:top w:val="single" w:sz="4" w:space="0" w:color="auto"/>
              <w:left w:val="nil"/>
              <w:bottom w:val="single" w:sz="4" w:space="0" w:color="auto"/>
              <w:right w:val="single" w:sz="4" w:space="0" w:color="auto"/>
            </w:tcBorders>
            <w:shd w:val="clear" w:color="auto" w:fill="C6EFCE"/>
            <w:noWrap/>
            <w:vAlign w:val="center"/>
          </w:tcPr>
          <w:p w14:paraId="75AF25B4"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kW</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14:paraId="5B4653E3"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0</w:t>
            </w:r>
          </w:p>
        </w:tc>
        <w:tc>
          <w:tcPr>
            <w:tcW w:w="1347" w:type="dxa"/>
            <w:tcBorders>
              <w:top w:val="single" w:sz="4" w:space="0" w:color="auto"/>
              <w:left w:val="nil"/>
              <w:bottom w:val="single" w:sz="4" w:space="0" w:color="auto"/>
              <w:right w:val="single" w:sz="4" w:space="0" w:color="auto"/>
            </w:tcBorders>
            <w:shd w:val="clear" w:color="auto" w:fill="C6EFCE"/>
            <w:noWrap/>
            <w:vAlign w:val="center"/>
          </w:tcPr>
          <w:p w14:paraId="340D2214"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1 383 000</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76E12158"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2. kv</w:t>
            </w:r>
          </w:p>
        </w:tc>
        <w:tc>
          <w:tcPr>
            <w:tcW w:w="680" w:type="dxa"/>
            <w:tcBorders>
              <w:top w:val="single" w:sz="4" w:space="0" w:color="auto"/>
              <w:left w:val="nil"/>
              <w:bottom w:val="single" w:sz="4" w:space="0" w:color="auto"/>
              <w:right w:val="single" w:sz="4" w:space="0" w:color="auto"/>
            </w:tcBorders>
            <w:shd w:val="clear" w:color="auto" w:fill="C6EFCE"/>
            <w:noWrap/>
            <w:vAlign w:val="center"/>
          </w:tcPr>
          <w:p w14:paraId="35C92322"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2026</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14:paraId="00559411" w14:textId="0FF34B8A" w:rsidR="0084326C" w:rsidRPr="005D68A0" w:rsidRDefault="0084326C" w:rsidP="00003A97">
            <w:pPr>
              <w:spacing w:line="276" w:lineRule="auto"/>
              <w:rPr>
                <w:rFonts w:ascii="Arial Narrow" w:hAnsi="Arial Narrow"/>
                <w:noProof/>
                <w:color w:val="006100"/>
                <w:sz w:val="20"/>
                <w:szCs w:val="20"/>
              </w:rPr>
            </w:pPr>
            <w:r>
              <w:rPr>
                <w:rFonts w:ascii="Arial Narrow" w:hAnsi="Arial Narrow"/>
                <w:noProof/>
                <w:color w:val="006100"/>
                <w:sz w:val="20"/>
              </w:rPr>
              <w:t>Paigaldatud vähemalt 1 383 000 kW päikeseenergia tootmisvõimsus</w:t>
            </w:r>
          </w:p>
        </w:tc>
      </w:tr>
      <w:tr w:rsidR="0084326C" w:rsidRPr="00D90835" w14:paraId="58B06AAD" w14:textId="77777777" w:rsidTr="00003A97">
        <w:trPr>
          <w:trHeight w:val="309"/>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FDEC2F"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M2C1-10</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615A86D6"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Investeering 2.1. Logistikakava põllumajandusliku toidutööstuse, kalanduse ja vesiviljeluse, metsanduse, lillekasvatuse ja taimekasvatussektori jaoks</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68F3AFAF"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67A7B4A6"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Sekkumised põllumajandusliku toidutööstuse, kalanduse ja vesiviljeluse, metsanduse, lillekasvatuse ja taimekasvatussektori logistika parandamiseks</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27CA299C"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180" w:type="dxa"/>
            <w:tcBorders>
              <w:top w:val="single" w:sz="4" w:space="0" w:color="auto"/>
              <w:left w:val="nil"/>
              <w:bottom w:val="single" w:sz="4" w:space="0" w:color="auto"/>
              <w:right w:val="single" w:sz="4" w:space="0" w:color="auto"/>
            </w:tcBorders>
            <w:shd w:val="clear" w:color="auto" w:fill="C6EFCE"/>
            <w:noWrap/>
            <w:vAlign w:val="center"/>
          </w:tcPr>
          <w:p w14:paraId="11AB0F54"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Arv</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14:paraId="6A77D232"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0</w:t>
            </w:r>
          </w:p>
        </w:tc>
        <w:tc>
          <w:tcPr>
            <w:tcW w:w="1347" w:type="dxa"/>
            <w:tcBorders>
              <w:top w:val="single" w:sz="4" w:space="0" w:color="auto"/>
              <w:left w:val="nil"/>
              <w:bottom w:val="single" w:sz="4" w:space="0" w:color="auto"/>
              <w:right w:val="single" w:sz="4" w:space="0" w:color="auto"/>
            </w:tcBorders>
            <w:shd w:val="clear" w:color="auto" w:fill="C6EFCE"/>
            <w:noWrap/>
            <w:vAlign w:val="center"/>
          </w:tcPr>
          <w:p w14:paraId="11C7A959"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48</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33B8855D"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2. kv</w:t>
            </w:r>
          </w:p>
        </w:tc>
        <w:tc>
          <w:tcPr>
            <w:tcW w:w="680" w:type="dxa"/>
            <w:tcBorders>
              <w:top w:val="single" w:sz="4" w:space="0" w:color="auto"/>
              <w:left w:val="nil"/>
              <w:bottom w:val="single" w:sz="4" w:space="0" w:color="auto"/>
              <w:right w:val="single" w:sz="4" w:space="0" w:color="auto"/>
            </w:tcBorders>
            <w:shd w:val="clear" w:color="auto" w:fill="C6EFCE"/>
            <w:noWrap/>
            <w:vAlign w:val="center"/>
          </w:tcPr>
          <w:p w14:paraId="48E105F2"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2026</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14:paraId="7BADE17D" w14:textId="77777777" w:rsidR="0084326C" w:rsidRPr="005D68A0" w:rsidRDefault="0084326C" w:rsidP="00003A97">
            <w:pPr>
              <w:spacing w:line="276" w:lineRule="auto"/>
              <w:rPr>
                <w:rFonts w:ascii="Arial Narrow" w:hAnsi="Arial Narrow"/>
                <w:noProof/>
                <w:color w:val="006100"/>
                <w:sz w:val="20"/>
                <w:szCs w:val="20"/>
              </w:rPr>
            </w:pPr>
            <w:r>
              <w:rPr>
                <w:rFonts w:ascii="Arial Narrow" w:hAnsi="Arial Narrow"/>
                <w:noProof/>
                <w:color w:val="006100"/>
                <w:sz w:val="20"/>
              </w:rPr>
              <w:t>Vähemalt 48 sekkumist logistika parandamiseks põllumajanduslikus toidutööstuses, kalanduses ja vesiviljeluses, metsanduses, lillekasvatuses ja puukoolides.</w:t>
            </w:r>
          </w:p>
        </w:tc>
      </w:tr>
      <w:tr w:rsidR="0084326C" w:rsidRPr="00D90835" w14:paraId="782B6B8E" w14:textId="77777777" w:rsidTr="00003A97">
        <w:trPr>
          <w:trHeight w:val="309"/>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2F948D7"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M2C1-11</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306C195A"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Investeering 3.3. Kultuur ja teadlikkus keskkonnateemadest ja -probleemidest</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3E1562D8"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557DDE72"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Veebiplatvormi käivitamine ja autoritega lepingute sõlmimine</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58CB9D6B"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Teade sisutootjatega lepingu sõlmimise kohta</w:t>
            </w:r>
          </w:p>
        </w:tc>
        <w:tc>
          <w:tcPr>
            <w:tcW w:w="1180" w:type="dxa"/>
            <w:tcBorders>
              <w:top w:val="single" w:sz="4" w:space="0" w:color="auto"/>
              <w:left w:val="nil"/>
              <w:bottom w:val="single" w:sz="4" w:space="0" w:color="auto"/>
              <w:right w:val="single" w:sz="4" w:space="0" w:color="auto"/>
            </w:tcBorders>
            <w:shd w:val="clear" w:color="auto" w:fill="C6EFCE"/>
            <w:noWrap/>
            <w:vAlign w:val="center"/>
          </w:tcPr>
          <w:p w14:paraId="16630231"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14:paraId="6F57CFFD"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347" w:type="dxa"/>
            <w:tcBorders>
              <w:top w:val="single" w:sz="4" w:space="0" w:color="auto"/>
              <w:left w:val="nil"/>
              <w:bottom w:val="single" w:sz="4" w:space="0" w:color="auto"/>
              <w:right w:val="single" w:sz="4" w:space="0" w:color="auto"/>
            </w:tcBorders>
            <w:shd w:val="clear" w:color="auto" w:fill="C6EFCE"/>
            <w:noWrap/>
            <w:vAlign w:val="center"/>
          </w:tcPr>
          <w:p w14:paraId="16D313F9"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3AB2030F"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2. kv</w:t>
            </w:r>
          </w:p>
        </w:tc>
        <w:tc>
          <w:tcPr>
            <w:tcW w:w="680" w:type="dxa"/>
            <w:tcBorders>
              <w:top w:val="single" w:sz="4" w:space="0" w:color="auto"/>
              <w:left w:val="nil"/>
              <w:bottom w:val="single" w:sz="4" w:space="0" w:color="auto"/>
              <w:right w:val="single" w:sz="4" w:space="0" w:color="auto"/>
            </w:tcBorders>
            <w:shd w:val="clear" w:color="auto" w:fill="C6EFCE"/>
            <w:noWrap/>
            <w:vAlign w:val="center"/>
          </w:tcPr>
          <w:p w14:paraId="5A2C3ADA"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2022</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14:paraId="6DDAA651" w14:textId="77777777" w:rsidR="0084326C" w:rsidRPr="005D68A0" w:rsidRDefault="0084326C" w:rsidP="00003A97">
            <w:pPr>
              <w:spacing w:line="276" w:lineRule="auto"/>
              <w:rPr>
                <w:rFonts w:ascii="Arial Narrow" w:hAnsi="Arial Narrow"/>
                <w:noProof/>
                <w:color w:val="006100"/>
                <w:sz w:val="20"/>
                <w:szCs w:val="20"/>
              </w:rPr>
            </w:pPr>
            <w:r>
              <w:rPr>
                <w:rFonts w:ascii="Arial Narrow" w:hAnsi="Arial Narrow"/>
                <w:noProof/>
                <w:color w:val="006100"/>
                <w:sz w:val="20"/>
              </w:rPr>
              <w:t>Veebiplatvormi avalik käivitamine ja lõplike lepingute allkirjastamine sisutootjatega. Projektide eesmärk on töötada välja vähemalt 180 netisaadet, koolispetsiifilist videoõpet ja videosisu, mis on koostatud ja kättesaadavad keskkonnaalase ülemineku veebiplatvormil.</w:t>
            </w:r>
          </w:p>
        </w:tc>
      </w:tr>
      <w:tr w:rsidR="0084326C" w:rsidRPr="00D90835" w14:paraId="1D6CDA3F" w14:textId="77777777" w:rsidTr="00003A97">
        <w:trPr>
          <w:trHeight w:val="309"/>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4CA29C9"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M2C1-12</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4AB1DFF5"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Investeering 3.3. Kultuur ja teadlikkus keskkonnateemadest ja -probleemidest</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24E98EF9"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2F1EBF8C"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Audiovisuaalsed materjalid keskkonnaalase ülemineku kohta</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49A73693"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180" w:type="dxa"/>
            <w:tcBorders>
              <w:top w:val="single" w:sz="4" w:space="0" w:color="auto"/>
              <w:left w:val="nil"/>
              <w:bottom w:val="single" w:sz="4" w:space="0" w:color="auto"/>
              <w:right w:val="single" w:sz="4" w:space="0" w:color="auto"/>
            </w:tcBorders>
            <w:shd w:val="clear" w:color="auto" w:fill="C6EFCE"/>
            <w:noWrap/>
            <w:vAlign w:val="center"/>
          </w:tcPr>
          <w:p w14:paraId="2EE581A4"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Arv</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14:paraId="35AB3B0F"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0</w:t>
            </w:r>
          </w:p>
        </w:tc>
        <w:tc>
          <w:tcPr>
            <w:tcW w:w="1347" w:type="dxa"/>
            <w:tcBorders>
              <w:top w:val="single" w:sz="4" w:space="0" w:color="auto"/>
              <w:left w:val="nil"/>
              <w:bottom w:val="single" w:sz="4" w:space="0" w:color="auto"/>
              <w:right w:val="single" w:sz="4" w:space="0" w:color="auto"/>
            </w:tcBorders>
            <w:shd w:val="clear" w:color="auto" w:fill="C6EFCE"/>
            <w:noWrap/>
            <w:vAlign w:val="center"/>
          </w:tcPr>
          <w:p w14:paraId="0505770F"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180</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3DB52E4D"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2. kv</w:t>
            </w:r>
          </w:p>
        </w:tc>
        <w:tc>
          <w:tcPr>
            <w:tcW w:w="680" w:type="dxa"/>
            <w:tcBorders>
              <w:top w:val="single" w:sz="4" w:space="0" w:color="auto"/>
              <w:left w:val="nil"/>
              <w:bottom w:val="single" w:sz="4" w:space="0" w:color="auto"/>
              <w:right w:val="single" w:sz="4" w:space="0" w:color="auto"/>
            </w:tcBorders>
            <w:shd w:val="clear" w:color="auto" w:fill="C6EFCE"/>
            <w:noWrap/>
            <w:vAlign w:val="center"/>
          </w:tcPr>
          <w:p w14:paraId="6ABE0E1F" w14:textId="77777777" w:rsidR="0084326C" w:rsidRPr="005D68A0" w:rsidRDefault="0084326C" w:rsidP="00003A97">
            <w:pPr>
              <w:spacing w:line="276" w:lineRule="auto"/>
              <w:jc w:val="center"/>
              <w:rPr>
                <w:rFonts w:ascii="Arial Narrow" w:hAnsi="Arial Narrow"/>
                <w:noProof/>
                <w:color w:val="006100"/>
                <w:sz w:val="20"/>
                <w:szCs w:val="20"/>
              </w:rPr>
            </w:pPr>
            <w:r>
              <w:rPr>
                <w:rFonts w:ascii="Arial Narrow" w:hAnsi="Arial Narrow"/>
                <w:noProof/>
                <w:color w:val="006100"/>
                <w:sz w:val="20"/>
              </w:rPr>
              <w:t>2026</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14:paraId="1830A669" w14:textId="77777777" w:rsidR="0084326C" w:rsidRPr="005D68A0" w:rsidRDefault="0084326C" w:rsidP="00003A97">
            <w:pPr>
              <w:spacing w:line="276" w:lineRule="auto"/>
              <w:rPr>
                <w:rFonts w:ascii="Arial Narrow" w:hAnsi="Arial Narrow"/>
                <w:noProof/>
                <w:color w:val="006100"/>
                <w:sz w:val="20"/>
                <w:szCs w:val="20"/>
              </w:rPr>
            </w:pPr>
            <w:r>
              <w:rPr>
                <w:rFonts w:ascii="Arial Narrow" w:hAnsi="Arial Narrow"/>
                <w:noProof/>
                <w:color w:val="006100"/>
                <w:sz w:val="20"/>
              </w:rPr>
              <w:t>Vähemalt 180 netisaadet, koolispetsiifilist videoõpet ja videosisu, mida toodetakse ja mis on veebiplatvormil otseülekanded</w:t>
            </w:r>
          </w:p>
        </w:tc>
      </w:tr>
    </w:tbl>
    <w:p w14:paraId="73FD5D07" w14:textId="77777777" w:rsidR="0084326C" w:rsidRPr="005D68A0" w:rsidRDefault="0084326C" w:rsidP="0084326C">
      <w:pPr>
        <w:spacing w:before="120" w:after="120"/>
        <w:ind w:left="709"/>
        <w:jc w:val="both"/>
        <w:rPr>
          <w:noProof/>
        </w:rPr>
      </w:pPr>
      <w:r>
        <w:rPr>
          <w:noProof/>
        </w:rPr>
        <w:br w:type="textWrapping" w:clear="all"/>
      </w:r>
    </w:p>
    <w:p w14:paraId="59E6D3F2" w14:textId="77777777" w:rsidR="0084326C" w:rsidRPr="00F33804" w:rsidRDefault="0084326C" w:rsidP="0084326C">
      <w:pPr>
        <w:spacing w:before="120" w:after="120"/>
        <w:ind w:left="709"/>
        <w:jc w:val="both"/>
        <w:rPr>
          <w:noProof/>
        </w:rPr>
        <w:sectPr w:rsidR="0084326C" w:rsidRPr="00F33804">
          <w:headerReference w:type="even" r:id="rId122"/>
          <w:headerReference w:type="default" r:id="rId123"/>
          <w:footerReference w:type="even" r:id="rId124"/>
          <w:footerReference w:type="default" r:id="rId125"/>
          <w:headerReference w:type="first" r:id="rId126"/>
          <w:footerReference w:type="first" r:id="rId127"/>
          <w:pgSz w:w="16838" w:h="11907" w:orient="landscape"/>
          <w:pgMar w:top="1134" w:right="1134" w:bottom="1134" w:left="1134" w:header="567" w:footer="567" w:gutter="0"/>
          <w:cols w:space="720"/>
          <w:docGrid w:linePitch="360"/>
        </w:sectPr>
      </w:pPr>
    </w:p>
    <w:p w14:paraId="075DD53E" w14:textId="77777777" w:rsidR="0084326C" w:rsidRPr="005D68A0" w:rsidRDefault="0084326C" w:rsidP="0084326C">
      <w:pPr>
        <w:pStyle w:val="Heading3"/>
        <w:numPr>
          <w:ilvl w:val="0"/>
          <w:numId w:val="0"/>
        </w:numPr>
        <w:ind w:left="850" w:hanging="850"/>
        <w:rPr>
          <w:b/>
          <w:bCs w:val="0"/>
          <w:i w:val="0"/>
          <w:iCs/>
          <w:noProof/>
          <w:color w:val="4472C4" w:themeColor="accent1"/>
          <w:u w:val="single"/>
        </w:rPr>
      </w:pPr>
      <w:r>
        <w:rPr>
          <w:b/>
          <w:i w:val="0"/>
          <w:noProof/>
          <w:u w:val="single"/>
        </w:rPr>
        <w:t xml:space="preserve">D.3. </w:t>
      </w:r>
      <w:r>
        <w:rPr>
          <w:noProof/>
        </w:rPr>
        <w:tab/>
      </w:r>
      <w:r>
        <w:rPr>
          <w:b/>
          <w:i w:val="0"/>
          <w:noProof/>
          <w:u w:val="single"/>
        </w:rPr>
        <w:t xml:space="preserve">Laenuga seotud reformide ja investeeringute kirjeldus </w:t>
      </w:r>
    </w:p>
    <w:p w14:paraId="35CA5556" w14:textId="77777777" w:rsidR="0084326C" w:rsidRPr="005D68A0" w:rsidRDefault="0084326C" w:rsidP="0084326C">
      <w:pPr>
        <w:spacing w:before="120" w:after="120"/>
        <w:jc w:val="both"/>
        <w:rPr>
          <w:b/>
          <w:noProof/>
        </w:rPr>
      </w:pPr>
      <w:r>
        <w:rPr>
          <w:b/>
          <w:noProof/>
        </w:rPr>
        <w:t>Reform 1.2. Riiklik jäätmekäitluse programm</w:t>
      </w:r>
    </w:p>
    <w:p w14:paraId="2E38855B" w14:textId="77777777" w:rsidR="0084326C" w:rsidRPr="005D68A0" w:rsidRDefault="0084326C" w:rsidP="0084326C">
      <w:pPr>
        <w:spacing w:before="120" w:after="120"/>
        <w:jc w:val="both"/>
        <w:rPr>
          <w:noProof/>
        </w:rPr>
      </w:pPr>
      <w:r>
        <w:rPr>
          <w:noProof/>
        </w:rPr>
        <w:t xml:space="preserve">See reform seisneb ulatusliku riikliku jäätmekäitlusprogrammi vastuvõtmises, mille eesmärk on saavutada jäätmete korduskasutamiseks, ringlussevõtuks ja taaskasutamiseks ettevalmistamise kõrgeim tase, integreeritud jäätmekäitluseks vajalike rajatiste võrgustiku kohandamises, lõpp- ja jääkladustamise minimeerimises, seiresüsteemide loomises, uute rikkumismenetluste algatamise vältimises Itaalia vastu, jäätmete vähese kogumise vastu võitlemises, prügilasse ladestamise takistamises ja piirkondlike jäätmeprogrammidega vastastikuse täiendavuse tagamises, Euroopa ja riiklike jäätmealaste õigusaktide eesmärkide saavutamise võimaldamises ning ebaseadusliku jäätmete ladustamise ja vabas õhus põletamise vastu võitlemises. </w:t>
      </w:r>
    </w:p>
    <w:p w14:paraId="4960C7FA" w14:textId="77777777" w:rsidR="0084326C" w:rsidRPr="005D68A0" w:rsidRDefault="0084326C" w:rsidP="57A7F3EA">
      <w:pPr>
        <w:spacing w:before="120" w:after="120"/>
        <w:jc w:val="both"/>
        <w:rPr>
          <w:b/>
          <w:bCs/>
          <w:noProof/>
        </w:rPr>
      </w:pPr>
      <w:r>
        <w:rPr>
          <w:b/>
          <w:noProof/>
        </w:rPr>
        <w:t>Investeering 1.1. Uute jäätmekäitlusrajatiste rakendamine ja olemasolevate rajatiste moderniseerimine</w:t>
      </w:r>
    </w:p>
    <w:p w14:paraId="20E4AC72" w14:textId="77777777" w:rsidR="0084326C" w:rsidRPr="005D68A0" w:rsidRDefault="0084326C" w:rsidP="0084326C">
      <w:pPr>
        <w:spacing w:before="120" w:after="120"/>
        <w:jc w:val="both"/>
        <w:rPr>
          <w:noProof/>
        </w:rPr>
      </w:pPr>
      <w:r>
        <w:rPr>
          <w:noProof/>
        </w:rPr>
        <w:t>Need investeeringud seisnevad omavalitsuste eraldatud jäätmekogumisvõrgustiku täiustamises ja mehhaniseerimises, orgaaniliste jäätmete, mitme materjaliga, klaas- ja paberpakendite käitlemise/ringlussevõtu uute tehaste ehitamises ning uuenduslikes töötlemis-/ringlussevõtukäitistes, mis tegelevad isikliku adsorbendi kõrvaldamise, reoveesetete, naha- ja tekstiilijäätmetega.</w:t>
      </w:r>
    </w:p>
    <w:p w14:paraId="7FB85718" w14:textId="77777777" w:rsidR="0084326C" w:rsidRPr="005D68A0" w:rsidRDefault="0084326C" w:rsidP="0084326C">
      <w:pPr>
        <w:spacing w:before="120" w:after="120"/>
        <w:jc w:val="both"/>
        <w:rPr>
          <w:b/>
          <w:noProof/>
        </w:rPr>
      </w:pPr>
      <w:r>
        <w:rPr>
          <w:b/>
          <w:noProof/>
        </w:rPr>
        <w:t>Investeering 1.2. Ringmajandus: juhtalgatused</w:t>
      </w:r>
    </w:p>
    <w:p w14:paraId="5DF23113" w14:textId="77777777" w:rsidR="0084326C" w:rsidRPr="005D68A0" w:rsidRDefault="0084326C" w:rsidP="0084326C">
      <w:pPr>
        <w:spacing w:before="120" w:after="120"/>
        <w:jc w:val="both"/>
        <w:rPr>
          <w:noProof/>
        </w:rPr>
      </w:pPr>
      <w:r>
        <w:rPr>
          <w:noProof/>
        </w:rPr>
        <w:t>See investeering seisneb lahuskogumise võrgustiku täiustamise toetamises, sealhulgas protsesside ja/või logistika digiteerimise ning jäätmekäitlus-/ringlussevõtujaamade kaudu järgmistes sektorites:</w:t>
      </w:r>
    </w:p>
    <w:p w14:paraId="2F517B66" w14:textId="77777777" w:rsidR="0084326C" w:rsidRPr="005D68A0" w:rsidRDefault="0084326C" w:rsidP="0084326C">
      <w:pPr>
        <w:numPr>
          <w:ilvl w:val="0"/>
          <w:numId w:val="62"/>
        </w:numPr>
        <w:spacing w:before="120" w:after="120" w:line="259" w:lineRule="auto"/>
        <w:ind w:left="360"/>
        <w:contextualSpacing/>
        <w:jc w:val="both"/>
        <w:rPr>
          <w:noProof/>
        </w:rPr>
      </w:pPr>
      <w:r>
        <w:rPr>
          <w:noProof/>
        </w:rPr>
        <w:t>Elektri- ja elektroonikaseadmete jäätmed, sealhulgas tuuleturbiinide labad ja fotogalvaanilised paneelid;</w:t>
      </w:r>
    </w:p>
    <w:p w14:paraId="63F7B532" w14:textId="77777777" w:rsidR="0084326C" w:rsidRPr="005D68A0" w:rsidRDefault="0084326C" w:rsidP="0084326C">
      <w:pPr>
        <w:numPr>
          <w:ilvl w:val="0"/>
          <w:numId w:val="62"/>
        </w:numPr>
        <w:spacing w:before="120" w:after="120" w:line="259" w:lineRule="auto"/>
        <w:ind w:left="360"/>
        <w:contextualSpacing/>
        <w:jc w:val="both"/>
        <w:rPr>
          <w:noProof/>
        </w:rPr>
      </w:pPr>
      <w:r>
        <w:rPr>
          <w:noProof/>
        </w:rPr>
        <w:t>Paberi- ja papitööstus;</w:t>
      </w:r>
    </w:p>
    <w:p w14:paraId="30EF2165" w14:textId="77777777" w:rsidR="0084326C" w:rsidRPr="005D68A0" w:rsidRDefault="0084326C" w:rsidP="0084326C">
      <w:pPr>
        <w:numPr>
          <w:ilvl w:val="0"/>
          <w:numId w:val="62"/>
        </w:numPr>
        <w:spacing w:before="120" w:after="120" w:line="259" w:lineRule="auto"/>
        <w:ind w:left="360"/>
        <w:contextualSpacing/>
        <w:jc w:val="both"/>
        <w:rPr>
          <w:noProof/>
        </w:rPr>
      </w:pPr>
      <w:r>
        <w:rPr>
          <w:noProof/>
        </w:rPr>
        <w:t>Plastijäätmete ringlussevõtt (mehaaniline, keemiline ringlussevõtt, „plastikkeskused“), sealhulgas mereprügi. Selles valdkonnas soodustatakse tööstussümbioosi projekte ringpiirkondade kujul, et tagada plasti ringlussevõtu kõrvalsaaduste täielik korduskasutamine ja toota kõrge lisandväärtusega kaupu;</w:t>
      </w:r>
    </w:p>
    <w:p w14:paraId="60E0FE8D" w14:textId="77777777" w:rsidR="0084326C" w:rsidRPr="005D68A0" w:rsidRDefault="0084326C" w:rsidP="0084326C">
      <w:pPr>
        <w:numPr>
          <w:ilvl w:val="0"/>
          <w:numId w:val="62"/>
        </w:numPr>
        <w:spacing w:before="120" w:after="120" w:line="259" w:lineRule="auto"/>
        <w:ind w:left="360"/>
        <w:contextualSpacing/>
        <w:jc w:val="both"/>
        <w:rPr>
          <w:noProof/>
        </w:rPr>
      </w:pPr>
      <w:r>
        <w:rPr>
          <w:noProof/>
        </w:rPr>
        <w:t>Tekstiil („tekstiilikeskused“).</w:t>
      </w:r>
    </w:p>
    <w:p w14:paraId="32923F6A" w14:textId="77777777" w:rsidR="0084326C" w:rsidRPr="005D68A0" w:rsidRDefault="0084326C" w:rsidP="0084326C">
      <w:pPr>
        <w:spacing w:before="120" w:after="120"/>
        <w:jc w:val="both"/>
        <w:rPr>
          <w:noProof/>
        </w:rPr>
      </w:pPr>
      <w:r>
        <w:rPr>
          <w:noProof/>
        </w:rPr>
        <w:t xml:space="preserve">Lisaks töötatakse satelliitide, droonide ja tehisintellekti tehnoloogia abil välja ülemaailmne seiresüsteem ebaseaduslikule kaadamisele reageerimiseks (üldise sekkumise täpsema kirjelduse leiate ülesande 2 komponendi 4 </w:t>
      </w:r>
      <w:r>
        <w:rPr>
          <w:i/>
          <w:noProof/>
        </w:rPr>
        <w:t>investeeringust 1.1 - Täiustatud ja integreeritud seire- ja prognoosisüsteemi rakendamine</w:t>
      </w:r>
      <w:r>
        <w:rPr>
          <w:noProof/>
        </w:rPr>
        <w:t>). Ülemaailmne seiresüsteem koos kavandatud meetmetega jäätmete jälgitavuse kohta toetab kohalikke kontrolliasutusi ja korrakaitsejõude ebaseadusliku kaadamise ja organiseeritud kuritegevuse ärahoidmisel, kontrollimisel ja tõkestamisel jäätmekäitluses.</w:t>
      </w:r>
    </w:p>
    <w:p w14:paraId="2F979755" w14:textId="77777777" w:rsidR="0084326C" w:rsidRPr="005D68A0" w:rsidRDefault="0084326C" w:rsidP="0084326C">
      <w:pPr>
        <w:spacing w:before="120" w:after="120"/>
        <w:ind w:firstLine="567"/>
        <w:jc w:val="both"/>
        <w:rPr>
          <w:b/>
          <w:noProof/>
        </w:rPr>
      </w:pPr>
      <w:r>
        <w:rPr>
          <w:b/>
          <w:noProof/>
        </w:rPr>
        <w:t>Investeering 3.1. Rohelised saared</w:t>
      </w:r>
    </w:p>
    <w:p w14:paraId="659558D7" w14:textId="5CE1C0C6" w:rsidR="0084326C" w:rsidRPr="005D68A0" w:rsidRDefault="0084326C" w:rsidP="0084326C">
      <w:pPr>
        <w:spacing w:before="120" w:after="120"/>
        <w:jc w:val="both"/>
        <w:rPr>
          <w:noProof/>
          <w:color w:val="006100"/>
        </w:rPr>
      </w:pPr>
      <w:r>
        <w:rPr>
          <w:noProof/>
        </w:rPr>
        <w:t>See investeering hõlmab projektide rahastamist ja rakendamist 19 omavahel ühendamata väikesaarel energeetika (nt taastuvad energiaallikad, võrgud ja energiatõhusus), vee (nt magestamine), transpordi (nt jalgrattateed, heitevabad bussid ja paadid) ja jäätmete (nt jäätmete eraldamine) valdkonnas. Biometaan peab vastama direktiivis 2018/2001 (RED II direktiiv) sätestatud kriteeriumidele. Biokütuse ja biometaani ning gaasi ja biokütuse tootjad peavad esitama tõendid (säästvuse tõend), mille on välja andnud sõltumatud hindajad, nagu on sätestatud direktiivis 2018/2001. Käitaja ostab päritolutagatise sertifikaadid vastavalt eeldatavale kütusekasutusele. Tagamaks, et meede vastab „ei kahjusta oluliselt“ tehnilistele suunistele (2021/C58/01), jäetakse tulevaste projektikonkursside juhendites sisalduvatest rahastamiskõlblikkuse kriteeriumidest välja järgmised tegevused: i) fossiilkütustega seotud tegevus, sealhulgas allkasutus tootmisahela järgmistes etappides</w:t>
      </w:r>
      <w:r w:rsidRPr="005D68A0">
        <w:rPr>
          <w:rStyle w:val="FootnoteReference"/>
          <w:noProof/>
          <w:lang w:val="en-GB"/>
        </w:rPr>
        <w:footnoteReference w:id="35"/>
      </w:r>
      <w:r>
        <w:rPr>
          <w:noProof/>
        </w:rPr>
        <w:t>; ii) ELi heitkogustega kauplemise süsteemi (HKS) raames toimuv tegevus, mille prognoositav kasvuhoonegaaside heide ei ole asjaomastest võrdlusalustest</w:t>
      </w:r>
      <w:r w:rsidRPr="005D68A0">
        <w:rPr>
          <w:rStyle w:val="FootnoteReference"/>
          <w:noProof/>
          <w:lang w:val="en-GB"/>
        </w:rPr>
        <w:footnoteReference w:id="36"/>
      </w:r>
      <w:r>
        <w:rPr>
          <w:noProof/>
        </w:rPr>
        <w:t xml:space="preserve"> madalam; iii) prügilate, jäätmepõletustehaste</w:t>
      </w:r>
      <w:r w:rsidRPr="005D68A0">
        <w:rPr>
          <w:rStyle w:val="FootnoteReference"/>
          <w:noProof/>
          <w:lang w:val="en-GB"/>
        </w:rPr>
        <w:footnoteReference w:id="37"/>
      </w:r>
      <w:r>
        <w:rPr>
          <w:noProof/>
        </w:rPr>
        <w:t xml:space="preserve"> ja mehhaanilis-bioloogilise töötlemise jaamadega</w:t>
      </w:r>
      <w:r w:rsidRPr="005D68A0">
        <w:rPr>
          <w:rStyle w:val="FootnoteReference"/>
          <w:noProof/>
          <w:lang w:val="en-GB"/>
        </w:rPr>
        <w:footnoteReference w:id="38"/>
      </w:r>
      <w:r>
        <w:rPr>
          <w:noProof/>
        </w:rPr>
        <w:t xml:space="preserve"> seotud tegevus; iv) tegevused, mille puhul jäätmete pikaajaline kõrvaldamine võib kahjustada keskkonda.</w:t>
      </w:r>
      <w:r w:rsidR="00211FC9">
        <w:rPr>
          <w:noProof/>
        </w:rPr>
        <w:t xml:space="preserve"> </w:t>
      </w:r>
      <w:r>
        <w:rPr>
          <w:noProof/>
        </w:rPr>
        <w:t>Lisaks nõutakse tingimustes, et valitakse ainult tegevused, mis on kooskõlas asjakohaste ELi ja riiklike keskkonnaalaste õigusaktidega.</w:t>
      </w:r>
    </w:p>
    <w:p w14:paraId="2D7E1C74" w14:textId="77777777" w:rsidR="0084326C" w:rsidRPr="005D68A0" w:rsidRDefault="0084326C" w:rsidP="0084326C">
      <w:pPr>
        <w:spacing w:before="120" w:after="120"/>
        <w:jc w:val="both"/>
        <w:rPr>
          <w:b/>
          <w:noProof/>
        </w:rPr>
      </w:pPr>
      <w:r>
        <w:rPr>
          <w:b/>
          <w:noProof/>
        </w:rPr>
        <w:t>Investeering 3.2. Rohelised kogukonnad</w:t>
      </w:r>
    </w:p>
    <w:p w14:paraId="5A165AA4" w14:textId="77777777" w:rsidR="0084326C" w:rsidRPr="005D68A0" w:rsidRDefault="0084326C" w:rsidP="0084326C">
      <w:pPr>
        <w:spacing w:before="120" w:after="120"/>
        <w:jc w:val="both"/>
        <w:rPr>
          <w:noProof/>
        </w:rPr>
      </w:pPr>
      <w:r>
        <w:rPr>
          <w:noProof/>
        </w:rPr>
        <w:t>See investeering seisneb toetuses maa- ja mägipiirkondadele, kes kavatsevad oma põhiressursse (nn rohelised kogukonnad) kasutada tasakaalustatult, investeerides eelkõige järgmistesse valdkondadesse:</w:t>
      </w:r>
    </w:p>
    <w:p w14:paraId="26A030E1" w14:textId="77777777" w:rsidR="0084326C" w:rsidRPr="005D68A0" w:rsidRDefault="0084326C" w:rsidP="0084326C">
      <w:pPr>
        <w:numPr>
          <w:ilvl w:val="0"/>
          <w:numId w:val="64"/>
        </w:numPr>
        <w:spacing w:before="120" w:after="120" w:line="259" w:lineRule="auto"/>
        <w:ind w:left="360"/>
        <w:contextualSpacing/>
        <w:jc w:val="both"/>
        <w:rPr>
          <w:noProof/>
        </w:rPr>
      </w:pPr>
      <w:r>
        <w:rPr>
          <w:noProof/>
        </w:rPr>
        <w:t>agrometsanduspärandi integreeritud ja sertifitseeritud haldamine („ka süsinikdioksiidi kogumisest, bioloogilise mitmekesisuse haldamisest ja puidu tarneahela sertifitseerimisest tuleneva krediidi vahetamise kaudu“);</w:t>
      </w:r>
    </w:p>
    <w:p w14:paraId="6A7FDF68" w14:textId="77777777" w:rsidR="0084326C" w:rsidRPr="005D68A0" w:rsidRDefault="0084326C" w:rsidP="0084326C">
      <w:pPr>
        <w:numPr>
          <w:ilvl w:val="0"/>
          <w:numId w:val="64"/>
        </w:numPr>
        <w:spacing w:before="120" w:after="120" w:line="259" w:lineRule="auto"/>
        <w:ind w:left="360"/>
        <w:contextualSpacing/>
        <w:jc w:val="both"/>
        <w:rPr>
          <w:noProof/>
        </w:rPr>
      </w:pPr>
      <w:r>
        <w:rPr>
          <w:noProof/>
        </w:rPr>
        <w:t>veevarude integreeritud ja sertifitseeritud majandamine;</w:t>
      </w:r>
    </w:p>
    <w:p w14:paraId="46AA9769" w14:textId="77777777" w:rsidR="0084326C" w:rsidRPr="005D68A0" w:rsidRDefault="0084326C" w:rsidP="0084326C">
      <w:pPr>
        <w:numPr>
          <w:ilvl w:val="0"/>
          <w:numId w:val="64"/>
        </w:numPr>
        <w:spacing w:before="120" w:after="120" w:line="259" w:lineRule="auto"/>
        <w:ind w:left="360"/>
        <w:contextualSpacing/>
        <w:jc w:val="both"/>
        <w:rPr>
          <w:noProof/>
        </w:rPr>
      </w:pPr>
      <w:r>
        <w:rPr>
          <w:noProof/>
        </w:rPr>
        <w:t>energia tootmine kohalikest taastuvatest energiaallikatest, nagu mikrohüdroelektrijaamad, biomass, biogaas, tuul, koostootmine ja biometaan;</w:t>
      </w:r>
    </w:p>
    <w:p w14:paraId="197F6FF0" w14:textId="77777777" w:rsidR="0084326C" w:rsidRPr="005D68A0" w:rsidRDefault="0084326C" w:rsidP="0084326C">
      <w:pPr>
        <w:numPr>
          <w:ilvl w:val="0"/>
          <w:numId w:val="64"/>
        </w:numPr>
        <w:spacing w:before="120" w:after="120" w:line="259" w:lineRule="auto"/>
        <w:ind w:left="360"/>
        <w:contextualSpacing/>
        <w:jc w:val="both"/>
        <w:rPr>
          <w:noProof/>
        </w:rPr>
      </w:pPr>
      <w:r>
        <w:rPr>
          <w:noProof/>
        </w:rPr>
        <w:t>säästva turismi arendamine („võimaldab edendada kohalikke tooteid“);</w:t>
      </w:r>
    </w:p>
    <w:p w14:paraId="48F60707" w14:textId="77777777" w:rsidR="0084326C" w:rsidRPr="005D68A0" w:rsidRDefault="0084326C" w:rsidP="0084326C">
      <w:pPr>
        <w:numPr>
          <w:ilvl w:val="0"/>
          <w:numId w:val="64"/>
        </w:numPr>
        <w:spacing w:before="120" w:after="120" w:line="259" w:lineRule="auto"/>
        <w:ind w:left="360"/>
        <w:contextualSpacing/>
        <w:jc w:val="both"/>
        <w:rPr>
          <w:noProof/>
        </w:rPr>
      </w:pPr>
      <w:r>
        <w:rPr>
          <w:noProof/>
        </w:rPr>
        <w:t>moodsa mäe hoonefondi ja infrastruktuuri ehitamine ja säästev majandamine;</w:t>
      </w:r>
    </w:p>
    <w:p w14:paraId="21788444" w14:textId="77777777" w:rsidR="0084326C" w:rsidRPr="005D68A0" w:rsidRDefault="0084326C" w:rsidP="0084326C">
      <w:pPr>
        <w:numPr>
          <w:ilvl w:val="0"/>
          <w:numId w:val="64"/>
        </w:numPr>
        <w:spacing w:before="120" w:after="120" w:line="259" w:lineRule="auto"/>
        <w:ind w:left="360"/>
        <w:contextualSpacing/>
        <w:jc w:val="both"/>
        <w:rPr>
          <w:noProof/>
        </w:rPr>
      </w:pPr>
      <w:r>
        <w:rPr>
          <w:noProof/>
        </w:rPr>
        <w:t>energiatõhusus ning jaamade ja võrkude arukas integreerimine;</w:t>
      </w:r>
    </w:p>
    <w:p w14:paraId="2776EDAF" w14:textId="77777777" w:rsidR="0084326C" w:rsidRPr="005D68A0" w:rsidRDefault="0084326C" w:rsidP="0084326C">
      <w:pPr>
        <w:numPr>
          <w:ilvl w:val="0"/>
          <w:numId w:val="64"/>
        </w:numPr>
        <w:spacing w:before="120" w:after="120" w:line="259" w:lineRule="auto"/>
        <w:ind w:left="360"/>
        <w:contextualSpacing/>
        <w:jc w:val="both"/>
        <w:rPr>
          <w:noProof/>
        </w:rPr>
      </w:pPr>
      <w:r>
        <w:rPr>
          <w:noProof/>
        </w:rPr>
        <w:t>tootmistegevuse säästev areng (jäätmetekke vältimine);</w:t>
      </w:r>
    </w:p>
    <w:p w14:paraId="18892945" w14:textId="77777777" w:rsidR="0084326C" w:rsidRPr="005D68A0" w:rsidRDefault="0084326C" w:rsidP="0084326C">
      <w:pPr>
        <w:numPr>
          <w:ilvl w:val="0"/>
          <w:numId w:val="64"/>
        </w:numPr>
        <w:spacing w:before="120" w:after="120" w:line="259" w:lineRule="auto"/>
        <w:ind w:left="360"/>
        <w:contextualSpacing/>
        <w:jc w:val="both"/>
        <w:rPr>
          <w:noProof/>
        </w:rPr>
      </w:pPr>
      <w:r>
        <w:rPr>
          <w:noProof/>
        </w:rPr>
        <w:t>liikuvusteenuste integreerimine;</w:t>
      </w:r>
    </w:p>
    <w:p w14:paraId="6100F59C" w14:textId="77777777" w:rsidR="0084326C" w:rsidRPr="005D68A0" w:rsidRDefault="0084326C" w:rsidP="0084326C">
      <w:pPr>
        <w:numPr>
          <w:ilvl w:val="0"/>
          <w:numId w:val="64"/>
        </w:numPr>
        <w:spacing w:before="120" w:after="120" w:line="259" w:lineRule="auto"/>
        <w:ind w:left="360"/>
        <w:contextualSpacing/>
        <w:jc w:val="both"/>
        <w:rPr>
          <w:noProof/>
        </w:rPr>
      </w:pPr>
      <w:r>
        <w:rPr>
          <w:noProof/>
        </w:rPr>
        <w:t>säästva põllumajandusmudeli väljatöötamine („mis on ka energiast sõltumatu taastuvatest energiaallikatest energia tootmise ja kasutamise kaudu elektri-, soojus- ja transpordisektoris“).</w:t>
      </w:r>
    </w:p>
    <w:p w14:paraId="7CDB4EB0" w14:textId="77777777" w:rsidR="0084326C" w:rsidRPr="005D68A0" w:rsidRDefault="0084326C" w:rsidP="0084326C">
      <w:pPr>
        <w:pStyle w:val="ListParagraph"/>
        <w:numPr>
          <w:ilvl w:val="0"/>
          <w:numId w:val="64"/>
        </w:numPr>
        <w:spacing w:line="259" w:lineRule="auto"/>
        <w:ind w:left="360"/>
        <w:rPr>
          <w:rFonts w:asciiTheme="minorHAnsi" w:eastAsiaTheme="minorEastAsia" w:hAnsiTheme="minorHAnsi" w:cstheme="minorBidi"/>
          <w:noProof/>
          <w:color w:val="006100"/>
        </w:rPr>
      </w:pPr>
      <w:r>
        <w:rPr>
          <w:noProof/>
        </w:rPr>
        <w:t>Tagamaks, et meede vastab „ei kahjusta oluliselt“ tehnilistele suunistele (2021/C58/01), jäetakse tulevaste projektikonkursside juhendites sisalduvatest rahastamiskõlblikkuse kriteeriumidest välja järgmised tegevused: i) fossiilkütustega seotud tegevus, sealhulgas allkasutus tootmisahela järgmistes etappides</w:t>
      </w:r>
      <w:r w:rsidRPr="005D68A0">
        <w:rPr>
          <w:rStyle w:val="FootnoteReference"/>
          <w:noProof/>
          <w:lang w:val="en-GB"/>
        </w:rPr>
        <w:footnoteReference w:id="39"/>
      </w:r>
      <w:r>
        <w:rPr>
          <w:noProof/>
        </w:rPr>
        <w:t>; ii) ELi heitkogustega kauplemise süsteemi (HKS) raames toimuv tegevus, mille prognoositav kasvuhoonegaaside heide ei ole asjaomastest võrdlusalustest</w:t>
      </w:r>
      <w:r w:rsidRPr="005D68A0">
        <w:rPr>
          <w:rStyle w:val="FootnoteReference"/>
          <w:noProof/>
          <w:lang w:val="en-GB"/>
        </w:rPr>
        <w:footnoteReference w:id="40"/>
      </w:r>
      <w:r>
        <w:rPr>
          <w:noProof/>
        </w:rPr>
        <w:t xml:space="preserve"> madalam; iii) prügilate, jäätmepõletustehaste</w:t>
      </w:r>
      <w:r w:rsidRPr="005D68A0">
        <w:rPr>
          <w:rStyle w:val="FootnoteReference"/>
          <w:noProof/>
          <w:lang w:val="en-GB"/>
        </w:rPr>
        <w:footnoteReference w:id="41"/>
      </w:r>
      <w:r>
        <w:rPr>
          <w:noProof/>
        </w:rPr>
        <w:t xml:space="preserve"> ja mehhaanilis-bioloogilise töötlemise jaamadega</w:t>
      </w:r>
      <w:r w:rsidRPr="005D68A0">
        <w:rPr>
          <w:rStyle w:val="FootnoteReference"/>
          <w:noProof/>
          <w:lang w:val="en-GB"/>
        </w:rPr>
        <w:footnoteReference w:id="42"/>
      </w:r>
      <w:r>
        <w:rPr>
          <w:noProof/>
        </w:rPr>
        <w:t xml:space="preserve"> seotud tegevus; iv) tegevused, mille puhul jäätmete pikaajaline kõrvaldamine võib kahjustada keskkonda. Lisaks nõutakse tingimustes, et valitakse ainult tegevused, mis on kooskõlas asjakohaste ELi ja riiklike keskkonnaalaste õigusaktidega.</w:t>
      </w:r>
    </w:p>
    <w:p w14:paraId="0466C129" w14:textId="77777777" w:rsidR="0084326C" w:rsidRPr="005D68A0" w:rsidRDefault="0084326C" w:rsidP="0084326C">
      <w:pPr>
        <w:spacing w:before="120" w:after="120"/>
        <w:jc w:val="both"/>
        <w:rPr>
          <w:b/>
          <w:bCs/>
          <w:noProof/>
        </w:rPr>
      </w:pPr>
      <w:r>
        <w:rPr>
          <w:b/>
          <w:noProof/>
        </w:rPr>
        <w:t>Investeering 3.4. Fondo Rotativo Contratti di Filiera (FCF), et toetada tarneahelalepinguid põllumajandusliku toidutööstuse, kalanduse ja vesiviljeluse, metsanduse, lillekasvatuse ja taimepuukoolide sektoris</w:t>
      </w:r>
    </w:p>
    <w:p w14:paraId="750CE1E3" w14:textId="77777777" w:rsidR="0084326C" w:rsidRPr="005D68A0" w:rsidRDefault="0084326C" w:rsidP="0084326C">
      <w:pPr>
        <w:spacing w:after="120"/>
        <w:jc w:val="both"/>
        <w:rPr>
          <w:noProof/>
        </w:rPr>
      </w:pPr>
      <w:r>
        <w:rPr>
          <w:noProof/>
        </w:rPr>
        <w:t xml:space="preserve">See meede koosneb avaliku sektori investeeringust rahastamisvahendisse Fondo Rotativo Contratti di Filiera (FCF), et stimuleerida erainvesteeringuid ja parandada juurdepääsu rahastamisele Itaalia põllumajandusliku toidutööstuse, kalanduse ja vesiviljeluse, metsanduse, lillekasvatuse ja taimekasvatuse sektoris. Rahastu tegutseb toetuste ja subsideeritud laenude andmise kaudu otse ISMEA (Istituto di Servizi per il Mercato Agricolo Alimentare) kaudu. Rahastu summa on 2 miljardit eurot, sealhulgas ISMEA-le makstavad tasud. </w:t>
      </w:r>
    </w:p>
    <w:p w14:paraId="0A42B0D0" w14:textId="77777777" w:rsidR="0084326C" w:rsidRPr="005D68A0" w:rsidRDefault="0084326C" w:rsidP="0084326C">
      <w:pPr>
        <w:spacing w:after="120"/>
        <w:jc w:val="both"/>
        <w:rPr>
          <w:noProof/>
        </w:rPr>
      </w:pPr>
      <w:r>
        <w:rPr>
          <w:noProof/>
        </w:rPr>
        <w:t>Rahastut haldab rakenduspartnerina ISMEA. Fond hõlmab järgmisi tooteliike:</w:t>
      </w:r>
    </w:p>
    <w:p w14:paraId="3B85CC0B" w14:textId="77777777" w:rsidR="0084326C" w:rsidRPr="005D68A0" w:rsidRDefault="0084326C" w:rsidP="0084326C">
      <w:pPr>
        <w:pStyle w:val="ListParagraph"/>
        <w:numPr>
          <w:ilvl w:val="0"/>
          <w:numId w:val="103"/>
        </w:numPr>
        <w:spacing w:before="0"/>
        <w:contextualSpacing w:val="0"/>
        <w:rPr>
          <w:noProof/>
        </w:rPr>
      </w:pPr>
      <w:r>
        <w:rPr>
          <w:noProof/>
        </w:rPr>
        <w:t>Toetada ettevõtteid, ettevõtete rühmi või põllumajandustootjate ühendusi ning teadus- ja teadmisi levitavaid organisatsioone põllumajanduslikus toidutööstuses, kalanduses ja vesiviljeluses, metsanduses, lillekasvatuses ja taimepuukoolides, parandades tootmisprotsesse, lisades erinevate tegevuste hulka:</w:t>
      </w:r>
    </w:p>
    <w:p w14:paraId="16F1897B" w14:textId="77777777" w:rsidR="0084326C" w:rsidRPr="005D68A0" w:rsidRDefault="0084326C" w:rsidP="0084326C">
      <w:pPr>
        <w:pStyle w:val="ListParagraph"/>
        <w:numPr>
          <w:ilvl w:val="1"/>
          <w:numId w:val="103"/>
        </w:numPr>
        <w:spacing w:before="0"/>
        <w:contextualSpacing w:val="0"/>
        <w:rPr>
          <w:noProof/>
        </w:rPr>
      </w:pPr>
      <w:r>
        <w:rPr>
          <w:noProof/>
        </w:rPr>
        <w:t>Parandada tootmisprotsesside keskkonnasäästlikkust investeeringutega materiaalsesse ja immateriaalsesse varasse, et oluliselt suurendada sihtotstarbeliste tootmisprotsesside energia-, vee- ja ressursitarbimist;</w:t>
      </w:r>
    </w:p>
    <w:p w14:paraId="4B33F219" w14:textId="77777777" w:rsidR="0084326C" w:rsidRPr="005D68A0" w:rsidRDefault="0084326C" w:rsidP="0084326C">
      <w:pPr>
        <w:pStyle w:val="ListParagraph"/>
        <w:numPr>
          <w:ilvl w:val="1"/>
          <w:numId w:val="103"/>
        </w:numPr>
        <w:spacing w:before="0"/>
        <w:contextualSpacing w:val="0"/>
        <w:rPr>
          <w:noProof/>
        </w:rPr>
      </w:pPr>
      <w:r>
        <w:rPr>
          <w:noProof/>
        </w:rPr>
        <w:t xml:space="preserve">Investeeringud teadmistesse, koolitusse, teadusuuringutesse ja innovatsiooni, tehnosiirdesse ja arendusprojektidesse, mis võivad samuti toetada tarneahela eri osaliste vaheliste suhete ümberkorraldamist, et suurendada tootmisprotsesside jätkusuutlikkust; </w:t>
      </w:r>
    </w:p>
    <w:p w14:paraId="22DB8EB0" w14:textId="77777777" w:rsidR="0084326C" w:rsidRPr="005D68A0" w:rsidRDefault="0084326C" w:rsidP="0084326C">
      <w:pPr>
        <w:pStyle w:val="ListParagraph"/>
        <w:numPr>
          <w:ilvl w:val="1"/>
          <w:numId w:val="103"/>
        </w:numPr>
        <w:spacing w:before="0"/>
        <w:contextualSpacing w:val="0"/>
        <w:rPr>
          <w:noProof/>
        </w:rPr>
      </w:pPr>
      <w:r>
        <w:rPr>
          <w:noProof/>
        </w:rPr>
        <w:t>Investeeringud ettevõtete digitaliseerimisse, sealhulgas e-kaubandusse ja kujunemisjärgus tehnoloogiatesse;</w:t>
      </w:r>
    </w:p>
    <w:p w14:paraId="5BFDB51A" w14:textId="77777777" w:rsidR="0084326C" w:rsidRPr="005D68A0" w:rsidRDefault="0084326C" w:rsidP="0084326C">
      <w:pPr>
        <w:pStyle w:val="ListParagraph"/>
        <w:numPr>
          <w:ilvl w:val="1"/>
          <w:numId w:val="103"/>
        </w:numPr>
        <w:spacing w:before="0"/>
        <w:contextualSpacing w:val="0"/>
        <w:rPr>
          <w:noProof/>
        </w:rPr>
      </w:pPr>
      <w:r>
        <w:rPr>
          <w:noProof/>
        </w:rPr>
        <w:t>Fotogalvaaniliste ja päikesepaneelide paigaldamine</w:t>
      </w:r>
    </w:p>
    <w:p w14:paraId="2F198502" w14:textId="77777777" w:rsidR="0084326C" w:rsidRPr="005D68A0" w:rsidRDefault="0084326C" w:rsidP="0084326C">
      <w:pPr>
        <w:spacing w:before="120" w:after="120"/>
        <w:jc w:val="both"/>
        <w:rPr>
          <w:noProof/>
        </w:rPr>
      </w:pPr>
      <w:r>
        <w:rPr>
          <w:noProof/>
        </w:rPr>
        <w:t xml:space="preserve">Meetme eesmärk on vähendada kasvuhoonegaaside heidet, toidujäätmeid ning pestitsiidide ja antimikroobikumide kasutamist, parandada energiatõhusust ning suurendada taastuvenergia tootmist ja kasutamist.  </w:t>
      </w:r>
    </w:p>
    <w:p w14:paraId="01105A0C" w14:textId="77777777" w:rsidR="0084326C" w:rsidRPr="005D68A0" w:rsidRDefault="0084326C" w:rsidP="0084326C">
      <w:pPr>
        <w:spacing w:after="120"/>
        <w:jc w:val="both"/>
        <w:rPr>
          <w:noProof/>
        </w:rPr>
      </w:pPr>
      <w:r>
        <w:rPr>
          <w:noProof/>
        </w:rPr>
        <w:t>Rahastusse investeeringu tegemiseks kirjutavad ministeerium ja ISMEA alla rakenduslepingule, mis sisaldab järgmist sisu:</w:t>
      </w:r>
    </w:p>
    <w:p w14:paraId="6B5B3A4D" w14:textId="77777777" w:rsidR="0084326C" w:rsidRPr="005D68A0" w:rsidRDefault="0084326C" w:rsidP="0084326C">
      <w:pPr>
        <w:pStyle w:val="ListParagraph"/>
        <w:numPr>
          <w:ilvl w:val="0"/>
          <w:numId w:val="102"/>
        </w:numPr>
        <w:spacing w:before="0"/>
        <w:contextualSpacing w:val="0"/>
        <w:rPr>
          <w:noProof/>
        </w:rPr>
      </w:pPr>
      <w:r>
        <w:rPr>
          <w:noProof/>
        </w:rPr>
        <w:t>Rahastu otsustusprotsessi kirjeldus: Fondi lõpliku investeerimisotsuse teeb investeerimiskomitee või muu samaväärne juhtorgan ning see kiidetakse heaks valitsusest sõltumatute liikmete häälteenamusega.</w:t>
      </w:r>
    </w:p>
    <w:p w14:paraId="25D881CE" w14:textId="77777777" w:rsidR="0084326C" w:rsidRPr="005D68A0" w:rsidRDefault="0084326C" w:rsidP="0084326C">
      <w:pPr>
        <w:pStyle w:val="ListParagraph"/>
        <w:numPr>
          <w:ilvl w:val="0"/>
          <w:numId w:val="102"/>
        </w:numPr>
        <w:spacing w:before="0"/>
        <w:contextualSpacing w:val="0"/>
        <w:rPr>
          <w:noProof/>
        </w:rPr>
      </w:pPr>
      <w:r>
        <w:rPr>
          <w:noProof/>
        </w:rPr>
        <w:t>Seotud investeerimispoliitika põhinõuded, mis hõlmavad järgmist:</w:t>
      </w:r>
    </w:p>
    <w:p w14:paraId="7DF87527" w14:textId="77777777" w:rsidR="0084326C" w:rsidRPr="005D68A0" w:rsidRDefault="0084326C" w:rsidP="0084326C">
      <w:pPr>
        <w:pStyle w:val="ListParagraph"/>
        <w:numPr>
          <w:ilvl w:val="1"/>
          <w:numId w:val="102"/>
        </w:numPr>
        <w:spacing w:before="0"/>
        <w:contextualSpacing w:val="0"/>
        <w:rPr>
          <w:noProof/>
        </w:rPr>
      </w:pPr>
      <w:r>
        <w:rPr>
          <w:noProof/>
        </w:rPr>
        <w:t>Finantstoote(te) ja rahastamiskõlblike lõplike abisaajate kirjeldus.</w:t>
      </w:r>
    </w:p>
    <w:p w14:paraId="3FB357A6" w14:textId="77777777" w:rsidR="0084326C" w:rsidRPr="005D68A0" w:rsidRDefault="0084326C" w:rsidP="0084326C">
      <w:pPr>
        <w:pStyle w:val="ListParagraph"/>
        <w:numPr>
          <w:ilvl w:val="1"/>
          <w:numId w:val="102"/>
        </w:numPr>
        <w:spacing w:before="0"/>
        <w:contextualSpacing w:val="0"/>
        <w:rPr>
          <w:noProof/>
        </w:rPr>
      </w:pPr>
      <w:r>
        <w:rPr>
          <w:noProof/>
        </w:rPr>
        <w:t>Nõue, et kõik toetatavad investeeringud on majanduslikult elujõulised.</w:t>
      </w:r>
    </w:p>
    <w:p w14:paraId="5E364628" w14:textId="77777777" w:rsidR="0084326C" w:rsidRPr="005D68A0" w:rsidRDefault="0084326C" w:rsidP="0084326C">
      <w:pPr>
        <w:pStyle w:val="ListParagraph"/>
        <w:numPr>
          <w:ilvl w:val="1"/>
          <w:numId w:val="102"/>
        </w:numPr>
        <w:spacing w:before="0"/>
        <w:contextualSpacing w:val="0"/>
        <w:rPr>
          <w:noProof/>
        </w:rPr>
      </w:pPr>
      <w:r>
        <w:rPr>
          <w:noProof/>
        </w:rPr>
        <w:t>Nõue järgida olulise kahju ärahoidmise põhimõtet, nagu on sätestatud põhimõtte „ei kahjusta oluliselt“ tehnilistes suunistes (2021/C58/01). Eelkõige jäetakse investeerimispoliitika raames rahastamiskõlblikkuse alt välja järgmised tegevused ja varad: i) fossiilkütustega seotud tegevused ja varad, sealhulgas järgnev kasutamine,</w:t>
      </w:r>
      <w:r w:rsidRPr="005D68A0">
        <w:rPr>
          <w:rStyle w:val="FootnoteReference"/>
          <w:noProof/>
          <w:lang w:val="en-GB"/>
        </w:rPr>
        <w:footnoteReference w:id="43"/>
      </w:r>
      <w:r>
        <w:rPr>
          <w:noProof/>
        </w:rPr>
        <w:t xml:space="preserve"> ii) ELi heitkogustega kauplemise süsteemi (HKS) alla kuuluvad tegevused ja varad, millega saavutatakse prognoositud kasvuhoonegaaside heide, mis ei ole väiksem kui asjaomased võrdlusalused,</w:t>
      </w:r>
      <w:r w:rsidRPr="005D68A0">
        <w:rPr>
          <w:rStyle w:val="FootnoteReference"/>
          <w:noProof/>
          <w:lang w:val="en-GB"/>
        </w:rPr>
        <w:footnoteReference w:id="44"/>
      </w:r>
      <w:r>
        <w:rPr>
          <w:noProof/>
        </w:rPr>
        <w:t xml:space="preserve"> iii) prügilate, jäätmepõletustehaste</w:t>
      </w:r>
      <w:r w:rsidRPr="005D68A0">
        <w:rPr>
          <w:rStyle w:val="FootnoteReference"/>
          <w:noProof/>
          <w:lang w:val="en-GB"/>
        </w:rPr>
        <w:footnoteReference w:id="45"/>
      </w:r>
      <w:r>
        <w:rPr>
          <w:noProof/>
        </w:rPr>
        <w:t xml:space="preserve"> ja mehhaaniliste bioloogiliste töötlemistehastega seotud tegevused ja varad</w:t>
      </w:r>
      <w:r w:rsidRPr="005D68A0">
        <w:rPr>
          <w:rStyle w:val="FootnoteReference"/>
          <w:noProof/>
          <w:lang w:val="en-GB"/>
        </w:rPr>
        <w:footnoteReference w:id="46"/>
      </w:r>
      <w:r>
        <w:rPr>
          <w:noProof/>
        </w:rPr>
        <w:t xml:space="preserve">. </w:t>
      </w:r>
    </w:p>
    <w:p w14:paraId="632E57FA" w14:textId="77777777" w:rsidR="0084326C" w:rsidRPr="005D68A0" w:rsidRDefault="0084326C" w:rsidP="0084326C">
      <w:pPr>
        <w:pStyle w:val="ListParagraph"/>
        <w:numPr>
          <w:ilvl w:val="1"/>
          <w:numId w:val="102"/>
        </w:numPr>
        <w:spacing w:before="0"/>
        <w:contextualSpacing w:val="0"/>
        <w:rPr>
          <w:noProof/>
        </w:rPr>
      </w:pPr>
      <w:r>
        <w:rPr>
          <w:noProof/>
        </w:rPr>
        <w:t>Nõue, et lõplikud abisaajad ei saa samade kulude katmiseks toetust muudest liidu vahenditest.</w:t>
      </w:r>
    </w:p>
    <w:p w14:paraId="03F1FDCC" w14:textId="77777777" w:rsidR="0084326C" w:rsidRPr="005D68A0" w:rsidRDefault="0084326C" w:rsidP="0084326C">
      <w:pPr>
        <w:pStyle w:val="ListParagraph"/>
        <w:numPr>
          <w:ilvl w:val="0"/>
          <w:numId w:val="102"/>
        </w:numPr>
        <w:spacing w:before="0"/>
        <w:contextualSpacing w:val="0"/>
        <w:rPr>
          <w:noProof/>
        </w:rPr>
      </w:pPr>
      <w:r>
        <w:rPr>
          <w:noProof/>
        </w:rPr>
        <w:t>Rakenduslepinguga hõlmatud summa, rakenduspartneri tasude struktuur ja nõue reinvesteerida tagasisaadavaid vahendeid vastavalt rahastu investeerimispoliitikale.</w:t>
      </w:r>
    </w:p>
    <w:p w14:paraId="75A224C4" w14:textId="77777777" w:rsidR="0084326C" w:rsidRPr="005D68A0" w:rsidRDefault="0084326C" w:rsidP="0084326C">
      <w:pPr>
        <w:pStyle w:val="ListParagraph"/>
        <w:numPr>
          <w:ilvl w:val="0"/>
          <w:numId w:val="102"/>
        </w:numPr>
        <w:spacing w:before="0"/>
        <w:contextualSpacing w:val="0"/>
        <w:rPr>
          <w:noProof/>
        </w:rPr>
      </w:pPr>
      <w:r>
        <w:rPr>
          <w:noProof/>
        </w:rPr>
        <w:t>Seire-, auditi- ja kontrollinõuded, sealhulgas:</w:t>
      </w:r>
    </w:p>
    <w:p w14:paraId="6869731B" w14:textId="77777777" w:rsidR="0084326C" w:rsidRPr="005D68A0" w:rsidRDefault="0084326C" w:rsidP="0084326C">
      <w:pPr>
        <w:pStyle w:val="ListParagraph"/>
        <w:numPr>
          <w:ilvl w:val="1"/>
          <w:numId w:val="102"/>
        </w:numPr>
        <w:spacing w:before="0"/>
        <w:contextualSpacing w:val="0"/>
        <w:rPr>
          <w:noProof/>
        </w:rPr>
      </w:pPr>
      <w:r>
        <w:rPr>
          <w:noProof/>
        </w:rPr>
        <w:t>Rakenduspartneri järelevalvesüsteemi kirjeldus kaasatud investeeringute kohta aru andmiseks.</w:t>
      </w:r>
    </w:p>
    <w:p w14:paraId="3071AF0C" w14:textId="77777777" w:rsidR="0084326C" w:rsidRPr="005D68A0" w:rsidRDefault="0084326C" w:rsidP="0084326C">
      <w:pPr>
        <w:pStyle w:val="ListParagraph"/>
        <w:numPr>
          <w:ilvl w:val="1"/>
          <w:numId w:val="102"/>
        </w:numPr>
        <w:spacing w:before="0"/>
        <w:contextualSpacing w:val="0"/>
        <w:rPr>
          <w:noProof/>
        </w:rPr>
      </w:pPr>
      <w:r>
        <w:rPr>
          <w:noProof/>
        </w:rPr>
        <w:t xml:space="preserve">Selliste rakenduspartneri menetluste kirjeldus, millega tagatakse pettuste, korruptsiooni ja huvide konfliktide ennetamine, avastamine ja kõrvaldamine. </w:t>
      </w:r>
    </w:p>
    <w:p w14:paraId="145529D7" w14:textId="77777777" w:rsidR="0084326C" w:rsidRPr="005D68A0" w:rsidRDefault="0084326C" w:rsidP="0084326C">
      <w:pPr>
        <w:pStyle w:val="ListParagraph"/>
        <w:numPr>
          <w:ilvl w:val="1"/>
          <w:numId w:val="102"/>
        </w:numPr>
        <w:spacing w:before="0"/>
        <w:contextualSpacing w:val="0"/>
        <w:rPr>
          <w:noProof/>
        </w:rPr>
      </w:pPr>
      <w:r>
        <w:rPr>
          <w:noProof/>
        </w:rPr>
        <w:t>Kohustus kontrollida iga toimingu rahastamiskõlblikkust kooskõlas rakenduslepingus sätestatud nõuetega enne toimingu rahastamise kohustuse võtmist.</w:t>
      </w:r>
    </w:p>
    <w:p w14:paraId="2232E5B7" w14:textId="6A30E1E9" w:rsidR="0084326C" w:rsidRPr="005D68A0" w:rsidRDefault="0084326C" w:rsidP="34C292A3">
      <w:pPr>
        <w:pStyle w:val="ListParagraph"/>
        <w:numPr>
          <w:ilvl w:val="1"/>
          <w:numId w:val="102"/>
        </w:numPr>
        <w:spacing w:before="0"/>
        <w:rPr>
          <w:noProof/>
        </w:rPr>
      </w:pPr>
      <w:r>
        <w:rPr>
          <w:noProof/>
        </w:rPr>
        <w:t xml:space="preserve">Kohustus teha riskipõhiseid järelauditeid kooskõlas ISMEA auditikavaga. Nende audititega kontrollitakse i) kontrollisüsteemide tõhusust, sealhulgas pettuste, korruptsiooni ja huvide konflikti avastamist; ii) põhimõtte „ei kahjusta oluliselt“ järgimine, riigiabi eeskirjad ning kliima- ja digieesmärkide nõuded kooskõlas taaste- ja vastupidavusrahastu määruse VI lisaga ning taaste- ja vastupidavusrahastu määruse VII lisaga; ning iii) järgitakse nõuet, et fondist lõplikud abisaajad ei ole saanud toetust muudest liidu vahenditest samade kulude katmiseks. Auditite käigus kontrollitakse ka tehingute seaduslikkust ning kohaldatava rakenduslepingu ja rahastamislepingute tingimuste täitmist. </w:t>
      </w:r>
    </w:p>
    <w:p w14:paraId="15A35155" w14:textId="77D68698" w:rsidR="0084326C" w:rsidRPr="005D68A0" w:rsidRDefault="0084326C" w:rsidP="0084326C">
      <w:pPr>
        <w:pStyle w:val="ListParagraph"/>
        <w:numPr>
          <w:ilvl w:val="0"/>
          <w:numId w:val="102"/>
        </w:numPr>
        <w:spacing w:before="0"/>
        <w:contextualSpacing w:val="0"/>
        <w:rPr>
          <w:noProof/>
        </w:rPr>
      </w:pPr>
      <w:r>
        <w:rPr>
          <w:noProof/>
        </w:rPr>
        <w:t>Nõuded rakenduspartneri tehtavatele kliimainvesteeringutele: vähemalt 924 000 000,00 eurot taaste- ja vastupidavusrahastu investeeringutest fondi toetatakse kliimamuutuste eesmärkide saavutamist kooskõlas taaste- ja vastupidavusrahastu määruse VI lisaga.</w:t>
      </w:r>
      <w:r w:rsidRPr="005D68A0">
        <w:rPr>
          <w:rStyle w:val="FootnoteReference"/>
          <w:noProof/>
          <w:lang w:val="en-GB"/>
        </w:rPr>
        <w:footnoteReference w:id="47"/>
      </w:r>
    </w:p>
    <w:p w14:paraId="3573F808" w14:textId="25EF337A" w:rsidR="0084326C" w:rsidRPr="005D68A0" w:rsidRDefault="0084326C" w:rsidP="0084326C">
      <w:pPr>
        <w:spacing w:after="120"/>
        <w:jc w:val="both"/>
        <w:rPr>
          <w:rFonts w:eastAsiaTheme="minorEastAsia"/>
          <w:noProof/>
        </w:rPr>
      </w:pPr>
      <w:r>
        <w:rPr>
          <w:noProof/>
        </w:rPr>
        <w:t>Meetme rakendamise lõpuleviimiseks kantakse fondi vahendite kogusumma üle ISMEA-le 31.</w:t>
      </w:r>
      <w:r w:rsidR="00211FC9">
        <w:rPr>
          <w:noProof/>
        </w:rPr>
        <w:t> </w:t>
      </w:r>
      <w:r>
        <w:rPr>
          <w:noProof/>
        </w:rPr>
        <w:t xml:space="preserve">augustiks 2026. </w:t>
      </w:r>
    </w:p>
    <w:p w14:paraId="3CFF0FB1" w14:textId="77777777" w:rsidR="0084326C" w:rsidRPr="005D68A0" w:rsidRDefault="0084326C" w:rsidP="0084326C">
      <w:pPr>
        <w:pStyle w:val="Heading3"/>
        <w:numPr>
          <w:ilvl w:val="0"/>
          <w:numId w:val="0"/>
        </w:numPr>
        <w:ind w:left="850" w:hanging="850"/>
        <w:rPr>
          <w:b/>
          <w:bCs w:val="0"/>
          <w:i w:val="0"/>
          <w:iCs/>
          <w:noProof/>
          <w:u w:val="single"/>
        </w:rPr>
      </w:pPr>
      <w:r>
        <w:rPr>
          <w:b/>
          <w:i w:val="0"/>
          <w:noProof/>
          <w:u w:val="single"/>
        </w:rPr>
        <w:t xml:space="preserve">D.4. </w:t>
      </w:r>
      <w:r>
        <w:rPr>
          <w:noProof/>
        </w:rPr>
        <w:tab/>
      </w:r>
      <w:r>
        <w:rPr>
          <w:b/>
          <w:i w:val="0"/>
          <w:noProof/>
          <w:u w:val="single"/>
        </w:rPr>
        <w:t xml:space="preserve">Laenu eesmärgid, sihid, näitajad ning seire ja rakendamise ajakava </w:t>
      </w:r>
    </w:p>
    <w:p w14:paraId="2009C967" w14:textId="77777777" w:rsidR="0084326C" w:rsidRPr="00F33804" w:rsidRDefault="0084326C" w:rsidP="0084326C">
      <w:pPr>
        <w:spacing w:before="120" w:after="120"/>
        <w:ind w:left="709"/>
        <w:contextualSpacing/>
        <w:jc w:val="both"/>
        <w:rPr>
          <w:noProof/>
        </w:rPr>
      </w:pPr>
    </w:p>
    <w:p w14:paraId="32802E90" w14:textId="77777777" w:rsidR="0084326C" w:rsidRPr="00F33804" w:rsidRDefault="0084326C" w:rsidP="0084326C">
      <w:pPr>
        <w:spacing w:before="120" w:after="120"/>
        <w:ind w:left="709"/>
        <w:contextualSpacing/>
        <w:jc w:val="both"/>
        <w:rPr>
          <w:noProof/>
        </w:rPr>
        <w:sectPr w:rsidR="0084326C" w:rsidRPr="00F33804">
          <w:headerReference w:type="even" r:id="rId128"/>
          <w:headerReference w:type="default" r:id="rId129"/>
          <w:footerReference w:type="even" r:id="rId130"/>
          <w:footerReference w:type="default" r:id="rId131"/>
          <w:headerReference w:type="first" r:id="rId132"/>
          <w:footerReference w:type="first" r:id="rId133"/>
          <w:pgSz w:w="11907" w:h="16839"/>
          <w:pgMar w:top="1134" w:right="1134" w:bottom="1134" w:left="1134" w:header="567" w:footer="567" w:gutter="0"/>
          <w:cols w:space="720"/>
          <w:docGrid w:linePitch="360"/>
        </w:sectPr>
      </w:pPr>
    </w:p>
    <w:tbl>
      <w:tblPr>
        <w:tblW w:w="15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1598"/>
        <w:gridCol w:w="1185"/>
        <w:gridCol w:w="1732"/>
        <w:gridCol w:w="1603"/>
        <w:gridCol w:w="1275"/>
        <w:gridCol w:w="993"/>
        <w:gridCol w:w="1162"/>
        <w:gridCol w:w="963"/>
        <w:gridCol w:w="710"/>
        <w:gridCol w:w="3174"/>
      </w:tblGrid>
      <w:tr w:rsidR="0084326C" w:rsidRPr="00D90835" w14:paraId="7B8C5E1C" w14:textId="77777777" w:rsidTr="57A7F3EA">
        <w:trPr>
          <w:trHeight w:val="939"/>
          <w:tblHeader/>
          <w:jc w:val="center"/>
        </w:trPr>
        <w:tc>
          <w:tcPr>
            <w:tcW w:w="1220" w:type="dxa"/>
            <w:vMerge w:val="restart"/>
            <w:shd w:val="clear" w:color="auto" w:fill="BDD7EE"/>
            <w:vAlign w:val="center"/>
            <w:hideMark/>
          </w:tcPr>
          <w:p w14:paraId="7A87225A" w14:textId="77777777" w:rsidR="0084326C" w:rsidRPr="005D68A0" w:rsidRDefault="0084326C">
            <w:pPr>
              <w:jc w:val="center"/>
              <w:rPr>
                <w:rFonts w:ascii="Arial Narrow" w:hAnsi="Arial Narrow"/>
                <w:b/>
                <w:noProof/>
                <w:sz w:val="20"/>
                <w:szCs w:val="20"/>
              </w:rPr>
            </w:pPr>
            <w:r>
              <w:rPr>
                <w:rFonts w:ascii="Arial Narrow" w:hAnsi="Arial Narrow"/>
                <w:b/>
                <w:noProof/>
                <w:sz w:val="20"/>
              </w:rPr>
              <w:t>Järjekorranumber</w:t>
            </w:r>
          </w:p>
        </w:tc>
        <w:tc>
          <w:tcPr>
            <w:tcW w:w="1598" w:type="dxa"/>
            <w:vMerge w:val="restart"/>
            <w:shd w:val="clear" w:color="auto" w:fill="BDD7EE"/>
            <w:vAlign w:val="center"/>
            <w:hideMark/>
          </w:tcPr>
          <w:p w14:paraId="2D3DC0F2" w14:textId="77777777" w:rsidR="0084326C" w:rsidRPr="005D68A0" w:rsidRDefault="0084326C">
            <w:pPr>
              <w:jc w:val="center"/>
              <w:rPr>
                <w:rFonts w:ascii="Arial Narrow" w:hAnsi="Arial Narrow"/>
                <w:b/>
                <w:noProof/>
                <w:sz w:val="20"/>
                <w:szCs w:val="20"/>
              </w:rPr>
            </w:pPr>
            <w:r>
              <w:rPr>
                <w:rFonts w:ascii="Arial Narrow" w:hAnsi="Arial Narrow"/>
                <w:b/>
                <w:noProof/>
                <w:sz w:val="20"/>
              </w:rPr>
              <w:t>Seotud meede (reform või investeering)</w:t>
            </w:r>
          </w:p>
        </w:tc>
        <w:tc>
          <w:tcPr>
            <w:tcW w:w="1185" w:type="dxa"/>
            <w:vMerge w:val="restart"/>
            <w:shd w:val="clear" w:color="auto" w:fill="BDD7EE"/>
            <w:vAlign w:val="center"/>
            <w:hideMark/>
          </w:tcPr>
          <w:p w14:paraId="351FCD45" w14:textId="77777777" w:rsidR="0084326C" w:rsidRPr="005D68A0" w:rsidRDefault="0084326C">
            <w:pPr>
              <w:jc w:val="center"/>
              <w:rPr>
                <w:rFonts w:ascii="Arial Narrow" w:hAnsi="Arial Narrow"/>
                <w:b/>
                <w:noProof/>
                <w:sz w:val="20"/>
                <w:szCs w:val="20"/>
              </w:rPr>
            </w:pPr>
            <w:r>
              <w:rPr>
                <w:rFonts w:ascii="Arial Narrow" w:hAnsi="Arial Narrow"/>
                <w:b/>
                <w:noProof/>
                <w:sz w:val="20"/>
              </w:rPr>
              <w:t>Eesmärk / siht</w:t>
            </w:r>
          </w:p>
        </w:tc>
        <w:tc>
          <w:tcPr>
            <w:tcW w:w="1732" w:type="dxa"/>
            <w:vMerge w:val="restart"/>
            <w:shd w:val="clear" w:color="auto" w:fill="BDD7EE"/>
            <w:vAlign w:val="center"/>
            <w:hideMark/>
          </w:tcPr>
          <w:p w14:paraId="2012A33D" w14:textId="77777777" w:rsidR="0084326C" w:rsidRPr="005D68A0" w:rsidRDefault="0084326C">
            <w:pPr>
              <w:jc w:val="center"/>
              <w:rPr>
                <w:rFonts w:ascii="Arial Narrow" w:hAnsi="Arial Narrow"/>
                <w:b/>
                <w:noProof/>
                <w:sz w:val="20"/>
                <w:szCs w:val="20"/>
              </w:rPr>
            </w:pPr>
            <w:r>
              <w:rPr>
                <w:rFonts w:ascii="Arial Narrow" w:hAnsi="Arial Narrow"/>
                <w:b/>
                <w:noProof/>
                <w:sz w:val="20"/>
              </w:rPr>
              <w:t>Nimi</w:t>
            </w:r>
          </w:p>
        </w:tc>
        <w:tc>
          <w:tcPr>
            <w:tcW w:w="1603" w:type="dxa"/>
            <w:vMerge w:val="restart"/>
            <w:shd w:val="clear" w:color="auto" w:fill="BDD7EE"/>
            <w:vAlign w:val="center"/>
            <w:hideMark/>
          </w:tcPr>
          <w:p w14:paraId="060D2678" w14:textId="77777777" w:rsidR="0084326C" w:rsidRPr="005D68A0" w:rsidRDefault="0084326C">
            <w:pPr>
              <w:jc w:val="center"/>
              <w:rPr>
                <w:rFonts w:ascii="Arial Narrow" w:hAnsi="Arial Narrow"/>
                <w:b/>
                <w:noProof/>
                <w:sz w:val="20"/>
                <w:szCs w:val="20"/>
              </w:rPr>
            </w:pPr>
            <w:r>
              <w:rPr>
                <w:rFonts w:ascii="Arial Narrow" w:hAnsi="Arial Narrow"/>
                <w:b/>
                <w:noProof/>
                <w:sz w:val="20"/>
              </w:rPr>
              <w:t>Kvalitatiivsed näitajad</w:t>
            </w:r>
            <w:r>
              <w:rPr>
                <w:noProof/>
              </w:rPr>
              <w:t xml:space="preserve"> </w:t>
            </w:r>
            <w:r>
              <w:rPr>
                <w:noProof/>
              </w:rPr>
              <w:br/>
            </w:r>
            <w:r>
              <w:rPr>
                <w:rFonts w:ascii="Arial Narrow" w:hAnsi="Arial Narrow"/>
                <w:b/>
                <w:noProof/>
                <w:sz w:val="20"/>
              </w:rPr>
              <w:t>(eesmärkide puhul)</w:t>
            </w:r>
          </w:p>
        </w:tc>
        <w:tc>
          <w:tcPr>
            <w:tcW w:w="3430" w:type="dxa"/>
            <w:gridSpan w:val="3"/>
            <w:shd w:val="clear" w:color="auto" w:fill="BDD7EE"/>
            <w:vAlign w:val="center"/>
            <w:hideMark/>
          </w:tcPr>
          <w:p w14:paraId="41896BC3" w14:textId="77777777" w:rsidR="0084326C" w:rsidRPr="005D68A0" w:rsidRDefault="0084326C">
            <w:pPr>
              <w:jc w:val="center"/>
              <w:rPr>
                <w:rFonts w:ascii="Arial Narrow" w:hAnsi="Arial Narrow"/>
                <w:b/>
                <w:noProof/>
                <w:sz w:val="20"/>
                <w:szCs w:val="20"/>
              </w:rPr>
            </w:pPr>
            <w:r>
              <w:rPr>
                <w:rFonts w:ascii="Arial Narrow" w:hAnsi="Arial Narrow"/>
                <w:b/>
                <w:noProof/>
                <w:sz w:val="20"/>
              </w:rPr>
              <w:t xml:space="preserve">Kvantitatiivsed näitajad </w:t>
            </w:r>
            <w:r>
              <w:rPr>
                <w:noProof/>
              </w:rPr>
              <w:br/>
            </w:r>
            <w:r>
              <w:rPr>
                <w:rFonts w:ascii="Arial Narrow" w:hAnsi="Arial Narrow"/>
                <w:b/>
                <w:noProof/>
                <w:sz w:val="20"/>
              </w:rPr>
              <w:t>(sihtide puhul)</w:t>
            </w:r>
          </w:p>
        </w:tc>
        <w:tc>
          <w:tcPr>
            <w:tcW w:w="1673" w:type="dxa"/>
            <w:gridSpan w:val="2"/>
            <w:shd w:val="clear" w:color="auto" w:fill="BDD7EE"/>
            <w:vAlign w:val="center"/>
            <w:hideMark/>
          </w:tcPr>
          <w:p w14:paraId="4FF7EB16" w14:textId="77777777" w:rsidR="0084326C" w:rsidRPr="005D68A0" w:rsidRDefault="0084326C">
            <w:pPr>
              <w:jc w:val="center"/>
              <w:rPr>
                <w:rFonts w:ascii="Arial Narrow" w:hAnsi="Arial Narrow"/>
                <w:b/>
                <w:noProof/>
                <w:sz w:val="20"/>
                <w:szCs w:val="20"/>
              </w:rPr>
            </w:pPr>
            <w:r>
              <w:rPr>
                <w:rFonts w:ascii="Arial Narrow" w:hAnsi="Arial Narrow"/>
                <w:b/>
                <w:noProof/>
                <w:sz w:val="20"/>
              </w:rPr>
              <w:t>Lõpuleviimise soovituslik ajakava</w:t>
            </w:r>
          </w:p>
        </w:tc>
        <w:tc>
          <w:tcPr>
            <w:tcW w:w="3174" w:type="dxa"/>
            <w:vMerge w:val="restart"/>
            <w:shd w:val="clear" w:color="auto" w:fill="BDD7EE"/>
            <w:vAlign w:val="center"/>
            <w:hideMark/>
          </w:tcPr>
          <w:p w14:paraId="75027D43" w14:textId="77777777" w:rsidR="0084326C" w:rsidRPr="005D68A0" w:rsidRDefault="0084326C">
            <w:pPr>
              <w:jc w:val="center"/>
              <w:rPr>
                <w:rFonts w:ascii="Arial Narrow" w:hAnsi="Arial Narrow"/>
                <w:b/>
                <w:noProof/>
                <w:sz w:val="20"/>
                <w:szCs w:val="20"/>
              </w:rPr>
            </w:pPr>
            <w:r>
              <w:rPr>
                <w:rFonts w:ascii="Arial Narrow" w:hAnsi="Arial Narrow"/>
                <w:b/>
                <w:noProof/>
                <w:sz w:val="20"/>
              </w:rPr>
              <w:t>Iga eesmärgi ja sihi kirjeldus</w:t>
            </w:r>
          </w:p>
        </w:tc>
      </w:tr>
      <w:tr w:rsidR="0084326C" w:rsidRPr="005D68A0" w14:paraId="75AB0AA8" w14:textId="77777777" w:rsidTr="57A7F3EA">
        <w:trPr>
          <w:trHeight w:val="739"/>
          <w:tblHeader/>
          <w:jc w:val="center"/>
        </w:trPr>
        <w:tc>
          <w:tcPr>
            <w:tcW w:w="1220" w:type="dxa"/>
            <w:vMerge/>
            <w:vAlign w:val="center"/>
            <w:hideMark/>
          </w:tcPr>
          <w:p w14:paraId="5303523B" w14:textId="77777777" w:rsidR="0084326C" w:rsidRPr="00F33804" w:rsidRDefault="0084326C">
            <w:pPr>
              <w:jc w:val="center"/>
              <w:rPr>
                <w:rFonts w:ascii="Arial Narrow" w:hAnsi="Arial Narrow"/>
                <w:b/>
                <w:bCs/>
                <w:noProof/>
                <w:sz w:val="20"/>
                <w:szCs w:val="20"/>
              </w:rPr>
            </w:pPr>
          </w:p>
        </w:tc>
        <w:tc>
          <w:tcPr>
            <w:tcW w:w="1598" w:type="dxa"/>
            <w:vMerge/>
            <w:vAlign w:val="center"/>
            <w:hideMark/>
          </w:tcPr>
          <w:p w14:paraId="4176773A" w14:textId="77777777" w:rsidR="0084326C" w:rsidRPr="00F33804" w:rsidRDefault="0084326C">
            <w:pPr>
              <w:jc w:val="center"/>
              <w:rPr>
                <w:rFonts w:ascii="Arial Narrow" w:hAnsi="Arial Narrow"/>
                <w:b/>
                <w:bCs/>
                <w:noProof/>
                <w:sz w:val="20"/>
                <w:szCs w:val="20"/>
              </w:rPr>
            </w:pPr>
          </w:p>
        </w:tc>
        <w:tc>
          <w:tcPr>
            <w:tcW w:w="1185" w:type="dxa"/>
            <w:vMerge/>
            <w:vAlign w:val="center"/>
            <w:hideMark/>
          </w:tcPr>
          <w:p w14:paraId="78C8C515" w14:textId="77777777" w:rsidR="0084326C" w:rsidRPr="00F33804" w:rsidRDefault="0084326C">
            <w:pPr>
              <w:jc w:val="center"/>
              <w:rPr>
                <w:rFonts w:ascii="Arial Narrow" w:hAnsi="Arial Narrow"/>
                <w:b/>
                <w:bCs/>
                <w:noProof/>
                <w:sz w:val="20"/>
                <w:szCs w:val="20"/>
              </w:rPr>
            </w:pPr>
          </w:p>
        </w:tc>
        <w:tc>
          <w:tcPr>
            <w:tcW w:w="1732" w:type="dxa"/>
            <w:vMerge/>
            <w:vAlign w:val="center"/>
            <w:hideMark/>
          </w:tcPr>
          <w:p w14:paraId="493DAEBD" w14:textId="77777777" w:rsidR="0084326C" w:rsidRPr="00F33804" w:rsidRDefault="0084326C">
            <w:pPr>
              <w:jc w:val="center"/>
              <w:rPr>
                <w:rFonts w:ascii="Arial Narrow" w:hAnsi="Arial Narrow"/>
                <w:b/>
                <w:bCs/>
                <w:noProof/>
                <w:sz w:val="20"/>
                <w:szCs w:val="20"/>
              </w:rPr>
            </w:pPr>
          </w:p>
        </w:tc>
        <w:tc>
          <w:tcPr>
            <w:tcW w:w="1603" w:type="dxa"/>
            <w:vMerge/>
            <w:vAlign w:val="center"/>
            <w:hideMark/>
          </w:tcPr>
          <w:p w14:paraId="5E656917" w14:textId="77777777" w:rsidR="0084326C" w:rsidRPr="00F33804" w:rsidRDefault="0084326C">
            <w:pPr>
              <w:jc w:val="center"/>
              <w:rPr>
                <w:rFonts w:ascii="Arial Narrow" w:hAnsi="Arial Narrow"/>
                <w:b/>
                <w:bCs/>
                <w:noProof/>
                <w:sz w:val="20"/>
                <w:szCs w:val="20"/>
              </w:rPr>
            </w:pPr>
          </w:p>
        </w:tc>
        <w:tc>
          <w:tcPr>
            <w:tcW w:w="1275" w:type="dxa"/>
            <w:shd w:val="clear" w:color="auto" w:fill="BDD7EE"/>
            <w:vAlign w:val="center"/>
            <w:hideMark/>
          </w:tcPr>
          <w:p w14:paraId="737D8ECA" w14:textId="77777777" w:rsidR="0084326C" w:rsidRPr="005D68A0" w:rsidRDefault="0084326C">
            <w:pPr>
              <w:jc w:val="center"/>
              <w:rPr>
                <w:rFonts w:ascii="Arial Narrow" w:hAnsi="Arial Narrow"/>
                <w:b/>
                <w:noProof/>
                <w:sz w:val="20"/>
                <w:szCs w:val="20"/>
              </w:rPr>
            </w:pPr>
            <w:r>
              <w:rPr>
                <w:rFonts w:ascii="Arial Narrow" w:hAnsi="Arial Narrow"/>
                <w:b/>
                <w:noProof/>
                <w:sz w:val="20"/>
              </w:rPr>
              <w:t>Mõõtühik</w:t>
            </w:r>
          </w:p>
        </w:tc>
        <w:tc>
          <w:tcPr>
            <w:tcW w:w="993" w:type="dxa"/>
            <w:shd w:val="clear" w:color="auto" w:fill="BDD7EE"/>
            <w:vAlign w:val="center"/>
            <w:hideMark/>
          </w:tcPr>
          <w:p w14:paraId="32DBC9C1" w14:textId="77777777" w:rsidR="0084326C" w:rsidRPr="005D68A0" w:rsidRDefault="0084326C">
            <w:pPr>
              <w:jc w:val="center"/>
              <w:rPr>
                <w:rFonts w:ascii="Arial Narrow" w:hAnsi="Arial Narrow"/>
                <w:b/>
                <w:noProof/>
                <w:sz w:val="20"/>
                <w:szCs w:val="20"/>
              </w:rPr>
            </w:pPr>
            <w:r>
              <w:rPr>
                <w:rFonts w:ascii="Arial Narrow" w:hAnsi="Arial Narrow"/>
                <w:b/>
                <w:noProof/>
                <w:sz w:val="20"/>
              </w:rPr>
              <w:t>Lähtetase</w:t>
            </w:r>
          </w:p>
        </w:tc>
        <w:tc>
          <w:tcPr>
            <w:tcW w:w="1162" w:type="dxa"/>
            <w:shd w:val="clear" w:color="auto" w:fill="BDD7EE"/>
            <w:vAlign w:val="center"/>
            <w:hideMark/>
          </w:tcPr>
          <w:p w14:paraId="34D7BA05" w14:textId="77777777" w:rsidR="0084326C" w:rsidRPr="005D68A0" w:rsidRDefault="0084326C">
            <w:pPr>
              <w:jc w:val="center"/>
              <w:rPr>
                <w:rFonts w:ascii="Arial Narrow" w:hAnsi="Arial Narrow"/>
                <w:b/>
                <w:noProof/>
                <w:sz w:val="20"/>
                <w:szCs w:val="20"/>
              </w:rPr>
            </w:pPr>
            <w:r>
              <w:rPr>
                <w:rFonts w:ascii="Arial Narrow" w:hAnsi="Arial Narrow"/>
                <w:b/>
                <w:noProof/>
                <w:sz w:val="20"/>
              </w:rPr>
              <w:t>Eesmärk</w:t>
            </w:r>
          </w:p>
        </w:tc>
        <w:tc>
          <w:tcPr>
            <w:tcW w:w="963" w:type="dxa"/>
            <w:shd w:val="clear" w:color="auto" w:fill="BDD7EE"/>
            <w:vAlign w:val="center"/>
            <w:hideMark/>
          </w:tcPr>
          <w:p w14:paraId="5308218A" w14:textId="77777777" w:rsidR="0084326C" w:rsidRPr="005D68A0" w:rsidRDefault="0084326C">
            <w:pPr>
              <w:jc w:val="center"/>
              <w:rPr>
                <w:rFonts w:ascii="Arial Narrow" w:hAnsi="Arial Narrow"/>
                <w:b/>
                <w:noProof/>
                <w:sz w:val="20"/>
                <w:szCs w:val="20"/>
              </w:rPr>
            </w:pPr>
            <w:r>
              <w:rPr>
                <w:rFonts w:ascii="Arial Narrow" w:hAnsi="Arial Narrow"/>
                <w:b/>
                <w:noProof/>
                <w:sz w:val="20"/>
              </w:rPr>
              <w:t>Kvartal</w:t>
            </w:r>
          </w:p>
        </w:tc>
        <w:tc>
          <w:tcPr>
            <w:tcW w:w="710" w:type="dxa"/>
            <w:shd w:val="clear" w:color="auto" w:fill="BDD7EE"/>
            <w:vAlign w:val="center"/>
            <w:hideMark/>
          </w:tcPr>
          <w:p w14:paraId="79FB8F29" w14:textId="77777777" w:rsidR="0084326C" w:rsidRPr="005D68A0" w:rsidRDefault="0084326C">
            <w:pPr>
              <w:jc w:val="center"/>
              <w:rPr>
                <w:rFonts w:ascii="Arial Narrow" w:hAnsi="Arial Narrow"/>
                <w:b/>
                <w:noProof/>
                <w:sz w:val="20"/>
                <w:szCs w:val="20"/>
              </w:rPr>
            </w:pPr>
            <w:r>
              <w:rPr>
                <w:rFonts w:ascii="Arial Narrow" w:hAnsi="Arial Narrow"/>
                <w:b/>
                <w:noProof/>
                <w:sz w:val="20"/>
              </w:rPr>
              <w:t>Aasta</w:t>
            </w:r>
          </w:p>
        </w:tc>
        <w:tc>
          <w:tcPr>
            <w:tcW w:w="3174" w:type="dxa"/>
            <w:vMerge/>
            <w:vAlign w:val="center"/>
            <w:hideMark/>
          </w:tcPr>
          <w:p w14:paraId="42B0048A" w14:textId="77777777" w:rsidR="0084326C" w:rsidRPr="005D68A0" w:rsidRDefault="0084326C">
            <w:pPr>
              <w:rPr>
                <w:rFonts w:ascii="Arial Narrow" w:hAnsi="Arial Narrow"/>
                <w:b/>
                <w:bCs/>
                <w:noProof/>
                <w:sz w:val="20"/>
                <w:szCs w:val="20"/>
                <w:lang w:val="en-GB"/>
              </w:rPr>
            </w:pPr>
          </w:p>
        </w:tc>
      </w:tr>
      <w:tr w:rsidR="0084326C" w:rsidRPr="00D90835" w14:paraId="21AA3511" w14:textId="77777777" w:rsidTr="57A7F3EA">
        <w:trPr>
          <w:trHeight w:val="313"/>
          <w:jc w:val="center"/>
        </w:trPr>
        <w:tc>
          <w:tcPr>
            <w:tcW w:w="1220" w:type="dxa"/>
            <w:shd w:val="clear" w:color="auto" w:fill="C6EFCE"/>
            <w:noWrap/>
            <w:vAlign w:val="center"/>
          </w:tcPr>
          <w:p w14:paraId="3DC4B7C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M2C1-13</w:t>
            </w:r>
          </w:p>
        </w:tc>
        <w:tc>
          <w:tcPr>
            <w:tcW w:w="1598" w:type="dxa"/>
            <w:shd w:val="clear" w:color="auto" w:fill="C6EFCE"/>
            <w:noWrap/>
            <w:vAlign w:val="center"/>
          </w:tcPr>
          <w:p w14:paraId="3ECB4B1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Reform 1.2. Riiklik jäätmekäitlusprogramm</w:t>
            </w:r>
          </w:p>
        </w:tc>
        <w:tc>
          <w:tcPr>
            <w:tcW w:w="1185" w:type="dxa"/>
            <w:shd w:val="clear" w:color="auto" w:fill="C6EFCE"/>
            <w:noWrap/>
            <w:vAlign w:val="center"/>
          </w:tcPr>
          <w:p w14:paraId="180CD6F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1732" w:type="dxa"/>
            <w:shd w:val="clear" w:color="auto" w:fill="C6EFCE"/>
            <w:noWrap/>
            <w:vAlign w:val="center"/>
          </w:tcPr>
          <w:p w14:paraId="3F9EEC1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Jäätmehoolduse riiklikku programmi käsitleva ministri käskkirja jõustumine</w:t>
            </w:r>
          </w:p>
        </w:tc>
        <w:tc>
          <w:tcPr>
            <w:tcW w:w="1603" w:type="dxa"/>
            <w:shd w:val="clear" w:color="auto" w:fill="C6EFCE"/>
            <w:noWrap/>
            <w:vAlign w:val="center"/>
          </w:tcPr>
          <w:p w14:paraId="4ED3F09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Seaduse säte, mis viitab jõustumisele</w:t>
            </w:r>
          </w:p>
        </w:tc>
        <w:tc>
          <w:tcPr>
            <w:tcW w:w="1275" w:type="dxa"/>
            <w:shd w:val="clear" w:color="auto" w:fill="C6EFCE"/>
            <w:noWrap/>
            <w:vAlign w:val="center"/>
          </w:tcPr>
          <w:p w14:paraId="33C1C09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noWrap/>
            <w:vAlign w:val="center"/>
          </w:tcPr>
          <w:p w14:paraId="2B059A9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162" w:type="dxa"/>
            <w:shd w:val="clear" w:color="auto" w:fill="C6EFCE"/>
            <w:noWrap/>
            <w:vAlign w:val="center"/>
          </w:tcPr>
          <w:p w14:paraId="1107C4B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63" w:type="dxa"/>
            <w:shd w:val="clear" w:color="auto" w:fill="C6EFCE"/>
            <w:noWrap/>
            <w:vAlign w:val="center"/>
          </w:tcPr>
          <w:p w14:paraId="72121C4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 kv</w:t>
            </w:r>
          </w:p>
        </w:tc>
        <w:tc>
          <w:tcPr>
            <w:tcW w:w="710" w:type="dxa"/>
            <w:shd w:val="clear" w:color="auto" w:fill="C6EFCE"/>
            <w:noWrap/>
            <w:vAlign w:val="center"/>
          </w:tcPr>
          <w:p w14:paraId="3BD3EFC4"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2022</w:t>
            </w:r>
          </w:p>
        </w:tc>
        <w:tc>
          <w:tcPr>
            <w:tcW w:w="3174" w:type="dxa"/>
            <w:shd w:val="clear" w:color="auto" w:fill="C6EFCE"/>
            <w:noWrap/>
            <w:vAlign w:val="center"/>
          </w:tcPr>
          <w:p w14:paraId="4CA2048D" w14:textId="77777777" w:rsidR="0084326C" w:rsidRPr="005D68A0" w:rsidRDefault="0084326C">
            <w:pPr>
              <w:spacing w:before="120" w:after="120" w:line="276" w:lineRule="auto"/>
              <w:rPr>
                <w:rFonts w:ascii="Arial Narrow" w:hAnsi="Arial Narrow"/>
                <w:noProof/>
                <w:color w:val="006100"/>
                <w:sz w:val="20"/>
                <w:szCs w:val="20"/>
              </w:rPr>
            </w:pPr>
            <w:r>
              <w:rPr>
                <w:rFonts w:ascii="Arial Narrow" w:hAnsi="Arial Narrow"/>
                <w:noProof/>
                <w:color w:val="006100"/>
                <w:sz w:val="20"/>
              </w:rPr>
              <w:t>Jäätmekäitluse riikliku programmi ministri määrus peab sisaldama vähemalt järgmisi eesmärke:</w:t>
            </w:r>
          </w:p>
          <w:p w14:paraId="7E956099"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saavutada jäätmete korduskasutamiseks ettevalmistamise, ringlussevõtu ja taaskasutamise kõrgeim tase, saavutades vähemalt seadusandliku dekreedi 152/06 artiklis 181 sätestatud eesmärgid ning võttes arvesse laiendatud tootjavastutuse süsteeme;</w:t>
            </w:r>
          </w:p>
          <w:p w14:paraId="43A7C372" w14:textId="77777777" w:rsidR="0084326C" w:rsidRPr="005D68A0" w:rsidRDefault="0084326C" w:rsidP="00EB3DEC">
            <w:pPr>
              <w:numPr>
                <w:ilvl w:val="0"/>
                <w:numId w:val="59"/>
              </w:numPr>
              <w:spacing w:before="120" w:line="276" w:lineRule="auto"/>
              <w:ind w:left="244" w:hanging="244"/>
              <w:contextualSpacing/>
              <w:rPr>
                <w:rFonts w:ascii="Arial Narrow" w:hAnsi="Arial Narrow"/>
                <w:noProof/>
                <w:color w:val="006100"/>
                <w:sz w:val="20"/>
                <w:szCs w:val="20"/>
              </w:rPr>
            </w:pPr>
            <w:r>
              <w:rPr>
                <w:rFonts w:ascii="Arial Narrow" w:hAnsi="Arial Narrow"/>
                <w:noProof/>
                <w:color w:val="006100"/>
                <w:sz w:val="20"/>
              </w:rPr>
              <w:t>kohandada integreeritud jäätmekäitluseks vajalike käitiste võrku - ringmajanduse arendamise eesmärgil - tagades punktis a sätestatud eesmärkide saavutamiseks vajaliku võimsuse ja minimeerides seeläbi lõpliku ja jääkvariandina lõppladustamist, vastavalt läheduse põhimõttele ja võttes arvesse jäätmetekke vältimise riikliku kavandamise kontekstis määratletud ennetamise eesmärke, nagu on sätestatud seadusandliku dekreedi 152/06 artiklis 180;</w:t>
            </w:r>
          </w:p>
          <w:p w14:paraId="1601BB9E" w14:textId="77777777" w:rsidR="0084326C" w:rsidRPr="005D68A0" w:rsidRDefault="0084326C" w:rsidP="00EB3DEC">
            <w:pPr>
              <w:numPr>
                <w:ilvl w:val="0"/>
                <w:numId w:val="59"/>
              </w:numPr>
              <w:spacing w:before="120" w:line="276" w:lineRule="auto"/>
              <w:ind w:left="244" w:hanging="244"/>
              <w:contextualSpacing/>
              <w:rPr>
                <w:rFonts w:ascii="Arial Narrow" w:hAnsi="Arial Narrow"/>
                <w:noProof/>
                <w:color w:val="006100"/>
                <w:sz w:val="20"/>
                <w:szCs w:val="20"/>
              </w:rPr>
            </w:pPr>
            <w:r>
              <w:rPr>
                <w:rFonts w:ascii="Arial Narrow" w:hAnsi="Arial Narrow"/>
                <w:noProof/>
                <w:color w:val="006100"/>
                <w:sz w:val="20"/>
              </w:rPr>
              <w:t>kehtestada piisav järelevalve programmi rakendamise üle, et pidevalt oleks võimalik kontrollida programmi eesmärkide täitmist ja võimalikku vajadust võtta vastu parandusmeetmed kavandatud meetmete elluviimiseks;</w:t>
            </w:r>
          </w:p>
          <w:p w14:paraId="5B874FA6" w14:textId="77777777" w:rsidR="0084326C" w:rsidRPr="005D68A0" w:rsidRDefault="0084326C" w:rsidP="00EB3DEC">
            <w:pPr>
              <w:numPr>
                <w:ilvl w:val="0"/>
                <w:numId w:val="59"/>
              </w:numPr>
              <w:spacing w:before="120" w:line="276" w:lineRule="auto"/>
              <w:ind w:left="244" w:hanging="244"/>
              <w:contextualSpacing/>
              <w:rPr>
                <w:rFonts w:ascii="Arial Narrow" w:hAnsi="Arial Narrow"/>
                <w:noProof/>
                <w:color w:val="006100"/>
                <w:sz w:val="20"/>
                <w:szCs w:val="20"/>
              </w:rPr>
            </w:pPr>
            <w:r>
              <w:rPr>
                <w:rFonts w:ascii="Arial Narrow" w:hAnsi="Arial Narrow"/>
                <w:noProof/>
                <w:color w:val="006100"/>
                <w:sz w:val="20"/>
              </w:rPr>
              <w:t>vältida uute rikkumismenetluste algatamist Itaalia Vabariigi vastu, kes ei ole rakendanud jäätmetsükli kavandamist käsitlevaid Euroopa eeskirju;</w:t>
            </w:r>
          </w:p>
          <w:p w14:paraId="7107766F" w14:textId="77777777" w:rsidR="0084326C" w:rsidRPr="005D68A0" w:rsidRDefault="0084326C" w:rsidP="00EB3DEC">
            <w:pPr>
              <w:numPr>
                <w:ilvl w:val="0"/>
                <w:numId w:val="59"/>
              </w:numPr>
              <w:spacing w:before="120" w:line="276" w:lineRule="auto"/>
              <w:ind w:left="244" w:hanging="244"/>
              <w:contextualSpacing/>
              <w:rPr>
                <w:rFonts w:ascii="Arial Narrow" w:hAnsi="Arial Narrow"/>
                <w:noProof/>
                <w:color w:val="006100"/>
                <w:sz w:val="20"/>
                <w:szCs w:val="20"/>
              </w:rPr>
            </w:pPr>
            <w:r>
              <w:rPr>
                <w:rFonts w:ascii="Arial Narrow" w:hAnsi="Arial Narrow"/>
                <w:noProof/>
                <w:color w:val="006100"/>
                <w:sz w:val="20"/>
              </w:rPr>
              <w:t>võidelda jäätmete vähese kogumise vastu ja hoida ära prügilasse ladestamist (vt ka riiklik ringmajanduse strateegia);</w:t>
            </w:r>
          </w:p>
          <w:p w14:paraId="46576614" w14:textId="77777777" w:rsidR="0084326C" w:rsidRPr="005D68A0" w:rsidRDefault="0084326C" w:rsidP="00D90835">
            <w:pPr>
              <w:numPr>
                <w:ilvl w:val="0"/>
                <w:numId w:val="59"/>
              </w:numPr>
              <w:spacing w:before="120" w:line="276" w:lineRule="auto"/>
              <w:ind w:left="244" w:hanging="244"/>
              <w:contextualSpacing/>
              <w:rPr>
                <w:rFonts w:ascii="Arial Narrow" w:hAnsi="Arial Narrow"/>
                <w:noProof/>
                <w:color w:val="006100"/>
                <w:sz w:val="20"/>
                <w:szCs w:val="20"/>
              </w:rPr>
            </w:pPr>
            <w:r>
              <w:rPr>
                <w:rFonts w:ascii="Arial Narrow" w:hAnsi="Arial Narrow"/>
                <w:noProof/>
                <w:color w:val="006100"/>
                <w:sz w:val="20"/>
              </w:rPr>
              <w:t>piirkondlik jäätmekäitlusjaam täiendab riiklikku jäätmekäitlusprogrammi;</w:t>
            </w:r>
          </w:p>
          <w:p w14:paraId="21F3DA85" w14:textId="77777777" w:rsidR="0084326C" w:rsidRPr="00D90835" w:rsidRDefault="0084326C" w:rsidP="00D90835">
            <w:pPr>
              <w:numPr>
                <w:ilvl w:val="0"/>
                <w:numId w:val="59"/>
              </w:numPr>
              <w:spacing w:before="120" w:line="276" w:lineRule="auto"/>
              <w:ind w:left="244" w:hanging="244"/>
              <w:contextualSpacing/>
              <w:rPr>
                <w:rFonts w:ascii="Arial Narrow" w:hAnsi="Arial Narrow"/>
                <w:noProof/>
                <w:color w:val="006100"/>
                <w:sz w:val="20"/>
              </w:rPr>
            </w:pPr>
            <w:r>
              <w:rPr>
                <w:rFonts w:ascii="Arial Narrow" w:hAnsi="Arial Narrow"/>
                <w:noProof/>
                <w:color w:val="006100"/>
                <w:sz w:val="20"/>
              </w:rPr>
              <w:t>kõrvaldada jäätmekäitluse puudujäägid ja piirkondlik lõhe seoses rajatiste võimsuse ja kvaliteedistandarditega riigi territooriumi eri piirkondade ja alade vahel, et viivitused tagasi saada;</w:t>
            </w:r>
          </w:p>
          <w:p w14:paraId="2312DE36" w14:textId="14D055DB" w:rsidR="0084326C" w:rsidRPr="005D68A0" w:rsidRDefault="0084326C" w:rsidP="00D90835">
            <w:pPr>
              <w:numPr>
                <w:ilvl w:val="0"/>
                <w:numId w:val="59"/>
              </w:numPr>
              <w:spacing w:before="120" w:line="276" w:lineRule="auto"/>
              <w:ind w:left="244" w:hanging="244"/>
              <w:contextualSpacing/>
              <w:rPr>
                <w:rFonts w:ascii="Arial Narrow" w:hAnsi="Arial Narrow"/>
                <w:noProof/>
                <w:color w:val="006100"/>
                <w:sz w:val="20"/>
                <w:szCs w:val="20"/>
              </w:rPr>
            </w:pPr>
            <w:r>
              <w:rPr>
                <w:rFonts w:ascii="Arial Narrow" w:hAnsi="Arial Narrow"/>
                <w:noProof/>
                <w:color w:val="006100"/>
                <w:sz w:val="20"/>
              </w:rPr>
              <w:t>saavutada Euroopa ja riiklikes õigusaktides sätestatud praegused ja uued eesmärgid;</w:t>
            </w:r>
          </w:p>
          <w:p w14:paraId="25E37272" w14:textId="0F576E44" w:rsidR="0084326C" w:rsidRPr="005D68A0" w:rsidRDefault="0084326C" w:rsidP="00D90835">
            <w:pPr>
              <w:numPr>
                <w:ilvl w:val="0"/>
                <w:numId w:val="59"/>
              </w:numPr>
              <w:spacing w:before="120" w:line="276" w:lineRule="auto"/>
              <w:ind w:left="244" w:hanging="244"/>
              <w:contextualSpacing/>
              <w:rPr>
                <w:rFonts w:ascii="Arial Narrow" w:hAnsi="Arial Narrow"/>
                <w:noProof/>
                <w:color w:val="006100"/>
                <w:sz w:val="20"/>
                <w:szCs w:val="20"/>
              </w:rPr>
            </w:pPr>
            <w:r>
              <w:rPr>
                <w:rFonts w:ascii="Arial Narrow" w:hAnsi="Arial Narrow"/>
                <w:noProof/>
                <w:color w:val="006100"/>
                <w:sz w:val="20"/>
              </w:rPr>
              <w:t>võidelda ebaseadusliku jäätmete ladestamise ja vabaõhupõletamise vastu (nt Terra dei Fuochi piirkonnas) meetmete abil, mis hõlmasid uue jäätmete jälgitavuse süsteemi kasutuselevõttu, töötatakse ebaseaduslikule ladestamisele reageerimiseks välja toetatud ülemaailmne seiresüsteem, kasutades satelliite, mehitamata õhusõidukeid ja tehisintellekti tehnoloogiaid.</w:t>
            </w:r>
          </w:p>
        </w:tc>
      </w:tr>
      <w:tr w:rsidR="0084326C" w:rsidRPr="00D90835" w14:paraId="25C4E8E1" w14:textId="77777777" w:rsidTr="57A7F3EA">
        <w:trPr>
          <w:trHeight w:val="313"/>
          <w:jc w:val="center"/>
        </w:trPr>
        <w:tc>
          <w:tcPr>
            <w:tcW w:w="1220" w:type="dxa"/>
            <w:shd w:val="clear" w:color="auto" w:fill="C6EFCE"/>
            <w:noWrap/>
            <w:vAlign w:val="center"/>
          </w:tcPr>
          <w:p w14:paraId="19C282C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M2C1-14</w:t>
            </w:r>
          </w:p>
        </w:tc>
        <w:tc>
          <w:tcPr>
            <w:tcW w:w="1598" w:type="dxa"/>
            <w:shd w:val="clear" w:color="auto" w:fill="C6EFCE"/>
            <w:noWrap/>
            <w:vAlign w:val="center"/>
          </w:tcPr>
          <w:p w14:paraId="561ED4B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1.1. Uute jäätmekäitlusjaamade rakendamine ja olemasolevate rajatiste moderniseerimine</w:t>
            </w:r>
          </w:p>
          <w:p w14:paraId="77D36FE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1.2. Ringmajanduse juhtalgatused</w:t>
            </w:r>
          </w:p>
        </w:tc>
        <w:tc>
          <w:tcPr>
            <w:tcW w:w="1185" w:type="dxa"/>
            <w:shd w:val="clear" w:color="auto" w:fill="C6EFCE"/>
            <w:noWrap/>
            <w:vAlign w:val="center"/>
          </w:tcPr>
          <w:p w14:paraId="0579FC8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1732" w:type="dxa"/>
            <w:shd w:val="clear" w:color="auto" w:fill="C6EFCE"/>
            <w:noWrap/>
            <w:vAlign w:val="center"/>
          </w:tcPr>
          <w:p w14:paraId="33DA165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Ministri määruse jõustumine.</w:t>
            </w:r>
          </w:p>
        </w:tc>
        <w:tc>
          <w:tcPr>
            <w:tcW w:w="1603" w:type="dxa"/>
            <w:shd w:val="clear" w:color="auto" w:fill="C6EFCE"/>
            <w:noWrap/>
            <w:vAlign w:val="center"/>
          </w:tcPr>
          <w:p w14:paraId="509904F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Kohalike omavalitsuste esitatud projektide valikukriteeriumide heakskiitmist käsitleva ministri käskkirja vastuvõtmine.</w:t>
            </w:r>
          </w:p>
        </w:tc>
        <w:tc>
          <w:tcPr>
            <w:tcW w:w="1275" w:type="dxa"/>
            <w:shd w:val="clear" w:color="auto" w:fill="C6EFCE"/>
            <w:noWrap/>
            <w:vAlign w:val="center"/>
          </w:tcPr>
          <w:p w14:paraId="19614CE2" w14:textId="77777777" w:rsidR="0084326C" w:rsidRPr="00994F5E"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Avaldamine Gazzetta Ufficiale’is</w:t>
            </w:r>
          </w:p>
        </w:tc>
        <w:tc>
          <w:tcPr>
            <w:tcW w:w="993" w:type="dxa"/>
            <w:shd w:val="clear" w:color="auto" w:fill="C6EFCE"/>
            <w:noWrap/>
            <w:vAlign w:val="center"/>
          </w:tcPr>
          <w:p w14:paraId="44CF2DF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162" w:type="dxa"/>
            <w:shd w:val="clear" w:color="auto" w:fill="C6EFCE"/>
            <w:noWrap/>
            <w:vAlign w:val="center"/>
          </w:tcPr>
          <w:p w14:paraId="5B22B7C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63" w:type="dxa"/>
            <w:shd w:val="clear" w:color="auto" w:fill="C6EFCE"/>
            <w:noWrap/>
            <w:vAlign w:val="center"/>
          </w:tcPr>
          <w:p w14:paraId="5DF1AB8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3. kv</w:t>
            </w:r>
          </w:p>
        </w:tc>
        <w:tc>
          <w:tcPr>
            <w:tcW w:w="710" w:type="dxa"/>
            <w:shd w:val="clear" w:color="auto" w:fill="C6EFCE"/>
            <w:noWrap/>
            <w:vAlign w:val="center"/>
          </w:tcPr>
          <w:p w14:paraId="1B4E5082"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2021</w:t>
            </w:r>
          </w:p>
        </w:tc>
        <w:tc>
          <w:tcPr>
            <w:tcW w:w="3174" w:type="dxa"/>
            <w:shd w:val="clear" w:color="auto" w:fill="C6EFCE"/>
            <w:noWrap/>
            <w:vAlign w:val="center"/>
          </w:tcPr>
          <w:p w14:paraId="2673455F" w14:textId="77777777" w:rsidR="0084326C" w:rsidRPr="005D68A0" w:rsidRDefault="0084326C">
            <w:pPr>
              <w:spacing w:before="60" w:after="120" w:line="276" w:lineRule="auto"/>
              <w:rPr>
                <w:rFonts w:ascii="Arial Narrow" w:hAnsi="Arial Narrow"/>
                <w:noProof/>
                <w:color w:val="006100"/>
                <w:sz w:val="20"/>
                <w:szCs w:val="20"/>
              </w:rPr>
            </w:pPr>
            <w:r>
              <w:rPr>
                <w:rFonts w:ascii="Arial Narrow" w:hAnsi="Arial Narrow"/>
                <w:noProof/>
                <w:color w:val="006100"/>
                <w:sz w:val="20"/>
              </w:rPr>
              <w:t>Kohalike omavalitsuste esitatud projektide valikukriteeriumide heakskiitmist käsitlev ministri käskkiri jõustub.</w:t>
            </w:r>
          </w:p>
          <w:p w14:paraId="2F39258E" w14:textId="77777777" w:rsidR="0084326C" w:rsidRPr="005D68A0" w:rsidRDefault="0084326C">
            <w:pPr>
              <w:spacing w:before="60" w:after="120" w:line="276" w:lineRule="auto"/>
              <w:rPr>
                <w:rFonts w:ascii="Arial Narrow" w:hAnsi="Arial Narrow"/>
                <w:noProof/>
                <w:color w:val="006100"/>
                <w:sz w:val="20"/>
                <w:szCs w:val="20"/>
              </w:rPr>
            </w:pPr>
            <w:r>
              <w:rPr>
                <w:rFonts w:ascii="Arial Narrow" w:hAnsi="Arial Narrow"/>
                <w:noProof/>
                <w:color w:val="006100"/>
                <w:sz w:val="20"/>
              </w:rPr>
              <w:t>Ministri käskkirjas sätestatakse, et projektid valitakse järgmiste kriteeriumide hulgast:</w:t>
            </w:r>
          </w:p>
          <w:p w14:paraId="3E627C79" w14:textId="77777777" w:rsidR="0084326C" w:rsidRPr="005D68A0" w:rsidRDefault="0084326C" w:rsidP="00EB3DEC">
            <w:pPr>
              <w:numPr>
                <w:ilvl w:val="0"/>
                <w:numId w:val="58"/>
              </w:numPr>
              <w:spacing w:before="60" w:line="276" w:lineRule="auto"/>
              <w:ind w:left="244" w:hanging="187"/>
              <w:contextualSpacing/>
              <w:rPr>
                <w:rFonts w:ascii="Arial Narrow" w:hAnsi="Arial Narrow"/>
                <w:noProof/>
                <w:color w:val="006100"/>
                <w:sz w:val="20"/>
                <w:szCs w:val="20"/>
              </w:rPr>
            </w:pPr>
            <w:r>
              <w:rPr>
                <w:rFonts w:ascii="Arial Narrow" w:hAnsi="Arial Narrow"/>
                <w:noProof/>
                <w:color w:val="006100"/>
                <w:sz w:val="20"/>
              </w:rPr>
              <w:t>Kooskõla ELi ja riiklike õigusaktide ning Euroopa ringmajanduse tegevuskavaga,</w:t>
            </w:r>
          </w:p>
          <w:p w14:paraId="634DF729" w14:textId="77777777" w:rsidR="0084326C" w:rsidRPr="005D68A0" w:rsidRDefault="0084326C" w:rsidP="00EB3DEC">
            <w:pPr>
              <w:numPr>
                <w:ilvl w:val="0"/>
                <w:numId w:val="58"/>
              </w:numPr>
              <w:spacing w:before="60" w:line="276" w:lineRule="auto"/>
              <w:ind w:left="244" w:hanging="187"/>
              <w:contextualSpacing/>
              <w:rPr>
                <w:rFonts w:ascii="Arial Narrow" w:hAnsi="Arial Narrow"/>
                <w:noProof/>
                <w:color w:val="006100"/>
                <w:sz w:val="20"/>
                <w:szCs w:val="20"/>
              </w:rPr>
            </w:pPr>
            <w:r>
              <w:rPr>
                <w:rFonts w:ascii="Arial Narrow" w:hAnsi="Arial Narrow"/>
                <w:noProof/>
                <w:color w:val="006100"/>
                <w:sz w:val="20"/>
              </w:rPr>
              <w:t>Ringlussevõtu eesmärkide eeldatav paranemine</w:t>
            </w:r>
          </w:p>
          <w:p w14:paraId="410FCB7E" w14:textId="77777777" w:rsidR="0084326C" w:rsidRPr="00EB3DEC" w:rsidRDefault="0084326C" w:rsidP="00EB3DEC">
            <w:pPr>
              <w:numPr>
                <w:ilvl w:val="0"/>
                <w:numId w:val="58"/>
              </w:numPr>
              <w:spacing w:before="60" w:line="276" w:lineRule="auto"/>
              <w:ind w:left="244" w:hanging="187"/>
              <w:contextualSpacing/>
              <w:rPr>
                <w:rFonts w:ascii="Arial Narrow" w:hAnsi="Arial Narrow"/>
                <w:noProof/>
                <w:color w:val="006100"/>
                <w:sz w:val="20"/>
              </w:rPr>
            </w:pPr>
            <w:r>
              <w:rPr>
                <w:rFonts w:ascii="Arial Narrow" w:hAnsi="Arial Narrow"/>
                <w:noProof/>
                <w:color w:val="006100"/>
                <w:sz w:val="20"/>
              </w:rPr>
              <w:t>Kooskõla piirkondlike ja riiklike planeerimisvahenditega;</w:t>
            </w:r>
          </w:p>
          <w:p w14:paraId="15FE7452" w14:textId="77777777" w:rsidR="0084326C" w:rsidRPr="005D68A0" w:rsidRDefault="0084326C" w:rsidP="00EB3DEC">
            <w:pPr>
              <w:numPr>
                <w:ilvl w:val="0"/>
                <w:numId w:val="58"/>
              </w:numPr>
              <w:spacing w:before="60" w:line="276" w:lineRule="auto"/>
              <w:ind w:left="244" w:hanging="187"/>
              <w:contextualSpacing/>
              <w:rPr>
                <w:rFonts w:ascii="Arial Narrow" w:hAnsi="Arial Narrow"/>
                <w:noProof/>
                <w:color w:val="006100"/>
                <w:sz w:val="20"/>
                <w:szCs w:val="20"/>
              </w:rPr>
            </w:pPr>
            <w:r>
              <w:rPr>
                <w:rFonts w:ascii="Arial Narrow" w:hAnsi="Arial Narrow"/>
                <w:noProof/>
                <w:color w:val="006100"/>
                <w:sz w:val="20"/>
              </w:rPr>
              <w:t>Panus ELi rikkumiste lahendamisse, koostoime muude valdkondlike kavadega (nt PNIEC) ja/või kava muude osadega, täieulatuslikel kogemustel põhinevad uuenduslikud tehnoloogiad;</w:t>
            </w:r>
          </w:p>
          <w:p w14:paraId="5DC13592" w14:textId="77777777" w:rsidR="0084326C" w:rsidRPr="00EB3DEC" w:rsidRDefault="0084326C" w:rsidP="00EB3DEC">
            <w:pPr>
              <w:numPr>
                <w:ilvl w:val="0"/>
                <w:numId w:val="58"/>
              </w:numPr>
              <w:spacing w:before="60" w:line="276" w:lineRule="auto"/>
              <w:ind w:left="244" w:hanging="187"/>
              <w:contextualSpacing/>
              <w:rPr>
                <w:rFonts w:ascii="Arial Narrow" w:hAnsi="Arial Narrow"/>
                <w:noProof/>
                <w:color w:val="006100"/>
                <w:sz w:val="20"/>
              </w:rPr>
            </w:pPr>
            <w:r>
              <w:rPr>
                <w:rFonts w:ascii="Arial Narrow" w:hAnsi="Arial Narrow"/>
                <w:noProof/>
                <w:color w:val="006100"/>
                <w:sz w:val="20"/>
              </w:rPr>
              <w:t>Ettepaneku tehniline kvaliteet.</w:t>
            </w:r>
          </w:p>
          <w:p w14:paraId="5830FC54" w14:textId="77777777" w:rsidR="0084326C" w:rsidRPr="005D68A0" w:rsidRDefault="0084326C" w:rsidP="00EB3DEC">
            <w:pPr>
              <w:numPr>
                <w:ilvl w:val="0"/>
                <w:numId w:val="58"/>
              </w:numPr>
              <w:spacing w:before="60" w:line="276" w:lineRule="auto"/>
              <w:ind w:left="244" w:hanging="187"/>
              <w:contextualSpacing/>
              <w:rPr>
                <w:rFonts w:ascii="Arial Narrow" w:hAnsi="Arial Narrow"/>
                <w:noProof/>
                <w:color w:val="006100"/>
                <w:sz w:val="20"/>
                <w:szCs w:val="20"/>
              </w:rPr>
            </w:pPr>
            <w:r>
              <w:rPr>
                <w:rFonts w:ascii="Arial Narrow" w:hAnsi="Arial Narrow"/>
                <w:noProof/>
                <w:color w:val="006100"/>
                <w:sz w:val="20"/>
              </w:rPr>
              <w:t>Kooskõla ja vastastikune täiendavus ühtekuuluvuspoliitika programmide ja sarnaste projektidega, mida rahastatakse muudest ELi ja riiklikest vahenditest</w:t>
            </w:r>
          </w:p>
          <w:p w14:paraId="6A4CF7A2" w14:textId="77777777" w:rsidR="0084326C" w:rsidRPr="005D68A0" w:rsidRDefault="0084326C">
            <w:pPr>
              <w:spacing w:before="120" w:after="120" w:line="276" w:lineRule="auto"/>
              <w:rPr>
                <w:rFonts w:ascii="Arial Narrow" w:hAnsi="Arial Narrow"/>
                <w:noProof/>
                <w:color w:val="006100"/>
                <w:sz w:val="20"/>
                <w:szCs w:val="20"/>
              </w:rPr>
            </w:pPr>
            <w:r>
              <w:rPr>
                <w:rFonts w:ascii="Arial Narrow" w:hAnsi="Arial Narrow"/>
                <w:noProof/>
                <w:color w:val="006100"/>
                <w:sz w:val="20"/>
              </w:rPr>
              <w:t>Sekkumised ei hõlma investeeringuid prügilatesse, kõrvaldamisrajatistesse, mehaanilise bioloogilise töötlemise/mehhaanilise töötlemise rajatistesse või jäätmepõletustehastesse kooskõlas DNSH põhimõttega.</w:t>
            </w:r>
          </w:p>
        </w:tc>
      </w:tr>
      <w:tr w:rsidR="0084326C" w:rsidRPr="00D90835" w14:paraId="75EE0EC6" w14:textId="77777777" w:rsidTr="57A7F3EA">
        <w:trPr>
          <w:trHeight w:val="313"/>
          <w:jc w:val="center"/>
        </w:trPr>
        <w:tc>
          <w:tcPr>
            <w:tcW w:w="1220" w:type="dxa"/>
            <w:shd w:val="clear" w:color="auto" w:fill="C6EFCE"/>
            <w:noWrap/>
            <w:vAlign w:val="center"/>
          </w:tcPr>
          <w:p w14:paraId="0E26D03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M2C1-15</w:t>
            </w:r>
          </w:p>
        </w:tc>
        <w:tc>
          <w:tcPr>
            <w:tcW w:w="1598" w:type="dxa"/>
            <w:shd w:val="clear" w:color="auto" w:fill="C6EFCE"/>
            <w:noWrap/>
            <w:vAlign w:val="center"/>
          </w:tcPr>
          <w:p w14:paraId="020E849B" w14:textId="77777777" w:rsidR="0084326C" w:rsidRPr="005D68A0" w:rsidRDefault="0084326C">
            <w:pPr>
              <w:spacing w:line="276" w:lineRule="auto"/>
              <w:jc w:val="center"/>
              <w:rPr>
                <w:rFonts w:ascii="Arial Narrow" w:hAnsi="Arial Narrow"/>
                <w:noProof/>
                <w:sz w:val="20"/>
                <w:szCs w:val="20"/>
              </w:rPr>
            </w:pPr>
            <w:r>
              <w:rPr>
                <w:rFonts w:ascii="Arial Narrow" w:hAnsi="Arial Narrow"/>
                <w:noProof/>
                <w:color w:val="006100"/>
                <w:sz w:val="20"/>
              </w:rPr>
              <w:t>Reform 1.2.</w:t>
            </w:r>
          </w:p>
          <w:p w14:paraId="0201F1C0" w14:textId="77777777" w:rsidR="0084326C" w:rsidRPr="005D68A0" w:rsidRDefault="0084326C">
            <w:pPr>
              <w:spacing w:line="276" w:lineRule="auto"/>
              <w:jc w:val="center"/>
              <w:rPr>
                <w:rFonts w:ascii="Arial Narrow" w:hAnsi="Arial Narrow"/>
                <w:noProof/>
                <w:sz w:val="20"/>
                <w:szCs w:val="20"/>
              </w:rPr>
            </w:pPr>
            <w:r>
              <w:rPr>
                <w:rFonts w:ascii="Arial Narrow" w:hAnsi="Arial Narrow"/>
                <w:noProof/>
                <w:color w:val="006100"/>
                <w:sz w:val="20"/>
              </w:rPr>
              <w:t>Riiklik jäätmekäitlusprogramm:</w:t>
            </w:r>
          </w:p>
          <w:p w14:paraId="1FA3F226" w14:textId="77777777" w:rsidR="0084326C" w:rsidRPr="005D68A0" w:rsidRDefault="0084326C">
            <w:pPr>
              <w:spacing w:line="276" w:lineRule="auto"/>
              <w:jc w:val="center"/>
              <w:rPr>
                <w:rFonts w:ascii="Arial Narrow" w:hAnsi="Arial Narrow"/>
                <w:noProof/>
                <w:sz w:val="20"/>
                <w:szCs w:val="20"/>
              </w:rPr>
            </w:pPr>
            <w:r>
              <w:rPr>
                <w:rFonts w:ascii="Arial Narrow" w:hAnsi="Arial Narrow"/>
                <w:noProof/>
                <w:color w:val="006100"/>
                <w:sz w:val="20"/>
              </w:rPr>
              <w:t xml:space="preserve"> </w:t>
            </w:r>
          </w:p>
          <w:p w14:paraId="6F8D6A66" w14:textId="6D000AD0" w:rsidR="0084326C" w:rsidRPr="005D68A0" w:rsidRDefault="0084326C">
            <w:pPr>
              <w:spacing w:line="276" w:lineRule="auto"/>
              <w:jc w:val="center"/>
              <w:rPr>
                <w:rFonts w:ascii="Arial Narrow" w:hAnsi="Arial Narrow"/>
                <w:noProof/>
                <w:sz w:val="20"/>
                <w:szCs w:val="20"/>
                <w:lang w:val="en-GB"/>
              </w:rPr>
            </w:pPr>
          </w:p>
        </w:tc>
        <w:tc>
          <w:tcPr>
            <w:tcW w:w="1185" w:type="dxa"/>
            <w:shd w:val="clear" w:color="auto" w:fill="C6EFCE"/>
            <w:noWrap/>
            <w:vAlign w:val="center"/>
          </w:tcPr>
          <w:p w14:paraId="1F37B202" w14:textId="77777777" w:rsidR="0084326C" w:rsidRPr="005D68A0" w:rsidRDefault="0084326C">
            <w:pPr>
              <w:spacing w:line="276" w:lineRule="auto"/>
              <w:jc w:val="center"/>
              <w:rPr>
                <w:rFonts w:ascii="Arial Narrow" w:hAnsi="Arial Narrow"/>
                <w:noProof/>
                <w:sz w:val="20"/>
                <w:szCs w:val="20"/>
              </w:rPr>
            </w:pPr>
            <w:r>
              <w:rPr>
                <w:rFonts w:ascii="Arial Narrow" w:hAnsi="Arial Narrow"/>
                <w:noProof/>
                <w:color w:val="006100"/>
                <w:sz w:val="20"/>
              </w:rPr>
              <w:t>Siht</w:t>
            </w:r>
          </w:p>
        </w:tc>
        <w:tc>
          <w:tcPr>
            <w:tcW w:w="1732" w:type="dxa"/>
            <w:shd w:val="clear" w:color="auto" w:fill="C6EFCE"/>
            <w:noWrap/>
            <w:vAlign w:val="center"/>
          </w:tcPr>
          <w:p w14:paraId="36B4C062" w14:textId="77777777" w:rsidR="0084326C" w:rsidRPr="005D68A0" w:rsidRDefault="0084326C">
            <w:pPr>
              <w:spacing w:line="276" w:lineRule="auto"/>
              <w:jc w:val="center"/>
              <w:rPr>
                <w:rFonts w:ascii="Arial Narrow" w:hAnsi="Arial Narrow"/>
                <w:noProof/>
                <w:sz w:val="20"/>
                <w:szCs w:val="20"/>
              </w:rPr>
            </w:pPr>
            <w:r>
              <w:rPr>
                <w:rFonts w:ascii="Arial Narrow" w:hAnsi="Arial Narrow"/>
                <w:noProof/>
                <w:color w:val="006100"/>
                <w:sz w:val="20"/>
              </w:rPr>
              <w:t xml:space="preserve">Ebaseaduslike prügilate arvu vähendamine (T1) </w:t>
            </w:r>
          </w:p>
        </w:tc>
        <w:tc>
          <w:tcPr>
            <w:tcW w:w="1603" w:type="dxa"/>
            <w:shd w:val="clear" w:color="auto" w:fill="C6EFCE"/>
            <w:noWrap/>
            <w:vAlign w:val="center"/>
          </w:tcPr>
          <w:p w14:paraId="4F453848" w14:textId="77777777" w:rsidR="0084326C" w:rsidRPr="005D68A0" w:rsidRDefault="0084326C">
            <w:pPr>
              <w:spacing w:line="276" w:lineRule="auto"/>
              <w:jc w:val="center"/>
              <w:rPr>
                <w:rFonts w:ascii="Arial Narrow" w:hAnsi="Arial Narrow"/>
                <w:noProof/>
                <w:sz w:val="20"/>
                <w:szCs w:val="20"/>
              </w:rPr>
            </w:pPr>
            <w:r>
              <w:rPr>
                <w:rFonts w:ascii="Arial Narrow" w:hAnsi="Arial Narrow"/>
                <w:noProof/>
                <w:color w:val="006100"/>
                <w:sz w:val="20"/>
              </w:rPr>
              <w:t>Ei kohaldata</w:t>
            </w:r>
          </w:p>
        </w:tc>
        <w:tc>
          <w:tcPr>
            <w:tcW w:w="1275" w:type="dxa"/>
            <w:shd w:val="clear" w:color="auto" w:fill="C6EFCE"/>
            <w:noWrap/>
            <w:vAlign w:val="center"/>
          </w:tcPr>
          <w:p w14:paraId="2D8D0357" w14:textId="2645B98E" w:rsidR="0084326C" w:rsidRPr="005D68A0" w:rsidRDefault="0084326C">
            <w:pPr>
              <w:spacing w:line="276" w:lineRule="auto"/>
              <w:jc w:val="center"/>
              <w:rPr>
                <w:rFonts w:ascii="Arial Narrow" w:hAnsi="Arial Narrow"/>
                <w:noProof/>
                <w:sz w:val="20"/>
                <w:szCs w:val="20"/>
              </w:rPr>
            </w:pPr>
            <w:r>
              <w:rPr>
                <w:rFonts w:ascii="Arial Narrow" w:hAnsi="Arial Narrow"/>
                <w:noProof/>
                <w:color w:val="006100"/>
                <w:sz w:val="20"/>
              </w:rPr>
              <w:t>Arv</w:t>
            </w:r>
          </w:p>
        </w:tc>
        <w:tc>
          <w:tcPr>
            <w:tcW w:w="993" w:type="dxa"/>
            <w:shd w:val="clear" w:color="auto" w:fill="C6EFCE"/>
            <w:noWrap/>
            <w:vAlign w:val="center"/>
          </w:tcPr>
          <w:p w14:paraId="15C5EAA3" w14:textId="77777777" w:rsidR="0084326C" w:rsidRPr="005D68A0" w:rsidRDefault="0084326C">
            <w:pPr>
              <w:spacing w:line="276" w:lineRule="auto"/>
              <w:jc w:val="center"/>
              <w:rPr>
                <w:rFonts w:ascii="Arial Narrow" w:hAnsi="Arial Narrow"/>
                <w:noProof/>
                <w:sz w:val="20"/>
                <w:szCs w:val="20"/>
              </w:rPr>
            </w:pPr>
            <w:r>
              <w:rPr>
                <w:rFonts w:ascii="Arial Narrow" w:hAnsi="Arial Narrow"/>
                <w:noProof/>
                <w:color w:val="006100"/>
                <w:sz w:val="20"/>
              </w:rPr>
              <w:t>33</w:t>
            </w:r>
          </w:p>
        </w:tc>
        <w:tc>
          <w:tcPr>
            <w:tcW w:w="1162" w:type="dxa"/>
            <w:shd w:val="clear" w:color="auto" w:fill="C6EFCE"/>
            <w:noWrap/>
            <w:vAlign w:val="center"/>
          </w:tcPr>
          <w:p w14:paraId="64C7345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11</w:t>
            </w:r>
          </w:p>
        </w:tc>
        <w:tc>
          <w:tcPr>
            <w:tcW w:w="963" w:type="dxa"/>
            <w:shd w:val="clear" w:color="auto" w:fill="C6EFCE"/>
            <w:noWrap/>
            <w:vAlign w:val="center"/>
          </w:tcPr>
          <w:p w14:paraId="49311374" w14:textId="77777777" w:rsidR="0084326C" w:rsidRPr="005D68A0" w:rsidRDefault="0084326C">
            <w:pPr>
              <w:spacing w:line="276" w:lineRule="auto"/>
              <w:jc w:val="center"/>
              <w:rPr>
                <w:rFonts w:ascii="Arial Narrow" w:hAnsi="Arial Narrow"/>
                <w:noProof/>
                <w:sz w:val="20"/>
                <w:szCs w:val="20"/>
              </w:rPr>
            </w:pPr>
            <w:r>
              <w:rPr>
                <w:rFonts w:ascii="Arial Narrow" w:hAnsi="Arial Narrow"/>
                <w:noProof/>
                <w:color w:val="006100"/>
                <w:sz w:val="20"/>
              </w:rPr>
              <w:t>2. kv</w:t>
            </w:r>
          </w:p>
        </w:tc>
        <w:tc>
          <w:tcPr>
            <w:tcW w:w="710" w:type="dxa"/>
            <w:shd w:val="clear" w:color="auto" w:fill="C6EFCE"/>
            <w:noWrap/>
            <w:vAlign w:val="center"/>
          </w:tcPr>
          <w:p w14:paraId="7AC4150A" w14:textId="77777777" w:rsidR="0084326C" w:rsidRPr="005D68A0" w:rsidRDefault="0084326C">
            <w:pPr>
              <w:spacing w:line="276" w:lineRule="auto"/>
              <w:rPr>
                <w:rFonts w:ascii="Arial Narrow" w:hAnsi="Arial Narrow"/>
                <w:noProof/>
                <w:sz w:val="20"/>
                <w:szCs w:val="20"/>
              </w:rPr>
            </w:pPr>
            <w:r>
              <w:rPr>
                <w:rFonts w:ascii="Arial Narrow" w:hAnsi="Arial Narrow"/>
                <w:noProof/>
                <w:color w:val="006100"/>
                <w:sz w:val="20"/>
              </w:rPr>
              <w:t>2024</w:t>
            </w:r>
          </w:p>
        </w:tc>
        <w:tc>
          <w:tcPr>
            <w:tcW w:w="3174" w:type="dxa"/>
            <w:shd w:val="clear" w:color="auto" w:fill="C6EFCE"/>
            <w:noWrap/>
            <w:vAlign w:val="center"/>
          </w:tcPr>
          <w:p w14:paraId="68C36348" w14:textId="5B5FC6F1" w:rsidR="0084326C" w:rsidRPr="005D68A0" w:rsidRDefault="7448BDF3">
            <w:pPr>
              <w:spacing w:after="120"/>
              <w:jc w:val="both"/>
              <w:rPr>
                <w:rFonts w:ascii="Arial Narrow" w:hAnsi="Arial Narrow"/>
                <w:noProof/>
                <w:color w:val="006100"/>
                <w:sz w:val="20"/>
                <w:szCs w:val="20"/>
              </w:rPr>
            </w:pPr>
            <w:r>
              <w:rPr>
                <w:rFonts w:ascii="Arial Narrow" w:hAnsi="Arial Narrow"/>
                <w:noProof/>
                <w:color w:val="006100"/>
                <w:sz w:val="20"/>
              </w:rPr>
              <w:t>Rikkumismenetluses NIF 2003/2077 hõlmatud ebaseaduslike prügilate arvu vähendamine 33-lt 11-le (st vähemalt 66 %).</w:t>
            </w:r>
          </w:p>
          <w:p w14:paraId="2AC4BCCA" w14:textId="77777777" w:rsidR="0084326C" w:rsidRPr="005D68A0" w:rsidRDefault="0084326C">
            <w:pPr>
              <w:spacing w:after="120"/>
              <w:jc w:val="both"/>
              <w:rPr>
                <w:rFonts w:ascii="Arial Narrow" w:hAnsi="Arial Narrow"/>
                <w:noProof/>
                <w:color w:val="006100"/>
                <w:sz w:val="20"/>
                <w:szCs w:val="20"/>
              </w:rPr>
            </w:pPr>
            <w:r>
              <w:rPr>
                <w:rFonts w:ascii="Arial Narrow" w:hAnsi="Arial Narrow"/>
                <w:noProof/>
                <w:color w:val="006100"/>
                <w:sz w:val="20"/>
              </w:rPr>
              <w:t>31. detsembriks 2023 saadetakse Euroopa Komisjonile vähemalt 27 tühistamistaotlust (33st). Väljajätmise taotlus peab sisaldama saastatuse (muld ja vesi) täielikku analüüsi, selget selgitust saastatuse heastamise kohta ja selle tagamist, et igasugune tulevase saastumise oht on välistatud.</w:t>
            </w:r>
          </w:p>
          <w:p w14:paraId="588B5FFB" w14:textId="77777777" w:rsidR="0084326C" w:rsidRPr="005D68A0" w:rsidRDefault="0084326C">
            <w:pPr>
              <w:spacing w:after="120"/>
              <w:jc w:val="both"/>
              <w:rPr>
                <w:rFonts w:ascii="Arial Narrow" w:hAnsi="Arial Narrow"/>
                <w:noProof/>
                <w:color w:val="006100"/>
                <w:sz w:val="20"/>
                <w:szCs w:val="20"/>
              </w:rPr>
            </w:pPr>
            <w:r>
              <w:rPr>
                <w:rFonts w:ascii="Arial Narrow" w:hAnsi="Arial Narrow"/>
                <w:noProof/>
                <w:color w:val="006100"/>
                <w:sz w:val="20"/>
              </w:rPr>
              <w:t>30. juuniks 2024 saadetakse Euroopa Komisjonile vähemalt 29 tühistamistaotlust (33st). Väljajätmise taotlus peab sisaldama saastatuse (muld ja vesi) täielikku analüüsi, selget selgitust saastatuse heastamise kohta ja selle tagamist, et igasugune tulevase saastumise oht on välistatud.</w:t>
            </w:r>
          </w:p>
        </w:tc>
      </w:tr>
      <w:tr w:rsidR="0084326C" w:rsidRPr="00D90835" w14:paraId="0584586A" w14:textId="77777777" w:rsidTr="57A7F3EA">
        <w:trPr>
          <w:trHeight w:val="313"/>
          <w:jc w:val="center"/>
        </w:trPr>
        <w:tc>
          <w:tcPr>
            <w:tcW w:w="1220" w:type="dxa"/>
            <w:shd w:val="clear" w:color="auto" w:fill="C6EFCE"/>
            <w:noWrap/>
            <w:vAlign w:val="center"/>
          </w:tcPr>
          <w:p w14:paraId="48B9C60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M2C1-15bis</w:t>
            </w:r>
          </w:p>
        </w:tc>
        <w:tc>
          <w:tcPr>
            <w:tcW w:w="1598" w:type="dxa"/>
            <w:shd w:val="clear" w:color="auto" w:fill="C6EFCE"/>
            <w:noWrap/>
            <w:vAlign w:val="center"/>
          </w:tcPr>
          <w:p w14:paraId="19EEDD6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Reform 1.2.</w:t>
            </w:r>
          </w:p>
          <w:p w14:paraId="7BAF75C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Riiklik jäätmekäitlusprogramm:</w:t>
            </w:r>
          </w:p>
          <w:p w14:paraId="15454AB4" w14:textId="77777777" w:rsidR="0084326C" w:rsidRPr="005D68A0" w:rsidRDefault="0084326C">
            <w:pPr>
              <w:spacing w:line="276" w:lineRule="auto"/>
              <w:jc w:val="center"/>
              <w:rPr>
                <w:rFonts w:ascii="Arial Narrow" w:hAnsi="Arial Narrow"/>
                <w:noProof/>
                <w:color w:val="006100"/>
                <w:sz w:val="20"/>
                <w:szCs w:val="20"/>
                <w:lang w:val="en-GB"/>
              </w:rPr>
            </w:pPr>
          </w:p>
          <w:p w14:paraId="1E4F89EC" w14:textId="045FEDF0" w:rsidR="0084326C" w:rsidRPr="005D68A0" w:rsidRDefault="0084326C">
            <w:pPr>
              <w:spacing w:line="276" w:lineRule="auto"/>
              <w:jc w:val="center"/>
              <w:rPr>
                <w:rFonts w:ascii="Arial Narrow" w:hAnsi="Arial Narrow"/>
                <w:noProof/>
                <w:color w:val="006100"/>
                <w:sz w:val="20"/>
                <w:szCs w:val="20"/>
                <w:lang w:val="en-GB"/>
              </w:rPr>
            </w:pPr>
          </w:p>
        </w:tc>
        <w:tc>
          <w:tcPr>
            <w:tcW w:w="1185" w:type="dxa"/>
            <w:shd w:val="clear" w:color="auto" w:fill="C6EFCE"/>
            <w:noWrap/>
            <w:vAlign w:val="center"/>
          </w:tcPr>
          <w:p w14:paraId="6C6AF4D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1732" w:type="dxa"/>
            <w:shd w:val="clear" w:color="auto" w:fill="C6EFCE"/>
            <w:noWrap/>
            <w:vAlign w:val="center"/>
          </w:tcPr>
          <w:p w14:paraId="5E40526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Ebaseaduslike prügilate arvu vähendamine (T2)</w:t>
            </w:r>
          </w:p>
        </w:tc>
        <w:tc>
          <w:tcPr>
            <w:tcW w:w="1603" w:type="dxa"/>
            <w:shd w:val="clear" w:color="auto" w:fill="C6EFCE"/>
            <w:noWrap/>
            <w:vAlign w:val="center"/>
          </w:tcPr>
          <w:p w14:paraId="64A5C8A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275" w:type="dxa"/>
            <w:shd w:val="clear" w:color="auto" w:fill="C6EFCE"/>
            <w:noWrap/>
            <w:vAlign w:val="center"/>
          </w:tcPr>
          <w:p w14:paraId="470E9D75" w14:textId="5BEC37DA"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 xml:space="preserve">Arv </w:t>
            </w:r>
          </w:p>
        </w:tc>
        <w:tc>
          <w:tcPr>
            <w:tcW w:w="993" w:type="dxa"/>
            <w:shd w:val="clear" w:color="auto" w:fill="C6EFCE"/>
            <w:noWrap/>
            <w:vAlign w:val="center"/>
          </w:tcPr>
          <w:p w14:paraId="16BB6A9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34</w:t>
            </w:r>
          </w:p>
        </w:tc>
        <w:tc>
          <w:tcPr>
            <w:tcW w:w="1162" w:type="dxa"/>
            <w:shd w:val="clear" w:color="auto" w:fill="C6EFCE"/>
            <w:noWrap/>
            <w:vAlign w:val="center"/>
          </w:tcPr>
          <w:p w14:paraId="2EF521E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14</w:t>
            </w:r>
          </w:p>
        </w:tc>
        <w:tc>
          <w:tcPr>
            <w:tcW w:w="963" w:type="dxa"/>
            <w:shd w:val="clear" w:color="auto" w:fill="C6EFCE"/>
            <w:noWrap/>
            <w:vAlign w:val="center"/>
          </w:tcPr>
          <w:p w14:paraId="0D23AA1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710" w:type="dxa"/>
            <w:shd w:val="clear" w:color="auto" w:fill="C6EFCE"/>
            <w:noWrap/>
            <w:vAlign w:val="center"/>
          </w:tcPr>
          <w:p w14:paraId="2C3FF24B"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2023</w:t>
            </w:r>
          </w:p>
        </w:tc>
        <w:tc>
          <w:tcPr>
            <w:tcW w:w="3174" w:type="dxa"/>
            <w:shd w:val="clear" w:color="auto" w:fill="C6EFCE"/>
            <w:noWrap/>
            <w:vAlign w:val="center"/>
          </w:tcPr>
          <w:p w14:paraId="2C3EEFDA" w14:textId="4671A3ED" w:rsidR="0084326C" w:rsidRPr="005D68A0" w:rsidRDefault="7517425D">
            <w:pPr>
              <w:rPr>
                <w:rFonts w:ascii="Arial Narrow" w:hAnsi="Arial Narrow"/>
                <w:noProof/>
                <w:color w:val="006100"/>
                <w:sz w:val="20"/>
                <w:szCs w:val="20"/>
              </w:rPr>
            </w:pPr>
            <w:r>
              <w:rPr>
                <w:rFonts w:ascii="Arial Narrow" w:hAnsi="Arial Narrow"/>
                <w:noProof/>
                <w:color w:val="006100"/>
                <w:sz w:val="20"/>
              </w:rPr>
              <w:t>Rikkumismenetlusega 2011/2215 hõlmatud ebaseaduslike prügilate arvu vähendamine 34-lt 14-le (st vähemalt 60 %).</w:t>
            </w:r>
          </w:p>
        </w:tc>
      </w:tr>
      <w:tr w:rsidR="0084326C" w:rsidRPr="00D90835" w14:paraId="15B3D559" w14:textId="77777777" w:rsidTr="57A7F3EA">
        <w:trPr>
          <w:trHeight w:val="313"/>
          <w:jc w:val="center"/>
        </w:trPr>
        <w:tc>
          <w:tcPr>
            <w:tcW w:w="1220" w:type="dxa"/>
            <w:shd w:val="clear" w:color="auto" w:fill="C6EFCE"/>
            <w:noWrap/>
            <w:vAlign w:val="center"/>
          </w:tcPr>
          <w:p w14:paraId="4140824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M2C1-15ter</w:t>
            </w:r>
          </w:p>
        </w:tc>
        <w:tc>
          <w:tcPr>
            <w:tcW w:w="1598" w:type="dxa"/>
            <w:shd w:val="clear" w:color="auto" w:fill="C6EFCE"/>
            <w:noWrap/>
            <w:vAlign w:val="center"/>
          </w:tcPr>
          <w:p w14:paraId="5F9001E4" w14:textId="77777777" w:rsidR="0084326C" w:rsidRPr="005D68A0" w:rsidRDefault="0084326C">
            <w:pPr>
              <w:spacing w:line="276" w:lineRule="auto"/>
              <w:jc w:val="center"/>
              <w:rPr>
                <w:rFonts w:ascii="Arial Narrow" w:hAnsi="Arial Narrow"/>
                <w:noProof/>
                <w:color w:val="006100"/>
                <w:sz w:val="20"/>
                <w:szCs w:val="20"/>
                <w:lang w:val="en-GB"/>
              </w:rPr>
            </w:pPr>
          </w:p>
          <w:p w14:paraId="32A55FD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1.1. Uute jäätmekäitlusjaamade rakendamine ja olemasolevate rajatiste moderniseerimine</w:t>
            </w:r>
          </w:p>
        </w:tc>
        <w:tc>
          <w:tcPr>
            <w:tcW w:w="1185" w:type="dxa"/>
            <w:shd w:val="clear" w:color="auto" w:fill="C6EFCE"/>
            <w:noWrap/>
            <w:vAlign w:val="center"/>
          </w:tcPr>
          <w:p w14:paraId="0D5BB1E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1732" w:type="dxa"/>
            <w:shd w:val="clear" w:color="auto" w:fill="C6EFCE"/>
            <w:noWrap/>
            <w:vAlign w:val="center"/>
          </w:tcPr>
          <w:p w14:paraId="11C48DC3" w14:textId="10279A0A" w:rsidR="0084326C" w:rsidRPr="005D68A0" w:rsidRDefault="00DCB59C">
            <w:pPr>
              <w:spacing w:line="276" w:lineRule="auto"/>
              <w:jc w:val="center"/>
              <w:rPr>
                <w:rFonts w:ascii="Arial Narrow" w:hAnsi="Arial Narrow"/>
                <w:noProof/>
                <w:color w:val="006100"/>
                <w:sz w:val="20"/>
                <w:szCs w:val="20"/>
              </w:rPr>
            </w:pPr>
            <w:r>
              <w:rPr>
                <w:rFonts w:ascii="Arial Narrow" w:hAnsi="Arial Narrow"/>
                <w:noProof/>
                <w:color w:val="006100"/>
                <w:sz w:val="20"/>
              </w:rPr>
              <w:t>Piirkondlike erinevuste vähendamine liigiti kogumisel</w:t>
            </w:r>
          </w:p>
        </w:tc>
        <w:tc>
          <w:tcPr>
            <w:tcW w:w="1603" w:type="dxa"/>
            <w:shd w:val="clear" w:color="auto" w:fill="C6EFCE"/>
            <w:noWrap/>
            <w:vAlign w:val="center"/>
          </w:tcPr>
          <w:p w14:paraId="3C7F371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275" w:type="dxa"/>
            <w:shd w:val="clear" w:color="auto" w:fill="C6EFCE"/>
            <w:noWrap/>
            <w:vAlign w:val="center"/>
          </w:tcPr>
          <w:p w14:paraId="7770A77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Protsendipunktid</w:t>
            </w:r>
          </w:p>
        </w:tc>
        <w:tc>
          <w:tcPr>
            <w:tcW w:w="993" w:type="dxa"/>
            <w:shd w:val="clear" w:color="auto" w:fill="C6EFCE"/>
            <w:noWrap/>
            <w:vAlign w:val="center"/>
          </w:tcPr>
          <w:p w14:paraId="37D4AE8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22,8</w:t>
            </w:r>
          </w:p>
        </w:tc>
        <w:tc>
          <w:tcPr>
            <w:tcW w:w="1162" w:type="dxa"/>
            <w:shd w:val="clear" w:color="auto" w:fill="C6EFCE"/>
            <w:noWrap/>
            <w:vAlign w:val="center"/>
          </w:tcPr>
          <w:p w14:paraId="75397E6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w:t>
            </w:r>
          </w:p>
        </w:tc>
        <w:tc>
          <w:tcPr>
            <w:tcW w:w="963" w:type="dxa"/>
            <w:shd w:val="clear" w:color="auto" w:fill="C6EFCE"/>
            <w:noWrap/>
            <w:vAlign w:val="center"/>
          </w:tcPr>
          <w:p w14:paraId="39B27F0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710" w:type="dxa"/>
            <w:shd w:val="clear" w:color="auto" w:fill="C6EFCE"/>
            <w:noWrap/>
            <w:vAlign w:val="center"/>
          </w:tcPr>
          <w:p w14:paraId="0FBFC1C1"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2023</w:t>
            </w:r>
          </w:p>
        </w:tc>
        <w:tc>
          <w:tcPr>
            <w:tcW w:w="3174" w:type="dxa"/>
            <w:shd w:val="clear" w:color="auto" w:fill="C6EFCE"/>
            <w:noWrap/>
            <w:vAlign w:val="center"/>
          </w:tcPr>
          <w:p w14:paraId="4A78C1E9" w14:textId="39988959"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Riikliku keskmise ja halvimate näitajatega piirkonna erinevust liigiti kogumise määrades vähendatakse 20 protsendipunktini.</w:t>
            </w:r>
          </w:p>
        </w:tc>
      </w:tr>
      <w:tr w:rsidR="0084326C" w:rsidRPr="00D90835" w14:paraId="13F8F6DF" w14:textId="77777777" w:rsidTr="57A7F3EA">
        <w:trPr>
          <w:trHeight w:val="313"/>
          <w:jc w:val="center"/>
        </w:trPr>
        <w:tc>
          <w:tcPr>
            <w:tcW w:w="1220" w:type="dxa"/>
            <w:shd w:val="clear" w:color="auto" w:fill="C6EFCE"/>
            <w:noWrap/>
            <w:vAlign w:val="center"/>
          </w:tcPr>
          <w:p w14:paraId="2F0C78A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M2C1-15 kvartal</w:t>
            </w:r>
          </w:p>
        </w:tc>
        <w:tc>
          <w:tcPr>
            <w:tcW w:w="1598" w:type="dxa"/>
            <w:shd w:val="clear" w:color="auto" w:fill="C6EFCE"/>
            <w:noWrap/>
            <w:vAlign w:val="center"/>
          </w:tcPr>
          <w:p w14:paraId="0C7E20F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1.1. Uute jäätmekäitlusjaamade rakendamine ja olemasolevate rajatiste moderniseerimine</w:t>
            </w:r>
          </w:p>
        </w:tc>
        <w:tc>
          <w:tcPr>
            <w:tcW w:w="1185" w:type="dxa"/>
            <w:shd w:val="clear" w:color="auto" w:fill="C6EFCE"/>
            <w:noWrap/>
            <w:vAlign w:val="center"/>
          </w:tcPr>
          <w:p w14:paraId="5DC2C22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1732" w:type="dxa"/>
            <w:shd w:val="clear" w:color="auto" w:fill="C6EFCE"/>
            <w:noWrap/>
            <w:vAlign w:val="center"/>
          </w:tcPr>
          <w:p w14:paraId="139FFF2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Biojäätmete liigiti kogumise kohustuse jõustumine</w:t>
            </w:r>
          </w:p>
        </w:tc>
        <w:tc>
          <w:tcPr>
            <w:tcW w:w="1603" w:type="dxa"/>
            <w:shd w:val="clear" w:color="auto" w:fill="C6EFCE"/>
            <w:noWrap/>
            <w:vAlign w:val="center"/>
          </w:tcPr>
          <w:p w14:paraId="7C0C6DF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Seaduse säte, mis viitab jõustumisele</w:t>
            </w:r>
          </w:p>
        </w:tc>
        <w:tc>
          <w:tcPr>
            <w:tcW w:w="1275" w:type="dxa"/>
            <w:shd w:val="clear" w:color="auto" w:fill="C6EFCE"/>
            <w:noWrap/>
            <w:vAlign w:val="center"/>
          </w:tcPr>
          <w:p w14:paraId="03E3345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noWrap/>
            <w:vAlign w:val="center"/>
          </w:tcPr>
          <w:p w14:paraId="3E5B831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162" w:type="dxa"/>
            <w:shd w:val="clear" w:color="auto" w:fill="C6EFCE"/>
            <w:noWrap/>
            <w:vAlign w:val="center"/>
          </w:tcPr>
          <w:p w14:paraId="57C1A80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63" w:type="dxa"/>
            <w:shd w:val="clear" w:color="auto" w:fill="C6EFCE"/>
            <w:noWrap/>
            <w:vAlign w:val="center"/>
          </w:tcPr>
          <w:p w14:paraId="3B58131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710" w:type="dxa"/>
            <w:shd w:val="clear" w:color="auto" w:fill="C6EFCE"/>
            <w:noWrap/>
            <w:vAlign w:val="center"/>
          </w:tcPr>
          <w:p w14:paraId="3CE177E7"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2023</w:t>
            </w:r>
          </w:p>
        </w:tc>
        <w:tc>
          <w:tcPr>
            <w:tcW w:w="3174" w:type="dxa"/>
            <w:shd w:val="clear" w:color="auto" w:fill="C6EFCE"/>
            <w:noWrap/>
            <w:vAlign w:val="center"/>
          </w:tcPr>
          <w:p w14:paraId="30C1C03F"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Biojäätmete liigiti kogumise kohustus hakkab kehtima 31. detsembriks 2023 vastavalt ELi ringmajanduse tegevuskavale</w:t>
            </w:r>
          </w:p>
        </w:tc>
      </w:tr>
      <w:tr w:rsidR="0084326C" w:rsidRPr="00D90835" w14:paraId="402E3A3B" w14:textId="77777777" w:rsidTr="57A7F3EA">
        <w:trPr>
          <w:trHeight w:val="313"/>
          <w:jc w:val="center"/>
        </w:trPr>
        <w:tc>
          <w:tcPr>
            <w:tcW w:w="1220" w:type="dxa"/>
            <w:shd w:val="clear" w:color="auto" w:fill="C6EFCE"/>
            <w:noWrap/>
            <w:vAlign w:val="center"/>
          </w:tcPr>
          <w:p w14:paraId="51239583" w14:textId="77777777" w:rsidR="0084326C" w:rsidRPr="005D68A0" w:rsidRDefault="0084326C">
            <w:pPr>
              <w:spacing w:line="276" w:lineRule="auto"/>
              <w:jc w:val="center"/>
              <w:rPr>
                <w:rFonts w:ascii="Arial Narrow" w:hAnsi="Arial Narrow"/>
                <w:noProof/>
                <w:sz w:val="20"/>
                <w:szCs w:val="20"/>
              </w:rPr>
            </w:pPr>
            <w:r>
              <w:rPr>
                <w:rFonts w:ascii="Arial Narrow" w:hAnsi="Arial Narrow"/>
                <w:noProof/>
                <w:color w:val="006100"/>
                <w:sz w:val="20"/>
              </w:rPr>
              <w:t>M2C1-16</w:t>
            </w:r>
          </w:p>
        </w:tc>
        <w:tc>
          <w:tcPr>
            <w:tcW w:w="1598" w:type="dxa"/>
            <w:shd w:val="clear" w:color="auto" w:fill="C6EFCE"/>
            <w:noWrap/>
            <w:vAlign w:val="center"/>
          </w:tcPr>
          <w:p w14:paraId="3D8D2DE6" w14:textId="77369314" w:rsidR="0084326C" w:rsidRPr="005D68A0" w:rsidRDefault="0084326C" w:rsidP="57A7F3EA">
            <w:pPr>
              <w:spacing w:line="276" w:lineRule="auto"/>
              <w:jc w:val="center"/>
              <w:rPr>
                <w:rFonts w:ascii="Arial Narrow" w:hAnsi="Arial Narrow"/>
                <w:noProof/>
                <w:sz w:val="20"/>
                <w:szCs w:val="20"/>
                <w:lang w:val="en-GB"/>
              </w:rPr>
            </w:pPr>
          </w:p>
          <w:p w14:paraId="02D8F59C" w14:textId="381E0E48" w:rsidR="0084326C" w:rsidRPr="005D68A0" w:rsidRDefault="0084326C" w:rsidP="57A7F3EA">
            <w:pPr>
              <w:spacing w:line="276" w:lineRule="auto"/>
              <w:jc w:val="center"/>
              <w:rPr>
                <w:rFonts w:ascii="Arial Narrow" w:hAnsi="Arial Narrow"/>
                <w:noProof/>
                <w:color w:val="006100"/>
                <w:sz w:val="20"/>
                <w:szCs w:val="20"/>
                <w:lang w:val="en-GB"/>
              </w:rPr>
            </w:pPr>
          </w:p>
          <w:p w14:paraId="103E6D92" w14:textId="0E57919F" w:rsidR="0084326C" w:rsidRPr="005D68A0" w:rsidRDefault="47E00D57" w:rsidP="57A7F3EA">
            <w:pPr>
              <w:spacing w:line="276" w:lineRule="auto"/>
              <w:jc w:val="center"/>
              <w:rPr>
                <w:rFonts w:ascii="Arial Narrow" w:hAnsi="Arial Narrow"/>
                <w:noProof/>
                <w:color w:val="006100"/>
                <w:sz w:val="20"/>
                <w:szCs w:val="20"/>
              </w:rPr>
            </w:pPr>
            <w:r>
              <w:rPr>
                <w:rFonts w:ascii="Arial Narrow" w:hAnsi="Arial Narrow"/>
                <w:noProof/>
                <w:color w:val="006100"/>
                <w:sz w:val="20"/>
              </w:rPr>
              <w:t xml:space="preserve">Reform 1.2. </w:t>
            </w:r>
          </w:p>
          <w:p w14:paraId="5D2BADE3" w14:textId="15B82967" w:rsidR="0084326C" w:rsidRPr="005D68A0" w:rsidRDefault="47E00D57" w:rsidP="57A7F3EA">
            <w:pPr>
              <w:spacing w:line="276" w:lineRule="auto"/>
              <w:jc w:val="center"/>
              <w:rPr>
                <w:noProof/>
              </w:rPr>
            </w:pPr>
            <w:r>
              <w:rPr>
                <w:rFonts w:ascii="Arial Narrow" w:hAnsi="Arial Narrow"/>
                <w:noProof/>
                <w:color w:val="006100"/>
                <w:sz w:val="20"/>
              </w:rPr>
              <w:t>Riiklik jäätmekäitlusprogramm</w:t>
            </w:r>
          </w:p>
        </w:tc>
        <w:tc>
          <w:tcPr>
            <w:tcW w:w="1185" w:type="dxa"/>
            <w:shd w:val="clear" w:color="auto" w:fill="C6EFCE"/>
            <w:noWrap/>
            <w:vAlign w:val="center"/>
          </w:tcPr>
          <w:p w14:paraId="6FBABB7F" w14:textId="77777777" w:rsidR="0084326C" w:rsidRPr="005D68A0" w:rsidRDefault="0084326C">
            <w:pPr>
              <w:spacing w:line="276" w:lineRule="auto"/>
              <w:jc w:val="center"/>
              <w:rPr>
                <w:rFonts w:ascii="Arial Narrow" w:hAnsi="Arial Narrow"/>
                <w:noProof/>
                <w:sz w:val="20"/>
                <w:szCs w:val="20"/>
              </w:rPr>
            </w:pPr>
            <w:r>
              <w:rPr>
                <w:rFonts w:ascii="Arial Narrow" w:hAnsi="Arial Narrow"/>
                <w:noProof/>
                <w:color w:val="006100"/>
                <w:sz w:val="20"/>
              </w:rPr>
              <w:t>Siht</w:t>
            </w:r>
          </w:p>
        </w:tc>
        <w:tc>
          <w:tcPr>
            <w:tcW w:w="1732" w:type="dxa"/>
            <w:shd w:val="clear" w:color="auto" w:fill="C6EFCE"/>
            <w:noWrap/>
            <w:vAlign w:val="center"/>
          </w:tcPr>
          <w:p w14:paraId="69B7F5C3" w14:textId="77777777" w:rsidR="0084326C" w:rsidRPr="005D68A0" w:rsidRDefault="0084326C">
            <w:pPr>
              <w:spacing w:line="276" w:lineRule="auto"/>
              <w:jc w:val="center"/>
              <w:rPr>
                <w:rFonts w:ascii="Arial Narrow" w:hAnsi="Arial Narrow"/>
                <w:noProof/>
                <w:sz w:val="20"/>
                <w:szCs w:val="20"/>
              </w:rPr>
            </w:pPr>
            <w:r>
              <w:rPr>
                <w:rFonts w:ascii="Arial Narrow" w:hAnsi="Arial Narrow"/>
                <w:noProof/>
                <w:color w:val="006100"/>
                <w:sz w:val="20"/>
              </w:rPr>
              <w:t>Ebaseaduslikud prügilad</w:t>
            </w:r>
          </w:p>
        </w:tc>
        <w:tc>
          <w:tcPr>
            <w:tcW w:w="1603" w:type="dxa"/>
            <w:shd w:val="clear" w:color="auto" w:fill="C6EFCE"/>
            <w:noWrap/>
            <w:vAlign w:val="center"/>
          </w:tcPr>
          <w:p w14:paraId="515C3924" w14:textId="77777777" w:rsidR="0084326C" w:rsidRPr="005D68A0" w:rsidRDefault="0084326C">
            <w:pPr>
              <w:spacing w:line="276" w:lineRule="auto"/>
              <w:jc w:val="center"/>
              <w:rPr>
                <w:rFonts w:ascii="Arial Narrow" w:hAnsi="Arial Narrow"/>
                <w:noProof/>
                <w:sz w:val="20"/>
                <w:szCs w:val="20"/>
              </w:rPr>
            </w:pPr>
            <w:r>
              <w:rPr>
                <w:rFonts w:ascii="Arial Narrow" w:hAnsi="Arial Narrow"/>
                <w:noProof/>
                <w:color w:val="006100"/>
                <w:sz w:val="20"/>
              </w:rPr>
              <w:t>Ei kohaldata</w:t>
            </w:r>
          </w:p>
        </w:tc>
        <w:tc>
          <w:tcPr>
            <w:tcW w:w="1275" w:type="dxa"/>
            <w:shd w:val="clear" w:color="auto" w:fill="C6EFCE"/>
            <w:noWrap/>
            <w:vAlign w:val="center"/>
          </w:tcPr>
          <w:p w14:paraId="5A090B38" w14:textId="5A4D1E10" w:rsidR="0084326C" w:rsidRPr="005D68A0" w:rsidRDefault="0084326C">
            <w:pPr>
              <w:spacing w:line="276" w:lineRule="auto"/>
              <w:jc w:val="center"/>
              <w:rPr>
                <w:rFonts w:ascii="Arial Narrow" w:hAnsi="Arial Narrow"/>
                <w:noProof/>
                <w:sz w:val="20"/>
                <w:szCs w:val="20"/>
              </w:rPr>
            </w:pPr>
            <w:r>
              <w:rPr>
                <w:rFonts w:ascii="Arial Narrow" w:hAnsi="Arial Narrow"/>
                <w:noProof/>
                <w:color w:val="006100"/>
                <w:sz w:val="20"/>
              </w:rPr>
              <w:t>Arv</w:t>
            </w:r>
          </w:p>
        </w:tc>
        <w:tc>
          <w:tcPr>
            <w:tcW w:w="993" w:type="dxa"/>
            <w:shd w:val="clear" w:color="auto" w:fill="C6EFCE"/>
            <w:noWrap/>
            <w:vAlign w:val="center"/>
          </w:tcPr>
          <w:p w14:paraId="280047D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11</w:t>
            </w:r>
          </w:p>
        </w:tc>
        <w:tc>
          <w:tcPr>
            <w:tcW w:w="1162" w:type="dxa"/>
            <w:shd w:val="clear" w:color="auto" w:fill="C6EFCE"/>
            <w:noWrap/>
            <w:vAlign w:val="center"/>
          </w:tcPr>
          <w:p w14:paraId="2DD0336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0</w:t>
            </w:r>
          </w:p>
        </w:tc>
        <w:tc>
          <w:tcPr>
            <w:tcW w:w="963" w:type="dxa"/>
            <w:shd w:val="clear" w:color="auto" w:fill="C6EFCE"/>
            <w:noWrap/>
            <w:vAlign w:val="center"/>
          </w:tcPr>
          <w:p w14:paraId="27500641" w14:textId="77777777" w:rsidR="0084326C" w:rsidRPr="005D68A0" w:rsidRDefault="0084326C">
            <w:pPr>
              <w:spacing w:line="276" w:lineRule="auto"/>
              <w:jc w:val="center"/>
              <w:rPr>
                <w:rFonts w:ascii="Arial Narrow" w:hAnsi="Arial Narrow"/>
                <w:noProof/>
                <w:sz w:val="20"/>
                <w:szCs w:val="20"/>
              </w:rPr>
            </w:pPr>
            <w:r>
              <w:rPr>
                <w:rFonts w:ascii="Arial Narrow" w:hAnsi="Arial Narrow"/>
                <w:noProof/>
                <w:color w:val="006100"/>
                <w:sz w:val="20"/>
              </w:rPr>
              <w:t>2. kv</w:t>
            </w:r>
          </w:p>
        </w:tc>
        <w:tc>
          <w:tcPr>
            <w:tcW w:w="710" w:type="dxa"/>
            <w:shd w:val="clear" w:color="auto" w:fill="C6EFCE"/>
            <w:noWrap/>
            <w:vAlign w:val="center"/>
          </w:tcPr>
          <w:p w14:paraId="440CA250"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2026</w:t>
            </w:r>
          </w:p>
        </w:tc>
        <w:tc>
          <w:tcPr>
            <w:tcW w:w="3174" w:type="dxa"/>
            <w:shd w:val="clear" w:color="auto" w:fill="C6EFCE"/>
            <w:noWrap/>
            <w:vAlign w:val="center"/>
          </w:tcPr>
          <w:p w14:paraId="33BBA178" w14:textId="24A753B8"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 xml:space="preserve"> Rikkumismenetlusega 2003/2077 hõlmatud ebaseaduslike prügilate arvu vähendamine 11-lt 0-le (st vähemalt 100 %)</w:t>
            </w:r>
          </w:p>
        </w:tc>
      </w:tr>
      <w:tr w:rsidR="0084326C" w:rsidRPr="00D90835" w14:paraId="625A9A97" w14:textId="77777777" w:rsidTr="57A7F3EA">
        <w:trPr>
          <w:trHeight w:val="313"/>
          <w:jc w:val="center"/>
        </w:trPr>
        <w:tc>
          <w:tcPr>
            <w:tcW w:w="1220" w:type="dxa"/>
            <w:shd w:val="clear" w:color="auto" w:fill="C6EFCE"/>
            <w:noWrap/>
            <w:vAlign w:val="center"/>
          </w:tcPr>
          <w:p w14:paraId="487CC7C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M2C1-16bis</w:t>
            </w:r>
          </w:p>
        </w:tc>
        <w:tc>
          <w:tcPr>
            <w:tcW w:w="1598" w:type="dxa"/>
            <w:shd w:val="clear" w:color="auto" w:fill="C6EFCE"/>
            <w:noWrap/>
            <w:vAlign w:val="center"/>
          </w:tcPr>
          <w:p w14:paraId="76089E57" w14:textId="77777777" w:rsidR="0084326C" w:rsidRPr="005D68A0" w:rsidRDefault="0084326C">
            <w:pPr>
              <w:spacing w:line="276" w:lineRule="auto"/>
              <w:jc w:val="center"/>
              <w:rPr>
                <w:rFonts w:ascii="Arial Narrow" w:hAnsi="Arial Narrow"/>
                <w:noProof/>
                <w:color w:val="006100"/>
                <w:sz w:val="20"/>
                <w:szCs w:val="20"/>
                <w:lang w:val="en-GB"/>
              </w:rPr>
            </w:pPr>
          </w:p>
          <w:p w14:paraId="684F2B80" w14:textId="42436F91" w:rsidR="0084326C" w:rsidRPr="005D68A0" w:rsidRDefault="0084326C" w:rsidP="57A7F3EA">
            <w:pPr>
              <w:spacing w:line="276" w:lineRule="auto"/>
              <w:jc w:val="center"/>
              <w:rPr>
                <w:rFonts w:ascii="Arial Narrow" w:hAnsi="Arial Narrow"/>
                <w:noProof/>
                <w:color w:val="006100"/>
                <w:sz w:val="20"/>
                <w:szCs w:val="20"/>
                <w:lang w:val="en-GB"/>
              </w:rPr>
            </w:pPr>
          </w:p>
          <w:p w14:paraId="509BB889" w14:textId="5C9C3079" w:rsidR="0084326C" w:rsidRPr="005D68A0" w:rsidRDefault="0084326C" w:rsidP="57A7F3EA">
            <w:pPr>
              <w:spacing w:line="276" w:lineRule="auto"/>
              <w:jc w:val="center"/>
              <w:rPr>
                <w:rFonts w:ascii="Arial Narrow" w:hAnsi="Arial Narrow"/>
                <w:noProof/>
                <w:color w:val="006100"/>
                <w:sz w:val="20"/>
                <w:szCs w:val="20"/>
                <w:lang w:val="en-GB"/>
              </w:rPr>
            </w:pPr>
          </w:p>
          <w:p w14:paraId="085D4F1C" w14:textId="42DFA581" w:rsidR="0084326C" w:rsidRPr="005D68A0" w:rsidRDefault="19CA3790" w:rsidP="57A7F3EA">
            <w:pPr>
              <w:spacing w:line="276" w:lineRule="auto"/>
              <w:jc w:val="center"/>
              <w:rPr>
                <w:rFonts w:ascii="Arial Narrow" w:hAnsi="Arial Narrow"/>
                <w:noProof/>
                <w:color w:val="006100"/>
                <w:sz w:val="20"/>
                <w:szCs w:val="20"/>
              </w:rPr>
            </w:pPr>
            <w:r>
              <w:rPr>
                <w:rFonts w:ascii="Arial Narrow" w:hAnsi="Arial Narrow"/>
                <w:noProof/>
                <w:color w:val="006100"/>
                <w:sz w:val="20"/>
              </w:rPr>
              <w:t xml:space="preserve">Reform 1.2. </w:t>
            </w:r>
          </w:p>
          <w:p w14:paraId="43AF5E46" w14:textId="6492DA81" w:rsidR="0084326C" w:rsidRPr="005D68A0" w:rsidRDefault="19CA3790" w:rsidP="57A7F3EA">
            <w:pPr>
              <w:spacing w:line="276" w:lineRule="auto"/>
              <w:jc w:val="center"/>
              <w:rPr>
                <w:noProof/>
              </w:rPr>
            </w:pPr>
            <w:r>
              <w:rPr>
                <w:rFonts w:ascii="Arial Narrow" w:hAnsi="Arial Narrow"/>
                <w:noProof/>
                <w:color w:val="006100"/>
                <w:sz w:val="20"/>
              </w:rPr>
              <w:t>Riiklik jäätmekäitlusprogramm</w:t>
            </w:r>
          </w:p>
        </w:tc>
        <w:tc>
          <w:tcPr>
            <w:tcW w:w="1185" w:type="dxa"/>
            <w:shd w:val="clear" w:color="auto" w:fill="C6EFCE"/>
            <w:noWrap/>
            <w:vAlign w:val="center"/>
          </w:tcPr>
          <w:p w14:paraId="39C0883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1732" w:type="dxa"/>
            <w:shd w:val="clear" w:color="auto" w:fill="C6EFCE"/>
            <w:noWrap/>
            <w:vAlign w:val="center"/>
          </w:tcPr>
          <w:p w14:paraId="2A363ED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Ebaseaduslikud prügilad</w:t>
            </w:r>
          </w:p>
        </w:tc>
        <w:tc>
          <w:tcPr>
            <w:tcW w:w="1603" w:type="dxa"/>
            <w:shd w:val="clear" w:color="auto" w:fill="C6EFCE"/>
            <w:noWrap/>
            <w:vAlign w:val="center"/>
          </w:tcPr>
          <w:p w14:paraId="7E163D1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275" w:type="dxa"/>
            <w:shd w:val="clear" w:color="auto" w:fill="C6EFCE"/>
            <w:noWrap/>
            <w:vAlign w:val="center"/>
          </w:tcPr>
          <w:p w14:paraId="3632538D" w14:textId="5B874100"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Arv</w:t>
            </w:r>
          </w:p>
        </w:tc>
        <w:tc>
          <w:tcPr>
            <w:tcW w:w="993" w:type="dxa"/>
            <w:shd w:val="clear" w:color="auto" w:fill="C6EFCE"/>
            <w:noWrap/>
            <w:vAlign w:val="center"/>
          </w:tcPr>
          <w:p w14:paraId="43BC2B0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14</w:t>
            </w:r>
          </w:p>
        </w:tc>
        <w:tc>
          <w:tcPr>
            <w:tcW w:w="1162" w:type="dxa"/>
            <w:shd w:val="clear" w:color="auto" w:fill="C6EFCE"/>
            <w:noWrap/>
            <w:vAlign w:val="center"/>
          </w:tcPr>
          <w:p w14:paraId="24CC81F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9</w:t>
            </w:r>
          </w:p>
        </w:tc>
        <w:tc>
          <w:tcPr>
            <w:tcW w:w="963" w:type="dxa"/>
            <w:shd w:val="clear" w:color="auto" w:fill="C6EFCE"/>
            <w:noWrap/>
            <w:vAlign w:val="center"/>
          </w:tcPr>
          <w:p w14:paraId="54A2BE5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710" w:type="dxa"/>
            <w:shd w:val="clear" w:color="auto" w:fill="C6EFCE"/>
            <w:noWrap/>
            <w:vAlign w:val="center"/>
          </w:tcPr>
          <w:p w14:paraId="026BFE40"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2024</w:t>
            </w:r>
          </w:p>
        </w:tc>
        <w:tc>
          <w:tcPr>
            <w:tcW w:w="3174" w:type="dxa"/>
            <w:shd w:val="clear" w:color="auto" w:fill="C6EFCE"/>
            <w:noWrap/>
            <w:vAlign w:val="center"/>
          </w:tcPr>
          <w:p w14:paraId="0405820B" w14:textId="3AE954FA" w:rsidR="0084326C" w:rsidRPr="005D68A0" w:rsidRDefault="3A805AD9">
            <w:pPr>
              <w:spacing w:line="276" w:lineRule="auto"/>
              <w:rPr>
                <w:rFonts w:ascii="Arial Narrow" w:hAnsi="Arial Narrow"/>
                <w:noProof/>
                <w:color w:val="006100"/>
                <w:sz w:val="20"/>
                <w:szCs w:val="20"/>
              </w:rPr>
            </w:pPr>
            <w:r>
              <w:rPr>
                <w:rFonts w:ascii="Arial Narrow" w:hAnsi="Arial Narrow"/>
                <w:noProof/>
                <w:color w:val="006100"/>
                <w:sz w:val="20"/>
              </w:rPr>
              <w:t>Rikkumismenetlusega 2011/2215 hõlmatud ebaseaduslike prügilate arvu vähendamine 14-lt 9-le (st vähemalt 75 %)</w:t>
            </w:r>
          </w:p>
        </w:tc>
      </w:tr>
      <w:tr w:rsidR="0084326C" w:rsidRPr="00D90835" w14:paraId="7BF66293" w14:textId="77777777" w:rsidTr="57A7F3EA">
        <w:trPr>
          <w:trHeight w:val="313"/>
          <w:jc w:val="center"/>
        </w:trPr>
        <w:tc>
          <w:tcPr>
            <w:tcW w:w="1220" w:type="dxa"/>
            <w:shd w:val="clear" w:color="auto" w:fill="C6EFCE"/>
            <w:noWrap/>
            <w:vAlign w:val="center"/>
          </w:tcPr>
          <w:p w14:paraId="48E9855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M2C1-16ter</w:t>
            </w:r>
          </w:p>
        </w:tc>
        <w:tc>
          <w:tcPr>
            <w:tcW w:w="1598" w:type="dxa"/>
            <w:shd w:val="clear" w:color="auto" w:fill="C6EFCE"/>
            <w:noWrap/>
            <w:vAlign w:val="center"/>
          </w:tcPr>
          <w:p w14:paraId="51AC8C0D" w14:textId="77777777" w:rsidR="0084326C" w:rsidRPr="005D68A0" w:rsidRDefault="0084326C">
            <w:pPr>
              <w:spacing w:line="276" w:lineRule="auto"/>
              <w:jc w:val="center"/>
              <w:rPr>
                <w:rFonts w:ascii="Arial Narrow" w:hAnsi="Arial Narrow"/>
                <w:noProof/>
                <w:color w:val="006100"/>
                <w:sz w:val="20"/>
                <w:szCs w:val="20"/>
                <w:lang w:val="en-GB"/>
              </w:rPr>
            </w:pPr>
          </w:p>
          <w:p w14:paraId="6385B96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1.1. Uute jäätmekäitlusjaamade rakendamine ja olemasolevate rajatiste moderniseerimine</w:t>
            </w:r>
          </w:p>
        </w:tc>
        <w:tc>
          <w:tcPr>
            <w:tcW w:w="1185" w:type="dxa"/>
            <w:shd w:val="clear" w:color="auto" w:fill="C6EFCE"/>
            <w:noWrap/>
            <w:vAlign w:val="center"/>
          </w:tcPr>
          <w:p w14:paraId="1C2730E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1732" w:type="dxa"/>
            <w:shd w:val="clear" w:color="auto" w:fill="C6EFCE"/>
            <w:noWrap/>
            <w:vAlign w:val="center"/>
          </w:tcPr>
          <w:p w14:paraId="268B475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Piirkondlikud erinevused liigiti kogumise määrades</w:t>
            </w:r>
          </w:p>
        </w:tc>
        <w:tc>
          <w:tcPr>
            <w:tcW w:w="1603" w:type="dxa"/>
            <w:shd w:val="clear" w:color="auto" w:fill="C6EFCE"/>
            <w:noWrap/>
            <w:vAlign w:val="center"/>
          </w:tcPr>
          <w:p w14:paraId="483C840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275" w:type="dxa"/>
            <w:shd w:val="clear" w:color="auto" w:fill="C6EFCE"/>
            <w:noWrap/>
            <w:vAlign w:val="center"/>
          </w:tcPr>
          <w:p w14:paraId="54A2264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Protsendipunktid</w:t>
            </w:r>
          </w:p>
        </w:tc>
        <w:tc>
          <w:tcPr>
            <w:tcW w:w="993" w:type="dxa"/>
            <w:shd w:val="clear" w:color="auto" w:fill="C6EFCE"/>
            <w:noWrap/>
            <w:vAlign w:val="center"/>
          </w:tcPr>
          <w:p w14:paraId="6BA3904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27,6</w:t>
            </w:r>
          </w:p>
        </w:tc>
        <w:tc>
          <w:tcPr>
            <w:tcW w:w="1162" w:type="dxa"/>
            <w:shd w:val="clear" w:color="auto" w:fill="C6EFCE"/>
            <w:noWrap/>
            <w:vAlign w:val="center"/>
          </w:tcPr>
          <w:p w14:paraId="7CE2610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w:t>
            </w:r>
          </w:p>
        </w:tc>
        <w:tc>
          <w:tcPr>
            <w:tcW w:w="963" w:type="dxa"/>
            <w:shd w:val="clear" w:color="auto" w:fill="C6EFCE"/>
            <w:noWrap/>
            <w:vAlign w:val="center"/>
          </w:tcPr>
          <w:p w14:paraId="13B26D1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710" w:type="dxa"/>
            <w:shd w:val="clear" w:color="auto" w:fill="C6EFCE"/>
            <w:noWrap/>
            <w:vAlign w:val="center"/>
          </w:tcPr>
          <w:p w14:paraId="3F0EFF51"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2024</w:t>
            </w:r>
          </w:p>
        </w:tc>
        <w:tc>
          <w:tcPr>
            <w:tcW w:w="3174" w:type="dxa"/>
            <w:shd w:val="clear" w:color="auto" w:fill="C6EFCE"/>
            <w:noWrap/>
            <w:vAlign w:val="center"/>
          </w:tcPr>
          <w:p w14:paraId="3D658D9C" w14:textId="4914A314" w:rsidR="0084326C" w:rsidRPr="005D68A0" w:rsidRDefault="3B4DCFD6">
            <w:pPr>
              <w:spacing w:before="60" w:after="120" w:line="276" w:lineRule="auto"/>
              <w:rPr>
                <w:rFonts w:ascii="Arial Narrow" w:hAnsi="Arial Narrow"/>
                <w:noProof/>
                <w:color w:val="006100"/>
                <w:sz w:val="20"/>
                <w:szCs w:val="20"/>
              </w:rPr>
            </w:pPr>
            <w:r>
              <w:rPr>
                <w:rFonts w:ascii="Arial Narrow" w:hAnsi="Arial Narrow"/>
                <w:noProof/>
                <w:color w:val="006100"/>
                <w:sz w:val="20"/>
              </w:rPr>
              <w:t>Erinevuste vähendamine keskmiselt kolme kõige paremaid tulemusi saavutanud piirkonna ja kolme kõige kehvemate näitajatega piirkonna vahel liigiti kogumise määrades 20 protsendipunkti võrra.</w:t>
            </w:r>
          </w:p>
        </w:tc>
      </w:tr>
      <w:tr w:rsidR="0084326C" w:rsidRPr="00D90835" w14:paraId="704C578F" w14:textId="77777777" w:rsidTr="57A7F3EA">
        <w:trPr>
          <w:trHeight w:val="313"/>
          <w:jc w:val="center"/>
        </w:trPr>
        <w:tc>
          <w:tcPr>
            <w:tcW w:w="1220" w:type="dxa"/>
            <w:shd w:val="clear" w:color="auto" w:fill="C6EFCE"/>
            <w:noWrap/>
            <w:vAlign w:val="center"/>
          </w:tcPr>
          <w:p w14:paraId="3630977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M2C1-17</w:t>
            </w:r>
          </w:p>
        </w:tc>
        <w:tc>
          <w:tcPr>
            <w:tcW w:w="1598" w:type="dxa"/>
            <w:shd w:val="clear" w:color="auto" w:fill="C6EFCE"/>
            <w:noWrap/>
            <w:vAlign w:val="center"/>
          </w:tcPr>
          <w:p w14:paraId="01307A7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1.2. Ringmajanduse juhtalgatused</w:t>
            </w:r>
          </w:p>
        </w:tc>
        <w:tc>
          <w:tcPr>
            <w:tcW w:w="1185" w:type="dxa"/>
            <w:shd w:val="clear" w:color="auto" w:fill="C6EFCE"/>
            <w:noWrap/>
            <w:vAlign w:val="center"/>
          </w:tcPr>
          <w:p w14:paraId="3BD6075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1732" w:type="dxa"/>
            <w:shd w:val="clear" w:color="auto" w:fill="C6EFCE"/>
            <w:noWrap/>
            <w:vAlign w:val="center"/>
          </w:tcPr>
          <w:p w14:paraId="1CE4304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Olmejäätmete ringlussevõtu määrad ringmajanduse tegevuskavas</w:t>
            </w:r>
          </w:p>
        </w:tc>
        <w:tc>
          <w:tcPr>
            <w:tcW w:w="1603" w:type="dxa"/>
            <w:shd w:val="clear" w:color="auto" w:fill="C6EFCE"/>
            <w:noWrap/>
            <w:vAlign w:val="center"/>
          </w:tcPr>
          <w:p w14:paraId="791C13E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275" w:type="dxa"/>
            <w:shd w:val="clear" w:color="auto" w:fill="C6EFCE"/>
            <w:noWrap/>
            <w:vAlign w:val="center"/>
          </w:tcPr>
          <w:p w14:paraId="4533E95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Ringlussevõtu määr</w:t>
            </w:r>
          </w:p>
        </w:tc>
        <w:tc>
          <w:tcPr>
            <w:tcW w:w="993" w:type="dxa"/>
            <w:shd w:val="clear" w:color="auto" w:fill="C6EFCE"/>
            <w:noWrap/>
            <w:vAlign w:val="center"/>
          </w:tcPr>
          <w:p w14:paraId="738BB4C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162" w:type="dxa"/>
            <w:shd w:val="clear" w:color="auto" w:fill="C6EFCE"/>
            <w:noWrap/>
            <w:vAlign w:val="center"/>
          </w:tcPr>
          <w:p w14:paraId="51A4028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55</w:t>
            </w:r>
          </w:p>
        </w:tc>
        <w:tc>
          <w:tcPr>
            <w:tcW w:w="963" w:type="dxa"/>
            <w:shd w:val="clear" w:color="auto" w:fill="C6EFCE"/>
            <w:noWrap/>
            <w:vAlign w:val="center"/>
          </w:tcPr>
          <w:p w14:paraId="1C01B7C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710" w:type="dxa"/>
            <w:shd w:val="clear" w:color="auto" w:fill="C6EFCE"/>
            <w:noWrap/>
            <w:vAlign w:val="center"/>
          </w:tcPr>
          <w:p w14:paraId="08F52D9C"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2025</w:t>
            </w:r>
          </w:p>
        </w:tc>
        <w:tc>
          <w:tcPr>
            <w:tcW w:w="3174" w:type="dxa"/>
            <w:shd w:val="clear" w:color="auto" w:fill="C6EFCE"/>
            <w:noWrap/>
            <w:vAlign w:val="center"/>
          </w:tcPr>
          <w:p w14:paraId="40E36FFF" w14:textId="77777777" w:rsidR="0084326C" w:rsidRPr="005D68A0" w:rsidRDefault="0084326C">
            <w:pPr>
              <w:spacing w:before="60" w:after="120" w:line="276" w:lineRule="auto"/>
              <w:rPr>
                <w:rFonts w:ascii="Arial Narrow" w:hAnsi="Arial Narrow"/>
                <w:noProof/>
                <w:color w:val="006100"/>
                <w:sz w:val="20"/>
                <w:szCs w:val="20"/>
              </w:rPr>
            </w:pPr>
            <w:r>
              <w:rPr>
                <w:rFonts w:ascii="Arial Narrow" w:hAnsi="Arial Narrow"/>
                <w:noProof/>
                <w:color w:val="006100"/>
                <w:sz w:val="20"/>
              </w:rPr>
              <w:t>Olmejäätmete ringlussevõtu määr peab olema vähemalt 55 % (nagu on määratletud direktiivi 2008/98/EÜ (mis käsitleb jäätmeid ja mida on muudetud direktiiviga 2018/851) artikli 11 lõike 2 punktis C).</w:t>
            </w:r>
          </w:p>
        </w:tc>
      </w:tr>
      <w:tr w:rsidR="0084326C" w:rsidRPr="00D90835" w14:paraId="204894B6" w14:textId="77777777" w:rsidTr="57A7F3EA">
        <w:trPr>
          <w:trHeight w:val="313"/>
          <w:jc w:val="center"/>
        </w:trPr>
        <w:tc>
          <w:tcPr>
            <w:tcW w:w="1220" w:type="dxa"/>
            <w:shd w:val="clear" w:color="auto" w:fill="C6EFCE"/>
            <w:noWrap/>
            <w:vAlign w:val="center"/>
          </w:tcPr>
          <w:p w14:paraId="3BC8058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M2C1-17bis</w:t>
            </w:r>
          </w:p>
        </w:tc>
        <w:tc>
          <w:tcPr>
            <w:tcW w:w="1598" w:type="dxa"/>
            <w:shd w:val="clear" w:color="auto" w:fill="C6EFCE"/>
            <w:noWrap/>
            <w:vAlign w:val="center"/>
          </w:tcPr>
          <w:p w14:paraId="0389F52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1.2. Ringmajanduse juhtalgatused</w:t>
            </w:r>
          </w:p>
        </w:tc>
        <w:tc>
          <w:tcPr>
            <w:tcW w:w="1185" w:type="dxa"/>
            <w:shd w:val="clear" w:color="auto" w:fill="C6EFCE"/>
            <w:noWrap/>
            <w:vAlign w:val="center"/>
          </w:tcPr>
          <w:p w14:paraId="5E8D8C9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1732" w:type="dxa"/>
            <w:shd w:val="clear" w:color="auto" w:fill="C6EFCE"/>
            <w:noWrap/>
            <w:vAlign w:val="center"/>
          </w:tcPr>
          <w:p w14:paraId="7758418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Pakendijäätmete ringlussevõtu määrad ringmajanduse tegevuskavas</w:t>
            </w:r>
          </w:p>
        </w:tc>
        <w:tc>
          <w:tcPr>
            <w:tcW w:w="1603" w:type="dxa"/>
            <w:shd w:val="clear" w:color="auto" w:fill="C6EFCE"/>
            <w:noWrap/>
            <w:vAlign w:val="center"/>
          </w:tcPr>
          <w:p w14:paraId="0FD6670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275" w:type="dxa"/>
            <w:shd w:val="clear" w:color="auto" w:fill="C6EFCE"/>
            <w:noWrap/>
            <w:vAlign w:val="center"/>
          </w:tcPr>
          <w:p w14:paraId="2F3B5DF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Ringlussevõtu määr</w:t>
            </w:r>
          </w:p>
        </w:tc>
        <w:tc>
          <w:tcPr>
            <w:tcW w:w="993" w:type="dxa"/>
            <w:shd w:val="clear" w:color="auto" w:fill="C6EFCE"/>
            <w:noWrap/>
            <w:vAlign w:val="center"/>
          </w:tcPr>
          <w:p w14:paraId="1390D88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162" w:type="dxa"/>
            <w:shd w:val="clear" w:color="auto" w:fill="C6EFCE"/>
            <w:noWrap/>
            <w:vAlign w:val="center"/>
          </w:tcPr>
          <w:p w14:paraId="36D04A7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65</w:t>
            </w:r>
          </w:p>
        </w:tc>
        <w:tc>
          <w:tcPr>
            <w:tcW w:w="963" w:type="dxa"/>
            <w:shd w:val="clear" w:color="auto" w:fill="C6EFCE"/>
            <w:noWrap/>
            <w:vAlign w:val="center"/>
          </w:tcPr>
          <w:p w14:paraId="6FC5049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710" w:type="dxa"/>
            <w:shd w:val="clear" w:color="auto" w:fill="C6EFCE"/>
            <w:noWrap/>
            <w:vAlign w:val="center"/>
          </w:tcPr>
          <w:p w14:paraId="744D83B2"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2025</w:t>
            </w:r>
          </w:p>
        </w:tc>
        <w:tc>
          <w:tcPr>
            <w:tcW w:w="3174" w:type="dxa"/>
            <w:shd w:val="clear" w:color="auto" w:fill="C6EFCE"/>
            <w:noWrap/>
            <w:vAlign w:val="center"/>
          </w:tcPr>
          <w:p w14:paraId="5CC22D16" w14:textId="77777777" w:rsidR="0084326C" w:rsidRPr="005D68A0" w:rsidRDefault="0084326C">
            <w:pPr>
              <w:spacing w:before="60" w:after="120" w:line="276" w:lineRule="auto"/>
              <w:rPr>
                <w:rFonts w:ascii="Arial Narrow" w:hAnsi="Arial Narrow"/>
                <w:noProof/>
                <w:color w:val="006100"/>
                <w:sz w:val="20"/>
                <w:szCs w:val="20"/>
              </w:rPr>
            </w:pPr>
            <w:r>
              <w:rPr>
                <w:rFonts w:ascii="Arial Narrow" w:hAnsi="Arial Narrow"/>
                <w:noProof/>
                <w:color w:val="006100"/>
                <w:sz w:val="20"/>
              </w:rPr>
              <w:t>Pakendijäätmete ringlussevõtu määr peab olema vähemalt 65 massiprotsenti (nagu on määratletud pakendijäätmeid käsitleva direktiivi 94/62/EÜ (muudetud direktiiviga 2018/852) artikli 6 lõike 1 punktis g I-VI).</w:t>
            </w:r>
          </w:p>
        </w:tc>
      </w:tr>
      <w:tr w:rsidR="0084326C" w:rsidRPr="00D90835" w14:paraId="3DD49FD5" w14:textId="77777777" w:rsidTr="57A7F3EA">
        <w:trPr>
          <w:trHeight w:val="313"/>
          <w:jc w:val="center"/>
        </w:trPr>
        <w:tc>
          <w:tcPr>
            <w:tcW w:w="1220" w:type="dxa"/>
            <w:shd w:val="clear" w:color="auto" w:fill="C6EFCE"/>
            <w:noWrap/>
            <w:vAlign w:val="center"/>
          </w:tcPr>
          <w:p w14:paraId="1B7DDD4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M2C1-17ter</w:t>
            </w:r>
          </w:p>
        </w:tc>
        <w:tc>
          <w:tcPr>
            <w:tcW w:w="1598" w:type="dxa"/>
            <w:shd w:val="clear" w:color="auto" w:fill="C6EFCE"/>
            <w:noWrap/>
            <w:vAlign w:val="center"/>
          </w:tcPr>
          <w:p w14:paraId="469F2B3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1.2. Ringmajanduse juhtalgatused</w:t>
            </w:r>
          </w:p>
        </w:tc>
        <w:tc>
          <w:tcPr>
            <w:tcW w:w="1185" w:type="dxa"/>
            <w:shd w:val="clear" w:color="auto" w:fill="C6EFCE"/>
            <w:noWrap/>
            <w:vAlign w:val="center"/>
          </w:tcPr>
          <w:p w14:paraId="634898F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1732" w:type="dxa"/>
            <w:shd w:val="clear" w:color="auto" w:fill="C6EFCE"/>
            <w:noWrap/>
            <w:vAlign w:val="center"/>
          </w:tcPr>
          <w:p w14:paraId="7321355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Puidust pakkematerjali ringlussevõtu määrad ringmajanduse tegevuskavas</w:t>
            </w:r>
          </w:p>
        </w:tc>
        <w:tc>
          <w:tcPr>
            <w:tcW w:w="1603" w:type="dxa"/>
            <w:shd w:val="clear" w:color="auto" w:fill="C6EFCE"/>
            <w:noWrap/>
            <w:vAlign w:val="center"/>
          </w:tcPr>
          <w:p w14:paraId="5C081CE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275" w:type="dxa"/>
            <w:shd w:val="clear" w:color="auto" w:fill="C6EFCE"/>
            <w:noWrap/>
            <w:vAlign w:val="center"/>
          </w:tcPr>
          <w:p w14:paraId="3E48A84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Ringlussevõtu määr</w:t>
            </w:r>
          </w:p>
        </w:tc>
        <w:tc>
          <w:tcPr>
            <w:tcW w:w="993" w:type="dxa"/>
            <w:shd w:val="clear" w:color="auto" w:fill="C6EFCE"/>
            <w:noWrap/>
            <w:vAlign w:val="center"/>
          </w:tcPr>
          <w:p w14:paraId="046D4D2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162" w:type="dxa"/>
            <w:shd w:val="clear" w:color="auto" w:fill="C6EFCE"/>
            <w:noWrap/>
            <w:vAlign w:val="center"/>
          </w:tcPr>
          <w:p w14:paraId="7036312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25</w:t>
            </w:r>
          </w:p>
        </w:tc>
        <w:tc>
          <w:tcPr>
            <w:tcW w:w="963" w:type="dxa"/>
            <w:shd w:val="clear" w:color="auto" w:fill="C6EFCE"/>
            <w:noWrap/>
            <w:vAlign w:val="center"/>
          </w:tcPr>
          <w:p w14:paraId="6A0795E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710" w:type="dxa"/>
            <w:shd w:val="clear" w:color="auto" w:fill="C6EFCE"/>
            <w:noWrap/>
            <w:vAlign w:val="center"/>
          </w:tcPr>
          <w:p w14:paraId="400EB3BB"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2025</w:t>
            </w:r>
          </w:p>
        </w:tc>
        <w:tc>
          <w:tcPr>
            <w:tcW w:w="3174" w:type="dxa"/>
            <w:shd w:val="clear" w:color="auto" w:fill="C6EFCE"/>
            <w:noWrap/>
            <w:vAlign w:val="center"/>
          </w:tcPr>
          <w:p w14:paraId="0F11ED98" w14:textId="77777777" w:rsidR="0084326C" w:rsidRPr="005D68A0" w:rsidRDefault="0084326C">
            <w:pPr>
              <w:spacing w:before="60" w:after="120" w:line="276" w:lineRule="auto"/>
              <w:rPr>
                <w:rFonts w:ascii="Arial Narrow" w:hAnsi="Arial Narrow"/>
                <w:noProof/>
                <w:color w:val="006100"/>
                <w:sz w:val="20"/>
                <w:szCs w:val="20"/>
              </w:rPr>
            </w:pPr>
            <w:r>
              <w:rPr>
                <w:rFonts w:ascii="Arial Narrow" w:hAnsi="Arial Narrow"/>
                <w:noProof/>
                <w:color w:val="006100"/>
                <w:sz w:val="20"/>
              </w:rPr>
              <w:t>Puidupakendite ringlussevõtu määr peab olema vähemalt 25 % massist (nagu on määratletud pakendijäätmeid käsitleva direktiivi 94/62/EÜ (muudetud direktiiviga 2018/852) artikli 6 lõike 1 punktis g I-VI).</w:t>
            </w:r>
          </w:p>
        </w:tc>
      </w:tr>
      <w:tr w:rsidR="0084326C" w:rsidRPr="00D90835" w14:paraId="64020B06" w14:textId="77777777" w:rsidTr="57A7F3EA">
        <w:trPr>
          <w:trHeight w:val="313"/>
          <w:jc w:val="center"/>
        </w:trPr>
        <w:tc>
          <w:tcPr>
            <w:tcW w:w="1220" w:type="dxa"/>
            <w:shd w:val="clear" w:color="auto" w:fill="C6EFCE"/>
            <w:noWrap/>
            <w:vAlign w:val="center"/>
          </w:tcPr>
          <w:p w14:paraId="2104906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M2C1-17quater</w:t>
            </w:r>
          </w:p>
        </w:tc>
        <w:tc>
          <w:tcPr>
            <w:tcW w:w="1598" w:type="dxa"/>
            <w:shd w:val="clear" w:color="auto" w:fill="C6EFCE"/>
            <w:noWrap/>
            <w:vAlign w:val="center"/>
          </w:tcPr>
          <w:p w14:paraId="4723EFE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1.2. Ringmajanduse juhtalgatused</w:t>
            </w:r>
          </w:p>
        </w:tc>
        <w:tc>
          <w:tcPr>
            <w:tcW w:w="1185" w:type="dxa"/>
            <w:shd w:val="clear" w:color="auto" w:fill="C6EFCE"/>
            <w:noWrap/>
            <w:vAlign w:val="center"/>
          </w:tcPr>
          <w:p w14:paraId="48B7EEE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1732" w:type="dxa"/>
            <w:shd w:val="clear" w:color="auto" w:fill="C6EFCE"/>
            <w:noWrap/>
            <w:vAlign w:val="center"/>
          </w:tcPr>
          <w:p w14:paraId="5355CAC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Mustmetallist pakendite ringlussevõtu määrad ringmajanduse tegevuskavas</w:t>
            </w:r>
          </w:p>
        </w:tc>
        <w:tc>
          <w:tcPr>
            <w:tcW w:w="1603" w:type="dxa"/>
            <w:shd w:val="clear" w:color="auto" w:fill="C6EFCE"/>
            <w:noWrap/>
            <w:vAlign w:val="center"/>
          </w:tcPr>
          <w:p w14:paraId="1D51BFA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275" w:type="dxa"/>
            <w:shd w:val="clear" w:color="auto" w:fill="C6EFCE"/>
            <w:noWrap/>
            <w:vAlign w:val="center"/>
          </w:tcPr>
          <w:p w14:paraId="6431ADA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Ringlussevõtu määr</w:t>
            </w:r>
          </w:p>
        </w:tc>
        <w:tc>
          <w:tcPr>
            <w:tcW w:w="993" w:type="dxa"/>
            <w:shd w:val="clear" w:color="auto" w:fill="C6EFCE"/>
            <w:noWrap/>
            <w:vAlign w:val="center"/>
          </w:tcPr>
          <w:p w14:paraId="60DFA68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162" w:type="dxa"/>
            <w:shd w:val="clear" w:color="auto" w:fill="C6EFCE"/>
            <w:noWrap/>
            <w:vAlign w:val="center"/>
          </w:tcPr>
          <w:p w14:paraId="7F05429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70</w:t>
            </w:r>
          </w:p>
        </w:tc>
        <w:tc>
          <w:tcPr>
            <w:tcW w:w="963" w:type="dxa"/>
            <w:shd w:val="clear" w:color="auto" w:fill="C6EFCE"/>
            <w:noWrap/>
            <w:vAlign w:val="center"/>
          </w:tcPr>
          <w:p w14:paraId="07D9879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710" w:type="dxa"/>
            <w:shd w:val="clear" w:color="auto" w:fill="C6EFCE"/>
            <w:noWrap/>
            <w:vAlign w:val="center"/>
          </w:tcPr>
          <w:p w14:paraId="3F3427D7"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2025</w:t>
            </w:r>
          </w:p>
        </w:tc>
        <w:tc>
          <w:tcPr>
            <w:tcW w:w="3174" w:type="dxa"/>
            <w:shd w:val="clear" w:color="auto" w:fill="C6EFCE"/>
            <w:noWrap/>
            <w:vAlign w:val="center"/>
          </w:tcPr>
          <w:p w14:paraId="4EE93779" w14:textId="77777777" w:rsidR="0084326C" w:rsidRPr="005D68A0" w:rsidRDefault="0084326C">
            <w:pPr>
              <w:spacing w:before="60" w:after="120" w:line="276" w:lineRule="auto"/>
              <w:rPr>
                <w:rFonts w:ascii="Arial Narrow" w:hAnsi="Arial Narrow"/>
                <w:noProof/>
                <w:color w:val="006100"/>
                <w:sz w:val="20"/>
                <w:szCs w:val="20"/>
              </w:rPr>
            </w:pPr>
            <w:r>
              <w:rPr>
                <w:rFonts w:ascii="Arial Narrow" w:hAnsi="Arial Narrow"/>
                <w:noProof/>
                <w:color w:val="006100"/>
                <w:sz w:val="20"/>
              </w:rPr>
              <w:t>Raudmetallist pakendite ringlussevõtu määr peab olema vähemalt 70 % massist (nagu on määratletud pakendijäätmeid käsitleva direktiivi 94/62/EÜ (muudetud direktiiviga 2018/852) artikli 6 lõike 1 punktis g I-VI).</w:t>
            </w:r>
          </w:p>
        </w:tc>
      </w:tr>
      <w:tr w:rsidR="0084326C" w:rsidRPr="00D90835" w14:paraId="24E4BE10" w14:textId="77777777" w:rsidTr="57A7F3EA">
        <w:trPr>
          <w:trHeight w:val="313"/>
          <w:jc w:val="center"/>
        </w:trPr>
        <w:tc>
          <w:tcPr>
            <w:tcW w:w="1220" w:type="dxa"/>
            <w:shd w:val="clear" w:color="auto" w:fill="C6EFCE"/>
            <w:noWrap/>
            <w:vAlign w:val="center"/>
          </w:tcPr>
          <w:p w14:paraId="3D6DDED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M2C1-17-kinakviirused</w:t>
            </w:r>
          </w:p>
        </w:tc>
        <w:tc>
          <w:tcPr>
            <w:tcW w:w="1598" w:type="dxa"/>
            <w:shd w:val="clear" w:color="auto" w:fill="C6EFCE"/>
            <w:noWrap/>
            <w:vAlign w:val="center"/>
          </w:tcPr>
          <w:p w14:paraId="3B0B9D8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1.2. Ringmajanduse juhtalgatused</w:t>
            </w:r>
          </w:p>
        </w:tc>
        <w:tc>
          <w:tcPr>
            <w:tcW w:w="1185" w:type="dxa"/>
            <w:shd w:val="clear" w:color="auto" w:fill="C6EFCE"/>
            <w:noWrap/>
            <w:vAlign w:val="center"/>
          </w:tcPr>
          <w:p w14:paraId="47A7045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1732" w:type="dxa"/>
            <w:shd w:val="clear" w:color="auto" w:fill="C6EFCE"/>
            <w:noWrap/>
            <w:vAlign w:val="center"/>
          </w:tcPr>
          <w:p w14:paraId="6D5E04D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Alumiiniumpakendite ringlussevõtu määrad ringmajanduse tegevuskavas</w:t>
            </w:r>
          </w:p>
        </w:tc>
        <w:tc>
          <w:tcPr>
            <w:tcW w:w="1603" w:type="dxa"/>
            <w:shd w:val="clear" w:color="auto" w:fill="C6EFCE"/>
            <w:noWrap/>
            <w:vAlign w:val="center"/>
          </w:tcPr>
          <w:p w14:paraId="4AEDD09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275" w:type="dxa"/>
            <w:shd w:val="clear" w:color="auto" w:fill="C6EFCE"/>
            <w:noWrap/>
            <w:vAlign w:val="center"/>
          </w:tcPr>
          <w:p w14:paraId="20688BE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Ringlussevõtu määr</w:t>
            </w:r>
          </w:p>
        </w:tc>
        <w:tc>
          <w:tcPr>
            <w:tcW w:w="993" w:type="dxa"/>
            <w:shd w:val="clear" w:color="auto" w:fill="C6EFCE"/>
            <w:noWrap/>
            <w:vAlign w:val="center"/>
          </w:tcPr>
          <w:p w14:paraId="65CAC16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162" w:type="dxa"/>
            <w:shd w:val="clear" w:color="auto" w:fill="C6EFCE"/>
            <w:noWrap/>
            <w:vAlign w:val="center"/>
          </w:tcPr>
          <w:p w14:paraId="2E69782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50</w:t>
            </w:r>
          </w:p>
        </w:tc>
        <w:tc>
          <w:tcPr>
            <w:tcW w:w="963" w:type="dxa"/>
            <w:shd w:val="clear" w:color="auto" w:fill="C6EFCE"/>
            <w:noWrap/>
            <w:vAlign w:val="center"/>
          </w:tcPr>
          <w:p w14:paraId="1F329EA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710" w:type="dxa"/>
            <w:shd w:val="clear" w:color="auto" w:fill="C6EFCE"/>
            <w:noWrap/>
            <w:vAlign w:val="center"/>
          </w:tcPr>
          <w:p w14:paraId="73FD082A"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2025</w:t>
            </w:r>
          </w:p>
        </w:tc>
        <w:tc>
          <w:tcPr>
            <w:tcW w:w="3174" w:type="dxa"/>
            <w:shd w:val="clear" w:color="auto" w:fill="C6EFCE"/>
            <w:noWrap/>
            <w:vAlign w:val="center"/>
          </w:tcPr>
          <w:p w14:paraId="4D2F267F" w14:textId="77777777" w:rsidR="0084326C" w:rsidRPr="005D68A0" w:rsidRDefault="0084326C">
            <w:pPr>
              <w:spacing w:before="60" w:after="120" w:line="276" w:lineRule="auto"/>
              <w:rPr>
                <w:rFonts w:ascii="Arial Narrow" w:hAnsi="Arial Narrow"/>
                <w:noProof/>
                <w:color w:val="006100"/>
                <w:sz w:val="20"/>
                <w:szCs w:val="20"/>
              </w:rPr>
            </w:pPr>
            <w:r>
              <w:rPr>
                <w:rFonts w:ascii="Arial Narrow" w:hAnsi="Arial Narrow"/>
                <w:noProof/>
                <w:color w:val="006100"/>
                <w:sz w:val="20"/>
              </w:rPr>
              <w:t>Alumiiniumpakendite ringlussevõtu määr peab olema vähemalt 50 % massist (nagu on määratletud pakendijäätmeid käsitleva direktiivi 94/62/EÜ (muudetud direktiiviga 2018/852) artikli 6 lõike 1 punktis g I-VI).</w:t>
            </w:r>
          </w:p>
        </w:tc>
      </w:tr>
      <w:tr w:rsidR="0084326C" w:rsidRPr="00D90835" w14:paraId="530BF85B" w14:textId="77777777" w:rsidTr="57A7F3EA">
        <w:trPr>
          <w:trHeight w:val="313"/>
          <w:jc w:val="center"/>
        </w:trPr>
        <w:tc>
          <w:tcPr>
            <w:tcW w:w="1220" w:type="dxa"/>
            <w:shd w:val="clear" w:color="auto" w:fill="C6EFCE"/>
            <w:noWrap/>
            <w:vAlign w:val="center"/>
          </w:tcPr>
          <w:p w14:paraId="765C432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M2C1-17-sugu</w:t>
            </w:r>
          </w:p>
        </w:tc>
        <w:tc>
          <w:tcPr>
            <w:tcW w:w="1598" w:type="dxa"/>
            <w:shd w:val="clear" w:color="auto" w:fill="C6EFCE"/>
            <w:noWrap/>
            <w:vAlign w:val="center"/>
          </w:tcPr>
          <w:p w14:paraId="4C8A0D9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1.2. Ringmajanduse juhtalgatused</w:t>
            </w:r>
          </w:p>
        </w:tc>
        <w:tc>
          <w:tcPr>
            <w:tcW w:w="1185" w:type="dxa"/>
            <w:shd w:val="clear" w:color="auto" w:fill="C6EFCE"/>
            <w:noWrap/>
            <w:vAlign w:val="center"/>
          </w:tcPr>
          <w:p w14:paraId="6738E1A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1732" w:type="dxa"/>
            <w:shd w:val="clear" w:color="auto" w:fill="C6EFCE"/>
            <w:noWrap/>
            <w:vAlign w:val="center"/>
          </w:tcPr>
          <w:p w14:paraId="0C36990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Klaaspakendite ringlussevõtu määrad ringmajanduse tegevuskavas</w:t>
            </w:r>
          </w:p>
        </w:tc>
        <w:tc>
          <w:tcPr>
            <w:tcW w:w="1603" w:type="dxa"/>
            <w:shd w:val="clear" w:color="auto" w:fill="C6EFCE"/>
            <w:noWrap/>
            <w:vAlign w:val="center"/>
          </w:tcPr>
          <w:p w14:paraId="259A03C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275" w:type="dxa"/>
            <w:shd w:val="clear" w:color="auto" w:fill="C6EFCE"/>
            <w:noWrap/>
            <w:vAlign w:val="center"/>
          </w:tcPr>
          <w:p w14:paraId="208EC4E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Ringlussevõtu määr</w:t>
            </w:r>
          </w:p>
        </w:tc>
        <w:tc>
          <w:tcPr>
            <w:tcW w:w="993" w:type="dxa"/>
            <w:shd w:val="clear" w:color="auto" w:fill="C6EFCE"/>
            <w:noWrap/>
            <w:vAlign w:val="center"/>
          </w:tcPr>
          <w:p w14:paraId="202497D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162" w:type="dxa"/>
            <w:shd w:val="clear" w:color="auto" w:fill="C6EFCE"/>
            <w:noWrap/>
            <w:vAlign w:val="center"/>
          </w:tcPr>
          <w:p w14:paraId="36E1658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70</w:t>
            </w:r>
          </w:p>
        </w:tc>
        <w:tc>
          <w:tcPr>
            <w:tcW w:w="963" w:type="dxa"/>
            <w:shd w:val="clear" w:color="auto" w:fill="C6EFCE"/>
            <w:noWrap/>
            <w:vAlign w:val="center"/>
          </w:tcPr>
          <w:p w14:paraId="00019B4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710" w:type="dxa"/>
            <w:shd w:val="clear" w:color="auto" w:fill="C6EFCE"/>
            <w:noWrap/>
            <w:vAlign w:val="center"/>
          </w:tcPr>
          <w:p w14:paraId="58AED074"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2025</w:t>
            </w:r>
          </w:p>
        </w:tc>
        <w:tc>
          <w:tcPr>
            <w:tcW w:w="3174" w:type="dxa"/>
            <w:shd w:val="clear" w:color="auto" w:fill="C6EFCE"/>
            <w:noWrap/>
            <w:vAlign w:val="center"/>
          </w:tcPr>
          <w:p w14:paraId="457FCDEE" w14:textId="77777777" w:rsidR="0084326C" w:rsidRPr="005D68A0" w:rsidRDefault="0084326C">
            <w:pPr>
              <w:spacing w:before="60" w:after="120" w:line="276" w:lineRule="auto"/>
              <w:rPr>
                <w:rFonts w:ascii="Arial Narrow" w:hAnsi="Arial Narrow"/>
                <w:noProof/>
                <w:color w:val="006100"/>
                <w:sz w:val="20"/>
                <w:szCs w:val="20"/>
              </w:rPr>
            </w:pPr>
            <w:r>
              <w:rPr>
                <w:rFonts w:ascii="Arial Narrow" w:hAnsi="Arial Narrow"/>
                <w:noProof/>
                <w:color w:val="006100"/>
                <w:sz w:val="20"/>
              </w:rPr>
              <w:t>Klaaspakendite ringlussevõtu määr peab olema vähemalt 70 % massist (nagu on määratletud pakendijäätmeid käsitleva direktiivi 94/62/EÜ (muudetud direktiiviga 2018/852) artikli 6 lõike 1 punktis g I-VI).</w:t>
            </w:r>
          </w:p>
        </w:tc>
      </w:tr>
      <w:tr w:rsidR="0084326C" w:rsidRPr="00D90835" w14:paraId="110B324B" w14:textId="77777777" w:rsidTr="57A7F3EA">
        <w:trPr>
          <w:trHeight w:val="313"/>
          <w:jc w:val="center"/>
        </w:trPr>
        <w:tc>
          <w:tcPr>
            <w:tcW w:w="1220" w:type="dxa"/>
            <w:shd w:val="clear" w:color="auto" w:fill="C6EFCE"/>
            <w:noWrap/>
            <w:vAlign w:val="center"/>
          </w:tcPr>
          <w:p w14:paraId="0D438D2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M2C1-17-septies</w:t>
            </w:r>
          </w:p>
        </w:tc>
        <w:tc>
          <w:tcPr>
            <w:tcW w:w="1598" w:type="dxa"/>
            <w:shd w:val="clear" w:color="auto" w:fill="C6EFCE"/>
            <w:noWrap/>
            <w:vAlign w:val="center"/>
          </w:tcPr>
          <w:p w14:paraId="738BFA8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1.2. Ringmajanduse juhtalgatused</w:t>
            </w:r>
          </w:p>
        </w:tc>
        <w:tc>
          <w:tcPr>
            <w:tcW w:w="1185" w:type="dxa"/>
            <w:shd w:val="clear" w:color="auto" w:fill="C6EFCE"/>
            <w:noWrap/>
            <w:vAlign w:val="center"/>
          </w:tcPr>
          <w:p w14:paraId="5C17A8B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1732" w:type="dxa"/>
            <w:shd w:val="clear" w:color="auto" w:fill="C6EFCE"/>
            <w:noWrap/>
            <w:vAlign w:val="center"/>
          </w:tcPr>
          <w:p w14:paraId="12B08F5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Paberi ja papi ringlussevõtu määr ringmajanduse tegevuskavas</w:t>
            </w:r>
          </w:p>
        </w:tc>
        <w:tc>
          <w:tcPr>
            <w:tcW w:w="1603" w:type="dxa"/>
            <w:shd w:val="clear" w:color="auto" w:fill="C6EFCE"/>
            <w:noWrap/>
            <w:vAlign w:val="center"/>
          </w:tcPr>
          <w:p w14:paraId="1A78813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275" w:type="dxa"/>
            <w:shd w:val="clear" w:color="auto" w:fill="C6EFCE"/>
            <w:noWrap/>
            <w:vAlign w:val="center"/>
          </w:tcPr>
          <w:p w14:paraId="1C019E5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Ringlussevõtu määr</w:t>
            </w:r>
          </w:p>
        </w:tc>
        <w:tc>
          <w:tcPr>
            <w:tcW w:w="993" w:type="dxa"/>
            <w:shd w:val="clear" w:color="auto" w:fill="C6EFCE"/>
            <w:noWrap/>
            <w:vAlign w:val="center"/>
          </w:tcPr>
          <w:p w14:paraId="0524C33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162" w:type="dxa"/>
            <w:shd w:val="clear" w:color="auto" w:fill="C6EFCE"/>
            <w:noWrap/>
            <w:vAlign w:val="center"/>
          </w:tcPr>
          <w:p w14:paraId="6E6179E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75</w:t>
            </w:r>
          </w:p>
        </w:tc>
        <w:tc>
          <w:tcPr>
            <w:tcW w:w="963" w:type="dxa"/>
            <w:shd w:val="clear" w:color="auto" w:fill="C6EFCE"/>
            <w:noWrap/>
            <w:vAlign w:val="center"/>
          </w:tcPr>
          <w:p w14:paraId="2C8F89B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710" w:type="dxa"/>
            <w:shd w:val="clear" w:color="auto" w:fill="C6EFCE"/>
            <w:noWrap/>
            <w:vAlign w:val="center"/>
          </w:tcPr>
          <w:p w14:paraId="19A2D47A"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2025</w:t>
            </w:r>
          </w:p>
        </w:tc>
        <w:tc>
          <w:tcPr>
            <w:tcW w:w="3174" w:type="dxa"/>
            <w:shd w:val="clear" w:color="auto" w:fill="C6EFCE"/>
            <w:noWrap/>
            <w:vAlign w:val="center"/>
          </w:tcPr>
          <w:p w14:paraId="16BDF921" w14:textId="77777777" w:rsidR="0084326C" w:rsidRPr="005D68A0" w:rsidRDefault="0084326C">
            <w:pPr>
              <w:spacing w:before="60" w:after="120" w:line="276" w:lineRule="auto"/>
              <w:rPr>
                <w:rFonts w:ascii="Arial Narrow" w:hAnsi="Arial Narrow"/>
                <w:noProof/>
                <w:color w:val="006100"/>
                <w:sz w:val="20"/>
                <w:szCs w:val="20"/>
              </w:rPr>
            </w:pPr>
            <w:r>
              <w:rPr>
                <w:rFonts w:ascii="Arial Narrow" w:hAnsi="Arial Narrow"/>
                <w:noProof/>
                <w:color w:val="006100"/>
                <w:sz w:val="20"/>
              </w:rPr>
              <w:t>Paberi ja papi ringlussevõtu määr peab olema vähemalt 75 % massist (nagu on määratletud pakendijäätmeid käsitleva direktiivi 94/62/EÜ (muudetud direktiiviga 2018/852) I-VI artikli 6 lõike 1 punktis g).</w:t>
            </w:r>
          </w:p>
        </w:tc>
      </w:tr>
      <w:tr w:rsidR="0084326C" w:rsidRPr="00D90835" w14:paraId="29908FD3" w14:textId="77777777" w:rsidTr="57A7F3EA">
        <w:trPr>
          <w:trHeight w:val="313"/>
          <w:jc w:val="center"/>
        </w:trPr>
        <w:tc>
          <w:tcPr>
            <w:tcW w:w="1220" w:type="dxa"/>
            <w:shd w:val="clear" w:color="auto" w:fill="C6EFCE"/>
            <w:noWrap/>
            <w:vAlign w:val="center"/>
          </w:tcPr>
          <w:p w14:paraId="75952FC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M2C1-17-oktoosid</w:t>
            </w:r>
          </w:p>
        </w:tc>
        <w:tc>
          <w:tcPr>
            <w:tcW w:w="1598" w:type="dxa"/>
            <w:shd w:val="clear" w:color="auto" w:fill="C6EFCE"/>
            <w:noWrap/>
            <w:vAlign w:val="center"/>
          </w:tcPr>
          <w:p w14:paraId="7756B88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1.2. Ringmajanduse juhtalgatused</w:t>
            </w:r>
          </w:p>
        </w:tc>
        <w:tc>
          <w:tcPr>
            <w:tcW w:w="1185" w:type="dxa"/>
            <w:shd w:val="clear" w:color="auto" w:fill="C6EFCE"/>
            <w:noWrap/>
            <w:vAlign w:val="center"/>
          </w:tcPr>
          <w:p w14:paraId="54F2587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1732" w:type="dxa"/>
            <w:shd w:val="clear" w:color="auto" w:fill="C6EFCE"/>
            <w:noWrap/>
            <w:vAlign w:val="center"/>
          </w:tcPr>
          <w:p w14:paraId="7039322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Plastpakendite ringlussevõtu määrad ringmajanduse tegevuskavas</w:t>
            </w:r>
          </w:p>
        </w:tc>
        <w:tc>
          <w:tcPr>
            <w:tcW w:w="1603" w:type="dxa"/>
            <w:shd w:val="clear" w:color="auto" w:fill="C6EFCE"/>
            <w:noWrap/>
            <w:vAlign w:val="center"/>
          </w:tcPr>
          <w:p w14:paraId="5D453F2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275" w:type="dxa"/>
            <w:shd w:val="clear" w:color="auto" w:fill="C6EFCE"/>
            <w:noWrap/>
            <w:vAlign w:val="center"/>
          </w:tcPr>
          <w:p w14:paraId="4495B93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Ringlussevõtu määr</w:t>
            </w:r>
          </w:p>
        </w:tc>
        <w:tc>
          <w:tcPr>
            <w:tcW w:w="993" w:type="dxa"/>
            <w:shd w:val="clear" w:color="auto" w:fill="C6EFCE"/>
            <w:noWrap/>
            <w:vAlign w:val="center"/>
          </w:tcPr>
          <w:p w14:paraId="3EEFC70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162" w:type="dxa"/>
            <w:shd w:val="clear" w:color="auto" w:fill="C6EFCE"/>
            <w:noWrap/>
            <w:vAlign w:val="center"/>
          </w:tcPr>
          <w:p w14:paraId="0FB3330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50</w:t>
            </w:r>
          </w:p>
        </w:tc>
        <w:tc>
          <w:tcPr>
            <w:tcW w:w="963" w:type="dxa"/>
            <w:shd w:val="clear" w:color="auto" w:fill="C6EFCE"/>
            <w:noWrap/>
            <w:vAlign w:val="center"/>
          </w:tcPr>
          <w:p w14:paraId="68B98B6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710" w:type="dxa"/>
            <w:shd w:val="clear" w:color="auto" w:fill="C6EFCE"/>
            <w:noWrap/>
            <w:vAlign w:val="center"/>
          </w:tcPr>
          <w:p w14:paraId="3126C66A"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2025</w:t>
            </w:r>
          </w:p>
        </w:tc>
        <w:tc>
          <w:tcPr>
            <w:tcW w:w="3174" w:type="dxa"/>
            <w:shd w:val="clear" w:color="auto" w:fill="C6EFCE"/>
            <w:noWrap/>
            <w:vAlign w:val="center"/>
          </w:tcPr>
          <w:p w14:paraId="3796A6FA" w14:textId="77777777" w:rsidR="0084326C" w:rsidRPr="005D68A0" w:rsidRDefault="0084326C">
            <w:pPr>
              <w:spacing w:before="60" w:after="120" w:line="276" w:lineRule="auto"/>
              <w:rPr>
                <w:rFonts w:ascii="Arial Narrow" w:hAnsi="Arial Narrow"/>
                <w:noProof/>
                <w:color w:val="006100"/>
                <w:sz w:val="20"/>
                <w:szCs w:val="20"/>
              </w:rPr>
            </w:pPr>
            <w:r>
              <w:rPr>
                <w:rFonts w:ascii="Arial Narrow" w:hAnsi="Arial Narrow"/>
                <w:noProof/>
                <w:color w:val="006100"/>
                <w:sz w:val="20"/>
              </w:rPr>
              <w:t>Plastikpakendite ringlussevõtu määr peab olema vähemalt 50 % massist (nagu on määratletud pakendijäätmeid käsitleva direktiivi 94/62/EÜ (muudetud direktiiviga 2018/852) artikli 6 lõike 1 punktis g I-VI).</w:t>
            </w:r>
          </w:p>
        </w:tc>
      </w:tr>
      <w:tr w:rsidR="0084326C" w:rsidRPr="00D90835" w14:paraId="55292950" w14:textId="77777777" w:rsidTr="57A7F3EA">
        <w:trPr>
          <w:trHeight w:val="313"/>
          <w:jc w:val="center"/>
        </w:trPr>
        <w:tc>
          <w:tcPr>
            <w:tcW w:w="1220" w:type="dxa"/>
            <w:shd w:val="clear" w:color="auto" w:fill="C6EFCE"/>
            <w:noWrap/>
            <w:vAlign w:val="center"/>
          </w:tcPr>
          <w:p w14:paraId="29EA64A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M2C1-17-nonid</w:t>
            </w:r>
          </w:p>
        </w:tc>
        <w:tc>
          <w:tcPr>
            <w:tcW w:w="1598" w:type="dxa"/>
            <w:shd w:val="clear" w:color="auto" w:fill="C6EFCE"/>
            <w:noWrap/>
            <w:vAlign w:val="center"/>
          </w:tcPr>
          <w:p w14:paraId="2024FE3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Reform 1.1.</w:t>
            </w:r>
          </w:p>
          <w:p w14:paraId="463954C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Ringmajanduse riiklik programm</w:t>
            </w:r>
          </w:p>
          <w:p w14:paraId="2075429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1.2. Ringmajanduse juhtalgatused</w:t>
            </w:r>
          </w:p>
        </w:tc>
        <w:tc>
          <w:tcPr>
            <w:tcW w:w="1185" w:type="dxa"/>
            <w:shd w:val="clear" w:color="auto" w:fill="C6EFCE"/>
            <w:noWrap/>
            <w:vAlign w:val="center"/>
          </w:tcPr>
          <w:p w14:paraId="4D8933F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1732" w:type="dxa"/>
            <w:shd w:val="clear" w:color="auto" w:fill="C6EFCE"/>
            <w:noWrap/>
            <w:vAlign w:val="center"/>
          </w:tcPr>
          <w:p w14:paraId="239C382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Kodumajapidamistes ja tekstiilitööstuses tekkivate ohtlike jäätmefraktsioonide liigiti kogumise jõustumine</w:t>
            </w:r>
          </w:p>
        </w:tc>
        <w:tc>
          <w:tcPr>
            <w:tcW w:w="1603" w:type="dxa"/>
            <w:shd w:val="clear" w:color="auto" w:fill="C6EFCE"/>
            <w:noWrap/>
            <w:vAlign w:val="center"/>
          </w:tcPr>
          <w:p w14:paraId="3B23997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Seaduse säte, mis viitab jõustumisele</w:t>
            </w:r>
          </w:p>
        </w:tc>
        <w:tc>
          <w:tcPr>
            <w:tcW w:w="1275" w:type="dxa"/>
            <w:shd w:val="clear" w:color="auto" w:fill="C6EFCE"/>
            <w:noWrap/>
            <w:vAlign w:val="center"/>
          </w:tcPr>
          <w:p w14:paraId="5FC468B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noWrap/>
            <w:vAlign w:val="center"/>
          </w:tcPr>
          <w:p w14:paraId="0CF2FF1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162" w:type="dxa"/>
            <w:shd w:val="clear" w:color="auto" w:fill="C6EFCE"/>
            <w:noWrap/>
            <w:vAlign w:val="center"/>
          </w:tcPr>
          <w:p w14:paraId="612FF1E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63" w:type="dxa"/>
            <w:shd w:val="clear" w:color="auto" w:fill="C6EFCE"/>
            <w:noWrap/>
            <w:vAlign w:val="center"/>
          </w:tcPr>
          <w:p w14:paraId="076157F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710" w:type="dxa"/>
            <w:shd w:val="clear" w:color="auto" w:fill="C6EFCE"/>
            <w:noWrap/>
            <w:vAlign w:val="center"/>
          </w:tcPr>
          <w:p w14:paraId="3C782EB1"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2025</w:t>
            </w:r>
          </w:p>
        </w:tc>
        <w:tc>
          <w:tcPr>
            <w:tcW w:w="3174" w:type="dxa"/>
            <w:shd w:val="clear" w:color="auto" w:fill="C6EFCE"/>
            <w:noWrap/>
            <w:vAlign w:val="center"/>
          </w:tcPr>
          <w:p w14:paraId="69A40A39" w14:textId="77777777" w:rsidR="0084326C" w:rsidRPr="005D68A0" w:rsidRDefault="0084326C">
            <w:pPr>
              <w:spacing w:before="60" w:after="120" w:line="276" w:lineRule="auto"/>
              <w:rPr>
                <w:rFonts w:ascii="Arial Narrow" w:hAnsi="Arial Narrow"/>
                <w:noProof/>
                <w:color w:val="006100"/>
                <w:sz w:val="20"/>
                <w:szCs w:val="20"/>
              </w:rPr>
            </w:pPr>
            <w:r>
              <w:rPr>
                <w:rFonts w:ascii="Arial Narrow" w:hAnsi="Arial Narrow"/>
                <w:noProof/>
                <w:color w:val="006100"/>
                <w:sz w:val="20"/>
              </w:rPr>
              <w:t>Kodumajapidamistes ja tekstiilitööstuses toodetud ohtlike jäätmefraktsioonide liigiti kogumise jõustumine kooskõlas ringmajanduse tegevuskavaga.</w:t>
            </w:r>
          </w:p>
        </w:tc>
      </w:tr>
      <w:tr w:rsidR="0084326C" w:rsidRPr="00D90835" w14:paraId="226D415F" w14:textId="77777777" w:rsidTr="57A7F3EA">
        <w:trPr>
          <w:trHeight w:val="313"/>
          <w:jc w:val="center"/>
        </w:trPr>
        <w:tc>
          <w:tcPr>
            <w:tcW w:w="1220" w:type="dxa"/>
            <w:shd w:val="clear" w:color="auto" w:fill="C6EFCE"/>
            <w:noWrap/>
            <w:vAlign w:val="center"/>
          </w:tcPr>
          <w:p w14:paraId="2722BE8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M2C1-18</w:t>
            </w:r>
          </w:p>
        </w:tc>
        <w:tc>
          <w:tcPr>
            <w:tcW w:w="1598" w:type="dxa"/>
            <w:shd w:val="clear" w:color="auto" w:fill="C6EFCE"/>
            <w:noWrap/>
            <w:vAlign w:val="center"/>
          </w:tcPr>
          <w:p w14:paraId="7AF3FA0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3.1. Rohelised saared</w:t>
            </w:r>
          </w:p>
        </w:tc>
        <w:tc>
          <w:tcPr>
            <w:tcW w:w="1185" w:type="dxa"/>
            <w:shd w:val="clear" w:color="auto" w:fill="C6EFCE"/>
            <w:noWrap/>
            <w:vAlign w:val="center"/>
          </w:tcPr>
          <w:p w14:paraId="7CCD1A6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1732" w:type="dxa"/>
            <w:shd w:val="clear" w:color="auto" w:fill="C6EFCE"/>
            <w:noWrap/>
            <w:vAlign w:val="center"/>
          </w:tcPr>
          <w:p w14:paraId="637B563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Direktori dekreedi jõustumine</w:t>
            </w:r>
          </w:p>
        </w:tc>
        <w:tc>
          <w:tcPr>
            <w:tcW w:w="1603" w:type="dxa"/>
            <w:shd w:val="clear" w:color="auto" w:fill="C6EFCE"/>
            <w:noWrap/>
            <w:vAlign w:val="center"/>
          </w:tcPr>
          <w:p w14:paraId="0DA7194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Dekreedi säte, mis viitab seaduse jõustumisele</w:t>
            </w:r>
          </w:p>
        </w:tc>
        <w:tc>
          <w:tcPr>
            <w:tcW w:w="1275" w:type="dxa"/>
            <w:shd w:val="clear" w:color="auto" w:fill="C6EFCE"/>
            <w:noWrap/>
            <w:vAlign w:val="center"/>
          </w:tcPr>
          <w:p w14:paraId="5E81937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noWrap/>
            <w:vAlign w:val="center"/>
          </w:tcPr>
          <w:p w14:paraId="2C02C11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162" w:type="dxa"/>
            <w:shd w:val="clear" w:color="auto" w:fill="C6EFCE"/>
            <w:noWrap/>
            <w:vAlign w:val="center"/>
          </w:tcPr>
          <w:p w14:paraId="00B6D4D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63" w:type="dxa"/>
            <w:shd w:val="clear" w:color="auto" w:fill="C6EFCE"/>
            <w:noWrap/>
            <w:vAlign w:val="center"/>
          </w:tcPr>
          <w:p w14:paraId="01111B0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3. kv</w:t>
            </w:r>
          </w:p>
        </w:tc>
        <w:tc>
          <w:tcPr>
            <w:tcW w:w="710" w:type="dxa"/>
            <w:shd w:val="clear" w:color="auto" w:fill="C6EFCE"/>
            <w:noWrap/>
            <w:vAlign w:val="center"/>
          </w:tcPr>
          <w:p w14:paraId="08457405"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2022</w:t>
            </w:r>
          </w:p>
        </w:tc>
        <w:tc>
          <w:tcPr>
            <w:tcW w:w="3174" w:type="dxa"/>
            <w:shd w:val="clear" w:color="auto" w:fill="C6EFCE"/>
            <w:noWrap/>
            <w:vAlign w:val="center"/>
          </w:tcPr>
          <w:p w14:paraId="6B809873" w14:textId="77777777" w:rsidR="0084326C" w:rsidRPr="005D68A0" w:rsidRDefault="0084326C">
            <w:pPr>
              <w:spacing w:before="120" w:after="120" w:line="276" w:lineRule="auto"/>
              <w:rPr>
                <w:rFonts w:ascii="Arial Narrow" w:hAnsi="Arial Narrow"/>
                <w:noProof/>
                <w:color w:val="006100"/>
                <w:sz w:val="20"/>
                <w:szCs w:val="20"/>
              </w:rPr>
            </w:pPr>
            <w:r>
              <w:rPr>
                <w:rFonts w:ascii="Arial Narrow" w:hAnsi="Arial Narrow"/>
                <w:noProof/>
                <w:color w:val="006100"/>
                <w:sz w:val="20"/>
              </w:rPr>
              <w:t>Direktori määrusega kiidetakse heaks avaliku teadaande tulemustega seotud projektide paremusjärjestus. Valikumenetlus hõlmab järgmist:</w:t>
            </w:r>
          </w:p>
          <w:p w14:paraId="3F6560EC" w14:textId="77777777" w:rsidR="0084326C" w:rsidRPr="005D68A0" w:rsidRDefault="0084326C">
            <w:pPr>
              <w:spacing w:before="120" w:after="120" w:line="276" w:lineRule="auto"/>
              <w:rPr>
                <w:rFonts w:ascii="Arial Narrow" w:hAnsi="Arial Narrow"/>
                <w:noProof/>
                <w:color w:val="006100"/>
                <w:sz w:val="20"/>
                <w:szCs w:val="20"/>
              </w:rPr>
            </w:pPr>
            <w:r>
              <w:rPr>
                <w:rFonts w:ascii="Arial Narrow" w:hAnsi="Arial Narrow"/>
                <w:noProof/>
                <w:color w:val="006100"/>
                <w:sz w:val="20"/>
              </w:rPr>
              <w:t>a) Abikõlblikkuskriteeriumid, millega tagatakse, et valitud projektid vastavad tehnilisele juhendile „Mitte tekitada olulist kahju“ (2021/C58/01), kasutades kõrvalejätmise loetelu ning asjaomaste ELi ja riiklike keskkonnaalaste õigusaktide järgimise nõuet.</w:t>
            </w:r>
          </w:p>
          <w:p w14:paraId="2F4402E5"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b) Kohustus, et määruse (EL) 2021/241 VI lisas sätestatud metoodika kohane investeeringu panus kliimameetmetesse moodustab vähemalt 37 % taaste- ja vastupidavusrahastust toetatavate investeeringute kogukuludest.</w:t>
            </w:r>
          </w:p>
          <w:p w14:paraId="5F2FD7C4" w14:textId="77777777" w:rsidR="0084326C" w:rsidRPr="005D68A0" w:rsidRDefault="0084326C">
            <w:pPr>
              <w:spacing w:before="120" w:after="120" w:line="276" w:lineRule="auto"/>
              <w:rPr>
                <w:rFonts w:ascii="Arial Narrow" w:hAnsi="Arial Narrow"/>
                <w:noProof/>
                <w:color w:val="006100"/>
                <w:sz w:val="20"/>
                <w:szCs w:val="20"/>
              </w:rPr>
            </w:pPr>
            <w:r>
              <w:rPr>
                <w:rFonts w:ascii="Arial Narrow" w:hAnsi="Arial Narrow"/>
                <w:noProof/>
                <w:color w:val="006100"/>
                <w:sz w:val="20"/>
              </w:rPr>
              <w:t>c) Kohustus esitada aruanne meetme rakendamise kohta kava kehtivusaja keskel ja kava lõppedes.</w:t>
            </w:r>
          </w:p>
          <w:p w14:paraId="49756C78" w14:textId="77777777" w:rsidR="0084326C" w:rsidRPr="005D68A0" w:rsidRDefault="0084326C">
            <w:pPr>
              <w:spacing w:before="120" w:after="120" w:line="276" w:lineRule="auto"/>
              <w:rPr>
                <w:rFonts w:ascii="Arial Narrow" w:hAnsi="Arial Narrow"/>
                <w:noProof/>
                <w:color w:val="006100"/>
                <w:sz w:val="20"/>
                <w:szCs w:val="20"/>
              </w:rPr>
            </w:pPr>
            <w:r>
              <w:rPr>
                <w:rFonts w:ascii="Arial Narrow" w:hAnsi="Arial Narrow"/>
                <w:noProof/>
                <w:color w:val="006100"/>
                <w:sz w:val="20"/>
              </w:rPr>
              <w:t>Võimalikud sekkumisvaldkonnad on järgmised:</w:t>
            </w:r>
          </w:p>
          <w:p w14:paraId="38CF1182" w14:textId="77777777" w:rsidR="0084326C" w:rsidRPr="005D68A0" w:rsidRDefault="0084326C">
            <w:pPr>
              <w:numPr>
                <w:ilvl w:val="0"/>
                <w:numId w:val="60"/>
              </w:numPr>
              <w:spacing w:before="120" w:line="276" w:lineRule="auto"/>
              <w:ind w:left="341"/>
              <w:contextualSpacing/>
              <w:rPr>
                <w:rFonts w:ascii="Arial Narrow" w:hAnsi="Arial Narrow"/>
                <w:noProof/>
                <w:color w:val="006100"/>
                <w:sz w:val="20"/>
                <w:szCs w:val="20"/>
              </w:rPr>
            </w:pPr>
            <w:r>
              <w:rPr>
                <w:rFonts w:ascii="Arial Narrow" w:hAnsi="Arial Narrow"/>
                <w:noProof/>
                <w:color w:val="006100"/>
                <w:sz w:val="20"/>
              </w:rPr>
              <w:t>agrometsanduspärandi integreeritud ja sertifitseeritud haldamine („ka süsinikdioksiidi kogumisest, bioloogilise mitmekesisuse haldamisest ja puidu tarneahela sertifitseerimisest tuleneva krediidi vahetamise kaudu“);</w:t>
            </w:r>
          </w:p>
          <w:p w14:paraId="7ADF80DD" w14:textId="77777777" w:rsidR="0084326C" w:rsidRPr="005D68A0" w:rsidRDefault="0084326C">
            <w:pPr>
              <w:numPr>
                <w:ilvl w:val="0"/>
                <w:numId w:val="60"/>
              </w:numPr>
              <w:spacing w:before="120" w:line="276" w:lineRule="auto"/>
              <w:ind w:left="341"/>
              <w:contextualSpacing/>
              <w:rPr>
                <w:rFonts w:ascii="Arial Narrow" w:hAnsi="Arial Narrow"/>
                <w:noProof/>
                <w:color w:val="006100"/>
                <w:sz w:val="20"/>
                <w:szCs w:val="20"/>
              </w:rPr>
            </w:pPr>
            <w:r>
              <w:rPr>
                <w:rFonts w:ascii="Arial Narrow" w:hAnsi="Arial Narrow"/>
                <w:noProof/>
                <w:color w:val="006100"/>
                <w:sz w:val="20"/>
              </w:rPr>
              <w:t>veevarude integreeritud ja sertifitseeritud majandamine;</w:t>
            </w:r>
          </w:p>
          <w:p w14:paraId="6B5F99EA" w14:textId="77777777" w:rsidR="0084326C" w:rsidRPr="005D68A0" w:rsidRDefault="0084326C">
            <w:pPr>
              <w:numPr>
                <w:ilvl w:val="0"/>
                <w:numId w:val="60"/>
              </w:numPr>
              <w:spacing w:before="120" w:line="276" w:lineRule="auto"/>
              <w:ind w:left="341"/>
              <w:contextualSpacing/>
              <w:rPr>
                <w:rFonts w:ascii="Arial Narrow" w:hAnsi="Arial Narrow"/>
                <w:noProof/>
                <w:color w:val="006100"/>
                <w:sz w:val="20"/>
                <w:szCs w:val="20"/>
              </w:rPr>
            </w:pPr>
            <w:r>
              <w:rPr>
                <w:rFonts w:ascii="Arial Narrow" w:hAnsi="Arial Narrow"/>
                <w:noProof/>
                <w:color w:val="006100"/>
                <w:sz w:val="20"/>
              </w:rPr>
              <w:t>energia tootmine kohalikest taastuvatest energiaallikatest, nagu mikrohüdroelektrijaamad, biomass, biogaas, tuul, koostootmine ja biometaan;</w:t>
            </w:r>
          </w:p>
          <w:p w14:paraId="4DA09B1F" w14:textId="77777777" w:rsidR="0084326C" w:rsidRPr="005D68A0" w:rsidRDefault="0084326C">
            <w:pPr>
              <w:numPr>
                <w:ilvl w:val="0"/>
                <w:numId w:val="60"/>
              </w:numPr>
              <w:spacing w:before="120" w:line="276" w:lineRule="auto"/>
              <w:ind w:left="341"/>
              <w:contextualSpacing/>
              <w:rPr>
                <w:rFonts w:ascii="Arial Narrow" w:hAnsi="Arial Narrow"/>
                <w:noProof/>
                <w:color w:val="006100"/>
                <w:sz w:val="20"/>
                <w:szCs w:val="20"/>
              </w:rPr>
            </w:pPr>
            <w:r>
              <w:rPr>
                <w:rFonts w:ascii="Arial Narrow" w:hAnsi="Arial Narrow"/>
                <w:noProof/>
                <w:color w:val="006100"/>
                <w:sz w:val="20"/>
              </w:rPr>
              <w:t>säästva turismi arendamine („võimaldab edendada kohalikke tooteid“);</w:t>
            </w:r>
          </w:p>
          <w:p w14:paraId="256BCA82" w14:textId="77777777" w:rsidR="0084326C" w:rsidRPr="005D68A0" w:rsidRDefault="0084326C">
            <w:pPr>
              <w:numPr>
                <w:ilvl w:val="0"/>
                <w:numId w:val="60"/>
              </w:numPr>
              <w:spacing w:before="120" w:line="276" w:lineRule="auto"/>
              <w:ind w:left="341"/>
              <w:contextualSpacing/>
              <w:rPr>
                <w:rFonts w:ascii="Arial Narrow" w:hAnsi="Arial Narrow"/>
                <w:noProof/>
                <w:color w:val="006100"/>
                <w:sz w:val="20"/>
                <w:szCs w:val="20"/>
              </w:rPr>
            </w:pPr>
            <w:r>
              <w:rPr>
                <w:rFonts w:ascii="Arial Narrow" w:hAnsi="Arial Narrow"/>
                <w:noProof/>
                <w:color w:val="006100"/>
                <w:sz w:val="20"/>
              </w:rPr>
              <w:t>moodsa mäe hoonefondi ja infrastruktuuri ehitamine ja säästev majandamine;</w:t>
            </w:r>
          </w:p>
          <w:p w14:paraId="33449353" w14:textId="77777777" w:rsidR="0084326C" w:rsidRPr="005D68A0" w:rsidRDefault="0084326C">
            <w:pPr>
              <w:numPr>
                <w:ilvl w:val="0"/>
                <w:numId w:val="60"/>
              </w:numPr>
              <w:spacing w:before="120" w:line="276" w:lineRule="auto"/>
              <w:ind w:left="341"/>
              <w:contextualSpacing/>
              <w:rPr>
                <w:rFonts w:ascii="Arial Narrow" w:hAnsi="Arial Narrow"/>
                <w:noProof/>
                <w:color w:val="006100"/>
                <w:sz w:val="20"/>
                <w:szCs w:val="20"/>
              </w:rPr>
            </w:pPr>
            <w:r>
              <w:rPr>
                <w:rFonts w:ascii="Arial Narrow" w:hAnsi="Arial Narrow"/>
                <w:noProof/>
                <w:color w:val="006100"/>
                <w:sz w:val="20"/>
              </w:rPr>
              <w:t>energiatõhusus ning jaamade ja võrkude arukas integreerimine;</w:t>
            </w:r>
          </w:p>
          <w:p w14:paraId="68D4B689" w14:textId="77777777" w:rsidR="0084326C" w:rsidRPr="005D68A0" w:rsidRDefault="0084326C">
            <w:pPr>
              <w:numPr>
                <w:ilvl w:val="0"/>
                <w:numId w:val="60"/>
              </w:numPr>
              <w:spacing w:before="120" w:line="276" w:lineRule="auto"/>
              <w:ind w:left="341"/>
              <w:contextualSpacing/>
              <w:rPr>
                <w:rFonts w:ascii="Arial Narrow" w:hAnsi="Arial Narrow"/>
                <w:noProof/>
                <w:color w:val="006100"/>
                <w:sz w:val="20"/>
                <w:szCs w:val="20"/>
              </w:rPr>
            </w:pPr>
            <w:r>
              <w:rPr>
                <w:rFonts w:ascii="Arial Narrow" w:hAnsi="Arial Narrow"/>
                <w:noProof/>
                <w:color w:val="006100"/>
                <w:sz w:val="20"/>
              </w:rPr>
              <w:t>tootmistegevuse säästev areng (jäätmetekke vältimine);</w:t>
            </w:r>
          </w:p>
          <w:p w14:paraId="436B8860" w14:textId="77777777" w:rsidR="0084326C" w:rsidRPr="005D68A0" w:rsidRDefault="0084326C">
            <w:pPr>
              <w:numPr>
                <w:ilvl w:val="0"/>
                <w:numId w:val="60"/>
              </w:numPr>
              <w:spacing w:before="120" w:line="276" w:lineRule="auto"/>
              <w:ind w:left="341"/>
              <w:contextualSpacing/>
              <w:rPr>
                <w:rFonts w:ascii="Arial Narrow" w:hAnsi="Arial Narrow"/>
                <w:noProof/>
                <w:color w:val="006100"/>
                <w:sz w:val="20"/>
                <w:szCs w:val="20"/>
              </w:rPr>
            </w:pPr>
            <w:r>
              <w:rPr>
                <w:rFonts w:ascii="Arial Narrow" w:hAnsi="Arial Narrow"/>
                <w:noProof/>
                <w:color w:val="006100"/>
                <w:sz w:val="20"/>
              </w:rPr>
              <w:t>liikuvusteenuste integreerimine;</w:t>
            </w:r>
          </w:p>
          <w:p w14:paraId="0F5BA637" w14:textId="77777777" w:rsidR="0084326C" w:rsidRPr="005D68A0" w:rsidRDefault="0084326C">
            <w:pPr>
              <w:numPr>
                <w:ilvl w:val="0"/>
                <w:numId w:val="60"/>
              </w:numPr>
              <w:spacing w:before="120" w:line="276" w:lineRule="auto"/>
              <w:ind w:left="341"/>
              <w:contextualSpacing/>
              <w:rPr>
                <w:rFonts w:ascii="Arial Narrow" w:hAnsi="Arial Narrow"/>
                <w:noProof/>
                <w:color w:val="006100"/>
                <w:sz w:val="20"/>
                <w:szCs w:val="20"/>
              </w:rPr>
            </w:pPr>
            <w:r>
              <w:rPr>
                <w:rFonts w:ascii="Arial Narrow" w:hAnsi="Arial Narrow"/>
                <w:noProof/>
                <w:color w:val="006100"/>
                <w:sz w:val="20"/>
              </w:rPr>
              <w:t>- säästva põllumajandusmudeli väljatöötamine („mis on ka energiast sõltumatu taastuvatest energiaallikatest energia tootmise ja kasutamise kaudu elektri-, soojus- ja transpordisektoris“).</w:t>
            </w:r>
          </w:p>
          <w:p w14:paraId="4A044F91" w14:textId="77777777" w:rsidR="0084326C" w:rsidRPr="005D68A0" w:rsidRDefault="0084326C">
            <w:pPr>
              <w:spacing w:before="120" w:after="120" w:line="276" w:lineRule="auto"/>
              <w:rPr>
                <w:rFonts w:ascii="Arial Narrow" w:hAnsi="Arial Narrow"/>
                <w:noProof/>
                <w:color w:val="006100"/>
                <w:sz w:val="20"/>
                <w:szCs w:val="20"/>
              </w:rPr>
            </w:pPr>
            <w:r>
              <w:rPr>
                <w:rFonts w:ascii="Arial Narrow" w:hAnsi="Arial Narrow"/>
                <w:noProof/>
                <w:color w:val="006100"/>
                <w:sz w:val="20"/>
              </w:rPr>
              <w:t>Biometaan peab vastama taastuvenergia direktiivi 2018/2001 / EL (REDII) artiklites 29–31 sätestatud säästlikkuse ja kasvuhoonegaaside heitkoguste vähendamise kriteeriumidele ning artiklis 26 sätestatud toidu ja söödapõhiste biokütuste eeskirjadele, ning sellega seotud rakendusaktid ja delegeeritud õigusaktid, et võimaldada meetmel järgida põhimõtet „ei tee olulist kahju“ ja määruse (EL) 2021/241 VI lisa 8. joonealuse märkuse asjakohaseid nõudeid.</w:t>
            </w:r>
          </w:p>
        </w:tc>
      </w:tr>
      <w:tr w:rsidR="0084326C" w:rsidRPr="00D90835" w14:paraId="0C2D9468" w14:textId="77777777" w:rsidTr="57A7F3EA">
        <w:trPr>
          <w:trHeight w:val="313"/>
          <w:jc w:val="center"/>
        </w:trPr>
        <w:tc>
          <w:tcPr>
            <w:tcW w:w="1220" w:type="dxa"/>
            <w:shd w:val="clear" w:color="auto" w:fill="C6EFCE"/>
            <w:noWrap/>
            <w:vAlign w:val="center"/>
          </w:tcPr>
          <w:p w14:paraId="5471AF3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M2C1-19</w:t>
            </w:r>
          </w:p>
        </w:tc>
        <w:tc>
          <w:tcPr>
            <w:tcW w:w="1598" w:type="dxa"/>
            <w:shd w:val="clear" w:color="auto" w:fill="C6EFCE"/>
            <w:noWrap/>
            <w:vAlign w:val="center"/>
          </w:tcPr>
          <w:p w14:paraId="285C3C7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3.1. Rohelised saared</w:t>
            </w:r>
          </w:p>
        </w:tc>
        <w:tc>
          <w:tcPr>
            <w:tcW w:w="1185" w:type="dxa"/>
            <w:shd w:val="clear" w:color="auto" w:fill="C6EFCE"/>
            <w:noWrap/>
            <w:vAlign w:val="center"/>
          </w:tcPr>
          <w:p w14:paraId="7589108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1732" w:type="dxa"/>
            <w:shd w:val="clear" w:color="auto" w:fill="C6EFCE"/>
            <w:noWrap/>
            <w:vAlign w:val="center"/>
          </w:tcPr>
          <w:p w14:paraId="264CD13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Integreeritud projektide rakendamine väikesaartel</w:t>
            </w:r>
          </w:p>
        </w:tc>
        <w:tc>
          <w:tcPr>
            <w:tcW w:w="1603" w:type="dxa"/>
            <w:shd w:val="clear" w:color="auto" w:fill="C6EFCE"/>
            <w:noWrap/>
            <w:vAlign w:val="center"/>
          </w:tcPr>
          <w:p w14:paraId="6C02ABF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275" w:type="dxa"/>
            <w:shd w:val="clear" w:color="auto" w:fill="C6EFCE"/>
            <w:noWrap/>
            <w:vAlign w:val="center"/>
          </w:tcPr>
          <w:p w14:paraId="3D8B975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Väikesaarte arv</w:t>
            </w:r>
          </w:p>
        </w:tc>
        <w:tc>
          <w:tcPr>
            <w:tcW w:w="993" w:type="dxa"/>
            <w:shd w:val="clear" w:color="auto" w:fill="C6EFCE"/>
            <w:noWrap/>
            <w:vAlign w:val="center"/>
          </w:tcPr>
          <w:p w14:paraId="2F39CD6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0</w:t>
            </w:r>
          </w:p>
        </w:tc>
        <w:tc>
          <w:tcPr>
            <w:tcW w:w="1162" w:type="dxa"/>
            <w:shd w:val="clear" w:color="auto" w:fill="C6EFCE"/>
            <w:noWrap/>
            <w:vAlign w:val="center"/>
          </w:tcPr>
          <w:p w14:paraId="578AD33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19</w:t>
            </w:r>
          </w:p>
        </w:tc>
        <w:tc>
          <w:tcPr>
            <w:tcW w:w="963" w:type="dxa"/>
            <w:shd w:val="clear" w:color="auto" w:fill="C6EFCE"/>
            <w:noWrap/>
            <w:vAlign w:val="center"/>
          </w:tcPr>
          <w:p w14:paraId="03D5F88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 kv</w:t>
            </w:r>
          </w:p>
        </w:tc>
        <w:tc>
          <w:tcPr>
            <w:tcW w:w="710" w:type="dxa"/>
            <w:shd w:val="clear" w:color="auto" w:fill="C6EFCE"/>
            <w:noWrap/>
            <w:vAlign w:val="center"/>
          </w:tcPr>
          <w:p w14:paraId="42ABAC61"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2026</w:t>
            </w:r>
          </w:p>
        </w:tc>
        <w:tc>
          <w:tcPr>
            <w:tcW w:w="3174" w:type="dxa"/>
            <w:shd w:val="clear" w:color="auto" w:fill="C6EFCE"/>
            <w:noWrap/>
            <w:vAlign w:val="center"/>
          </w:tcPr>
          <w:p w14:paraId="4F00E991" w14:textId="77777777" w:rsidR="0084326C" w:rsidRPr="005D68A0" w:rsidRDefault="0084326C">
            <w:pPr>
              <w:spacing w:before="120" w:after="120" w:line="276" w:lineRule="auto"/>
              <w:rPr>
                <w:rFonts w:ascii="Arial Narrow" w:hAnsi="Arial Narrow"/>
                <w:noProof/>
                <w:color w:val="006100"/>
                <w:sz w:val="20"/>
                <w:szCs w:val="20"/>
              </w:rPr>
            </w:pPr>
            <w:r>
              <w:rPr>
                <w:rFonts w:ascii="Arial Narrow" w:hAnsi="Arial Narrow"/>
                <w:noProof/>
                <w:color w:val="006100"/>
                <w:sz w:val="20"/>
              </w:rPr>
              <w:t>Vähemalt 19 väikesaart, kes rakendavad lõpuleviidud integreeritud projekte, mis hõlmavad vähemalt kolme erinevat liiki sekkumist.</w:t>
            </w:r>
          </w:p>
          <w:p w14:paraId="710D41D4" w14:textId="77777777" w:rsidR="0084326C" w:rsidRPr="005D68A0" w:rsidRDefault="0084326C">
            <w:pPr>
              <w:spacing w:before="120" w:after="120" w:line="276" w:lineRule="auto"/>
              <w:rPr>
                <w:rFonts w:ascii="Arial Narrow" w:hAnsi="Arial Narrow"/>
                <w:noProof/>
                <w:color w:val="006100"/>
                <w:sz w:val="20"/>
                <w:szCs w:val="20"/>
              </w:rPr>
            </w:pPr>
            <w:r>
              <w:rPr>
                <w:rFonts w:ascii="Arial Narrow" w:hAnsi="Arial Narrow"/>
                <w:noProof/>
                <w:color w:val="006100"/>
                <w:sz w:val="20"/>
              </w:rPr>
              <w:t>Määruse (EL) 2021/241 VI lisas esitatud metoodika kohane investeeringu panus kliimamuutustega seotud kuludesse moodustab kokku vähemalt 37 % taaste- ja vastupidavusrahastust toetatavate investeeringute kogukuludest.</w:t>
            </w:r>
          </w:p>
          <w:p w14:paraId="24A36046" w14:textId="77777777" w:rsidR="0084326C" w:rsidRPr="005D68A0" w:rsidRDefault="0084326C">
            <w:pPr>
              <w:spacing w:before="120" w:after="120" w:line="276" w:lineRule="auto"/>
              <w:rPr>
                <w:rFonts w:ascii="Arial Narrow" w:hAnsi="Arial Narrow"/>
                <w:noProof/>
                <w:color w:val="006100"/>
                <w:sz w:val="20"/>
                <w:szCs w:val="20"/>
              </w:rPr>
            </w:pPr>
            <w:r>
              <w:rPr>
                <w:rFonts w:ascii="Arial Narrow" w:hAnsi="Arial Narrow"/>
                <w:noProof/>
                <w:color w:val="006100"/>
                <w:sz w:val="20"/>
              </w:rPr>
              <w:t>Rahastamiskõlblikud sekkumised on:</w:t>
            </w:r>
          </w:p>
          <w:p w14:paraId="2AB11374" w14:textId="77777777" w:rsidR="0084326C" w:rsidRPr="005D68A0" w:rsidRDefault="0084326C" w:rsidP="00EB3DEC">
            <w:pPr>
              <w:numPr>
                <w:ilvl w:val="0"/>
                <w:numId w:val="61"/>
              </w:numPr>
              <w:tabs>
                <w:tab w:val="left" w:pos="199"/>
              </w:tabs>
              <w:spacing w:before="120" w:line="276" w:lineRule="auto"/>
              <w:ind w:left="29" w:firstLine="28"/>
              <w:contextualSpacing/>
              <w:rPr>
                <w:rFonts w:ascii="Arial Narrow" w:hAnsi="Arial Narrow"/>
                <w:noProof/>
                <w:color w:val="006100"/>
                <w:sz w:val="20"/>
                <w:szCs w:val="20"/>
              </w:rPr>
            </w:pPr>
            <w:r>
              <w:rPr>
                <w:rFonts w:ascii="Arial Narrow" w:hAnsi="Arial Narrow"/>
                <w:noProof/>
                <w:color w:val="006100"/>
                <w:sz w:val="20"/>
              </w:rPr>
              <w:t>energiatõhususega seotud sekkumismeetmed;</w:t>
            </w:r>
          </w:p>
          <w:p w14:paraId="6644218E" w14:textId="77777777" w:rsidR="0084326C" w:rsidRPr="005D68A0" w:rsidRDefault="0084326C" w:rsidP="00EB3DEC">
            <w:pPr>
              <w:numPr>
                <w:ilvl w:val="0"/>
                <w:numId w:val="61"/>
              </w:numPr>
              <w:tabs>
                <w:tab w:val="left" w:pos="199"/>
              </w:tabs>
              <w:spacing w:before="120" w:line="276" w:lineRule="auto"/>
              <w:ind w:left="29" w:firstLine="28"/>
              <w:contextualSpacing/>
              <w:rPr>
                <w:rFonts w:ascii="Arial Narrow" w:hAnsi="Arial Narrow"/>
                <w:noProof/>
                <w:color w:val="006100"/>
                <w:sz w:val="20"/>
                <w:szCs w:val="20"/>
              </w:rPr>
            </w:pPr>
            <w:r>
              <w:rPr>
                <w:rFonts w:ascii="Arial Narrow" w:hAnsi="Arial Narrow"/>
                <w:noProof/>
                <w:color w:val="006100"/>
                <w:sz w:val="20"/>
              </w:rPr>
              <w:t>kollektiivse liikuvuse teenuste ja taristute arendamine ja/või ajakohastamine; elektriga töötavad bussid ja paadid; ühistransporti teenindavad varjualused; autode ühiskasutus, jalgrataste ühiskasutus, motorollerite ühiskasutus;</w:t>
            </w:r>
          </w:p>
          <w:p w14:paraId="5EC82B50" w14:textId="77777777" w:rsidR="0084326C" w:rsidRPr="005D68A0" w:rsidRDefault="0084326C" w:rsidP="00EB3DEC">
            <w:pPr>
              <w:numPr>
                <w:ilvl w:val="0"/>
                <w:numId w:val="61"/>
              </w:numPr>
              <w:tabs>
                <w:tab w:val="left" w:pos="199"/>
              </w:tabs>
              <w:spacing w:before="120" w:line="276" w:lineRule="auto"/>
              <w:ind w:left="29" w:firstLine="28"/>
              <w:contextualSpacing/>
              <w:rPr>
                <w:rFonts w:ascii="Arial Narrow" w:hAnsi="Arial Narrow"/>
                <w:noProof/>
                <w:color w:val="006100"/>
                <w:sz w:val="20"/>
                <w:szCs w:val="20"/>
              </w:rPr>
            </w:pPr>
            <w:r>
              <w:rPr>
                <w:rFonts w:ascii="Arial Narrow" w:hAnsi="Arial Narrow"/>
                <w:noProof/>
                <w:color w:val="006100"/>
                <w:sz w:val="20"/>
              </w:rPr>
              <w:t>jalgrattateede ehitamine ja/või kohandamine, varjupaikade ehitamine;</w:t>
            </w:r>
          </w:p>
          <w:p w14:paraId="40327707" w14:textId="77777777" w:rsidR="0084326C" w:rsidRPr="005D68A0" w:rsidRDefault="0084326C" w:rsidP="00EB3DEC">
            <w:pPr>
              <w:numPr>
                <w:ilvl w:val="0"/>
                <w:numId w:val="61"/>
              </w:numPr>
              <w:tabs>
                <w:tab w:val="left" w:pos="199"/>
              </w:tabs>
              <w:spacing w:before="120" w:line="276" w:lineRule="auto"/>
              <w:ind w:left="29" w:firstLine="28"/>
              <w:contextualSpacing/>
              <w:rPr>
                <w:rFonts w:ascii="Arial Narrow" w:hAnsi="Arial Narrow"/>
                <w:noProof/>
                <w:color w:val="006100"/>
                <w:sz w:val="20"/>
                <w:szCs w:val="20"/>
              </w:rPr>
            </w:pPr>
            <w:r>
              <w:rPr>
                <w:rFonts w:ascii="Arial Narrow" w:hAnsi="Arial Narrow"/>
                <w:noProof/>
                <w:color w:val="006100"/>
                <w:sz w:val="20"/>
              </w:rPr>
              <w:t>tõhus liigiti kogumine koos kogumissüsteemide tugevdamisega;</w:t>
            </w:r>
          </w:p>
          <w:p w14:paraId="6B0D0EA6" w14:textId="77777777" w:rsidR="0084326C" w:rsidRPr="00EB3DEC" w:rsidRDefault="0084326C" w:rsidP="00EB3DEC">
            <w:pPr>
              <w:numPr>
                <w:ilvl w:val="0"/>
                <w:numId w:val="61"/>
              </w:numPr>
              <w:tabs>
                <w:tab w:val="left" w:pos="199"/>
              </w:tabs>
              <w:spacing w:before="120" w:line="276" w:lineRule="auto"/>
              <w:ind w:left="29" w:firstLine="28"/>
              <w:contextualSpacing/>
              <w:rPr>
                <w:rFonts w:ascii="Arial Narrow" w:hAnsi="Arial Narrow"/>
                <w:noProof/>
                <w:color w:val="006100"/>
                <w:sz w:val="20"/>
              </w:rPr>
            </w:pPr>
            <w:r>
              <w:rPr>
                <w:rFonts w:ascii="Arial Narrow" w:hAnsi="Arial Narrow"/>
                <w:noProof/>
                <w:color w:val="006100"/>
                <w:sz w:val="20"/>
              </w:rPr>
              <w:t>ökoloogiliste saarte ehitamine/ajakohastamine koos korduskasutamise keskusega;</w:t>
            </w:r>
          </w:p>
          <w:p w14:paraId="6EF7DE9A" w14:textId="77777777" w:rsidR="0084326C" w:rsidRPr="00EB3DEC" w:rsidRDefault="0084326C" w:rsidP="00EB3DEC">
            <w:pPr>
              <w:numPr>
                <w:ilvl w:val="0"/>
                <w:numId w:val="61"/>
              </w:numPr>
              <w:tabs>
                <w:tab w:val="left" w:pos="199"/>
              </w:tabs>
              <w:spacing w:before="120" w:line="276" w:lineRule="auto"/>
              <w:ind w:left="29" w:firstLine="28"/>
              <w:contextualSpacing/>
              <w:rPr>
                <w:rFonts w:ascii="Arial Narrow" w:hAnsi="Arial Narrow"/>
                <w:noProof/>
                <w:color w:val="006100"/>
                <w:sz w:val="20"/>
              </w:rPr>
            </w:pPr>
            <w:r>
              <w:rPr>
                <w:rFonts w:ascii="Arial Narrow" w:hAnsi="Arial Narrow"/>
                <w:noProof/>
                <w:color w:val="006100"/>
                <w:sz w:val="20"/>
              </w:rPr>
              <w:t>magestamissüsteemid;</w:t>
            </w:r>
          </w:p>
          <w:p w14:paraId="3623B427" w14:textId="035BDFA0" w:rsidR="0084326C" w:rsidRPr="00EB3DEC" w:rsidRDefault="0084326C" w:rsidP="00EB3DEC">
            <w:pPr>
              <w:numPr>
                <w:ilvl w:val="0"/>
                <w:numId w:val="61"/>
              </w:numPr>
              <w:tabs>
                <w:tab w:val="left" w:pos="199"/>
              </w:tabs>
              <w:spacing w:before="120" w:line="276" w:lineRule="auto"/>
              <w:ind w:left="29" w:firstLine="28"/>
              <w:contextualSpacing/>
              <w:rPr>
                <w:rFonts w:ascii="Arial Narrow" w:hAnsi="Arial Narrow"/>
                <w:noProof/>
                <w:color w:val="006100"/>
                <w:sz w:val="20"/>
              </w:rPr>
            </w:pPr>
            <w:r>
              <w:rPr>
                <w:rFonts w:ascii="Arial Narrow" w:hAnsi="Arial Narrow"/>
                <w:noProof/>
                <w:color w:val="006100"/>
                <w:sz w:val="20"/>
              </w:rPr>
              <w:t xml:space="preserve">taastuvenergiajaamad elektri tootmiseks, sealhulgas fotogalvaaniline, avamere tuuleenergia ja mere taastuvenergia, nagu laine- või </w:t>
            </w:r>
            <w:r w:rsidR="00B62B71" w:rsidRPr="00B62B71">
              <w:rPr>
                <w:rFonts w:ascii="Arial Narrow" w:hAnsi="Arial Narrow"/>
                <w:noProof/>
                <w:color w:val="006100"/>
                <w:sz w:val="20"/>
              </w:rPr>
              <w:t>tõusu-mõõnaenergia</w:t>
            </w:r>
            <w:r>
              <w:rPr>
                <w:rFonts w:ascii="Arial Narrow" w:hAnsi="Arial Narrow"/>
                <w:noProof/>
                <w:color w:val="006100"/>
                <w:sz w:val="20"/>
              </w:rPr>
              <w:t>;</w:t>
            </w:r>
          </w:p>
          <w:p w14:paraId="12C31FE7" w14:textId="77777777" w:rsidR="0084326C" w:rsidRPr="00EB3DEC" w:rsidRDefault="0084326C" w:rsidP="00EB3DEC">
            <w:pPr>
              <w:numPr>
                <w:ilvl w:val="0"/>
                <w:numId w:val="61"/>
              </w:numPr>
              <w:tabs>
                <w:tab w:val="left" w:pos="199"/>
              </w:tabs>
              <w:spacing w:before="120" w:line="276" w:lineRule="auto"/>
              <w:ind w:left="29" w:firstLine="28"/>
              <w:contextualSpacing/>
              <w:rPr>
                <w:rFonts w:ascii="Arial Narrow" w:hAnsi="Arial Narrow"/>
                <w:noProof/>
                <w:color w:val="006100"/>
                <w:sz w:val="20"/>
              </w:rPr>
            </w:pPr>
            <w:r>
              <w:rPr>
                <w:rFonts w:ascii="Arial Narrow" w:hAnsi="Arial Narrow"/>
                <w:noProof/>
                <w:color w:val="006100"/>
                <w:sz w:val="20"/>
              </w:rPr>
              <w:t>energiatõhususe meetmed, mille eesmärk on vähendada elektrinõudlust;</w:t>
            </w:r>
          </w:p>
          <w:p w14:paraId="62AB8B53" w14:textId="77777777" w:rsidR="0084326C" w:rsidRPr="00EB3DEC" w:rsidRDefault="0084326C" w:rsidP="00EB3DEC">
            <w:pPr>
              <w:numPr>
                <w:ilvl w:val="0"/>
                <w:numId w:val="61"/>
              </w:numPr>
              <w:tabs>
                <w:tab w:val="left" w:pos="199"/>
              </w:tabs>
              <w:spacing w:before="120" w:line="276" w:lineRule="auto"/>
              <w:ind w:left="29" w:firstLine="28"/>
              <w:contextualSpacing/>
              <w:rPr>
                <w:rFonts w:ascii="Arial Narrow" w:hAnsi="Arial Narrow"/>
                <w:noProof/>
                <w:color w:val="006100"/>
                <w:sz w:val="20"/>
              </w:rPr>
            </w:pPr>
            <w:r>
              <w:rPr>
                <w:rFonts w:ascii="Arial Narrow" w:hAnsi="Arial Narrow"/>
                <w:noProof/>
                <w:color w:val="006100"/>
                <w:sz w:val="20"/>
              </w:rPr>
              <w:t>sekkumised elektrivõrgus ja sellega seotud infrastruktuurides: salvestusseadmed, elektrisüsteemi integreerimine saare veesüsteemiga, arukad võrgud, uuenduslikud energiahaldus- ja seiresüsteemid.</w:t>
            </w:r>
          </w:p>
          <w:p w14:paraId="6A0CE802" w14:textId="77777777" w:rsidR="0084326C" w:rsidRPr="00F33804" w:rsidRDefault="0084326C">
            <w:pPr>
              <w:spacing w:line="276" w:lineRule="auto"/>
              <w:rPr>
                <w:rFonts w:ascii="Arial Narrow" w:hAnsi="Arial Narrow"/>
                <w:noProof/>
                <w:color w:val="006100"/>
                <w:sz w:val="20"/>
                <w:szCs w:val="20"/>
              </w:rPr>
            </w:pPr>
          </w:p>
        </w:tc>
      </w:tr>
      <w:tr w:rsidR="0084326C" w:rsidRPr="00D90835" w14:paraId="4B9FC61B" w14:textId="77777777" w:rsidTr="57A7F3EA">
        <w:trPr>
          <w:trHeight w:val="313"/>
          <w:jc w:val="center"/>
        </w:trPr>
        <w:tc>
          <w:tcPr>
            <w:tcW w:w="1220" w:type="dxa"/>
            <w:shd w:val="clear" w:color="auto" w:fill="C6EFCE"/>
            <w:noWrap/>
            <w:vAlign w:val="center"/>
          </w:tcPr>
          <w:p w14:paraId="4BA3210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M2C1-20</w:t>
            </w:r>
          </w:p>
        </w:tc>
        <w:tc>
          <w:tcPr>
            <w:tcW w:w="1598" w:type="dxa"/>
            <w:shd w:val="clear" w:color="auto" w:fill="C6EFCE"/>
            <w:noWrap/>
            <w:vAlign w:val="center"/>
          </w:tcPr>
          <w:p w14:paraId="4C374C8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3.2. Rohelised kogukonnad</w:t>
            </w:r>
          </w:p>
        </w:tc>
        <w:tc>
          <w:tcPr>
            <w:tcW w:w="1185" w:type="dxa"/>
            <w:shd w:val="clear" w:color="auto" w:fill="C6EFCE"/>
            <w:noWrap/>
            <w:vAlign w:val="center"/>
          </w:tcPr>
          <w:p w14:paraId="007EE2D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1732" w:type="dxa"/>
            <w:shd w:val="clear" w:color="auto" w:fill="C6EFCE"/>
            <w:noWrap/>
            <w:vAlign w:val="center"/>
          </w:tcPr>
          <w:p w14:paraId="1ED0C36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(Kõikide) riigihankelepingute sõlmimine roheliste kogukondade valimiseks</w:t>
            </w:r>
          </w:p>
        </w:tc>
        <w:tc>
          <w:tcPr>
            <w:tcW w:w="1603" w:type="dxa"/>
            <w:shd w:val="clear" w:color="auto" w:fill="C6EFCE"/>
            <w:noWrap/>
            <w:vAlign w:val="center"/>
          </w:tcPr>
          <w:p w14:paraId="49E5C8F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Teade (kõikide) riigihankelepingute sõlmimise kohta roheliste kogukondade valimiseks</w:t>
            </w:r>
          </w:p>
        </w:tc>
        <w:tc>
          <w:tcPr>
            <w:tcW w:w="1275" w:type="dxa"/>
            <w:shd w:val="clear" w:color="auto" w:fill="C6EFCE"/>
            <w:noWrap/>
            <w:vAlign w:val="center"/>
          </w:tcPr>
          <w:p w14:paraId="0F5CBDE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noWrap/>
            <w:vAlign w:val="center"/>
          </w:tcPr>
          <w:p w14:paraId="73EE589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162" w:type="dxa"/>
            <w:shd w:val="clear" w:color="auto" w:fill="C6EFCE"/>
            <w:noWrap/>
            <w:vAlign w:val="center"/>
          </w:tcPr>
          <w:p w14:paraId="19C903C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63" w:type="dxa"/>
            <w:shd w:val="clear" w:color="auto" w:fill="C6EFCE"/>
            <w:noWrap/>
            <w:vAlign w:val="center"/>
          </w:tcPr>
          <w:p w14:paraId="4FA3A7D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3. kv</w:t>
            </w:r>
          </w:p>
        </w:tc>
        <w:tc>
          <w:tcPr>
            <w:tcW w:w="710" w:type="dxa"/>
            <w:shd w:val="clear" w:color="auto" w:fill="C6EFCE"/>
            <w:noWrap/>
            <w:vAlign w:val="center"/>
          </w:tcPr>
          <w:p w14:paraId="5469B652"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2022</w:t>
            </w:r>
          </w:p>
        </w:tc>
        <w:tc>
          <w:tcPr>
            <w:tcW w:w="3174" w:type="dxa"/>
            <w:shd w:val="clear" w:color="auto" w:fill="C6EFCE"/>
            <w:noWrap/>
            <w:vAlign w:val="center"/>
          </w:tcPr>
          <w:p w14:paraId="768446DF"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Toetuste andmise menetlusest teatamine, mis peaks hõlmama rahastamiskõlblikkuse kriteeriume, millega tagatakse, et valitud projektid vastavad tehnilisele juhendile „Mitte tekitada olulist kahju“ (2021/C58/01), kasutades kõrvalejätmise loetelu ning asjaomaste ELi ja riiklike keskkonnaalaste õigusaktide järgimise nõuet.</w:t>
            </w:r>
          </w:p>
        </w:tc>
      </w:tr>
      <w:tr w:rsidR="0084326C" w:rsidRPr="00D90835" w14:paraId="728D3A09" w14:textId="77777777" w:rsidTr="57A7F3EA">
        <w:trPr>
          <w:trHeight w:val="313"/>
          <w:jc w:val="center"/>
        </w:trPr>
        <w:tc>
          <w:tcPr>
            <w:tcW w:w="1220" w:type="dxa"/>
            <w:shd w:val="clear" w:color="auto" w:fill="C6EFCE"/>
            <w:noWrap/>
            <w:vAlign w:val="center"/>
          </w:tcPr>
          <w:p w14:paraId="4B7FE5A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M2C1-21</w:t>
            </w:r>
          </w:p>
        </w:tc>
        <w:tc>
          <w:tcPr>
            <w:tcW w:w="1598" w:type="dxa"/>
            <w:shd w:val="clear" w:color="auto" w:fill="C6EFCE"/>
            <w:noWrap/>
            <w:vAlign w:val="center"/>
          </w:tcPr>
          <w:p w14:paraId="049939F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3.2. Rohelised kogukonnad</w:t>
            </w:r>
          </w:p>
        </w:tc>
        <w:tc>
          <w:tcPr>
            <w:tcW w:w="1185" w:type="dxa"/>
            <w:shd w:val="clear" w:color="auto" w:fill="C6EFCE"/>
            <w:noWrap/>
            <w:vAlign w:val="center"/>
          </w:tcPr>
          <w:p w14:paraId="05508DF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1732" w:type="dxa"/>
            <w:shd w:val="clear" w:color="auto" w:fill="C6EFCE"/>
            <w:noWrap/>
            <w:vAlign w:val="center"/>
          </w:tcPr>
          <w:p w14:paraId="7E633E8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Roheliste kogukondade kavades esitatud sekkumiste rakendamine</w:t>
            </w:r>
          </w:p>
        </w:tc>
        <w:tc>
          <w:tcPr>
            <w:tcW w:w="1603" w:type="dxa"/>
            <w:shd w:val="clear" w:color="auto" w:fill="C6EFCE"/>
            <w:noWrap/>
            <w:vAlign w:val="center"/>
          </w:tcPr>
          <w:p w14:paraId="4061CBC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275" w:type="dxa"/>
            <w:shd w:val="clear" w:color="auto" w:fill="C6EFCE"/>
            <w:noWrap/>
            <w:vAlign w:val="center"/>
          </w:tcPr>
          <w:p w14:paraId="02D3874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Roheliste kogukondade esitatud sekkumiste protsent</w:t>
            </w:r>
          </w:p>
        </w:tc>
        <w:tc>
          <w:tcPr>
            <w:tcW w:w="993" w:type="dxa"/>
            <w:shd w:val="clear" w:color="auto" w:fill="C6EFCE"/>
            <w:noWrap/>
            <w:vAlign w:val="center"/>
          </w:tcPr>
          <w:p w14:paraId="07FA986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0</w:t>
            </w:r>
          </w:p>
        </w:tc>
        <w:tc>
          <w:tcPr>
            <w:tcW w:w="1162" w:type="dxa"/>
            <w:shd w:val="clear" w:color="auto" w:fill="C6EFCE"/>
            <w:noWrap/>
            <w:vAlign w:val="center"/>
          </w:tcPr>
          <w:p w14:paraId="33B54B7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90</w:t>
            </w:r>
          </w:p>
        </w:tc>
        <w:tc>
          <w:tcPr>
            <w:tcW w:w="963" w:type="dxa"/>
            <w:shd w:val="clear" w:color="auto" w:fill="C6EFCE"/>
            <w:noWrap/>
            <w:vAlign w:val="center"/>
          </w:tcPr>
          <w:p w14:paraId="4D1CC67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 kv</w:t>
            </w:r>
          </w:p>
        </w:tc>
        <w:tc>
          <w:tcPr>
            <w:tcW w:w="710" w:type="dxa"/>
            <w:shd w:val="clear" w:color="auto" w:fill="C6EFCE"/>
            <w:noWrap/>
            <w:vAlign w:val="center"/>
          </w:tcPr>
          <w:p w14:paraId="63F7E285"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2026</w:t>
            </w:r>
          </w:p>
        </w:tc>
        <w:tc>
          <w:tcPr>
            <w:tcW w:w="3174" w:type="dxa"/>
            <w:shd w:val="clear" w:color="auto" w:fill="C6EFCE"/>
            <w:noWrap/>
            <w:vAlign w:val="center"/>
          </w:tcPr>
          <w:p w14:paraId="37B9EB86"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Vähemalt 90 % roheliste kogukondade esitatud kavades kavandatud sekkumiste rakendamise lõpuleviimine (nagu on määratletud seaduse 221/2015 artiklis 72)</w:t>
            </w:r>
          </w:p>
        </w:tc>
      </w:tr>
      <w:tr w:rsidR="0084326C" w:rsidRPr="00D90835" w14:paraId="3C3F42FC" w14:textId="77777777" w:rsidTr="57A7F3EA">
        <w:trPr>
          <w:trHeight w:val="313"/>
          <w:jc w:val="center"/>
        </w:trPr>
        <w:tc>
          <w:tcPr>
            <w:tcW w:w="1220" w:type="dxa"/>
            <w:shd w:val="clear" w:color="auto" w:fill="C6EFCE"/>
            <w:noWrap/>
            <w:vAlign w:val="center"/>
          </w:tcPr>
          <w:p w14:paraId="2EF85A9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M2C1-22</w:t>
            </w:r>
          </w:p>
        </w:tc>
        <w:tc>
          <w:tcPr>
            <w:tcW w:w="1598" w:type="dxa"/>
            <w:shd w:val="clear" w:color="auto" w:fill="C6EFCE"/>
            <w:noWrap/>
            <w:vAlign w:val="center"/>
          </w:tcPr>
          <w:p w14:paraId="08B90FE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3.4. Fondo Contratti di Filiera (FCF), et toetada tarneahelalepinguid põllumajandusliku toidutööstuse, kalanduse ja vesiviljeluse, metsanduse, lillekasvatuse ja taimekoolide sektoris</w:t>
            </w:r>
          </w:p>
        </w:tc>
        <w:tc>
          <w:tcPr>
            <w:tcW w:w="1185" w:type="dxa"/>
            <w:shd w:val="clear" w:color="auto" w:fill="C6EFCE"/>
            <w:noWrap/>
            <w:vAlign w:val="center"/>
          </w:tcPr>
          <w:p w14:paraId="3EA2F238" w14:textId="77777777" w:rsidR="0084326C" w:rsidRPr="005D68A0" w:rsidRDefault="0084326C">
            <w:pPr>
              <w:spacing w:line="276" w:lineRule="auto"/>
              <w:jc w:val="center"/>
              <w:rPr>
                <w:rFonts w:ascii="Arial Narrow" w:hAnsi="Arial Narrow"/>
                <w:noProof/>
                <w:color w:val="000000" w:themeColor="text1"/>
                <w:sz w:val="20"/>
                <w:szCs w:val="20"/>
              </w:rPr>
            </w:pPr>
            <w:r>
              <w:rPr>
                <w:rFonts w:ascii="Arial Narrow" w:hAnsi="Arial Narrow"/>
                <w:noProof/>
                <w:color w:val="006100"/>
                <w:sz w:val="20"/>
              </w:rPr>
              <w:t>Eesmärk</w:t>
            </w:r>
          </w:p>
        </w:tc>
        <w:tc>
          <w:tcPr>
            <w:tcW w:w="1732" w:type="dxa"/>
            <w:shd w:val="clear" w:color="auto" w:fill="C6EFCE"/>
            <w:noWrap/>
            <w:vAlign w:val="center"/>
          </w:tcPr>
          <w:p w14:paraId="0C333320" w14:textId="77777777" w:rsidR="0084326C" w:rsidRPr="005D68A0" w:rsidRDefault="0084326C">
            <w:pPr>
              <w:spacing w:line="276" w:lineRule="auto"/>
              <w:jc w:val="center"/>
              <w:rPr>
                <w:rFonts w:ascii="Arial Narrow" w:hAnsi="Arial Narrow"/>
                <w:noProof/>
                <w:color w:val="000000" w:themeColor="text1"/>
                <w:sz w:val="20"/>
                <w:szCs w:val="20"/>
              </w:rPr>
            </w:pPr>
            <w:r>
              <w:rPr>
                <w:rFonts w:ascii="Arial Narrow" w:hAnsi="Arial Narrow"/>
                <w:noProof/>
                <w:color w:val="006100"/>
                <w:sz w:val="20"/>
              </w:rPr>
              <w:t>Rakendusleping</w:t>
            </w:r>
          </w:p>
        </w:tc>
        <w:tc>
          <w:tcPr>
            <w:tcW w:w="1603" w:type="dxa"/>
            <w:shd w:val="clear" w:color="auto" w:fill="C6EFCE"/>
            <w:noWrap/>
            <w:vAlign w:val="center"/>
          </w:tcPr>
          <w:p w14:paraId="233D11DE" w14:textId="77777777" w:rsidR="0084326C" w:rsidRPr="005D68A0" w:rsidRDefault="0084326C">
            <w:pPr>
              <w:spacing w:line="276" w:lineRule="auto"/>
              <w:jc w:val="center"/>
              <w:rPr>
                <w:rFonts w:ascii="Arial Narrow" w:hAnsi="Arial Narrow"/>
                <w:noProof/>
                <w:color w:val="000000" w:themeColor="text1"/>
                <w:sz w:val="20"/>
                <w:szCs w:val="20"/>
              </w:rPr>
            </w:pPr>
            <w:r>
              <w:rPr>
                <w:rFonts w:ascii="Arial Narrow" w:hAnsi="Arial Narrow"/>
                <w:noProof/>
                <w:color w:val="006100"/>
                <w:sz w:val="20"/>
              </w:rPr>
              <w:t>Rakenduskokkuleppe jõustumine</w:t>
            </w:r>
          </w:p>
        </w:tc>
        <w:tc>
          <w:tcPr>
            <w:tcW w:w="1275" w:type="dxa"/>
            <w:shd w:val="clear" w:color="auto" w:fill="C6EFCE"/>
            <w:noWrap/>
            <w:vAlign w:val="center"/>
          </w:tcPr>
          <w:p w14:paraId="78E330C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 xml:space="preserve"> Ei kohaldata</w:t>
            </w:r>
          </w:p>
        </w:tc>
        <w:tc>
          <w:tcPr>
            <w:tcW w:w="993" w:type="dxa"/>
            <w:shd w:val="clear" w:color="auto" w:fill="C6EFCE"/>
            <w:noWrap/>
            <w:vAlign w:val="center"/>
          </w:tcPr>
          <w:p w14:paraId="3ED47A1F" w14:textId="37C11BB8" w:rsidR="0084326C" w:rsidRPr="005D68A0" w:rsidRDefault="0084326C">
            <w:pPr>
              <w:spacing w:line="276" w:lineRule="auto"/>
              <w:jc w:val="center"/>
              <w:rPr>
                <w:rFonts w:ascii="Arial Narrow" w:eastAsia="Arial Narrow" w:hAnsi="Arial Narrow" w:cs="Arial Narrow"/>
                <w:noProof/>
                <w:sz w:val="20"/>
                <w:szCs w:val="20"/>
              </w:rPr>
            </w:pPr>
            <w:r>
              <w:rPr>
                <w:rFonts w:ascii="Arial Narrow" w:hAnsi="Arial Narrow"/>
                <w:noProof/>
                <w:color w:val="006100"/>
                <w:sz w:val="20"/>
              </w:rPr>
              <w:t>Ei kohaldata</w:t>
            </w:r>
          </w:p>
        </w:tc>
        <w:tc>
          <w:tcPr>
            <w:tcW w:w="1162" w:type="dxa"/>
            <w:shd w:val="clear" w:color="auto" w:fill="C6EFCE"/>
            <w:noWrap/>
            <w:vAlign w:val="center"/>
          </w:tcPr>
          <w:p w14:paraId="785DDA17" w14:textId="06513970" w:rsidR="0084326C" w:rsidRPr="005D68A0" w:rsidRDefault="0084326C">
            <w:pPr>
              <w:spacing w:line="276" w:lineRule="auto"/>
              <w:jc w:val="center"/>
              <w:rPr>
                <w:rFonts w:ascii="Arial Narrow" w:eastAsia="Arial Narrow" w:hAnsi="Arial Narrow" w:cs="Arial Narrow"/>
                <w:noProof/>
                <w:sz w:val="20"/>
                <w:szCs w:val="20"/>
              </w:rPr>
            </w:pPr>
            <w:r>
              <w:rPr>
                <w:rFonts w:ascii="Arial Narrow" w:hAnsi="Arial Narrow"/>
                <w:noProof/>
                <w:color w:val="006100"/>
                <w:sz w:val="20"/>
              </w:rPr>
              <w:t>Ei kohaldata</w:t>
            </w:r>
          </w:p>
        </w:tc>
        <w:tc>
          <w:tcPr>
            <w:tcW w:w="963" w:type="dxa"/>
            <w:shd w:val="clear" w:color="auto" w:fill="C6EFCE"/>
            <w:noWrap/>
            <w:vAlign w:val="center"/>
          </w:tcPr>
          <w:p w14:paraId="43849499" w14:textId="77777777" w:rsidR="0084326C" w:rsidRPr="005D68A0" w:rsidRDefault="0084326C">
            <w:pPr>
              <w:spacing w:line="276" w:lineRule="auto"/>
              <w:jc w:val="center"/>
              <w:rPr>
                <w:rFonts w:ascii="Arial Narrow" w:hAnsi="Arial Narrow"/>
                <w:noProof/>
                <w:color w:val="000000" w:themeColor="text1"/>
                <w:sz w:val="20"/>
                <w:szCs w:val="20"/>
              </w:rPr>
            </w:pPr>
            <w:r>
              <w:rPr>
                <w:rFonts w:ascii="Arial Narrow" w:hAnsi="Arial Narrow"/>
                <w:noProof/>
                <w:color w:val="006100"/>
                <w:sz w:val="20"/>
              </w:rPr>
              <w:t>2. kv</w:t>
            </w:r>
          </w:p>
        </w:tc>
        <w:tc>
          <w:tcPr>
            <w:tcW w:w="710" w:type="dxa"/>
            <w:shd w:val="clear" w:color="auto" w:fill="C6EFCE"/>
            <w:noWrap/>
            <w:vAlign w:val="center"/>
          </w:tcPr>
          <w:p w14:paraId="50458F51" w14:textId="77777777" w:rsidR="0084326C" w:rsidRPr="005D68A0" w:rsidRDefault="0084326C">
            <w:pPr>
              <w:spacing w:line="276" w:lineRule="auto"/>
              <w:rPr>
                <w:rFonts w:ascii="Arial Narrow" w:hAnsi="Arial Narrow"/>
                <w:noProof/>
                <w:color w:val="000000" w:themeColor="text1"/>
                <w:sz w:val="20"/>
                <w:szCs w:val="20"/>
              </w:rPr>
            </w:pPr>
            <w:r>
              <w:rPr>
                <w:rFonts w:ascii="Arial Narrow" w:hAnsi="Arial Narrow"/>
                <w:noProof/>
                <w:color w:val="006100"/>
                <w:sz w:val="20"/>
              </w:rPr>
              <w:t>2024</w:t>
            </w:r>
          </w:p>
        </w:tc>
        <w:tc>
          <w:tcPr>
            <w:tcW w:w="3174" w:type="dxa"/>
            <w:shd w:val="clear" w:color="auto" w:fill="C6EFCE"/>
            <w:noWrap/>
            <w:vAlign w:val="center"/>
          </w:tcPr>
          <w:p w14:paraId="1797F92F" w14:textId="77777777" w:rsidR="0084326C" w:rsidRPr="005D68A0" w:rsidRDefault="0084326C">
            <w:pPr>
              <w:spacing w:line="276" w:lineRule="auto"/>
              <w:rPr>
                <w:rFonts w:ascii="Arial Narrow" w:hAnsi="Arial Narrow"/>
                <w:noProof/>
                <w:color w:val="000000" w:themeColor="text1"/>
                <w:sz w:val="20"/>
                <w:szCs w:val="20"/>
              </w:rPr>
            </w:pPr>
            <w:r>
              <w:rPr>
                <w:rFonts w:ascii="Arial Narrow" w:hAnsi="Arial Narrow"/>
                <w:noProof/>
                <w:color w:val="006100"/>
                <w:sz w:val="20"/>
              </w:rPr>
              <w:t>Rakenduskokkuleppe jõustumine.</w:t>
            </w:r>
          </w:p>
        </w:tc>
      </w:tr>
      <w:tr w:rsidR="0084326C" w:rsidRPr="00D90835" w14:paraId="33B27411" w14:textId="77777777" w:rsidTr="57A7F3EA">
        <w:trPr>
          <w:trHeight w:val="313"/>
          <w:jc w:val="center"/>
        </w:trPr>
        <w:tc>
          <w:tcPr>
            <w:tcW w:w="1220" w:type="dxa"/>
            <w:shd w:val="clear" w:color="auto" w:fill="C6EFCE"/>
            <w:noWrap/>
            <w:vAlign w:val="center"/>
          </w:tcPr>
          <w:p w14:paraId="61F99F4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M2C1-23</w:t>
            </w:r>
          </w:p>
        </w:tc>
        <w:tc>
          <w:tcPr>
            <w:tcW w:w="1598" w:type="dxa"/>
            <w:shd w:val="clear" w:color="auto" w:fill="C6EFCE"/>
            <w:noWrap/>
            <w:vAlign w:val="center"/>
          </w:tcPr>
          <w:p w14:paraId="405F550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3.4. Fondo Contratti di Filiera (FCF), et toetada tarneahelalepinguid põllumajandusliku toidutööstuse, kalanduse ja vesiviljeluse, metsanduse, lillekasvatuse ja taimekoolide sektoris</w:t>
            </w:r>
          </w:p>
        </w:tc>
        <w:tc>
          <w:tcPr>
            <w:tcW w:w="1185" w:type="dxa"/>
            <w:shd w:val="clear" w:color="auto" w:fill="C6EFCE"/>
            <w:noWrap/>
            <w:vAlign w:val="center"/>
          </w:tcPr>
          <w:p w14:paraId="244EEF2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1732" w:type="dxa"/>
            <w:shd w:val="clear" w:color="auto" w:fill="C6EFCE"/>
            <w:noWrap/>
            <w:vAlign w:val="center"/>
          </w:tcPr>
          <w:p w14:paraId="03386DD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Lõplike abisaajatega sõlmitud õiguslikud lepingud</w:t>
            </w:r>
          </w:p>
        </w:tc>
        <w:tc>
          <w:tcPr>
            <w:tcW w:w="1603" w:type="dxa"/>
            <w:shd w:val="clear" w:color="auto" w:fill="C6EFCE"/>
            <w:noWrap/>
            <w:vAlign w:val="center"/>
          </w:tcPr>
          <w:p w14:paraId="26DA1145" w14:textId="75153E1F"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 xml:space="preserve">Ei kohaldata </w:t>
            </w:r>
          </w:p>
        </w:tc>
        <w:tc>
          <w:tcPr>
            <w:tcW w:w="1275" w:type="dxa"/>
            <w:shd w:val="clear" w:color="auto" w:fill="C6EFCE"/>
            <w:noWrap/>
            <w:vAlign w:val="center"/>
          </w:tcPr>
          <w:p w14:paraId="16D540D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 xml:space="preserve"> Protsent</w:t>
            </w:r>
          </w:p>
        </w:tc>
        <w:tc>
          <w:tcPr>
            <w:tcW w:w="993" w:type="dxa"/>
            <w:shd w:val="clear" w:color="auto" w:fill="C6EFCE"/>
            <w:noWrap/>
            <w:vAlign w:val="center"/>
          </w:tcPr>
          <w:p w14:paraId="0E25282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0</w:t>
            </w:r>
          </w:p>
        </w:tc>
        <w:tc>
          <w:tcPr>
            <w:tcW w:w="1162" w:type="dxa"/>
            <w:shd w:val="clear" w:color="auto" w:fill="C6EFCE"/>
            <w:noWrap/>
            <w:vAlign w:val="center"/>
          </w:tcPr>
          <w:p w14:paraId="42818AC0" w14:textId="4AFD338E"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50</w:t>
            </w:r>
          </w:p>
        </w:tc>
        <w:tc>
          <w:tcPr>
            <w:tcW w:w="963" w:type="dxa"/>
            <w:shd w:val="clear" w:color="auto" w:fill="C6EFCE"/>
            <w:noWrap/>
            <w:vAlign w:val="center"/>
          </w:tcPr>
          <w:p w14:paraId="7EB4BEE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 kv</w:t>
            </w:r>
          </w:p>
        </w:tc>
        <w:tc>
          <w:tcPr>
            <w:tcW w:w="710" w:type="dxa"/>
            <w:shd w:val="clear" w:color="auto" w:fill="C6EFCE"/>
            <w:noWrap/>
            <w:vAlign w:val="center"/>
          </w:tcPr>
          <w:p w14:paraId="770C142E"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2025</w:t>
            </w:r>
          </w:p>
        </w:tc>
        <w:tc>
          <w:tcPr>
            <w:tcW w:w="3174" w:type="dxa"/>
            <w:shd w:val="clear" w:color="auto" w:fill="C6EFCE"/>
            <w:noWrap/>
            <w:vAlign w:val="center"/>
          </w:tcPr>
          <w:p w14:paraId="256F2385" w14:textId="0EBB6217" w:rsidR="0084326C" w:rsidRPr="005D68A0" w:rsidRDefault="3B3772D8">
            <w:pPr>
              <w:spacing w:line="276" w:lineRule="auto"/>
              <w:rPr>
                <w:rFonts w:ascii="Arial Narrow" w:hAnsi="Arial Narrow"/>
                <w:noProof/>
                <w:color w:val="006100"/>
                <w:sz w:val="20"/>
                <w:szCs w:val="20"/>
              </w:rPr>
            </w:pPr>
            <w:r>
              <w:rPr>
                <w:rFonts w:ascii="Arial Narrow" w:hAnsi="Arial Narrow"/>
                <w:noProof/>
                <w:color w:val="006100"/>
                <w:sz w:val="20"/>
              </w:rPr>
              <w:t>ISMEA on sõlminud lõplike abisaajatega seaduslikud rahastamislepingud summas, mis on vajalik vähemalt 50 % taaste- ja vastupidavusrahastu investeeringute kasutamiseks fondis (võttes arvesse haldustasusid). ISMEA koostab VI lisas esitatud metoodikat kasutades aruande, milles täpsustatakse kliimaeesmärkide saavutamisele kaasaaitava rahastamise osakaal.</w:t>
            </w:r>
          </w:p>
        </w:tc>
      </w:tr>
      <w:tr w:rsidR="0084326C" w:rsidRPr="00D90835" w14:paraId="7E730161" w14:textId="77777777" w:rsidTr="57A7F3EA">
        <w:trPr>
          <w:trHeight w:val="313"/>
          <w:jc w:val="center"/>
        </w:trPr>
        <w:tc>
          <w:tcPr>
            <w:tcW w:w="1220" w:type="dxa"/>
            <w:shd w:val="clear" w:color="auto" w:fill="C6EFCE"/>
            <w:noWrap/>
            <w:vAlign w:val="center"/>
          </w:tcPr>
          <w:p w14:paraId="601B865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M2C1-24</w:t>
            </w:r>
          </w:p>
        </w:tc>
        <w:tc>
          <w:tcPr>
            <w:tcW w:w="1598" w:type="dxa"/>
            <w:shd w:val="clear" w:color="auto" w:fill="C6EFCE"/>
            <w:noWrap/>
            <w:vAlign w:val="center"/>
          </w:tcPr>
          <w:p w14:paraId="1AFDB37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3.4. Fondo Contratti di Filiera (FCF), et toetada tarneahelalepinguid põllumajandusliku toidutööstuse, kalanduse ja vesiviljeluse, metsanduse, lillekasvatuse ja taimekoolide sektoris</w:t>
            </w:r>
          </w:p>
        </w:tc>
        <w:tc>
          <w:tcPr>
            <w:tcW w:w="1185" w:type="dxa"/>
            <w:shd w:val="clear" w:color="auto" w:fill="C6EFCE"/>
            <w:noWrap/>
            <w:vAlign w:val="center"/>
          </w:tcPr>
          <w:p w14:paraId="11DA996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1732" w:type="dxa"/>
            <w:shd w:val="clear" w:color="auto" w:fill="C6EFCE"/>
            <w:noWrap/>
            <w:vAlign w:val="center"/>
          </w:tcPr>
          <w:p w14:paraId="0A3AB3B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Lõplike abisaajatega sõlmitud õiguslikud lepingud</w:t>
            </w:r>
          </w:p>
        </w:tc>
        <w:tc>
          <w:tcPr>
            <w:tcW w:w="1603" w:type="dxa"/>
            <w:shd w:val="clear" w:color="auto" w:fill="C6EFCE"/>
            <w:noWrap/>
            <w:vAlign w:val="center"/>
          </w:tcPr>
          <w:p w14:paraId="090E5EE3" w14:textId="6EAFB802"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 xml:space="preserve">Ei kohaldata </w:t>
            </w:r>
          </w:p>
        </w:tc>
        <w:tc>
          <w:tcPr>
            <w:tcW w:w="1275" w:type="dxa"/>
            <w:shd w:val="clear" w:color="auto" w:fill="C6EFCE"/>
            <w:noWrap/>
            <w:vAlign w:val="center"/>
          </w:tcPr>
          <w:p w14:paraId="075ADC4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 xml:space="preserve">Protsent </w:t>
            </w:r>
          </w:p>
        </w:tc>
        <w:tc>
          <w:tcPr>
            <w:tcW w:w="993" w:type="dxa"/>
            <w:shd w:val="clear" w:color="auto" w:fill="C6EFCE"/>
            <w:noWrap/>
            <w:vAlign w:val="center"/>
          </w:tcPr>
          <w:p w14:paraId="43C1FB11" w14:textId="6633145E"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50</w:t>
            </w:r>
          </w:p>
        </w:tc>
        <w:tc>
          <w:tcPr>
            <w:tcW w:w="1162" w:type="dxa"/>
            <w:shd w:val="clear" w:color="auto" w:fill="C6EFCE"/>
            <w:noWrap/>
            <w:vAlign w:val="center"/>
          </w:tcPr>
          <w:p w14:paraId="03C9A282" w14:textId="50A14CDD"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100</w:t>
            </w:r>
          </w:p>
        </w:tc>
        <w:tc>
          <w:tcPr>
            <w:tcW w:w="963" w:type="dxa"/>
            <w:shd w:val="clear" w:color="auto" w:fill="C6EFCE"/>
            <w:noWrap/>
            <w:vAlign w:val="center"/>
          </w:tcPr>
          <w:p w14:paraId="696BF4D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 kv</w:t>
            </w:r>
          </w:p>
        </w:tc>
        <w:tc>
          <w:tcPr>
            <w:tcW w:w="710" w:type="dxa"/>
            <w:shd w:val="clear" w:color="auto" w:fill="C6EFCE"/>
            <w:noWrap/>
            <w:vAlign w:val="center"/>
          </w:tcPr>
          <w:p w14:paraId="6D9CF555"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2026</w:t>
            </w:r>
          </w:p>
        </w:tc>
        <w:tc>
          <w:tcPr>
            <w:tcW w:w="3174" w:type="dxa"/>
            <w:shd w:val="clear" w:color="auto" w:fill="C6EFCE"/>
            <w:noWrap/>
            <w:vAlign w:val="center"/>
          </w:tcPr>
          <w:p w14:paraId="397CA92D" w14:textId="45AECA05" w:rsidR="0084326C" w:rsidRPr="005D68A0" w:rsidRDefault="1FE31477">
            <w:pPr>
              <w:spacing w:line="276" w:lineRule="auto"/>
              <w:rPr>
                <w:rFonts w:ascii="Arial Narrow" w:hAnsi="Arial Narrow"/>
                <w:noProof/>
                <w:color w:val="006100"/>
                <w:sz w:val="20"/>
                <w:szCs w:val="20"/>
              </w:rPr>
            </w:pPr>
            <w:r>
              <w:rPr>
                <w:rFonts w:ascii="Arial Narrow" w:hAnsi="Arial Narrow"/>
                <w:noProof/>
                <w:color w:val="006100"/>
                <w:sz w:val="20"/>
              </w:rPr>
              <w:t>ISMEA on sõlminud lõplike abisaajatega seaduslikud rahastamislepingud summas, mis on vajalik 100 % taaste- ja vastupidavusrahastu investeeringute kasutamiseks fondis (võttes arvesse haldustasusid).</w:t>
            </w:r>
          </w:p>
        </w:tc>
      </w:tr>
      <w:tr w:rsidR="0084326C" w:rsidRPr="00D90835" w14:paraId="22CC71A3" w14:textId="77777777" w:rsidTr="57A7F3EA">
        <w:trPr>
          <w:trHeight w:val="313"/>
          <w:jc w:val="center"/>
        </w:trPr>
        <w:tc>
          <w:tcPr>
            <w:tcW w:w="1220" w:type="dxa"/>
            <w:shd w:val="clear" w:color="auto" w:fill="C6EFCE"/>
            <w:noWrap/>
            <w:vAlign w:val="center"/>
          </w:tcPr>
          <w:p w14:paraId="1D08E4D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M2C1-25</w:t>
            </w:r>
          </w:p>
        </w:tc>
        <w:tc>
          <w:tcPr>
            <w:tcW w:w="1598" w:type="dxa"/>
            <w:shd w:val="clear" w:color="auto" w:fill="C6EFCE"/>
            <w:noWrap/>
            <w:vAlign w:val="center"/>
          </w:tcPr>
          <w:p w14:paraId="7940F19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3.4. Fondo Contratti di Filiera (FCF), et toetada tarneahelalepinguid põllumajandusliku toidutööstuse, kalanduse ja vesiviljeluse, metsanduse, lillekasvatuse ja taimekoolide sektoris</w:t>
            </w:r>
          </w:p>
        </w:tc>
        <w:tc>
          <w:tcPr>
            <w:tcW w:w="1185" w:type="dxa"/>
            <w:shd w:val="clear" w:color="auto" w:fill="C6EFCE"/>
            <w:noWrap/>
            <w:vAlign w:val="center"/>
          </w:tcPr>
          <w:p w14:paraId="4B80F8A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1732" w:type="dxa"/>
            <w:shd w:val="clear" w:color="auto" w:fill="C6EFCE"/>
            <w:noWrap/>
            <w:vAlign w:val="center"/>
          </w:tcPr>
          <w:p w14:paraId="2DCF437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Ministeerium on vahendite kogusumma ümber paigutanud</w:t>
            </w:r>
          </w:p>
        </w:tc>
        <w:tc>
          <w:tcPr>
            <w:tcW w:w="1603" w:type="dxa"/>
            <w:shd w:val="clear" w:color="auto" w:fill="C6EFCE"/>
            <w:noWrap/>
            <w:vAlign w:val="center"/>
          </w:tcPr>
          <w:p w14:paraId="035C9D5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Üleviimistunnistus</w:t>
            </w:r>
          </w:p>
        </w:tc>
        <w:tc>
          <w:tcPr>
            <w:tcW w:w="1275" w:type="dxa"/>
            <w:shd w:val="clear" w:color="auto" w:fill="C6EFCE"/>
            <w:noWrap/>
            <w:vAlign w:val="center"/>
          </w:tcPr>
          <w:p w14:paraId="130D4D1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 xml:space="preserve"> Ei kohaldata</w:t>
            </w:r>
          </w:p>
        </w:tc>
        <w:tc>
          <w:tcPr>
            <w:tcW w:w="993" w:type="dxa"/>
            <w:shd w:val="clear" w:color="auto" w:fill="C6EFCE"/>
            <w:noWrap/>
            <w:vAlign w:val="center"/>
          </w:tcPr>
          <w:p w14:paraId="0053BC42" w14:textId="570E97A5" w:rsidR="0084326C" w:rsidRPr="005D68A0" w:rsidRDefault="0084326C">
            <w:pPr>
              <w:spacing w:line="276" w:lineRule="auto"/>
              <w:jc w:val="center"/>
              <w:rPr>
                <w:rFonts w:ascii="Arial Narrow" w:eastAsia="Arial Narrow" w:hAnsi="Arial Narrow" w:cs="Arial Narrow"/>
                <w:noProof/>
                <w:sz w:val="20"/>
                <w:szCs w:val="20"/>
              </w:rPr>
            </w:pPr>
            <w:r>
              <w:rPr>
                <w:rFonts w:ascii="Arial Narrow" w:hAnsi="Arial Narrow"/>
                <w:noProof/>
                <w:color w:val="006100"/>
                <w:sz w:val="20"/>
              </w:rPr>
              <w:t>Ei kohaldata</w:t>
            </w:r>
          </w:p>
        </w:tc>
        <w:tc>
          <w:tcPr>
            <w:tcW w:w="1162" w:type="dxa"/>
            <w:shd w:val="clear" w:color="auto" w:fill="C6EFCE"/>
            <w:noWrap/>
            <w:vAlign w:val="center"/>
          </w:tcPr>
          <w:p w14:paraId="2769F357" w14:textId="65DC7B37" w:rsidR="0084326C" w:rsidRPr="005D68A0" w:rsidRDefault="0084326C">
            <w:pPr>
              <w:spacing w:line="276" w:lineRule="auto"/>
              <w:jc w:val="center"/>
              <w:rPr>
                <w:rFonts w:ascii="Arial Narrow" w:eastAsia="Arial Narrow" w:hAnsi="Arial Narrow" w:cs="Arial Narrow"/>
                <w:noProof/>
                <w:sz w:val="20"/>
                <w:szCs w:val="20"/>
              </w:rPr>
            </w:pPr>
            <w:r>
              <w:rPr>
                <w:rFonts w:ascii="Arial Narrow" w:hAnsi="Arial Narrow"/>
                <w:noProof/>
                <w:color w:val="006100"/>
                <w:sz w:val="20"/>
              </w:rPr>
              <w:t>Ei kohaldata</w:t>
            </w:r>
          </w:p>
        </w:tc>
        <w:tc>
          <w:tcPr>
            <w:tcW w:w="963" w:type="dxa"/>
            <w:shd w:val="clear" w:color="auto" w:fill="C6EFCE"/>
            <w:noWrap/>
            <w:vAlign w:val="center"/>
          </w:tcPr>
          <w:p w14:paraId="26A90F6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710" w:type="dxa"/>
            <w:shd w:val="clear" w:color="auto" w:fill="C6EFCE"/>
            <w:noWrap/>
            <w:vAlign w:val="center"/>
          </w:tcPr>
          <w:p w14:paraId="3EC08629"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2024</w:t>
            </w:r>
          </w:p>
        </w:tc>
        <w:tc>
          <w:tcPr>
            <w:tcW w:w="3174" w:type="dxa"/>
            <w:shd w:val="clear" w:color="auto" w:fill="C6EFCE"/>
            <w:noWrap/>
            <w:vAlign w:val="center"/>
          </w:tcPr>
          <w:p w14:paraId="7AE79F05" w14:textId="25B22B51"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 xml:space="preserve">Itaalia kannab rahastu jaoks ISMEAle üle 1 960 000 000,00 eurot. </w:t>
            </w:r>
          </w:p>
        </w:tc>
      </w:tr>
    </w:tbl>
    <w:p w14:paraId="18304692" w14:textId="77777777" w:rsidR="0084326C" w:rsidRPr="00F33804" w:rsidRDefault="0084326C" w:rsidP="0084326C">
      <w:pPr>
        <w:tabs>
          <w:tab w:val="left" w:pos="4252"/>
        </w:tabs>
        <w:rPr>
          <w:i/>
          <w:noProof/>
        </w:rPr>
      </w:pPr>
    </w:p>
    <w:p w14:paraId="0F10060A" w14:textId="77777777" w:rsidR="0084326C" w:rsidRPr="00F33804" w:rsidRDefault="0084326C" w:rsidP="0084326C">
      <w:pPr>
        <w:tabs>
          <w:tab w:val="left" w:pos="4252"/>
        </w:tabs>
        <w:rPr>
          <w:i/>
          <w:noProof/>
        </w:rPr>
      </w:pPr>
    </w:p>
    <w:p w14:paraId="74C46D8B" w14:textId="77777777" w:rsidR="0084326C" w:rsidRPr="00F33804" w:rsidRDefault="0084326C" w:rsidP="0084326C">
      <w:pPr>
        <w:tabs>
          <w:tab w:val="left" w:pos="4252"/>
        </w:tabs>
        <w:rPr>
          <w:i/>
          <w:noProof/>
        </w:rPr>
        <w:sectPr w:rsidR="0084326C" w:rsidRPr="00F33804">
          <w:headerReference w:type="even" r:id="rId134"/>
          <w:headerReference w:type="default" r:id="rId135"/>
          <w:footerReference w:type="even" r:id="rId136"/>
          <w:footerReference w:type="default" r:id="rId137"/>
          <w:headerReference w:type="first" r:id="rId138"/>
          <w:footerReference w:type="first" r:id="rId139"/>
          <w:pgSz w:w="16839" w:h="11907" w:orient="landscape"/>
          <w:pgMar w:top="1134" w:right="1134" w:bottom="1134" w:left="1134" w:header="567" w:footer="567" w:gutter="0"/>
          <w:cols w:space="720"/>
          <w:docGrid w:linePitch="360"/>
        </w:sectPr>
      </w:pPr>
    </w:p>
    <w:p w14:paraId="2EAB6B61" w14:textId="77777777" w:rsidR="0084326C" w:rsidRPr="005D68A0" w:rsidRDefault="0084326C" w:rsidP="0084326C">
      <w:pPr>
        <w:pStyle w:val="Heading2"/>
        <w:numPr>
          <w:ilvl w:val="1"/>
          <w:numId w:val="0"/>
        </w:numPr>
        <w:ind w:left="850" w:hanging="850"/>
        <w:rPr>
          <w:noProof/>
        </w:rPr>
      </w:pPr>
      <w:r>
        <w:rPr>
          <w:noProof/>
        </w:rPr>
        <w:t>E. ÜLESANNE 2, KOMPONENT 2. Energiasüsteemi ümberkujundamine ja säästlik liikuvus</w:t>
      </w:r>
    </w:p>
    <w:p w14:paraId="014321B6" w14:textId="77777777" w:rsidR="0084326C" w:rsidRPr="005D68A0" w:rsidRDefault="0084326C" w:rsidP="0084326C">
      <w:pPr>
        <w:spacing w:before="120" w:after="120"/>
        <w:jc w:val="both"/>
        <w:rPr>
          <w:noProof/>
        </w:rPr>
      </w:pPr>
      <w:r>
        <w:rPr>
          <w:noProof/>
        </w:rPr>
        <w:t xml:space="preserve">See Itaalia taaste- ja vastupidavuskava komponent hõlmab investeeringuid ja reforme energiasüsteemi ümberkujundamiseks. See hõlmab reforme, mille eesmärk on hõlbustada taastuvenergia projektidele loa andmist. Komponent hõlmab investeeringuid taastuvate energiaallikate tarneahelasse, vesinikuenergiasse, biometaani rajatistesse ja arukatesse võrkudesse. Neid reforme ja investeeringuid täiendavad reformid, mille eesmärk on suurendada konkurentsi elektriturul ettevõtluskeskkonna reformi komponendi raames. </w:t>
      </w:r>
    </w:p>
    <w:p w14:paraId="077102CF" w14:textId="77777777" w:rsidR="0084326C" w:rsidRPr="005D68A0" w:rsidRDefault="0084326C" w:rsidP="0084326C">
      <w:pPr>
        <w:spacing w:before="120" w:after="120"/>
        <w:jc w:val="both"/>
        <w:rPr>
          <w:noProof/>
        </w:rPr>
      </w:pPr>
      <w:r>
        <w:rPr>
          <w:noProof/>
        </w:rPr>
        <w:t xml:space="preserve">See komponent hõlmab ka investeeringuid ja reforme säästva liikuvuse valdkonnas. See hõlmab reforme, mis hõlbustavad säästva liikuvuse projektide lubamist. Komponent hõlmab investeeringuid rattateede ning metroo-, trammi- ja bussitranspordi kiirtransporditaristu ehitamiseks ning heitevabade busside, veeremi, tuletõrje- ja lennujaamasõidukite hankimiseks. Neid reforme ja investeeringuid täiendavad reformid, mille eesmärk on kõrvaldada elektrilaadimise reguleeritud hinnad ning suurendada konkurentsi laadimispunktide kontsessioonide, piirkondlike raudteede ja kohaliku ühistranspordi valdkonnas ettevõtluskeskkonna reformi komponendi raames. </w:t>
      </w:r>
    </w:p>
    <w:p w14:paraId="158581D1" w14:textId="77777777" w:rsidR="0084326C" w:rsidRPr="005D68A0" w:rsidRDefault="0084326C" w:rsidP="0084326C">
      <w:pPr>
        <w:spacing w:before="120" w:after="120"/>
        <w:jc w:val="both"/>
        <w:rPr>
          <w:noProof/>
        </w:rPr>
      </w:pPr>
      <w:r>
        <w:rPr>
          <w:noProof/>
        </w:rPr>
        <w:t>Selle komponendi raames tehtavad investeeringud ja reformid aitavad täita Itaaliale 2020. ja 2019. aastal esitatud riigipõhiseid soovitusi, milles käsitletakse vajadust keskendada investeeringud „rohelisele ja digitaalsele üleminekule, eelkõige [...] puhtale ja tõhusale energiatootmisele ja -kasutusele [...] säästvale ühistranspordile“ (riigipõhised soovitused nr 3, 2020) ning keskenduda „investeeringutega seotud majanduspoliitikale [...] ja taristu kvaliteedile, võttes arvesse ka piirkondlikke erinevusi“ (riigipõhised soovitused nr 3, 2019).</w:t>
      </w:r>
    </w:p>
    <w:p w14:paraId="3DD1D9E6" w14:textId="77777777" w:rsidR="0084326C" w:rsidRPr="005D68A0" w:rsidRDefault="0084326C" w:rsidP="0084326C">
      <w:pPr>
        <w:spacing w:before="120" w:after="120" w:line="257" w:lineRule="auto"/>
        <w:jc w:val="both"/>
        <w:rPr>
          <w:rFonts w:eastAsiaTheme="minorHAnsi"/>
          <w:noProof/>
          <w:szCs w:val="22"/>
        </w:rPr>
      </w:pPr>
      <w:r>
        <w:rPr>
          <w:noProof/>
        </w:rPr>
        <w:t>See komponent toetab Itaaliale esitatud suuniseid riikliku energia- ja kliimakava (SWD(2020) 911 final) rakendamise kohta, milles kutsuti Itaaliat üles edendama, ümber kujundama ja uuendama olemasolevaid taastuvenergiarajatisi, eelkõige olemasolevaid tuuleelektrijaamu, ning uurima innovatiivset avamereenergiat kogu Vahemere piirkonnas.</w:t>
      </w:r>
    </w:p>
    <w:p w14:paraId="36A119C5" w14:textId="40711B0D" w:rsidR="0084326C" w:rsidRPr="005D68A0" w:rsidRDefault="0084326C" w:rsidP="0084326C">
      <w:pPr>
        <w:spacing w:before="120" w:after="120"/>
        <w:jc w:val="both"/>
        <w:rPr>
          <w:noProof/>
        </w:rPr>
      </w:pPr>
      <w:r>
        <w:rPr>
          <w:noProof/>
        </w:rPr>
        <w:t>Lähtudes meetmete kirjeldusest taaste- ja vastupidavuskavas ja võttes arvesse põhimõtte „Ei kahjusta oluliselt“ tehniliste suuniste (2021/C58/01) kohaseid leevendavaid samme, mis kavas on sätestatud, võib eeldada, et ükski selle komponendi meede ei kahjusta määruse (EL)</w:t>
      </w:r>
      <w:r w:rsidR="00B62B71">
        <w:rPr>
          <w:noProof/>
        </w:rPr>
        <w:t> </w:t>
      </w:r>
      <w:r>
        <w:rPr>
          <w:noProof/>
        </w:rPr>
        <w:t xml:space="preserve">2020/852 artikli 17 tähenduses oluliselt keskkonnaeesmärke.  </w:t>
      </w:r>
    </w:p>
    <w:p w14:paraId="5D666831" w14:textId="77777777" w:rsidR="0084326C" w:rsidRPr="005D68A0" w:rsidRDefault="0084326C" w:rsidP="0084326C">
      <w:pPr>
        <w:pStyle w:val="Heading3"/>
        <w:numPr>
          <w:ilvl w:val="0"/>
          <w:numId w:val="0"/>
        </w:numPr>
        <w:ind w:left="850" w:hanging="850"/>
        <w:rPr>
          <w:b/>
          <w:bCs w:val="0"/>
          <w:i w:val="0"/>
          <w:iCs/>
          <w:noProof/>
          <w:color w:val="4472C4" w:themeColor="accent1"/>
          <w:u w:val="single"/>
        </w:rPr>
      </w:pPr>
      <w:r>
        <w:rPr>
          <w:b/>
          <w:i w:val="0"/>
          <w:noProof/>
          <w:u w:val="single"/>
        </w:rPr>
        <w:t xml:space="preserve">E.1. </w:t>
      </w:r>
      <w:r>
        <w:rPr>
          <w:noProof/>
        </w:rPr>
        <w:tab/>
      </w:r>
      <w:r>
        <w:rPr>
          <w:b/>
          <w:i w:val="0"/>
          <w:noProof/>
          <w:u w:val="single"/>
        </w:rPr>
        <w:t>Tagastamatu rahalise toetusega seotud reformide ja investeeringute kirjeldus</w:t>
      </w:r>
    </w:p>
    <w:p w14:paraId="3CB80089" w14:textId="77777777" w:rsidR="0084326C" w:rsidRPr="005D68A0" w:rsidRDefault="0084326C" w:rsidP="0084326C">
      <w:pPr>
        <w:spacing w:before="120" w:after="120"/>
        <w:jc w:val="both"/>
        <w:rPr>
          <w:b/>
          <w:noProof/>
        </w:rPr>
      </w:pPr>
      <w:r>
        <w:rPr>
          <w:b/>
          <w:noProof/>
        </w:rPr>
        <w:t>Reform 1. Taastuvate maismaa- ja avamererajatiste loamenetluste lihtsustamine ning uus õigusraamistik taastuvatest energiaallikatest tootmise toetamiseks ning praeguste toetuskavade kestuse ja abikõlblikkuse pikendamine</w:t>
      </w:r>
    </w:p>
    <w:p w14:paraId="79F94E59" w14:textId="77777777" w:rsidR="0084326C" w:rsidRPr="005D68A0" w:rsidRDefault="0084326C" w:rsidP="0084326C">
      <w:pPr>
        <w:spacing w:before="120" w:after="120"/>
        <w:jc w:val="both"/>
        <w:rPr>
          <w:noProof/>
        </w:rPr>
      </w:pPr>
      <w:r>
        <w:rPr>
          <w:noProof/>
        </w:rPr>
        <w:t>Reform hõlmab järgmist:</w:t>
      </w:r>
    </w:p>
    <w:p w14:paraId="6C3FB094" w14:textId="77777777" w:rsidR="0084326C" w:rsidRPr="005D68A0" w:rsidRDefault="0084326C" w:rsidP="0084326C">
      <w:pPr>
        <w:numPr>
          <w:ilvl w:val="0"/>
          <w:numId w:val="66"/>
        </w:numPr>
        <w:spacing w:before="120" w:after="120" w:line="259" w:lineRule="auto"/>
        <w:ind w:left="360"/>
        <w:contextualSpacing/>
        <w:jc w:val="both"/>
        <w:rPr>
          <w:noProof/>
        </w:rPr>
      </w:pPr>
      <w:r>
        <w:rPr>
          <w:noProof/>
        </w:rPr>
        <w:t>Taastuvaid energiaallikaid kasutavate käitiste reguleeriva raamistiku jõustumine ning olemasolevate käitiste ajakohastamine ja ümberehitamine;</w:t>
      </w:r>
    </w:p>
    <w:p w14:paraId="62660E88" w14:textId="77777777" w:rsidR="0084326C" w:rsidRPr="005D68A0" w:rsidRDefault="0084326C" w:rsidP="0084326C">
      <w:pPr>
        <w:numPr>
          <w:ilvl w:val="0"/>
          <w:numId w:val="66"/>
        </w:numPr>
        <w:spacing w:before="120" w:after="120" w:line="259" w:lineRule="auto"/>
        <w:ind w:left="360"/>
        <w:contextualSpacing/>
        <w:jc w:val="both"/>
        <w:rPr>
          <w:noProof/>
        </w:rPr>
      </w:pPr>
      <w:r>
        <w:rPr>
          <w:noProof/>
        </w:rPr>
        <w:t>Sellise õigusraamistiku jõustumine, milles määratletakse kriteeriumid selliste piirkondade kindlaksmääramiseks, mis sobivad ja ei sobi selliste taastuvenergiajaamade rajamiseks, mille koguvõimsus on üle 50 GW, kooskõlas Itaalia riikliku energia- ja kliimakavaga ning rohelise kokkuleppe eesmärkidega; õigusraamistikus lepivad kokku piirkonnad ja teised asjaomased riigiasutused.</w:t>
      </w:r>
    </w:p>
    <w:p w14:paraId="00485F7C" w14:textId="77777777" w:rsidR="0084326C" w:rsidRPr="005D68A0" w:rsidRDefault="0084326C" w:rsidP="0084326C">
      <w:pPr>
        <w:numPr>
          <w:ilvl w:val="0"/>
          <w:numId w:val="66"/>
        </w:numPr>
        <w:spacing w:before="120" w:after="120" w:line="259" w:lineRule="auto"/>
        <w:ind w:left="360"/>
        <w:contextualSpacing/>
        <w:jc w:val="both"/>
        <w:rPr>
          <w:noProof/>
        </w:rPr>
      </w:pPr>
      <w:r>
        <w:rPr>
          <w:noProof/>
        </w:rPr>
        <w:t>Täiendada taastuvate energiaallikate toetusmehhanismi ka täiendavate mitteküpsete tehnoloogiate või suurte tegevuskuludega tehnoloogiate jaoks ning pikendada nn RES1 mehhanismi enampakkumisperioodi (ka selleks, et võtta arvesse tervisega seotud hädaolukorrast tingitud aeglustumist), säilitades samal ajal konkurentsipõhise juurdepääsu põhimõtted;</w:t>
      </w:r>
    </w:p>
    <w:p w14:paraId="7383D6FC" w14:textId="77777777" w:rsidR="0084326C" w:rsidRPr="005D68A0" w:rsidRDefault="0084326C" w:rsidP="0084326C">
      <w:pPr>
        <w:numPr>
          <w:ilvl w:val="0"/>
          <w:numId w:val="66"/>
        </w:numPr>
        <w:spacing w:before="120" w:after="120" w:line="259" w:lineRule="auto"/>
        <w:ind w:left="360"/>
        <w:contextualSpacing/>
        <w:jc w:val="both"/>
        <w:rPr>
          <w:noProof/>
        </w:rPr>
      </w:pPr>
      <w:r>
        <w:rPr>
          <w:noProof/>
        </w:rPr>
        <w:t>Direktiivi (EL) 2019/944 (elektrienergia siseturu ühiseeskirjade kohta) ülevõtmise dekreedi sätete jõustumine soodustab investeerimist salvestussüsteemidesse.</w:t>
      </w:r>
    </w:p>
    <w:p w14:paraId="23DB7191" w14:textId="77777777" w:rsidR="0084326C" w:rsidRPr="005D68A0" w:rsidRDefault="0084326C" w:rsidP="0084326C">
      <w:pPr>
        <w:spacing w:before="120" w:after="120"/>
        <w:jc w:val="both"/>
        <w:rPr>
          <w:b/>
          <w:noProof/>
        </w:rPr>
      </w:pPr>
      <w:r>
        <w:rPr>
          <w:b/>
          <w:noProof/>
        </w:rPr>
        <w:t>Reform 2. Uued õigusaktid taastuvenergia tootmise ja tarbimise edendamiseks</w:t>
      </w:r>
    </w:p>
    <w:p w14:paraId="34A09ED2" w14:textId="5DA7D617" w:rsidR="0084326C" w:rsidRPr="005D68A0" w:rsidRDefault="0084326C" w:rsidP="0084326C">
      <w:pPr>
        <w:spacing w:before="120" w:after="120"/>
        <w:jc w:val="both"/>
        <w:rPr>
          <w:noProof/>
        </w:rPr>
      </w:pPr>
      <w:r>
        <w:rPr>
          <w:noProof/>
        </w:rPr>
        <w:t xml:space="preserve">Reform seisneb puhta biometaani toetamise tugevdamises, võttes vastu õigusaktid, et suurendada toetuskõlblike biometaaniprojektide ulatust ja pikendada toetuste saamise tähtaega. </w:t>
      </w:r>
      <w:r w:rsidR="008F7E6C" w:rsidRPr="008F7E6C">
        <w:rPr>
          <w:noProof/>
        </w:rPr>
        <w:t>Biometaan peab vastama direktiivis 2018/2001 (II taastuvenergia direktiiv) sätestatud kriteeriumidele, et meede vastaks olulise kahju ärahoidmise põhimõttele ja määruse (EL)</w:t>
      </w:r>
      <w:r w:rsidR="00B62B71">
        <w:rPr>
          <w:noProof/>
        </w:rPr>
        <w:t> </w:t>
      </w:r>
      <w:r w:rsidR="008F7E6C" w:rsidRPr="008F7E6C">
        <w:rPr>
          <w:noProof/>
        </w:rPr>
        <w:t>2021/241 VI lisa joonealuse märkuse 8 asjakohastele nõuetele</w:t>
      </w:r>
      <w:r>
        <w:rPr>
          <w:noProof/>
        </w:rPr>
        <w:t>.</w:t>
      </w:r>
    </w:p>
    <w:p w14:paraId="10F99B49" w14:textId="77777777" w:rsidR="0084326C" w:rsidRPr="005D68A0" w:rsidRDefault="0084326C" w:rsidP="0084326C">
      <w:pPr>
        <w:spacing w:before="120" w:after="120"/>
        <w:jc w:val="both"/>
        <w:rPr>
          <w:b/>
          <w:noProof/>
        </w:rPr>
      </w:pPr>
      <w:r>
        <w:rPr>
          <w:b/>
          <w:noProof/>
        </w:rPr>
        <w:t>Reform 3. Halduslik lihtsustamine ja regulatiivsete tõkete vähendamine vesiniku kasutuselevõtul</w:t>
      </w:r>
    </w:p>
    <w:p w14:paraId="52C6ED73" w14:textId="77777777" w:rsidR="0084326C" w:rsidRPr="005D68A0" w:rsidRDefault="0084326C" w:rsidP="0084326C">
      <w:pPr>
        <w:spacing w:before="120" w:after="120"/>
        <w:jc w:val="both"/>
        <w:rPr>
          <w:noProof/>
        </w:rPr>
      </w:pPr>
      <w:r>
        <w:rPr>
          <w:noProof/>
        </w:rPr>
        <w:t>Reform hõlmab õigusraamistiku jõustumist, et edendada vesinikku kui taastuvat energiaallikat. Kõnealune õigusraamistik sisaldab järgmist:</w:t>
      </w:r>
    </w:p>
    <w:p w14:paraId="34903BE1" w14:textId="77777777" w:rsidR="0084326C" w:rsidRPr="005D68A0" w:rsidRDefault="0084326C" w:rsidP="0084326C">
      <w:pPr>
        <w:numPr>
          <w:ilvl w:val="0"/>
          <w:numId w:val="66"/>
        </w:numPr>
        <w:spacing w:before="120" w:after="120" w:line="259" w:lineRule="auto"/>
        <w:ind w:left="360"/>
        <w:contextualSpacing/>
        <w:jc w:val="both"/>
        <w:rPr>
          <w:noProof/>
        </w:rPr>
      </w:pPr>
      <w:r>
        <w:rPr>
          <w:noProof/>
        </w:rPr>
        <w:t>Tehnilised ohutuseeskirjad tootmise, transpordi (tehnilised ja regulatiivsed kriteeriumid vesiniku toomiseks maagaasivõrku), ladustamise ja kasutamise kohta;</w:t>
      </w:r>
    </w:p>
    <w:p w14:paraId="1C55FE2F" w14:textId="77777777" w:rsidR="0084326C" w:rsidRPr="005D68A0" w:rsidRDefault="0084326C" w:rsidP="0084326C">
      <w:pPr>
        <w:numPr>
          <w:ilvl w:val="0"/>
          <w:numId w:val="66"/>
        </w:numPr>
        <w:spacing w:before="120" w:after="120" w:line="259" w:lineRule="auto"/>
        <w:ind w:left="360"/>
        <w:contextualSpacing/>
        <w:jc w:val="both"/>
        <w:rPr>
          <w:noProof/>
        </w:rPr>
      </w:pPr>
      <w:r>
        <w:rPr>
          <w:noProof/>
        </w:rPr>
        <w:t xml:space="preserve">Kiirmenetlus koos ühtse kontaktpunkti menetlusega, et saada luba väikese vesinikutootmisjaama ehitamiseks ja käitamiseks (alla 1–5 MW elektrolüüsiseadmete puhul; hoiustamise künnis määratakse kindlaks eespool nimetatud vesiniku tehnilistes ohutuseeskirjades).  </w:t>
      </w:r>
    </w:p>
    <w:p w14:paraId="2A050394" w14:textId="77777777" w:rsidR="0084326C" w:rsidRPr="005D68A0" w:rsidRDefault="0084326C" w:rsidP="0084326C">
      <w:pPr>
        <w:numPr>
          <w:ilvl w:val="0"/>
          <w:numId w:val="66"/>
        </w:numPr>
        <w:spacing w:before="120" w:after="120" w:line="259" w:lineRule="auto"/>
        <w:ind w:left="360"/>
        <w:contextualSpacing/>
        <w:jc w:val="both"/>
        <w:rPr>
          <w:noProof/>
        </w:rPr>
      </w:pPr>
      <w:r>
        <w:rPr>
          <w:noProof/>
        </w:rPr>
        <w:t>Vesinikutehaste võrguteenustes osalemise reguleerimine. Energeetikasektorit reguleerivale asutusele (ARERA) tehakse ülesandeks võtta pärast sidusrühmadega konsulteerimist vastu konkreetne regulatiivmeede.</w:t>
      </w:r>
    </w:p>
    <w:p w14:paraId="1D670894" w14:textId="77777777" w:rsidR="0084326C" w:rsidRPr="005D68A0" w:rsidRDefault="0084326C" w:rsidP="0084326C">
      <w:pPr>
        <w:numPr>
          <w:ilvl w:val="0"/>
          <w:numId w:val="66"/>
        </w:numPr>
        <w:spacing w:before="120" w:after="120" w:line="259" w:lineRule="auto"/>
        <w:ind w:left="360"/>
        <w:contextualSpacing/>
        <w:jc w:val="both"/>
        <w:rPr>
          <w:noProof/>
        </w:rPr>
      </w:pPr>
      <w:r>
        <w:rPr>
          <w:noProof/>
        </w:rPr>
        <w:t>Taastuvvesiniku päritolutagatiste süsteem, et anda tarbijatele hinnasignaale.</w:t>
      </w:r>
    </w:p>
    <w:p w14:paraId="14C0D801" w14:textId="77777777" w:rsidR="0084326C" w:rsidRPr="005D68A0" w:rsidRDefault="0084326C" w:rsidP="0084326C">
      <w:pPr>
        <w:numPr>
          <w:ilvl w:val="0"/>
          <w:numId w:val="66"/>
        </w:numPr>
        <w:spacing w:before="120" w:after="120" w:line="259" w:lineRule="auto"/>
        <w:ind w:left="360"/>
        <w:contextualSpacing/>
        <w:jc w:val="both"/>
        <w:rPr>
          <w:noProof/>
        </w:rPr>
      </w:pPr>
      <w:r>
        <w:rPr>
          <w:noProof/>
        </w:rPr>
        <w:t xml:space="preserve">Menetlused ja/või kriteeriumid kiirteede ääres asuvate valitud tanklate määratlemiseks, et optimeerida tanklate asukohta veoautodele H2 koridoride loomiseks, alustades Põhja-Itaalia piirkondadest kuni Po jõe oruni ja logistikakeskusteni ning poolsaarel asuvate peamiste maanteedeni. </w:t>
      </w:r>
    </w:p>
    <w:p w14:paraId="452B67B8" w14:textId="77777777" w:rsidR="0084326C" w:rsidRPr="005D68A0" w:rsidRDefault="0084326C" w:rsidP="0084326C">
      <w:pPr>
        <w:numPr>
          <w:ilvl w:val="0"/>
          <w:numId w:val="66"/>
        </w:numPr>
        <w:spacing w:before="120" w:after="120" w:line="259" w:lineRule="auto"/>
        <w:ind w:left="360"/>
        <w:contextualSpacing/>
        <w:jc w:val="both"/>
        <w:rPr>
          <w:noProof/>
        </w:rPr>
      </w:pPr>
      <w:r>
        <w:rPr>
          <w:noProof/>
        </w:rPr>
        <w:t>Riikliku põhivõrguettevõtja 10-aastase arengukava kooskõlastamine teiste Euroopa põhivõrguettevõtjate kavadega, mille eesmärk on töötada välja ühised standardid vesiniku edastamiseks olemasolevate gaasijuhtmete või eriotstarbeliste torujuhtmete abil.</w:t>
      </w:r>
    </w:p>
    <w:p w14:paraId="2D36D104" w14:textId="77777777" w:rsidR="0084326C" w:rsidRPr="005D68A0" w:rsidRDefault="0084326C" w:rsidP="0084326C">
      <w:pPr>
        <w:spacing w:before="120" w:after="120"/>
        <w:jc w:val="both"/>
        <w:rPr>
          <w:b/>
          <w:noProof/>
        </w:rPr>
      </w:pPr>
      <w:r>
        <w:rPr>
          <w:b/>
          <w:noProof/>
        </w:rPr>
        <w:t>Reform 4. Vesinikusektori konkurentsivõimet edendavad meetmed</w:t>
      </w:r>
    </w:p>
    <w:p w14:paraId="2AFD51C2" w14:textId="79DB9180" w:rsidR="0084326C" w:rsidRPr="005D68A0" w:rsidRDefault="0084326C" w:rsidP="0084326C">
      <w:pPr>
        <w:spacing w:before="120" w:after="120"/>
        <w:jc w:val="both"/>
        <w:rPr>
          <w:noProof/>
        </w:rPr>
      </w:pPr>
      <w:r>
        <w:rPr>
          <w:noProof/>
        </w:rPr>
        <w:t>Reformi eesmärk on võtta vastu maksumeetmed, et stimuleerida vesiniku tootmist ja/või kasutamist kooskõlas ELi maksueeskirjadega, ning võtta üle taastuvenergia II direktiiv. Selle meetmega toetatakse elektrolüüsil põhinevat vesinikutootmist, kasutades direktiivis (EL)</w:t>
      </w:r>
      <w:r w:rsidR="00B62B71">
        <w:rPr>
          <w:noProof/>
        </w:rPr>
        <w:t> </w:t>
      </w:r>
      <w:r>
        <w:rPr>
          <w:noProof/>
        </w:rPr>
        <w:t>2018/2001 (taastuvenergia direktiiv) määratletud taastuvaid energiaallikaid, või võrguelektri tootmist.</w:t>
      </w:r>
    </w:p>
    <w:p w14:paraId="53364802" w14:textId="77777777" w:rsidR="0084326C" w:rsidRPr="005D68A0" w:rsidRDefault="0084326C" w:rsidP="0084326C">
      <w:pPr>
        <w:spacing w:after="200" w:line="276" w:lineRule="auto"/>
        <w:rPr>
          <w:b/>
          <w:noProof/>
        </w:rPr>
      </w:pPr>
      <w:r>
        <w:rPr>
          <w:noProof/>
        </w:rPr>
        <w:br w:type="page"/>
      </w:r>
      <w:r>
        <w:rPr>
          <w:b/>
          <w:noProof/>
        </w:rPr>
        <w:t>Reform 5. Arukamad menetlused projektide hindamiseks paiksete seadmetega kohalike ühistranspordisüsteemide sektoris ja kiires massitranspordisektoris</w:t>
      </w:r>
    </w:p>
    <w:p w14:paraId="647547F8" w14:textId="77777777" w:rsidR="0084326C" w:rsidRPr="005D68A0" w:rsidRDefault="0084326C" w:rsidP="0084326C">
      <w:pPr>
        <w:spacing w:before="120" w:after="120"/>
        <w:jc w:val="both"/>
        <w:rPr>
          <w:noProof/>
        </w:rPr>
      </w:pPr>
      <w:r>
        <w:rPr>
          <w:noProof/>
        </w:rPr>
        <w:t xml:space="preserve">Reformi käigus võetakse vastu õigusakt, millega määratakse selgelt kindlaks vastutus kohaliku ühistranspordi projektide heakskiitmisel, ning lihtsustatakse maksemenetlust. </w:t>
      </w:r>
    </w:p>
    <w:p w14:paraId="0256EDBB" w14:textId="77777777" w:rsidR="0084326C" w:rsidRPr="005D68A0" w:rsidRDefault="0084326C" w:rsidP="0084326C">
      <w:pPr>
        <w:spacing w:before="120" w:after="120"/>
        <w:jc w:val="both"/>
        <w:rPr>
          <w:b/>
          <w:noProof/>
        </w:rPr>
      </w:pPr>
      <w:r>
        <w:rPr>
          <w:b/>
          <w:noProof/>
        </w:rPr>
        <w:t>Investeering 4.1. Investeerimine pehmesse liikuvusse (riiklik jalgrattateede kava)</w:t>
      </w:r>
    </w:p>
    <w:p w14:paraId="5BEAE357" w14:textId="35C008C7" w:rsidR="0084326C" w:rsidRPr="005D68A0" w:rsidRDefault="0084326C" w:rsidP="0084326C">
      <w:pPr>
        <w:spacing w:before="120" w:after="120"/>
        <w:jc w:val="both"/>
        <w:rPr>
          <w:noProof/>
        </w:rPr>
      </w:pPr>
      <w:r>
        <w:rPr>
          <w:noProof/>
        </w:rPr>
        <w:t>See investeering hõlmab vähemalt 565 km jalgrattaradade ehitamist suurlinnapiirkondadesse ja vähemalt 746 km turistide jalgrattateede ehitamist. Suurlinna jalgrattateed töötatakse välja vähemalt 40 suurlinnapiirkonnas või linnas, kus asuvad ülikoolid</w:t>
      </w:r>
      <w:r w:rsidRPr="005D68A0">
        <w:rPr>
          <w:rStyle w:val="FootnoteReference"/>
          <w:noProof/>
          <w:lang w:val="en-GB"/>
        </w:rPr>
        <w:footnoteReference w:id="48"/>
      </w:r>
      <w:r>
        <w:rPr>
          <w:noProof/>
        </w:rPr>
        <w:t>. Jalgrattateed hõlbustavad esimese ja viimase kilomeetri pendelrännet – suurlinnapiirkondade või ülikoole vastuvõtvate linnade ühendamist lähedal asuvate ühendveosõlmedega (nt metroojaamad või raudteejaamad) või ülikoolid lähedalasuvate ühendveosõlmedega (nt metroojaamad või raudteejaamad). Abikõlblikud turismijalgrattateed on määratletud 28. detsembri 2015. aasta seaduses nr 208.</w:t>
      </w:r>
    </w:p>
    <w:p w14:paraId="5D207A97" w14:textId="77777777" w:rsidR="0084326C" w:rsidRPr="005D68A0" w:rsidRDefault="0084326C" w:rsidP="0084326C">
      <w:pPr>
        <w:spacing w:before="120" w:after="120"/>
        <w:jc w:val="both"/>
        <w:rPr>
          <w:b/>
          <w:noProof/>
        </w:rPr>
      </w:pPr>
      <w:r>
        <w:rPr>
          <w:b/>
          <w:noProof/>
        </w:rPr>
        <w:t>Investeering 4.3. Laadimistaristu paigaldamine</w:t>
      </w:r>
    </w:p>
    <w:p w14:paraId="420BD89C" w14:textId="77777777" w:rsidR="0084326C" w:rsidRPr="005D68A0" w:rsidRDefault="0084326C" w:rsidP="0084326C">
      <w:pPr>
        <w:spacing w:before="120" w:after="120"/>
        <w:jc w:val="both"/>
        <w:rPr>
          <w:noProof/>
        </w:rPr>
      </w:pPr>
      <w:r>
        <w:rPr>
          <w:noProof/>
        </w:rPr>
        <w:t>See investeering seisneb järgmiste valdkondade arendamise toetamises:</w:t>
      </w:r>
    </w:p>
    <w:p w14:paraId="5B81A5C6" w14:textId="5EC0A0DE" w:rsidR="0084326C" w:rsidRPr="005D68A0" w:rsidRDefault="0084326C" w:rsidP="0084326C">
      <w:pPr>
        <w:numPr>
          <w:ilvl w:val="0"/>
          <w:numId w:val="69"/>
        </w:numPr>
        <w:spacing w:before="120" w:after="120" w:line="259" w:lineRule="auto"/>
        <w:ind w:left="360"/>
        <w:contextualSpacing/>
        <w:jc w:val="both"/>
        <w:rPr>
          <w:noProof/>
        </w:rPr>
      </w:pPr>
      <w:r>
        <w:rPr>
          <w:noProof/>
        </w:rPr>
        <w:t>7 500 avalikku kiire laadimise taristupunkti vabal teel;</w:t>
      </w:r>
    </w:p>
    <w:p w14:paraId="17C17340" w14:textId="50B49BEF" w:rsidR="0084326C" w:rsidRPr="005D68A0" w:rsidRDefault="0084326C" w:rsidP="0084326C">
      <w:pPr>
        <w:numPr>
          <w:ilvl w:val="0"/>
          <w:numId w:val="69"/>
        </w:numPr>
        <w:spacing w:before="120" w:after="120" w:line="259" w:lineRule="auto"/>
        <w:ind w:left="360"/>
        <w:contextualSpacing/>
        <w:jc w:val="both"/>
        <w:rPr>
          <w:noProof/>
        </w:rPr>
      </w:pPr>
      <w:r>
        <w:rPr>
          <w:noProof/>
        </w:rPr>
        <w:t>13 755 kiiret avalikku laadimistaristu punkti linnakeskustes;</w:t>
      </w:r>
    </w:p>
    <w:p w14:paraId="736F1B50" w14:textId="77777777" w:rsidR="0084326C" w:rsidRPr="005D68A0" w:rsidRDefault="0084326C" w:rsidP="0084326C">
      <w:pPr>
        <w:numPr>
          <w:ilvl w:val="0"/>
          <w:numId w:val="69"/>
        </w:numPr>
        <w:spacing w:before="120" w:after="120" w:line="259" w:lineRule="auto"/>
        <w:ind w:left="360"/>
        <w:contextualSpacing/>
        <w:jc w:val="both"/>
        <w:rPr>
          <w:noProof/>
        </w:rPr>
      </w:pPr>
      <w:r>
        <w:rPr>
          <w:noProof/>
        </w:rPr>
        <w:t>100 katselist laadimisjaama, mis on ühendatud ladustamisega.</w:t>
      </w:r>
    </w:p>
    <w:p w14:paraId="0877CDB1" w14:textId="77777777" w:rsidR="0084326C" w:rsidRPr="005D68A0" w:rsidRDefault="0084326C" w:rsidP="0084326C">
      <w:pPr>
        <w:spacing w:before="120" w:after="120"/>
        <w:jc w:val="both"/>
        <w:rPr>
          <w:noProof/>
        </w:rPr>
      </w:pPr>
      <w:r>
        <w:rPr>
          <w:noProof/>
        </w:rPr>
        <w:t>Seda investeeringut täiendavad ettevõtluskeskkonna reformi komponendis loetletud elektrilaadimise hindu ja kontsessioone käsitlevad reformid.</w:t>
      </w:r>
    </w:p>
    <w:p w14:paraId="771ABC11" w14:textId="77777777" w:rsidR="0084326C" w:rsidRPr="00F33804" w:rsidRDefault="0084326C" w:rsidP="0084326C">
      <w:pPr>
        <w:rPr>
          <w:noProof/>
        </w:rPr>
      </w:pPr>
    </w:p>
    <w:p w14:paraId="57ADBDED" w14:textId="77777777" w:rsidR="0084326C" w:rsidRPr="005D68A0" w:rsidRDefault="0084326C" w:rsidP="0084326C">
      <w:pPr>
        <w:pStyle w:val="Heading3"/>
        <w:numPr>
          <w:ilvl w:val="0"/>
          <w:numId w:val="0"/>
        </w:numPr>
        <w:ind w:left="850" w:hanging="850"/>
        <w:rPr>
          <w:b/>
          <w:bCs w:val="0"/>
          <w:i w:val="0"/>
          <w:iCs/>
          <w:noProof/>
          <w:u w:val="single"/>
        </w:rPr>
      </w:pPr>
      <w:r>
        <w:rPr>
          <w:b/>
          <w:i w:val="0"/>
          <w:noProof/>
          <w:u w:val="single"/>
        </w:rPr>
        <w:t xml:space="preserve">E.2. </w:t>
      </w:r>
      <w:r>
        <w:rPr>
          <w:noProof/>
        </w:rPr>
        <w:tab/>
      </w:r>
      <w:r>
        <w:rPr>
          <w:b/>
          <w:i w:val="0"/>
          <w:noProof/>
          <w:u w:val="single"/>
        </w:rPr>
        <w:t>Tagastamatu rahalise toetuse eesmärgid, sihid, näitajad ning seire ja rakendamise ajakava</w:t>
      </w:r>
    </w:p>
    <w:p w14:paraId="3F5C20B6" w14:textId="77777777" w:rsidR="0084326C" w:rsidRPr="00F33804" w:rsidRDefault="0084326C" w:rsidP="0084326C">
      <w:pPr>
        <w:spacing w:before="120" w:after="120"/>
        <w:ind w:left="709"/>
        <w:jc w:val="both"/>
        <w:rPr>
          <w:noProof/>
        </w:rPr>
        <w:sectPr w:rsidR="0084326C" w:rsidRPr="00F33804">
          <w:headerReference w:type="even" r:id="rId140"/>
          <w:headerReference w:type="default" r:id="rId141"/>
          <w:footerReference w:type="even" r:id="rId142"/>
          <w:footerReference w:type="default" r:id="rId143"/>
          <w:headerReference w:type="first" r:id="rId144"/>
          <w:footerReference w:type="first" r:id="rId145"/>
          <w:pgSz w:w="11907" w:h="16839"/>
          <w:pgMar w:top="1440" w:right="1440" w:bottom="1440" w:left="1440" w:header="567" w:footer="567" w:gutter="0"/>
          <w:cols w:space="720"/>
          <w:docGrid w:linePitch="360"/>
        </w:sectPr>
      </w:pPr>
    </w:p>
    <w:tbl>
      <w:tblPr>
        <w:tblW w:w="15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682"/>
        <w:gridCol w:w="1110"/>
        <w:gridCol w:w="1391"/>
        <w:gridCol w:w="1253"/>
        <w:gridCol w:w="1388"/>
        <w:gridCol w:w="1003"/>
        <w:gridCol w:w="1391"/>
        <w:gridCol w:w="975"/>
        <w:gridCol w:w="698"/>
        <w:gridCol w:w="3770"/>
      </w:tblGrid>
      <w:tr w:rsidR="0084326C" w:rsidRPr="00D90835" w14:paraId="61D6FB67" w14:textId="77777777" w:rsidTr="00DC331B">
        <w:trPr>
          <w:trHeight w:val="309"/>
          <w:tblHeader/>
          <w:jc w:val="center"/>
        </w:trPr>
        <w:tc>
          <w:tcPr>
            <w:tcW w:w="1122" w:type="dxa"/>
            <w:vMerge w:val="restart"/>
            <w:shd w:val="clear" w:color="auto" w:fill="BDD7EE"/>
            <w:noWrap/>
            <w:vAlign w:val="center"/>
          </w:tcPr>
          <w:p w14:paraId="4C5FCA5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b/>
                <w:noProof/>
                <w:sz w:val="20"/>
              </w:rPr>
              <w:t>Järjekorranumber</w:t>
            </w:r>
          </w:p>
        </w:tc>
        <w:tc>
          <w:tcPr>
            <w:tcW w:w="1716" w:type="dxa"/>
            <w:vMerge w:val="restart"/>
            <w:shd w:val="clear" w:color="auto" w:fill="BDD7EE"/>
            <w:noWrap/>
            <w:vAlign w:val="center"/>
          </w:tcPr>
          <w:p w14:paraId="11E379B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b/>
                <w:noProof/>
                <w:sz w:val="20"/>
              </w:rPr>
              <w:t>Seotud meede (reform või investeering)</w:t>
            </w:r>
          </w:p>
        </w:tc>
        <w:tc>
          <w:tcPr>
            <w:tcW w:w="1131" w:type="dxa"/>
            <w:vMerge w:val="restart"/>
            <w:shd w:val="clear" w:color="auto" w:fill="BDD7EE"/>
            <w:noWrap/>
            <w:vAlign w:val="center"/>
          </w:tcPr>
          <w:p w14:paraId="5EC0A40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b/>
                <w:noProof/>
                <w:sz w:val="20"/>
              </w:rPr>
              <w:t>Eesmärk / siht</w:t>
            </w:r>
          </w:p>
        </w:tc>
        <w:tc>
          <w:tcPr>
            <w:tcW w:w="1418" w:type="dxa"/>
            <w:vMerge w:val="restart"/>
            <w:shd w:val="clear" w:color="auto" w:fill="BDD7EE"/>
            <w:noWrap/>
            <w:vAlign w:val="center"/>
          </w:tcPr>
          <w:p w14:paraId="1F61EF9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b/>
                <w:noProof/>
                <w:sz w:val="20"/>
              </w:rPr>
              <w:t>Nimi</w:t>
            </w:r>
          </w:p>
        </w:tc>
        <w:tc>
          <w:tcPr>
            <w:tcW w:w="1277" w:type="dxa"/>
            <w:vMerge w:val="restart"/>
            <w:shd w:val="clear" w:color="auto" w:fill="BDD7EE"/>
            <w:noWrap/>
            <w:vAlign w:val="center"/>
          </w:tcPr>
          <w:p w14:paraId="0B30890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b/>
                <w:noProof/>
                <w:sz w:val="20"/>
              </w:rPr>
              <w:t>Kvalitatiivsed näitajad</w:t>
            </w:r>
            <w:r>
              <w:rPr>
                <w:noProof/>
              </w:rPr>
              <w:t xml:space="preserve"> </w:t>
            </w:r>
            <w:r>
              <w:rPr>
                <w:noProof/>
              </w:rPr>
              <w:br/>
            </w:r>
            <w:r>
              <w:rPr>
                <w:rFonts w:ascii="Arial Narrow" w:hAnsi="Arial Narrow"/>
                <w:b/>
                <w:noProof/>
                <w:sz w:val="20"/>
              </w:rPr>
              <w:t>(eesmärkide puhul)</w:t>
            </w:r>
          </w:p>
        </w:tc>
        <w:tc>
          <w:tcPr>
            <w:tcW w:w="3542" w:type="dxa"/>
            <w:gridSpan w:val="3"/>
            <w:shd w:val="clear" w:color="auto" w:fill="BDD7EE"/>
            <w:noWrap/>
            <w:vAlign w:val="center"/>
          </w:tcPr>
          <w:p w14:paraId="6004EAD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b/>
                <w:noProof/>
                <w:sz w:val="20"/>
              </w:rPr>
              <w:t xml:space="preserve">Kvantitatiivsed näitajad </w:t>
            </w:r>
            <w:r>
              <w:rPr>
                <w:noProof/>
              </w:rPr>
              <w:br/>
            </w:r>
            <w:r>
              <w:rPr>
                <w:rFonts w:ascii="Arial Narrow" w:hAnsi="Arial Narrow"/>
                <w:b/>
                <w:noProof/>
                <w:sz w:val="20"/>
              </w:rPr>
              <w:t>(sihtide puhul)</w:t>
            </w:r>
          </w:p>
        </w:tc>
        <w:tc>
          <w:tcPr>
            <w:tcW w:w="1702" w:type="dxa"/>
            <w:gridSpan w:val="2"/>
            <w:shd w:val="clear" w:color="auto" w:fill="BDD7EE"/>
            <w:noWrap/>
            <w:vAlign w:val="center"/>
          </w:tcPr>
          <w:p w14:paraId="37B12CA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b/>
                <w:noProof/>
                <w:sz w:val="20"/>
              </w:rPr>
              <w:t>Lõpuleviimise soovituslik ajakava</w:t>
            </w:r>
          </w:p>
        </w:tc>
        <w:tc>
          <w:tcPr>
            <w:tcW w:w="3854" w:type="dxa"/>
            <w:vMerge w:val="restart"/>
            <w:shd w:val="clear" w:color="auto" w:fill="BDD7EE"/>
            <w:noWrap/>
            <w:vAlign w:val="center"/>
          </w:tcPr>
          <w:p w14:paraId="230A6BD1" w14:textId="77777777" w:rsidR="0084326C" w:rsidRPr="005D68A0" w:rsidRDefault="0084326C">
            <w:pPr>
              <w:spacing w:after="120"/>
              <w:rPr>
                <w:rFonts w:ascii="Arial Narrow" w:hAnsi="Arial Narrow"/>
                <w:noProof/>
                <w:color w:val="006100"/>
                <w:sz w:val="20"/>
                <w:szCs w:val="20"/>
              </w:rPr>
            </w:pPr>
            <w:r>
              <w:rPr>
                <w:rFonts w:ascii="Arial Narrow" w:hAnsi="Arial Narrow"/>
                <w:b/>
                <w:noProof/>
                <w:sz w:val="20"/>
              </w:rPr>
              <w:t>Iga eesmärgi ja sihi kirjeldus</w:t>
            </w:r>
          </w:p>
        </w:tc>
      </w:tr>
      <w:tr w:rsidR="0084326C" w:rsidRPr="005D68A0" w14:paraId="38E13711" w14:textId="77777777" w:rsidTr="00DC331B">
        <w:trPr>
          <w:trHeight w:val="309"/>
          <w:tblHeader/>
          <w:jc w:val="center"/>
        </w:trPr>
        <w:tc>
          <w:tcPr>
            <w:tcW w:w="1122" w:type="dxa"/>
            <w:vMerge/>
            <w:noWrap/>
            <w:vAlign w:val="center"/>
          </w:tcPr>
          <w:p w14:paraId="0F778D64" w14:textId="77777777" w:rsidR="0084326C" w:rsidRPr="00F33804" w:rsidRDefault="0084326C">
            <w:pPr>
              <w:spacing w:line="276" w:lineRule="auto"/>
              <w:jc w:val="center"/>
              <w:rPr>
                <w:rFonts w:ascii="Arial Narrow" w:hAnsi="Arial Narrow"/>
                <w:noProof/>
                <w:color w:val="006100"/>
                <w:sz w:val="20"/>
                <w:szCs w:val="20"/>
              </w:rPr>
            </w:pPr>
          </w:p>
        </w:tc>
        <w:tc>
          <w:tcPr>
            <w:tcW w:w="1716" w:type="dxa"/>
            <w:vMerge/>
            <w:noWrap/>
            <w:vAlign w:val="center"/>
          </w:tcPr>
          <w:p w14:paraId="7877E92D" w14:textId="77777777" w:rsidR="0084326C" w:rsidRPr="00F33804" w:rsidRDefault="0084326C">
            <w:pPr>
              <w:spacing w:line="276" w:lineRule="auto"/>
              <w:jc w:val="center"/>
              <w:rPr>
                <w:rFonts w:ascii="Arial Narrow" w:hAnsi="Arial Narrow"/>
                <w:noProof/>
                <w:color w:val="006100"/>
                <w:sz w:val="20"/>
                <w:szCs w:val="20"/>
              </w:rPr>
            </w:pPr>
          </w:p>
        </w:tc>
        <w:tc>
          <w:tcPr>
            <w:tcW w:w="1131" w:type="dxa"/>
            <w:vMerge/>
            <w:noWrap/>
            <w:vAlign w:val="center"/>
          </w:tcPr>
          <w:p w14:paraId="2B3957DD" w14:textId="77777777" w:rsidR="0084326C" w:rsidRPr="00F33804" w:rsidRDefault="0084326C">
            <w:pPr>
              <w:spacing w:line="276" w:lineRule="auto"/>
              <w:jc w:val="center"/>
              <w:rPr>
                <w:rFonts w:ascii="Arial Narrow" w:hAnsi="Arial Narrow"/>
                <w:noProof/>
                <w:color w:val="006100"/>
                <w:sz w:val="20"/>
                <w:szCs w:val="20"/>
              </w:rPr>
            </w:pPr>
          </w:p>
        </w:tc>
        <w:tc>
          <w:tcPr>
            <w:tcW w:w="1418" w:type="dxa"/>
            <w:vMerge/>
            <w:noWrap/>
            <w:vAlign w:val="center"/>
          </w:tcPr>
          <w:p w14:paraId="51EC7E25" w14:textId="77777777" w:rsidR="0084326C" w:rsidRPr="00F33804" w:rsidRDefault="0084326C">
            <w:pPr>
              <w:spacing w:line="276" w:lineRule="auto"/>
              <w:jc w:val="center"/>
              <w:rPr>
                <w:rFonts w:ascii="Arial Narrow" w:hAnsi="Arial Narrow"/>
                <w:noProof/>
                <w:color w:val="006100"/>
                <w:sz w:val="20"/>
                <w:szCs w:val="20"/>
              </w:rPr>
            </w:pPr>
          </w:p>
        </w:tc>
        <w:tc>
          <w:tcPr>
            <w:tcW w:w="1277" w:type="dxa"/>
            <w:vMerge/>
            <w:noWrap/>
            <w:vAlign w:val="center"/>
          </w:tcPr>
          <w:p w14:paraId="78B02881" w14:textId="77777777" w:rsidR="0084326C" w:rsidRPr="00F33804" w:rsidRDefault="0084326C">
            <w:pPr>
              <w:spacing w:line="276" w:lineRule="auto"/>
              <w:jc w:val="center"/>
              <w:rPr>
                <w:rFonts w:ascii="Arial Narrow" w:hAnsi="Arial Narrow"/>
                <w:noProof/>
                <w:color w:val="006100"/>
                <w:sz w:val="20"/>
                <w:szCs w:val="20"/>
              </w:rPr>
            </w:pPr>
          </w:p>
        </w:tc>
        <w:tc>
          <w:tcPr>
            <w:tcW w:w="1415" w:type="dxa"/>
            <w:shd w:val="clear" w:color="auto" w:fill="BDD7EE"/>
            <w:noWrap/>
            <w:vAlign w:val="center"/>
          </w:tcPr>
          <w:p w14:paraId="190EDF9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b/>
                <w:noProof/>
                <w:sz w:val="20"/>
              </w:rPr>
              <w:t>Mõõtühik</w:t>
            </w:r>
          </w:p>
        </w:tc>
        <w:tc>
          <w:tcPr>
            <w:tcW w:w="1021" w:type="dxa"/>
            <w:shd w:val="clear" w:color="auto" w:fill="BDD7EE"/>
            <w:noWrap/>
            <w:vAlign w:val="center"/>
          </w:tcPr>
          <w:p w14:paraId="6AA56286" w14:textId="5E9A9210" w:rsidR="0084326C" w:rsidRPr="005D68A0" w:rsidRDefault="0084326C">
            <w:pPr>
              <w:spacing w:line="276" w:lineRule="auto"/>
              <w:jc w:val="center"/>
              <w:rPr>
                <w:rFonts w:ascii="Arial Narrow" w:hAnsi="Arial Narrow"/>
                <w:noProof/>
                <w:color w:val="006100"/>
                <w:sz w:val="20"/>
                <w:szCs w:val="20"/>
              </w:rPr>
            </w:pPr>
            <w:r>
              <w:rPr>
                <w:rFonts w:ascii="Arial Narrow" w:hAnsi="Arial Narrow"/>
                <w:b/>
                <w:noProof/>
                <w:sz w:val="20"/>
              </w:rPr>
              <w:t>Lähtetase</w:t>
            </w:r>
          </w:p>
        </w:tc>
        <w:tc>
          <w:tcPr>
            <w:tcW w:w="1418" w:type="dxa"/>
            <w:shd w:val="clear" w:color="auto" w:fill="BDD7EE"/>
            <w:noWrap/>
            <w:vAlign w:val="center"/>
          </w:tcPr>
          <w:p w14:paraId="65C19C5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b/>
                <w:noProof/>
                <w:sz w:val="20"/>
              </w:rPr>
              <w:t>Eesmärk</w:t>
            </w:r>
          </w:p>
        </w:tc>
        <w:tc>
          <w:tcPr>
            <w:tcW w:w="993" w:type="dxa"/>
            <w:shd w:val="clear" w:color="auto" w:fill="BDD7EE"/>
            <w:noWrap/>
            <w:vAlign w:val="center"/>
          </w:tcPr>
          <w:p w14:paraId="4F98E5B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b/>
                <w:noProof/>
                <w:sz w:val="20"/>
              </w:rPr>
              <w:t>Kvartal</w:t>
            </w:r>
          </w:p>
        </w:tc>
        <w:tc>
          <w:tcPr>
            <w:tcW w:w="709" w:type="dxa"/>
            <w:shd w:val="clear" w:color="auto" w:fill="BDD7EE"/>
            <w:noWrap/>
            <w:vAlign w:val="center"/>
          </w:tcPr>
          <w:p w14:paraId="37B18B5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b/>
                <w:noProof/>
                <w:sz w:val="20"/>
              </w:rPr>
              <w:t>Aasta</w:t>
            </w:r>
          </w:p>
        </w:tc>
        <w:tc>
          <w:tcPr>
            <w:tcW w:w="3854" w:type="dxa"/>
            <w:vMerge/>
            <w:noWrap/>
            <w:vAlign w:val="center"/>
          </w:tcPr>
          <w:p w14:paraId="313AD3EF" w14:textId="77777777" w:rsidR="0084326C" w:rsidRPr="005D68A0" w:rsidRDefault="0084326C">
            <w:pPr>
              <w:spacing w:after="120"/>
              <w:rPr>
                <w:rFonts w:ascii="Arial Narrow" w:hAnsi="Arial Narrow"/>
                <w:noProof/>
                <w:color w:val="006100"/>
                <w:sz w:val="20"/>
                <w:szCs w:val="20"/>
                <w:lang w:val="en-GB"/>
              </w:rPr>
            </w:pPr>
          </w:p>
        </w:tc>
      </w:tr>
      <w:tr w:rsidR="0084326C" w:rsidRPr="00D90835" w14:paraId="70DF078A" w14:textId="77777777" w:rsidTr="00DC331B">
        <w:trPr>
          <w:trHeight w:val="309"/>
          <w:jc w:val="center"/>
        </w:trPr>
        <w:tc>
          <w:tcPr>
            <w:tcW w:w="1122" w:type="dxa"/>
            <w:shd w:val="clear" w:color="auto" w:fill="C6EFCE"/>
            <w:noWrap/>
            <w:vAlign w:val="center"/>
          </w:tcPr>
          <w:p w14:paraId="330A465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M2C2-6</w:t>
            </w:r>
          </w:p>
        </w:tc>
        <w:tc>
          <w:tcPr>
            <w:tcW w:w="1716" w:type="dxa"/>
            <w:shd w:val="clear" w:color="auto" w:fill="C6EFCE"/>
            <w:noWrap/>
            <w:vAlign w:val="center"/>
          </w:tcPr>
          <w:p w14:paraId="2C39562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Reform 1. Taastuvate maismaa- ja avamererajatiste loamenetluste lihtsustamine ning uus õigusraamistik taastuvatest energiaallikatest tootmise säilitamiseks ning praeguste toetuskavade kestuse ja abikõlblikkuse pikendamine</w:t>
            </w:r>
          </w:p>
        </w:tc>
        <w:tc>
          <w:tcPr>
            <w:tcW w:w="1131" w:type="dxa"/>
            <w:shd w:val="clear" w:color="auto" w:fill="C6EFCE"/>
            <w:noWrap/>
            <w:vAlign w:val="center"/>
          </w:tcPr>
          <w:p w14:paraId="2EAB6BF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vAlign w:val="center"/>
          </w:tcPr>
          <w:p w14:paraId="0158B87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Maismaal ja avamerel toodetavate taastuvate energiaallikate jaoks rajatiste ehitamiseks loa andmise menetluste lihtsustamist käsitleva õigusraamistiku jõustumine</w:t>
            </w:r>
          </w:p>
        </w:tc>
        <w:tc>
          <w:tcPr>
            <w:tcW w:w="1277" w:type="dxa"/>
            <w:shd w:val="clear" w:color="auto" w:fill="C6EFCE"/>
            <w:noWrap/>
            <w:vAlign w:val="center"/>
          </w:tcPr>
          <w:p w14:paraId="43AA9F9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Seaduse jõustumisele viitav õigusnorm</w:t>
            </w:r>
          </w:p>
        </w:tc>
        <w:tc>
          <w:tcPr>
            <w:tcW w:w="1415" w:type="dxa"/>
            <w:shd w:val="clear" w:color="auto" w:fill="C6EFCE"/>
            <w:noWrap/>
            <w:vAlign w:val="center"/>
          </w:tcPr>
          <w:p w14:paraId="03B9AB0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21" w:type="dxa"/>
            <w:shd w:val="clear" w:color="auto" w:fill="C6EFCE"/>
            <w:noWrap/>
            <w:vAlign w:val="center"/>
          </w:tcPr>
          <w:p w14:paraId="04E2961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418" w:type="dxa"/>
            <w:shd w:val="clear" w:color="auto" w:fill="C6EFCE"/>
            <w:noWrap/>
            <w:vAlign w:val="center"/>
          </w:tcPr>
          <w:p w14:paraId="03A5B25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noWrap/>
            <w:vAlign w:val="center"/>
          </w:tcPr>
          <w:p w14:paraId="06B6E13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1. kv</w:t>
            </w:r>
          </w:p>
        </w:tc>
        <w:tc>
          <w:tcPr>
            <w:tcW w:w="709" w:type="dxa"/>
            <w:shd w:val="clear" w:color="auto" w:fill="C6EFCE"/>
            <w:noWrap/>
            <w:vAlign w:val="center"/>
          </w:tcPr>
          <w:p w14:paraId="30E9A96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2024</w:t>
            </w:r>
          </w:p>
        </w:tc>
        <w:tc>
          <w:tcPr>
            <w:tcW w:w="3854" w:type="dxa"/>
            <w:shd w:val="clear" w:color="auto" w:fill="C6EFCE"/>
            <w:noWrap/>
            <w:vAlign w:val="center"/>
          </w:tcPr>
          <w:p w14:paraId="0F14D2C0"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Õigusraamistik hõlmab järgmisi eesmärke:</w:t>
            </w:r>
          </w:p>
          <w:p w14:paraId="2CE5CCAB" w14:textId="77777777" w:rsidR="0084326C" w:rsidRPr="005D68A0" w:rsidRDefault="0084326C">
            <w:pPr>
              <w:numPr>
                <w:ilvl w:val="0"/>
                <w:numId w:val="65"/>
              </w:numPr>
              <w:pBdr>
                <w:top w:val="nil"/>
                <w:left w:val="nil"/>
                <w:bottom w:val="nil"/>
                <w:right w:val="nil"/>
                <w:between w:val="nil"/>
              </w:pBdr>
              <w:spacing w:after="120"/>
              <w:rPr>
                <w:rFonts w:ascii="Arial Narrow" w:hAnsi="Arial Narrow"/>
                <w:noProof/>
                <w:color w:val="006100"/>
                <w:sz w:val="20"/>
                <w:szCs w:val="20"/>
              </w:rPr>
            </w:pPr>
            <w:r>
              <w:rPr>
                <w:rFonts w:ascii="Arial Narrow" w:hAnsi="Arial Narrow"/>
                <w:noProof/>
                <w:color w:val="006100"/>
                <w:sz w:val="20"/>
              </w:rPr>
              <w:t>taastuvaid energiaallikaid kasutavate käitiste jaoks lihtsustatud ja juurdepääsetava reguleeriva raamistiku loomine ning olemasolevate käitiste ajakohastamine ja uuendamine kooskõlas lihtsustamisdekreedi sätetega;</w:t>
            </w:r>
          </w:p>
          <w:p w14:paraId="06E98973" w14:textId="77777777" w:rsidR="0084326C" w:rsidRPr="005D68A0" w:rsidRDefault="0084326C">
            <w:pPr>
              <w:numPr>
                <w:ilvl w:val="0"/>
                <w:numId w:val="65"/>
              </w:numPr>
              <w:pBdr>
                <w:top w:val="nil"/>
                <w:left w:val="nil"/>
                <w:bottom w:val="nil"/>
                <w:right w:val="nil"/>
                <w:between w:val="nil"/>
              </w:pBdr>
              <w:spacing w:after="120"/>
              <w:rPr>
                <w:rFonts w:ascii="Arial Narrow" w:hAnsi="Arial Narrow"/>
                <w:noProof/>
                <w:color w:val="006100"/>
                <w:sz w:val="20"/>
                <w:szCs w:val="20"/>
              </w:rPr>
            </w:pPr>
            <w:r>
              <w:rPr>
                <w:rFonts w:ascii="Arial Narrow" w:hAnsi="Arial Narrow"/>
                <w:noProof/>
                <w:color w:val="006100"/>
                <w:sz w:val="20"/>
              </w:rPr>
              <w:t>piirkondade ja teiste asjaomaste riigiasutustega ühise distsipliini kehtestamine, mille eesmärk on määrata kindlaks kriteeriumid, mille alusel määrata kindlaks piirkonnad, mis sobivad ja ei sobi selliste taastuvenergiajaamade rajamiseks, mille koguvõimsus on vähemalt võrdne PNIECi poolt kindlaks määratud võimsusega, et saavutada taastuvate energiaallikate arendamise eesmärgid;</w:t>
            </w:r>
          </w:p>
          <w:p w14:paraId="484AC5A3" w14:textId="77777777" w:rsidR="0084326C" w:rsidRPr="005D68A0" w:rsidRDefault="0084326C">
            <w:pPr>
              <w:numPr>
                <w:ilvl w:val="0"/>
                <w:numId w:val="65"/>
              </w:numPr>
              <w:pBdr>
                <w:top w:val="nil"/>
                <w:left w:val="nil"/>
                <w:bottom w:val="nil"/>
                <w:right w:val="nil"/>
                <w:between w:val="nil"/>
              </w:pBdr>
              <w:spacing w:after="120"/>
              <w:rPr>
                <w:rFonts w:ascii="Arial Narrow" w:hAnsi="Arial Narrow"/>
                <w:noProof/>
                <w:color w:val="006100"/>
                <w:sz w:val="20"/>
                <w:szCs w:val="20"/>
              </w:rPr>
            </w:pPr>
            <w:r>
              <w:rPr>
                <w:rFonts w:ascii="Arial Narrow" w:hAnsi="Arial Narrow"/>
                <w:noProof/>
                <w:color w:val="006100"/>
                <w:sz w:val="20"/>
              </w:rPr>
              <w:t>taastuvate energiaallikate toetusmehhanismi lõpuleviimine ka täiendavate mitteküpsete või suure tegevuskuluga tehnoloogiate puhul ning nn taastuvate energiaallikate 1. mehhanismi enampakkumisperioodi pikendamine;</w:t>
            </w:r>
          </w:p>
          <w:p w14:paraId="778CD547" w14:textId="77777777" w:rsidR="0084326C" w:rsidRPr="005D68A0" w:rsidRDefault="0084326C">
            <w:pPr>
              <w:numPr>
                <w:ilvl w:val="0"/>
                <w:numId w:val="65"/>
              </w:numPr>
              <w:pBdr>
                <w:top w:val="nil"/>
                <w:left w:val="nil"/>
                <w:bottom w:val="nil"/>
                <w:right w:val="nil"/>
                <w:between w:val="nil"/>
              </w:pBdr>
              <w:spacing w:after="120"/>
              <w:rPr>
                <w:rFonts w:ascii="Arial Narrow" w:hAnsi="Arial Narrow"/>
                <w:noProof/>
                <w:color w:val="006100"/>
                <w:sz w:val="20"/>
                <w:szCs w:val="20"/>
              </w:rPr>
            </w:pPr>
            <w:r>
              <w:rPr>
                <w:rFonts w:ascii="Arial Narrow" w:hAnsi="Arial Narrow"/>
                <w:noProof/>
                <w:color w:val="006100"/>
                <w:sz w:val="20"/>
              </w:rPr>
              <w:t>reform salvestussüsteemidesse tehtavate investeeringute edendamiseks, mis kajastub seadusandlikus dekreedis, millega võetakse üle direktiiv (EL) 2019/944 elektrienergia siseturu ühiseeskirjade kohta.</w:t>
            </w:r>
          </w:p>
        </w:tc>
      </w:tr>
      <w:tr w:rsidR="0084326C" w:rsidRPr="00D90835" w14:paraId="15504DA8" w14:textId="77777777" w:rsidTr="00DC331B">
        <w:trPr>
          <w:trHeight w:val="309"/>
          <w:jc w:val="center"/>
        </w:trPr>
        <w:tc>
          <w:tcPr>
            <w:tcW w:w="1122" w:type="dxa"/>
            <w:shd w:val="clear" w:color="auto" w:fill="C6EFCE"/>
            <w:noWrap/>
            <w:vAlign w:val="center"/>
          </w:tcPr>
          <w:p w14:paraId="373137F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M2C2-7</w:t>
            </w:r>
          </w:p>
        </w:tc>
        <w:tc>
          <w:tcPr>
            <w:tcW w:w="1716" w:type="dxa"/>
            <w:shd w:val="clear" w:color="auto" w:fill="C6EFCE"/>
            <w:noWrap/>
            <w:vAlign w:val="center"/>
          </w:tcPr>
          <w:p w14:paraId="763DAC5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Reform 2. Uued õigusaktid taastuvenergia tootmise ja tarbimise edendamiseks</w:t>
            </w:r>
          </w:p>
        </w:tc>
        <w:tc>
          <w:tcPr>
            <w:tcW w:w="1131" w:type="dxa"/>
            <w:shd w:val="clear" w:color="auto" w:fill="C6EFCE"/>
            <w:noWrap/>
            <w:vAlign w:val="center"/>
          </w:tcPr>
          <w:p w14:paraId="37087D3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vAlign w:val="center"/>
          </w:tcPr>
          <w:p w14:paraId="5BB9508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Jõustus seadusandlik dekreet, millega edendatakse taastuvgaasi kasutamist biometaani kasutamiseks transpordi-, tööstus- ja elamusektoris, ning rakendusmäärus, milles sätestatakse selle kasutamise tingimused ja kriteeriumid ning uus stimuleerimissüsteem.</w:t>
            </w:r>
          </w:p>
        </w:tc>
        <w:tc>
          <w:tcPr>
            <w:tcW w:w="1277" w:type="dxa"/>
            <w:shd w:val="clear" w:color="auto" w:fill="C6EFCE"/>
            <w:noWrap/>
            <w:vAlign w:val="center"/>
          </w:tcPr>
          <w:p w14:paraId="6F52E37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 xml:space="preserve">Seaduse jõustumisele viitav õigusnorm </w:t>
            </w:r>
          </w:p>
        </w:tc>
        <w:tc>
          <w:tcPr>
            <w:tcW w:w="1415" w:type="dxa"/>
            <w:shd w:val="clear" w:color="auto" w:fill="C6EFCE"/>
            <w:noWrap/>
            <w:vAlign w:val="center"/>
          </w:tcPr>
          <w:p w14:paraId="59ED54A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 xml:space="preserve">Ei kohaldata </w:t>
            </w:r>
          </w:p>
        </w:tc>
        <w:tc>
          <w:tcPr>
            <w:tcW w:w="1021" w:type="dxa"/>
            <w:shd w:val="clear" w:color="auto" w:fill="C6EFCE"/>
            <w:noWrap/>
            <w:vAlign w:val="center"/>
          </w:tcPr>
          <w:p w14:paraId="00D641D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418" w:type="dxa"/>
            <w:shd w:val="clear" w:color="auto" w:fill="C6EFCE"/>
            <w:noWrap/>
            <w:vAlign w:val="center"/>
          </w:tcPr>
          <w:p w14:paraId="36A8E2D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noWrap/>
            <w:vAlign w:val="center"/>
          </w:tcPr>
          <w:p w14:paraId="081451F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709" w:type="dxa"/>
            <w:shd w:val="clear" w:color="auto" w:fill="C6EFCE"/>
            <w:noWrap/>
            <w:vAlign w:val="center"/>
          </w:tcPr>
          <w:p w14:paraId="0E99449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2021</w:t>
            </w:r>
          </w:p>
        </w:tc>
        <w:tc>
          <w:tcPr>
            <w:tcW w:w="3854" w:type="dxa"/>
            <w:shd w:val="clear" w:color="auto" w:fill="C6EFCE"/>
            <w:noWrap/>
            <w:vAlign w:val="center"/>
          </w:tcPr>
          <w:p w14:paraId="28E89F0F"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Seadusandlik dekreet sisaldab eelkõige järgmist:</w:t>
            </w:r>
          </w:p>
          <w:p w14:paraId="7F2ACC40"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1-seadusandlik muudatus, mis käsitleb lihtsustatud loaandmismenetlust ja praeguse toetuste andmise mehhanismi muutmist, et i) laiendada abikõlblikkuse piire ja ii) pikendada toetuste saamise perioodi ning iii) näha ette sisend tariifimehhanismis ja taastuvgaasi päritolutagatises</w:t>
            </w:r>
          </w:p>
          <w:p w14:paraId="27EAB03B"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 xml:space="preserve">2-REDII direktiivi ülevõtmine seadusandliku dekreediga </w:t>
            </w:r>
          </w:p>
          <w:p w14:paraId="7177A05F"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3-Üldkoordineerimist teostab Ministero della Transizione Ecologica (mite), keda toetavad teised nõuandva funktsiooniga haldusasutused: Põllumajandusministeerium (MIPAAF), majandus- ja rahandusministeerium (MEF) ja Gestore Servizi Energetici.</w:t>
            </w:r>
          </w:p>
        </w:tc>
      </w:tr>
      <w:tr w:rsidR="0084326C" w:rsidRPr="00D90835" w14:paraId="7A685E31" w14:textId="77777777" w:rsidTr="00DC331B">
        <w:trPr>
          <w:trHeight w:val="309"/>
          <w:jc w:val="center"/>
        </w:trPr>
        <w:tc>
          <w:tcPr>
            <w:tcW w:w="1122" w:type="dxa"/>
            <w:shd w:val="clear" w:color="auto" w:fill="C6EFCE"/>
            <w:noWrap/>
            <w:vAlign w:val="center"/>
          </w:tcPr>
          <w:p w14:paraId="44BFE44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M2C2-8</w:t>
            </w:r>
          </w:p>
        </w:tc>
        <w:tc>
          <w:tcPr>
            <w:tcW w:w="1716" w:type="dxa"/>
            <w:shd w:val="clear" w:color="auto" w:fill="C6EFCE"/>
            <w:noWrap/>
            <w:vAlign w:val="center"/>
          </w:tcPr>
          <w:p w14:paraId="10A60F4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2.1. Arukate võrkude tugevdamine</w:t>
            </w:r>
          </w:p>
        </w:tc>
        <w:tc>
          <w:tcPr>
            <w:tcW w:w="1131" w:type="dxa"/>
            <w:shd w:val="clear" w:color="auto" w:fill="C6EFCE"/>
            <w:noWrap/>
            <w:vAlign w:val="center"/>
          </w:tcPr>
          <w:p w14:paraId="4DA4DE3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vAlign w:val="center"/>
          </w:tcPr>
          <w:p w14:paraId="48ED285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(Kõikide) riigihankelepingute sõlmimine võrgu läbilaskevõime suurendamiseks</w:t>
            </w:r>
          </w:p>
        </w:tc>
        <w:tc>
          <w:tcPr>
            <w:tcW w:w="1277" w:type="dxa"/>
            <w:shd w:val="clear" w:color="auto" w:fill="C6EFCE"/>
            <w:noWrap/>
            <w:vAlign w:val="center"/>
          </w:tcPr>
          <w:p w14:paraId="4D3154F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Teade (kõikide) riigihankelepingute sõlmimise kohta</w:t>
            </w:r>
          </w:p>
        </w:tc>
        <w:tc>
          <w:tcPr>
            <w:tcW w:w="1415" w:type="dxa"/>
            <w:shd w:val="clear" w:color="auto" w:fill="C6EFCE"/>
            <w:noWrap/>
            <w:vAlign w:val="center"/>
          </w:tcPr>
          <w:p w14:paraId="78956CE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21" w:type="dxa"/>
            <w:shd w:val="clear" w:color="auto" w:fill="C6EFCE"/>
            <w:noWrap/>
            <w:vAlign w:val="center"/>
          </w:tcPr>
          <w:p w14:paraId="177EFC2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418" w:type="dxa"/>
            <w:shd w:val="clear" w:color="auto" w:fill="C6EFCE"/>
            <w:noWrap/>
            <w:vAlign w:val="center"/>
          </w:tcPr>
          <w:p w14:paraId="7D9D681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noWrap/>
            <w:vAlign w:val="center"/>
          </w:tcPr>
          <w:p w14:paraId="1AAE61F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709" w:type="dxa"/>
            <w:shd w:val="clear" w:color="auto" w:fill="C6EFCE"/>
            <w:noWrap/>
            <w:vAlign w:val="center"/>
          </w:tcPr>
          <w:p w14:paraId="2EF0278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2022</w:t>
            </w:r>
          </w:p>
        </w:tc>
        <w:tc>
          <w:tcPr>
            <w:tcW w:w="3854" w:type="dxa"/>
            <w:shd w:val="clear" w:color="auto" w:fill="C6EFCE"/>
            <w:noWrap/>
            <w:vAlign w:val="center"/>
          </w:tcPr>
          <w:p w14:paraId="4E28483E"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Teatis (kõikide) riigihankelepingute sõlmimise kohta, et suurendada taastuvenergia jaotamise ja energiatarbimise elektrifitseerimise võrguvõimsust</w:t>
            </w:r>
          </w:p>
        </w:tc>
      </w:tr>
      <w:tr w:rsidR="0084326C" w:rsidRPr="00D90835" w14:paraId="13C9788E" w14:textId="77777777" w:rsidTr="00DC331B">
        <w:trPr>
          <w:trHeight w:val="309"/>
          <w:jc w:val="center"/>
        </w:trPr>
        <w:tc>
          <w:tcPr>
            <w:tcW w:w="1122" w:type="dxa"/>
            <w:shd w:val="clear" w:color="auto" w:fill="C6EFCE"/>
            <w:noWrap/>
            <w:vAlign w:val="center"/>
          </w:tcPr>
          <w:p w14:paraId="10F27EA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M2C2-12</w:t>
            </w:r>
          </w:p>
        </w:tc>
        <w:tc>
          <w:tcPr>
            <w:tcW w:w="1716" w:type="dxa"/>
            <w:shd w:val="clear" w:color="auto" w:fill="C6EFCE"/>
            <w:noWrap/>
            <w:vAlign w:val="center"/>
          </w:tcPr>
          <w:p w14:paraId="41F29CD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2.2. Sekkumised elektrivõrgu vastupidavuse suurendamiseks</w:t>
            </w:r>
          </w:p>
        </w:tc>
        <w:tc>
          <w:tcPr>
            <w:tcW w:w="1131" w:type="dxa"/>
            <w:shd w:val="clear" w:color="auto" w:fill="C6EFCE"/>
            <w:noWrap/>
            <w:vAlign w:val="center"/>
          </w:tcPr>
          <w:p w14:paraId="1378F1A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vAlign w:val="center"/>
          </w:tcPr>
          <w:p w14:paraId="21DC4B7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Elektrisüsteemi võrgu vastupidavust suurendavate projektide tellimine</w:t>
            </w:r>
          </w:p>
        </w:tc>
        <w:tc>
          <w:tcPr>
            <w:tcW w:w="1277" w:type="dxa"/>
            <w:shd w:val="clear" w:color="auto" w:fill="C6EFCE"/>
            <w:noWrap/>
            <w:vAlign w:val="center"/>
          </w:tcPr>
          <w:p w14:paraId="1B4726D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Projektide sõlmimisest teatamine</w:t>
            </w:r>
          </w:p>
        </w:tc>
        <w:tc>
          <w:tcPr>
            <w:tcW w:w="1415" w:type="dxa"/>
            <w:shd w:val="clear" w:color="auto" w:fill="C6EFCE"/>
            <w:noWrap/>
            <w:vAlign w:val="center"/>
          </w:tcPr>
          <w:p w14:paraId="13A9B21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21" w:type="dxa"/>
            <w:shd w:val="clear" w:color="auto" w:fill="C6EFCE"/>
            <w:noWrap/>
            <w:vAlign w:val="center"/>
          </w:tcPr>
          <w:p w14:paraId="7021E7B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418" w:type="dxa"/>
            <w:shd w:val="clear" w:color="auto" w:fill="C6EFCE"/>
            <w:noWrap/>
            <w:vAlign w:val="center"/>
          </w:tcPr>
          <w:p w14:paraId="5FC3E6C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noWrap/>
            <w:vAlign w:val="center"/>
          </w:tcPr>
          <w:p w14:paraId="7979EF4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709" w:type="dxa"/>
            <w:shd w:val="clear" w:color="auto" w:fill="C6EFCE"/>
            <w:noWrap/>
            <w:vAlign w:val="center"/>
          </w:tcPr>
          <w:p w14:paraId="55DE835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2022</w:t>
            </w:r>
          </w:p>
        </w:tc>
        <w:tc>
          <w:tcPr>
            <w:tcW w:w="3854" w:type="dxa"/>
            <w:shd w:val="clear" w:color="auto" w:fill="C6EFCE"/>
            <w:noWrap/>
            <w:vAlign w:val="center"/>
          </w:tcPr>
          <w:p w14:paraId="54607731" w14:textId="1D9BBF91"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Selliste projektide tellimine, mille eesmärk on suurendada elektrisüsteemi võrgu vastupidavust vähemalt 4 000 km ulatuses, et vähendada äärmuslikest ilmastikutingimustest tingitud energiakatkestuste sagedust ja kestust.</w:t>
            </w:r>
          </w:p>
        </w:tc>
      </w:tr>
      <w:tr w:rsidR="0084326C" w:rsidRPr="00D90835" w14:paraId="7C53672A" w14:textId="77777777" w:rsidTr="00DC331B">
        <w:trPr>
          <w:trHeight w:val="309"/>
          <w:jc w:val="center"/>
        </w:trPr>
        <w:tc>
          <w:tcPr>
            <w:tcW w:w="1122" w:type="dxa"/>
            <w:shd w:val="clear" w:color="auto" w:fill="C6EFCE"/>
            <w:noWrap/>
            <w:vAlign w:val="center"/>
          </w:tcPr>
          <w:p w14:paraId="3322ACB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M2C2-14</w:t>
            </w:r>
          </w:p>
        </w:tc>
        <w:tc>
          <w:tcPr>
            <w:tcW w:w="1716" w:type="dxa"/>
            <w:shd w:val="clear" w:color="auto" w:fill="C6EFCE"/>
            <w:noWrap/>
            <w:vAlign w:val="center"/>
          </w:tcPr>
          <w:p w14:paraId="5447B24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3.3. Vesinikukatsed maanteetranspordis</w:t>
            </w:r>
          </w:p>
        </w:tc>
        <w:tc>
          <w:tcPr>
            <w:tcW w:w="1131" w:type="dxa"/>
            <w:shd w:val="clear" w:color="auto" w:fill="C6EFCE"/>
            <w:noWrap/>
            <w:vAlign w:val="center"/>
          </w:tcPr>
          <w:p w14:paraId="5D8E4B0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vAlign w:val="center"/>
          </w:tcPr>
          <w:p w14:paraId="36E1C04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(Kõikide) riigihankelepingute sõlmimine vesinikul põhinevate laadimisjaamade ehitamiseks</w:t>
            </w:r>
          </w:p>
        </w:tc>
        <w:tc>
          <w:tcPr>
            <w:tcW w:w="1277" w:type="dxa"/>
            <w:shd w:val="clear" w:color="auto" w:fill="C6EFCE"/>
            <w:noWrap/>
            <w:vAlign w:val="center"/>
          </w:tcPr>
          <w:p w14:paraId="0D9986F6" w14:textId="566FEADC"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 xml:space="preserve">Teade (kõikide) riigihankelepingute sõlmimise kohta vähemalt 40 vesinikul töötava laadimisjaama väljaarendamiseks </w:t>
            </w:r>
          </w:p>
        </w:tc>
        <w:tc>
          <w:tcPr>
            <w:tcW w:w="1415" w:type="dxa"/>
            <w:shd w:val="clear" w:color="auto" w:fill="C6EFCE"/>
            <w:noWrap/>
            <w:vAlign w:val="center"/>
          </w:tcPr>
          <w:p w14:paraId="55DB3CD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21" w:type="dxa"/>
            <w:shd w:val="clear" w:color="auto" w:fill="C6EFCE"/>
            <w:noWrap/>
            <w:vAlign w:val="center"/>
          </w:tcPr>
          <w:p w14:paraId="56B919A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418" w:type="dxa"/>
            <w:shd w:val="clear" w:color="auto" w:fill="C6EFCE"/>
            <w:noWrap/>
            <w:vAlign w:val="center"/>
          </w:tcPr>
          <w:p w14:paraId="1619316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noWrap/>
            <w:vAlign w:val="center"/>
          </w:tcPr>
          <w:p w14:paraId="5F89C05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1. kv</w:t>
            </w:r>
          </w:p>
        </w:tc>
        <w:tc>
          <w:tcPr>
            <w:tcW w:w="709" w:type="dxa"/>
            <w:shd w:val="clear" w:color="auto" w:fill="C6EFCE"/>
            <w:noWrap/>
            <w:vAlign w:val="center"/>
          </w:tcPr>
          <w:p w14:paraId="42A4CE1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2023</w:t>
            </w:r>
          </w:p>
        </w:tc>
        <w:tc>
          <w:tcPr>
            <w:tcW w:w="3854" w:type="dxa"/>
            <w:shd w:val="clear" w:color="auto" w:fill="C6EFCE"/>
            <w:noWrap/>
            <w:vAlign w:val="center"/>
          </w:tcPr>
          <w:p w14:paraId="4782B480"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Teade (kõikide) riigihankelepingute sõlmimise kohta vähemalt 40 vesinikul töötava laadimisjaama väljaarendamiseks kooskõlas direktiiviga 2014/94/EL alternatiivkütuste taristu kohta.</w:t>
            </w:r>
          </w:p>
        </w:tc>
      </w:tr>
      <w:tr w:rsidR="0084326C" w:rsidRPr="00D90835" w14:paraId="20C4EB65" w14:textId="77777777" w:rsidTr="00DC331B">
        <w:trPr>
          <w:trHeight w:val="309"/>
          <w:jc w:val="center"/>
        </w:trPr>
        <w:tc>
          <w:tcPr>
            <w:tcW w:w="1122" w:type="dxa"/>
            <w:shd w:val="clear" w:color="auto" w:fill="C6EFCE"/>
            <w:noWrap/>
            <w:vAlign w:val="center"/>
          </w:tcPr>
          <w:p w14:paraId="26A9C03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M2C2-16</w:t>
            </w:r>
          </w:p>
        </w:tc>
        <w:tc>
          <w:tcPr>
            <w:tcW w:w="1716" w:type="dxa"/>
            <w:shd w:val="clear" w:color="auto" w:fill="C6EFCE"/>
            <w:noWrap/>
            <w:vAlign w:val="center"/>
          </w:tcPr>
          <w:p w14:paraId="593F4DC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3.4. Vesinikukatsed raudteetranspordi valdkonnas</w:t>
            </w:r>
          </w:p>
        </w:tc>
        <w:tc>
          <w:tcPr>
            <w:tcW w:w="1131" w:type="dxa"/>
            <w:shd w:val="clear" w:color="auto" w:fill="C6EFCE"/>
            <w:noWrap/>
            <w:vAlign w:val="center"/>
          </w:tcPr>
          <w:p w14:paraId="6C98932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vAlign w:val="center"/>
          </w:tcPr>
          <w:p w14:paraId="3453202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Vahendite eraldamine vesiniku katsetamiseks raudteetranspordi valdkonnas</w:t>
            </w:r>
          </w:p>
        </w:tc>
        <w:tc>
          <w:tcPr>
            <w:tcW w:w="1277" w:type="dxa"/>
            <w:shd w:val="clear" w:color="auto" w:fill="C6EFCE"/>
            <w:noWrap/>
            <w:vAlign w:val="center"/>
          </w:tcPr>
          <w:p w14:paraId="74056D4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Vahendite eraldamisest teatamine</w:t>
            </w:r>
          </w:p>
        </w:tc>
        <w:tc>
          <w:tcPr>
            <w:tcW w:w="1415" w:type="dxa"/>
            <w:shd w:val="clear" w:color="auto" w:fill="C6EFCE"/>
            <w:noWrap/>
            <w:vAlign w:val="center"/>
          </w:tcPr>
          <w:p w14:paraId="0F3E395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21" w:type="dxa"/>
            <w:shd w:val="clear" w:color="auto" w:fill="C6EFCE"/>
            <w:noWrap/>
            <w:vAlign w:val="center"/>
          </w:tcPr>
          <w:p w14:paraId="6129FAC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418" w:type="dxa"/>
            <w:shd w:val="clear" w:color="auto" w:fill="C6EFCE"/>
            <w:noWrap/>
            <w:vAlign w:val="center"/>
          </w:tcPr>
          <w:p w14:paraId="22872F3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noWrap/>
            <w:vAlign w:val="center"/>
          </w:tcPr>
          <w:p w14:paraId="372A1E6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1. kv</w:t>
            </w:r>
          </w:p>
        </w:tc>
        <w:tc>
          <w:tcPr>
            <w:tcW w:w="709" w:type="dxa"/>
            <w:shd w:val="clear" w:color="auto" w:fill="C6EFCE"/>
            <w:noWrap/>
            <w:vAlign w:val="center"/>
          </w:tcPr>
          <w:p w14:paraId="65DE1B3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2023</w:t>
            </w:r>
          </w:p>
        </w:tc>
        <w:tc>
          <w:tcPr>
            <w:tcW w:w="3854" w:type="dxa"/>
            <w:shd w:val="clear" w:color="auto" w:fill="C6EFCE"/>
            <w:noWrap/>
            <w:vAlign w:val="center"/>
          </w:tcPr>
          <w:p w14:paraId="14C69167"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Vahendite eraldamine vastavalt menetlustele ja kriteeriumidele, mis on kehtestatud kümne vesinikutankla ehitamiseks kuuel raudteeliinil.</w:t>
            </w:r>
          </w:p>
        </w:tc>
      </w:tr>
      <w:tr w:rsidR="0084326C" w:rsidRPr="00D90835" w14:paraId="4A4E0D91" w14:textId="77777777" w:rsidTr="00DC331B">
        <w:trPr>
          <w:trHeight w:val="309"/>
          <w:jc w:val="center"/>
        </w:trPr>
        <w:tc>
          <w:tcPr>
            <w:tcW w:w="1122" w:type="dxa"/>
            <w:shd w:val="clear" w:color="auto" w:fill="C6EFCE"/>
            <w:noWrap/>
            <w:vAlign w:val="center"/>
          </w:tcPr>
          <w:p w14:paraId="3D87466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M2C2-18</w:t>
            </w:r>
          </w:p>
        </w:tc>
        <w:tc>
          <w:tcPr>
            <w:tcW w:w="1716" w:type="dxa"/>
            <w:shd w:val="clear" w:color="auto" w:fill="C6EFCE"/>
            <w:noWrap/>
            <w:vAlign w:val="center"/>
          </w:tcPr>
          <w:p w14:paraId="09A4A68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3.5. Vesinikualane teadus- ja arendustegevus</w:t>
            </w:r>
          </w:p>
        </w:tc>
        <w:tc>
          <w:tcPr>
            <w:tcW w:w="1131" w:type="dxa"/>
            <w:shd w:val="clear" w:color="auto" w:fill="C6EFCE"/>
            <w:noWrap/>
            <w:vAlign w:val="center"/>
          </w:tcPr>
          <w:p w14:paraId="0C962D7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vAlign w:val="center"/>
          </w:tcPr>
          <w:p w14:paraId="785BEC1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Kõigi avaliku sektori teadus- ja arendustegevuse lepingute sõlmimine vesinikualaste teadusprojektidega</w:t>
            </w:r>
          </w:p>
        </w:tc>
        <w:tc>
          <w:tcPr>
            <w:tcW w:w="1277" w:type="dxa"/>
            <w:shd w:val="clear" w:color="auto" w:fill="C6EFCE"/>
            <w:noWrap/>
            <w:vAlign w:val="center"/>
          </w:tcPr>
          <w:p w14:paraId="797C82A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Vesinikualase teadus- ja arendustegevusega seotud hankelepingute sõlmimisest teatamine</w:t>
            </w:r>
          </w:p>
        </w:tc>
        <w:tc>
          <w:tcPr>
            <w:tcW w:w="1415" w:type="dxa"/>
            <w:shd w:val="clear" w:color="auto" w:fill="C6EFCE"/>
            <w:noWrap/>
            <w:vAlign w:val="center"/>
          </w:tcPr>
          <w:p w14:paraId="38ADDE5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21" w:type="dxa"/>
            <w:shd w:val="clear" w:color="auto" w:fill="C6EFCE"/>
            <w:noWrap/>
            <w:vAlign w:val="center"/>
          </w:tcPr>
          <w:p w14:paraId="0138ACE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418" w:type="dxa"/>
            <w:shd w:val="clear" w:color="auto" w:fill="C6EFCE"/>
            <w:noWrap/>
            <w:vAlign w:val="center"/>
          </w:tcPr>
          <w:p w14:paraId="764E750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noWrap/>
            <w:vAlign w:val="center"/>
          </w:tcPr>
          <w:p w14:paraId="3AEBAC1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 kv</w:t>
            </w:r>
          </w:p>
        </w:tc>
        <w:tc>
          <w:tcPr>
            <w:tcW w:w="709" w:type="dxa"/>
            <w:shd w:val="clear" w:color="auto" w:fill="C6EFCE"/>
            <w:noWrap/>
            <w:vAlign w:val="center"/>
          </w:tcPr>
          <w:p w14:paraId="7E34BB3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2022</w:t>
            </w:r>
          </w:p>
        </w:tc>
        <w:tc>
          <w:tcPr>
            <w:tcW w:w="3854" w:type="dxa"/>
            <w:shd w:val="clear" w:color="auto" w:fill="C6EFCE"/>
            <w:noWrap/>
            <w:vAlign w:val="center"/>
          </w:tcPr>
          <w:p w14:paraId="47FE881E" w14:textId="7769E0CB"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Teade teadus- ja arendustegevuse lepingute sõlmimise kohta, mille eesmärk on parandada teadmisi vesinikuvektori rakendamise kohta tootmis-, ladustamis- ja jaotusetappides. Lepingutes tuleb välja töötada vähemalt neli teadusuuringute mõõdet:</w:t>
            </w:r>
          </w:p>
          <w:p w14:paraId="0AB8B2A8"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a) Rohelise ja puhta vesiniku tootmine</w:t>
            </w:r>
          </w:p>
          <w:p w14:paraId="6AAA7CA5"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b) vesiniku salvestamise, transpordi ja derivaatideks ja e-kütusteks muundamise uuenduslikud tehnoloogiad</w:t>
            </w:r>
          </w:p>
          <w:p w14:paraId="297CA6D3"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c) Kütuseelemendid paikseks kasutamiseks ja liikuvuseks</w:t>
            </w:r>
          </w:p>
          <w:p w14:paraId="2E18C12C"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d) Integreeritud arukad juhtimissüsteemid, et suurendada intelligentsete vesinikupõhiste taristute vastupidavust ja usaldusväärsust</w:t>
            </w:r>
          </w:p>
          <w:p w14:paraId="06B78AA2" w14:textId="7928F1B6"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Selle meetmega toetatakse vesiniku tootmist elektrolüüsi teel, kasutades direktiivis (EL)</w:t>
            </w:r>
            <w:r w:rsidR="00B62B71">
              <w:rPr>
                <w:rFonts w:ascii="Arial Narrow" w:hAnsi="Arial Narrow"/>
                <w:noProof/>
                <w:color w:val="006100"/>
                <w:sz w:val="20"/>
              </w:rPr>
              <w:t> </w:t>
            </w:r>
            <w:r>
              <w:rPr>
                <w:rFonts w:ascii="Arial Narrow" w:hAnsi="Arial Narrow"/>
                <w:noProof/>
                <w:color w:val="006100"/>
                <w:sz w:val="20"/>
              </w:rPr>
              <w:t>2018/2001 (taastuvenergia direktiiv) määratletud taastuvaid energiaallikaid või võrguelektrit, või vesinikuga seotud tegevust, mis vastab nõudele vähendada kasvuhoonegaaside heidet olelusringi jooksul vesiniku puhul 73,4 %, mille tulemusel on olelusringi jooksul tekkiv kasvuhoonegaaside heide väiksem kui 3tCO2e/tH2 ja vesinikupõhiste sünteetiliste kütuste puhul 70 % võrreldes fossiilkütusega, mille võrdlusväärtus on 94 g CO2e/MJ, analoogselt direktiivi (EL) 2018/2001 artikli 25 lõikes 2 ja V lisas sätestatud lähenemisviisiga.</w:t>
            </w:r>
          </w:p>
        </w:tc>
      </w:tr>
      <w:tr w:rsidR="0084326C" w:rsidRPr="00D90835" w14:paraId="731D65E4" w14:textId="77777777" w:rsidTr="00DC331B">
        <w:trPr>
          <w:trHeight w:val="309"/>
          <w:jc w:val="center"/>
        </w:trPr>
        <w:tc>
          <w:tcPr>
            <w:tcW w:w="1122" w:type="dxa"/>
            <w:shd w:val="clear" w:color="auto" w:fill="C6EFCE"/>
            <w:noWrap/>
            <w:vAlign w:val="center"/>
          </w:tcPr>
          <w:p w14:paraId="2F6B4DA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M2C2-20</w:t>
            </w:r>
          </w:p>
        </w:tc>
        <w:tc>
          <w:tcPr>
            <w:tcW w:w="1716" w:type="dxa"/>
            <w:shd w:val="clear" w:color="auto" w:fill="C6EFCE"/>
            <w:noWrap/>
            <w:vAlign w:val="center"/>
          </w:tcPr>
          <w:p w14:paraId="428F525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Reform 3. Halduslik lihtsustamine ja regulatiivsete tõkete vähendamine vesiniku kasutuselevõtul</w:t>
            </w:r>
          </w:p>
        </w:tc>
        <w:tc>
          <w:tcPr>
            <w:tcW w:w="1131" w:type="dxa"/>
            <w:shd w:val="clear" w:color="auto" w:fill="C6EFCE"/>
            <w:noWrap/>
            <w:vAlign w:val="center"/>
          </w:tcPr>
          <w:p w14:paraId="0F57B14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vAlign w:val="center"/>
          </w:tcPr>
          <w:p w14:paraId="32397F9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Vajalike seadusandlike meetmete jõustumine</w:t>
            </w:r>
          </w:p>
        </w:tc>
        <w:tc>
          <w:tcPr>
            <w:tcW w:w="1277" w:type="dxa"/>
            <w:shd w:val="clear" w:color="auto" w:fill="C6EFCE"/>
            <w:noWrap/>
            <w:vAlign w:val="center"/>
          </w:tcPr>
          <w:p w14:paraId="62E0623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Seaduse jõustumisele viitav õigusnorm</w:t>
            </w:r>
          </w:p>
        </w:tc>
        <w:tc>
          <w:tcPr>
            <w:tcW w:w="1415" w:type="dxa"/>
            <w:shd w:val="clear" w:color="auto" w:fill="C6EFCE"/>
            <w:noWrap/>
            <w:vAlign w:val="center"/>
          </w:tcPr>
          <w:p w14:paraId="55242E0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21" w:type="dxa"/>
            <w:shd w:val="clear" w:color="auto" w:fill="C6EFCE"/>
            <w:noWrap/>
            <w:vAlign w:val="center"/>
          </w:tcPr>
          <w:p w14:paraId="68065A7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418" w:type="dxa"/>
            <w:shd w:val="clear" w:color="auto" w:fill="C6EFCE"/>
            <w:noWrap/>
            <w:vAlign w:val="center"/>
          </w:tcPr>
          <w:p w14:paraId="56C89F1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noWrap/>
            <w:vAlign w:val="center"/>
          </w:tcPr>
          <w:p w14:paraId="698BB00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1. kv</w:t>
            </w:r>
          </w:p>
        </w:tc>
        <w:tc>
          <w:tcPr>
            <w:tcW w:w="709" w:type="dxa"/>
            <w:shd w:val="clear" w:color="auto" w:fill="C6EFCE"/>
            <w:noWrap/>
            <w:vAlign w:val="center"/>
          </w:tcPr>
          <w:p w14:paraId="2EED271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2023</w:t>
            </w:r>
          </w:p>
        </w:tc>
        <w:tc>
          <w:tcPr>
            <w:tcW w:w="3854" w:type="dxa"/>
            <w:shd w:val="clear" w:color="auto" w:fill="C6EFCE"/>
            <w:noWrap/>
            <w:vAlign w:val="center"/>
          </w:tcPr>
          <w:p w14:paraId="5B0113FD"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Vajalikes seadusandlikes meetmetes sätestatakse i) turvasätted seoses vesiniku tootmise, transpordi ja ladustamisega, ii) keskkonnahoidliku vesiniku tootmiseks väikeste rajatiste ehitamise korra lihtsustamine ja iii) meetmed seoses vesinikul põhinevate laadimisjaamade ehitamise tingimustega.</w:t>
            </w:r>
          </w:p>
          <w:p w14:paraId="5368B610" w14:textId="1208C6A2"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Selle meetmega toetatakse üksnes vesinikuga seotud tegevusi, mis vastavad vesiniku olelusringi jooksul tekkivate kasvuhoonegaaside heitkoguste 73,4 % vähendamise nõudele, mille tulemuseks on 3 CO</w:t>
            </w:r>
            <w:r w:rsidRPr="00B62B71">
              <w:rPr>
                <w:rFonts w:ascii="Arial Narrow" w:hAnsi="Arial Narrow"/>
                <w:noProof/>
                <w:color w:val="006100"/>
                <w:sz w:val="20"/>
                <w:vertAlign w:val="subscript"/>
              </w:rPr>
              <w:t>2</w:t>
            </w:r>
            <w:r>
              <w:rPr>
                <w:rFonts w:ascii="Arial Narrow" w:hAnsi="Arial Narrow"/>
                <w:noProof/>
                <w:color w:val="006100"/>
                <w:sz w:val="20"/>
              </w:rPr>
              <w:t xml:space="preserve"> ekvivalenttonni/tH2.</w:t>
            </w:r>
          </w:p>
        </w:tc>
      </w:tr>
      <w:tr w:rsidR="0084326C" w:rsidRPr="00D90835" w14:paraId="13B97DD2" w14:textId="77777777" w:rsidTr="00DC331B">
        <w:trPr>
          <w:trHeight w:val="309"/>
          <w:jc w:val="center"/>
        </w:trPr>
        <w:tc>
          <w:tcPr>
            <w:tcW w:w="1122" w:type="dxa"/>
            <w:shd w:val="clear" w:color="auto" w:fill="C6EFCE"/>
            <w:noWrap/>
            <w:vAlign w:val="center"/>
          </w:tcPr>
          <w:p w14:paraId="49DAD31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M2C2-21</w:t>
            </w:r>
          </w:p>
        </w:tc>
        <w:tc>
          <w:tcPr>
            <w:tcW w:w="1716" w:type="dxa"/>
            <w:shd w:val="clear" w:color="auto" w:fill="C6EFCE"/>
            <w:noWrap/>
            <w:vAlign w:val="center"/>
          </w:tcPr>
          <w:p w14:paraId="6AE1DFF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Reform 4. Vesiniku konkurentsivõime edendamise meetmed</w:t>
            </w:r>
          </w:p>
        </w:tc>
        <w:tc>
          <w:tcPr>
            <w:tcW w:w="1131" w:type="dxa"/>
            <w:shd w:val="clear" w:color="auto" w:fill="C6EFCE"/>
            <w:noWrap/>
            <w:vAlign w:val="center"/>
          </w:tcPr>
          <w:p w14:paraId="7659FE2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vAlign w:val="center"/>
          </w:tcPr>
          <w:p w14:paraId="75787FC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Maksusoodustuste jõustumine</w:t>
            </w:r>
          </w:p>
        </w:tc>
        <w:tc>
          <w:tcPr>
            <w:tcW w:w="1277" w:type="dxa"/>
            <w:shd w:val="clear" w:color="auto" w:fill="C6EFCE"/>
            <w:noWrap/>
            <w:vAlign w:val="center"/>
          </w:tcPr>
          <w:p w14:paraId="2ACACC2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Seaduse jõustumisele viitav õigusnorm</w:t>
            </w:r>
          </w:p>
        </w:tc>
        <w:tc>
          <w:tcPr>
            <w:tcW w:w="1415" w:type="dxa"/>
            <w:shd w:val="clear" w:color="auto" w:fill="C6EFCE"/>
            <w:noWrap/>
            <w:vAlign w:val="center"/>
          </w:tcPr>
          <w:p w14:paraId="41062246" w14:textId="3C6CC99C" w:rsidR="0084326C" w:rsidRPr="005D68A0" w:rsidRDefault="009046E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21" w:type="dxa"/>
            <w:shd w:val="clear" w:color="auto" w:fill="C6EFCE"/>
            <w:noWrap/>
            <w:vAlign w:val="center"/>
          </w:tcPr>
          <w:p w14:paraId="235D9CD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418" w:type="dxa"/>
            <w:shd w:val="clear" w:color="auto" w:fill="C6EFCE"/>
            <w:noWrap/>
            <w:vAlign w:val="center"/>
          </w:tcPr>
          <w:p w14:paraId="5955B90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noWrap/>
            <w:vAlign w:val="center"/>
          </w:tcPr>
          <w:p w14:paraId="48A8C0E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 kv</w:t>
            </w:r>
          </w:p>
        </w:tc>
        <w:tc>
          <w:tcPr>
            <w:tcW w:w="709" w:type="dxa"/>
            <w:shd w:val="clear" w:color="auto" w:fill="C6EFCE"/>
            <w:noWrap/>
            <w:vAlign w:val="center"/>
          </w:tcPr>
          <w:p w14:paraId="0CFD129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2022</w:t>
            </w:r>
          </w:p>
        </w:tc>
        <w:tc>
          <w:tcPr>
            <w:tcW w:w="3854" w:type="dxa"/>
            <w:shd w:val="clear" w:color="auto" w:fill="C6EFCE"/>
            <w:noWrap/>
            <w:vAlign w:val="center"/>
          </w:tcPr>
          <w:p w14:paraId="63BF1F4B"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Seaduses sätestatakse maksusoodustused keskkonnahoidliku vesiniku tootmise toetamiseks ja keskkonnahoidliku vesiniku kasutamise soodustamiseks transpordisektoris.</w:t>
            </w:r>
          </w:p>
          <w:p w14:paraId="3620646D" w14:textId="535F1D0C"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Selle meetmega toetatakse üksnes vesinikuga seotud tegevusi, mis vastavad vesiniku olelusringi jooksul tekkivate kasvuhoonegaaside heitkoguste 73,4 % vähendamise nõudele, mille tulemuseks on 3 CO</w:t>
            </w:r>
            <w:r w:rsidRPr="00B62B71">
              <w:rPr>
                <w:rFonts w:ascii="Arial Narrow" w:hAnsi="Arial Narrow"/>
                <w:noProof/>
                <w:color w:val="006100"/>
                <w:sz w:val="20"/>
                <w:vertAlign w:val="subscript"/>
              </w:rPr>
              <w:t>2</w:t>
            </w:r>
            <w:r>
              <w:rPr>
                <w:rFonts w:ascii="Arial Narrow" w:hAnsi="Arial Narrow"/>
                <w:noProof/>
                <w:color w:val="006100"/>
                <w:sz w:val="20"/>
              </w:rPr>
              <w:t xml:space="preserve"> ekvivalenttonni/tH2.</w:t>
            </w:r>
          </w:p>
        </w:tc>
      </w:tr>
      <w:tr w:rsidR="0084326C" w:rsidRPr="00D90835" w14:paraId="1F6C1DE8" w14:textId="77777777" w:rsidTr="00DC331B">
        <w:trPr>
          <w:trHeight w:val="309"/>
          <w:jc w:val="center"/>
        </w:trPr>
        <w:tc>
          <w:tcPr>
            <w:tcW w:w="1122" w:type="dxa"/>
            <w:shd w:val="clear" w:color="auto" w:fill="C6EFCE"/>
            <w:noWrap/>
            <w:vAlign w:val="center"/>
          </w:tcPr>
          <w:p w14:paraId="4E1C9B0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M2C2-22</w:t>
            </w:r>
          </w:p>
        </w:tc>
        <w:tc>
          <w:tcPr>
            <w:tcW w:w="1716" w:type="dxa"/>
            <w:shd w:val="clear" w:color="auto" w:fill="C6EFCE"/>
            <w:noWrap/>
            <w:vAlign w:val="center"/>
          </w:tcPr>
          <w:p w14:paraId="3A756A0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4.1. Investeeringud pehmesse liikuvusse (riiklik jalgrattateede kava)</w:t>
            </w:r>
          </w:p>
        </w:tc>
        <w:tc>
          <w:tcPr>
            <w:tcW w:w="1131" w:type="dxa"/>
            <w:shd w:val="clear" w:color="auto" w:fill="C6EFCE"/>
            <w:noWrap/>
            <w:vAlign w:val="center"/>
          </w:tcPr>
          <w:p w14:paraId="4570CD9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vAlign w:val="center"/>
          </w:tcPr>
          <w:p w14:paraId="138B947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Jalgrattateed T1</w:t>
            </w:r>
          </w:p>
        </w:tc>
        <w:tc>
          <w:tcPr>
            <w:tcW w:w="1277" w:type="dxa"/>
            <w:shd w:val="clear" w:color="auto" w:fill="C6EFCE"/>
            <w:noWrap/>
            <w:vAlign w:val="center"/>
          </w:tcPr>
          <w:p w14:paraId="6CCB49B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415" w:type="dxa"/>
            <w:shd w:val="clear" w:color="auto" w:fill="C6EFCE"/>
            <w:noWrap/>
            <w:vAlign w:val="center"/>
          </w:tcPr>
          <w:p w14:paraId="4DD79299" w14:textId="77777777" w:rsidR="0084326C" w:rsidRPr="005D68A0" w:rsidRDefault="0084326C">
            <w:pPr>
              <w:spacing w:line="276" w:lineRule="auto"/>
              <w:jc w:val="center"/>
              <w:rPr>
                <w:rFonts w:ascii="Arial Narrow" w:hAnsi="Arial Narrow"/>
                <w:noProof/>
                <w:sz w:val="20"/>
                <w:szCs w:val="20"/>
              </w:rPr>
            </w:pPr>
            <w:r>
              <w:rPr>
                <w:rFonts w:ascii="Arial Narrow" w:hAnsi="Arial Narrow"/>
                <w:noProof/>
                <w:color w:val="006100"/>
                <w:sz w:val="20"/>
              </w:rPr>
              <w:t>Km</w:t>
            </w:r>
          </w:p>
        </w:tc>
        <w:tc>
          <w:tcPr>
            <w:tcW w:w="1021" w:type="dxa"/>
            <w:shd w:val="clear" w:color="auto" w:fill="C6EFCE"/>
            <w:noWrap/>
            <w:vAlign w:val="center"/>
          </w:tcPr>
          <w:p w14:paraId="621FDC8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0</w:t>
            </w:r>
          </w:p>
        </w:tc>
        <w:tc>
          <w:tcPr>
            <w:tcW w:w="1418" w:type="dxa"/>
            <w:shd w:val="clear" w:color="auto" w:fill="C6EFCE"/>
            <w:noWrap/>
            <w:vAlign w:val="center"/>
          </w:tcPr>
          <w:p w14:paraId="7B5B5AC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200</w:t>
            </w:r>
          </w:p>
        </w:tc>
        <w:tc>
          <w:tcPr>
            <w:tcW w:w="993" w:type="dxa"/>
            <w:shd w:val="clear" w:color="auto" w:fill="C6EFCE"/>
            <w:noWrap/>
            <w:vAlign w:val="center"/>
          </w:tcPr>
          <w:p w14:paraId="7AB5EE7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709" w:type="dxa"/>
            <w:shd w:val="clear" w:color="auto" w:fill="C6EFCE"/>
            <w:noWrap/>
            <w:vAlign w:val="center"/>
          </w:tcPr>
          <w:p w14:paraId="308B10C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2023</w:t>
            </w:r>
          </w:p>
        </w:tc>
        <w:tc>
          <w:tcPr>
            <w:tcW w:w="3854" w:type="dxa"/>
            <w:shd w:val="clear" w:color="auto" w:fill="C6EFCE"/>
            <w:noWrap/>
            <w:vAlign w:val="center"/>
          </w:tcPr>
          <w:p w14:paraId="62101E6D" w14:textId="37407D25"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Vähemalt 200 km jalgrattaradade valmimine suurlinnapiirkondades, nagu on määratletud meetme kirjelduses, või ülikoolilinnades.</w:t>
            </w:r>
          </w:p>
        </w:tc>
      </w:tr>
      <w:tr w:rsidR="0084326C" w:rsidRPr="00D90835" w14:paraId="3A35C7F8" w14:textId="77777777" w:rsidTr="00DC331B">
        <w:trPr>
          <w:trHeight w:val="309"/>
          <w:jc w:val="center"/>
        </w:trPr>
        <w:tc>
          <w:tcPr>
            <w:tcW w:w="1122" w:type="dxa"/>
            <w:shd w:val="clear" w:color="auto" w:fill="C6EFCE"/>
            <w:noWrap/>
            <w:vAlign w:val="center"/>
          </w:tcPr>
          <w:p w14:paraId="11C40CC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M2C2-23</w:t>
            </w:r>
          </w:p>
        </w:tc>
        <w:tc>
          <w:tcPr>
            <w:tcW w:w="1716" w:type="dxa"/>
            <w:shd w:val="clear" w:color="auto" w:fill="C6EFCE"/>
            <w:noWrap/>
            <w:vAlign w:val="center"/>
          </w:tcPr>
          <w:p w14:paraId="2929CF7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4.1. Investeeringud pehmesse liikuvusse (riiklik jalgrattateede kava)</w:t>
            </w:r>
          </w:p>
        </w:tc>
        <w:tc>
          <w:tcPr>
            <w:tcW w:w="1131" w:type="dxa"/>
            <w:shd w:val="clear" w:color="auto" w:fill="C6EFCE"/>
            <w:noWrap/>
            <w:vAlign w:val="center"/>
          </w:tcPr>
          <w:p w14:paraId="44088DB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1418" w:type="dxa"/>
            <w:shd w:val="clear" w:color="auto" w:fill="C6EFCE"/>
            <w:noWrap/>
            <w:vAlign w:val="center"/>
          </w:tcPr>
          <w:p w14:paraId="1730EFD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Jalgrattateed T2</w:t>
            </w:r>
          </w:p>
        </w:tc>
        <w:tc>
          <w:tcPr>
            <w:tcW w:w="1277" w:type="dxa"/>
            <w:shd w:val="clear" w:color="auto" w:fill="C6EFCE"/>
            <w:noWrap/>
            <w:vAlign w:val="center"/>
          </w:tcPr>
          <w:p w14:paraId="4B6D961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415" w:type="dxa"/>
            <w:shd w:val="clear" w:color="auto" w:fill="C6EFCE"/>
            <w:noWrap/>
            <w:vAlign w:val="center"/>
          </w:tcPr>
          <w:p w14:paraId="4624F1A3" w14:textId="77777777" w:rsidR="0084326C" w:rsidRPr="005D68A0" w:rsidRDefault="0084326C">
            <w:pPr>
              <w:spacing w:line="276" w:lineRule="auto"/>
              <w:jc w:val="center"/>
              <w:rPr>
                <w:rFonts w:ascii="Arial Narrow" w:hAnsi="Arial Narrow"/>
                <w:noProof/>
                <w:sz w:val="20"/>
                <w:szCs w:val="20"/>
              </w:rPr>
            </w:pPr>
            <w:r>
              <w:rPr>
                <w:rFonts w:ascii="Arial Narrow" w:hAnsi="Arial Narrow"/>
                <w:noProof/>
                <w:color w:val="006100"/>
                <w:sz w:val="20"/>
              </w:rPr>
              <w:t>Km</w:t>
            </w:r>
          </w:p>
        </w:tc>
        <w:tc>
          <w:tcPr>
            <w:tcW w:w="1021" w:type="dxa"/>
            <w:shd w:val="clear" w:color="auto" w:fill="C6EFCE"/>
            <w:noWrap/>
            <w:vAlign w:val="center"/>
          </w:tcPr>
          <w:p w14:paraId="1256D3E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200</w:t>
            </w:r>
          </w:p>
        </w:tc>
        <w:tc>
          <w:tcPr>
            <w:tcW w:w="1418" w:type="dxa"/>
            <w:shd w:val="clear" w:color="auto" w:fill="C6EFCE"/>
            <w:noWrap/>
            <w:vAlign w:val="center"/>
          </w:tcPr>
          <w:p w14:paraId="280C2F05" w14:textId="510C01A1"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1 311</w:t>
            </w:r>
          </w:p>
        </w:tc>
        <w:tc>
          <w:tcPr>
            <w:tcW w:w="993" w:type="dxa"/>
            <w:shd w:val="clear" w:color="auto" w:fill="C6EFCE"/>
            <w:noWrap/>
            <w:vAlign w:val="center"/>
          </w:tcPr>
          <w:p w14:paraId="76748E1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 kv</w:t>
            </w:r>
          </w:p>
        </w:tc>
        <w:tc>
          <w:tcPr>
            <w:tcW w:w="709" w:type="dxa"/>
            <w:shd w:val="clear" w:color="auto" w:fill="C6EFCE"/>
            <w:noWrap/>
            <w:vAlign w:val="center"/>
          </w:tcPr>
          <w:p w14:paraId="707BAF7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2026</w:t>
            </w:r>
          </w:p>
        </w:tc>
        <w:tc>
          <w:tcPr>
            <w:tcW w:w="3854" w:type="dxa"/>
            <w:shd w:val="clear" w:color="auto" w:fill="C6EFCE"/>
            <w:noWrap/>
            <w:vAlign w:val="center"/>
          </w:tcPr>
          <w:p w14:paraId="5407618A" w14:textId="02EA32CD"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Vähemalt 365 km jalgrattaradade valmimine suurlinnapiirkondades (nagu on määratletud meetme kirjelduses) või ülikoolilinnades ja vähemalt 746 km turismijalgrattateed, nagu on määratletud 28. detsembri 2015. aasta seaduses nr 208.</w:t>
            </w:r>
          </w:p>
        </w:tc>
      </w:tr>
      <w:tr w:rsidR="0084326C" w:rsidRPr="00D90835" w14:paraId="062A9327" w14:textId="77777777" w:rsidTr="00DC331B">
        <w:trPr>
          <w:trHeight w:val="309"/>
          <w:jc w:val="center"/>
        </w:trPr>
        <w:tc>
          <w:tcPr>
            <w:tcW w:w="1122" w:type="dxa"/>
            <w:shd w:val="clear" w:color="auto" w:fill="C6EFCE"/>
            <w:noWrap/>
            <w:vAlign w:val="center"/>
          </w:tcPr>
          <w:p w14:paraId="0EFFEA7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M2C2-27</w:t>
            </w:r>
          </w:p>
        </w:tc>
        <w:tc>
          <w:tcPr>
            <w:tcW w:w="1716" w:type="dxa"/>
            <w:shd w:val="clear" w:color="auto" w:fill="C6EFCE"/>
            <w:noWrap/>
            <w:vAlign w:val="center"/>
          </w:tcPr>
          <w:p w14:paraId="0AD1C74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4.3. Laadimistaristu paigaldamine</w:t>
            </w:r>
          </w:p>
        </w:tc>
        <w:tc>
          <w:tcPr>
            <w:tcW w:w="1131" w:type="dxa"/>
            <w:shd w:val="clear" w:color="auto" w:fill="C6EFCE"/>
            <w:noWrap/>
            <w:vAlign w:val="center"/>
          </w:tcPr>
          <w:p w14:paraId="2CD764B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vAlign w:val="center"/>
          </w:tcPr>
          <w:p w14:paraId="5E3F532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Kõigi riigihankelepingute sõlmimine laadimistaristute paigaldamiseks M1</w:t>
            </w:r>
          </w:p>
        </w:tc>
        <w:tc>
          <w:tcPr>
            <w:tcW w:w="1277" w:type="dxa"/>
            <w:shd w:val="clear" w:color="auto" w:fill="C6EFCE"/>
            <w:noWrap/>
            <w:vAlign w:val="center"/>
          </w:tcPr>
          <w:p w14:paraId="3E65485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Kõigi laadimistaristute paigaldamist käsitlevate riigihankelepingute sõlmimise kohta teatamine</w:t>
            </w:r>
          </w:p>
        </w:tc>
        <w:tc>
          <w:tcPr>
            <w:tcW w:w="1415" w:type="dxa"/>
            <w:shd w:val="clear" w:color="auto" w:fill="C6EFCE"/>
            <w:noWrap/>
            <w:vAlign w:val="center"/>
          </w:tcPr>
          <w:p w14:paraId="4E944D2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21" w:type="dxa"/>
            <w:shd w:val="clear" w:color="auto" w:fill="C6EFCE"/>
            <w:noWrap/>
            <w:vAlign w:val="center"/>
          </w:tcPr>
          <w:p w14:paraId="2A5FAE9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418" w:type="dxa"/>
            <w:shd w:val="clear" w:color="auto" w:fill="C6EFCE"/>
            <w:noWrap/>
            <w:vAlign w:val="center"/>
          </w:tcPr>
          <w:p w14:paraId="33B9111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noWrap/>
            <w:vAlign w:val="center"/>
          </w:tcPr>
          <w:p w14:paraId="5DD1C1C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 kv</w:t>
            </w:r>
          </w:p>
        </w:tc>
        <w:tc>
          <w:tcPr>
            <w:tcW w:w="709" w:type="dxa"/>
            <w:shd w:val="clear" w:color="auto" w:fill="C6EFCE"/>
            <w:noWrap/>
            <w:vAlign w:val="center"/>
          </w:tcPr>
          <w:p w14:paraId="5304A78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2023</w:t>
            </w:r>
          </w:p>
        </w:tc>
        <w:tc>
          <w:tcPr>
            <w:tcW w:w="3854" w:type="dxa"/>
            <w:shd w:val="clear" w:color="auto" w:fill="C6EFCE"/>
            <w:noWrap/>
            <w:vAlign w:val="center"/>
          </w:tcPr>
          <w:p w14:paraId="749B6F2E" w14:textId="34F5EA5C"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Kõigi vähemalt 4 700 elektrisõidukite kiirlaadimisjaama linnapiirkondadesse (kõik omavalitsused) ehitamist käsitlevate riigihankelepingute sõlmimise kohta teatamine.</w:t>
            </w:r>
          </w:p>
          <w:p w14:paraId="0A053E10"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Projekt võib hõlmata ka energia salvestamiseks mõeldud katselaadimisjaamu.</w:t>
            </w:r>
          </w:p>
        </w:tc>
      </w:tr>
      <w:tr w:rsidR="0084326C" w:rsidRPr="00D90835" w14:paraId="1A29CB5C" w14:textId="77777777" w:rsidTr="00DC331B">
        <w:trPr>
          <w:trHeight w:val="309"/>
          <w:jc w:val="center"/>
        </w:trPr>
        <w:tc>
          <w:tcPr>
            <w:tcW w:w="1122" w:type="dxa"/>
            <w:shd w:val="clear" w:color="auto" w:fill="C6EFCE"/>
            <w:noWrap/>
            <w:vAlign w:val="center"/>
          </w:tcPr>
          <w:p w14:paraId="2A5C008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M2C2-28</w:t>
            </w:r>
          </w:p>
        </w:tc>
        <w:tc>
          <w:tcPr>
            <w:tcW w:w="1716" w:type="dxa"/>
            <w:shd w:val="clear" w:color="auto" w:fill="C6EFCE"/>
            <w:noWrap/>
            <w:vAlign w:val="center"/>
          </w:tcPr>
          <w:p w14:paraId="268C3DB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4.3. Laadimistaristu paigaldamine</w:t>
            </w:r>
          </w:p>
        </w:tc>
        <w:tc>
          <w:tcPr>
            <w:tcW w:w="1131" w:type="dxa"/>
            <w:shd w:val="clear" w:color="auto" w:fill="C6EFCE"/>
            <w:noWrap/>
            <w:vAlign w:val="center"/>
          </w:tcPr>
          <w:p w14:paraId="6D27673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vAlign w:val="center"/>
          </w:tcPr>
          <w:p w14:paraId="1BAED65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Kõigi riigihankelepingute sõlmimine laadimistaristute paigaldamiseks M2</w:t>
            </w:r>
          </w:p>
        </w:tc>
        <w:tc>
          <w:tcPr>
            <w:tcW w:w="1277" w:type="dxa"/>
            <w:shd w:val="clear" w:color="auto" w:fill="C6EFCE"/>
            <w:noWrap/>
            <w:vAlign w:val="center"/>
          </w:tcPr>
          <w:p w14:paraId="1D616DB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Kõigi laadimistaristute paigaldamist käsitlevate riigihankelepingute sõlmimise kohta teatamine</w:t>
            </w:r>
          </w:p>
        </w:tc>
        <w:tc>
          <w:tcPr>
            <w:tcW w:w="1415" w:type="dxa"/>
            <w:shd w:val="clear" w:color="auto" w:fill="C6EFCE"/>
            <w:noWrap/>
            <w:vAlign w:val="center"/>
          </w:tcPr>
          <w:p w14:paraId="3DBBFD5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21" w:type="dxa"/>
            <w:shd w:val="clear" w:color="auto" w:fill="C6EFCE"/>
            <w:noWrap/>
            <w:vAlign w:val="center"/>
          </w:tcPr>
          <w:p w14:paraId="6FF210D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418" w:type="dxa"/>
            <w:shd w:val="clear" w:color="auto" w:fill="C6EFCE"/>
            <w:noWrap/>
            <w:vAlign w:val="center"/>
          </w:tcPr>
          <w:p w14:paraId="347C46E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noWrap/>
            <w:vAlign w:val="center"/>
          </w:tcPr>
          <w:p w14:paraId="1EB97E5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709" w:type="dxa"/>
            <w:shd w:val="clear" w:color="auto" w:fill="C6EFCE"/>
            <w:noWrap/>
            <w:vAlign w:val="center"/>
          </w:tcPr>
          <w:p w14:paraId="4D2F8DD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2024</w:t>
            </w:r>
          </w:p>
        </w:tc>
        <w:tc>
          <w:tcPr>
            <w:tcW w:w="3854" w:type="dxa"/>
            <w:shd w:val="clear" w:color="auto" w:fill="C6EFCE"/>
            <w:noWrap/>
            <w:vAlign w:val="center"/>
          </w:tcPr>
          <w:p w14:paraId="34615596" w14:textId="46CF4835"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Lepingute sõlmimine 7 500 avaliku laadimistaristu ehitamiseks vabal teel ja vähemalt 9 055 linnapiirkonnas (kõik omavalitsused).</w:t>
            </w:r>
          </w:p>
          <w:p w14:paraId="151D2539"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Projekt võib hõlmata ka energia salvestamiseks mõeldud pilootlaadimisjaamu</w:t>
            </w:r>
          </w:p>
        </w:tc>
      </w:tr>
      <w:tr w:rsidR="0084326C" w:rsidRPr="00D90835" w14:paraId="205E6A05" w14:textId="77777777" w:rsidTr="00DC331B">
        <w:trPr>
          <w:trHeight w:val="309"/>
          <w:jc w:val="center"/>
        </w:trPr>
        <w:tc>
          <w:tcPr>
            <w:tcW w:w="1122" w:type="dxa"/>
            <w:shd w:val="clear" w:color="auto" w:fill="C6EFCE"/>
            <w:noWrap/>
            <w:vAlign w:val="center"/>
          </w:tcPr>
          <w:p w14:paraId="506B3F1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M2C2-29</w:t>
            </w:r>
          </w:p>
        </w:tc>
        <w:tc>
          <w:tcPr>
            <w:tcW w:w="1716" w:type="dxa"/>
            <w:shd w:val="clear" w:color="auto" w:fill="C6EFCE"/>
            <w:noWrap/>
            <w:vAlign w:val="center"/>
          </w:tcPr>
          <w:p w14:paraId="3D6152A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4.3. Laadimistaristu paigaldamine</w:t>
            </w:r>
          </w:p>
        </w:tc>
        <w:tc>
          <w:tcPr>
            <w:tcW w:w="1131" w:type="dxa"/>
            <w:shd w:val="clear" w:color="auto" w:fill="C6EFCE"/>
            <w:noWrap/>
            <w:vAlign w:val="center"/>
          </w:tcPr>
          <w:p w14:paraId="59AD2BC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1418" w:type="dxa"/>
            <w:shd w:val="clear" w:color="auto" w:fill="C6EFCE"/>
            <w:noWrap/>
            <w:vAlign w:val="center"/>
          </w:tcPr>
          <w:p w14:paraId="63748FC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Kiirlaadimisjaamade arv vabateedel</w:t>
            </w:r>
          </w:p>
        </w:tc>
        <w:tc>
          <w:tcPr>
            <w:tcW w:w="1277" w:type="dxa"/>
            <w:shd w:val="clear" w:color="auto" w:fill="C6EFCE"/>
            <w:noWrap/>
            <w:vAlign w:val="center"/>
          </w:tcPr>
          <w:p w14:paraId="09BDEC5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415" w:type="dxa"/>
            <w:shd w:val="clear" w:color="auto" w:fill="C6EFCE"/>
            <w:noWrap/>
            <w:vAlign w:val="center"/>
          </w:tcPr>
          <w:p w14:paraId="56208DE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Arv</w:t>
            </w:r>
          </w:p>
        </w:tc>
        <w:tc>
          <w:tcPr>
            <w:tcW w:w="1021" w:type="dxa"/>
            <w:shd w:val="clear" w:color="auto" w:fill="C6EFCE"/>
            <w:noWrap/>
            <w:vAlign w:val="center"/>
          </w:tcPr>
          <w:p w14:paraId="39F1085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0</w:t>
            </w:r>
          </w:p>
        </w:tc>
        <w:tc>
          <w:tcPr>
            <w:tcW w:w="1418" w:type="dxa"/>
            <w:shd w:val="clear" w:color="auto" w:fill="C6EFCE"/>
            <w:noWrap/>
            <w:vAlign w:val="center"/>
          </w:tcPr>
          <w:p w14:paraId="6EDA1CF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2 500</w:t>
            </w:r>
          </w:p>
        </w:tc>
        <w:tc>
          <w:tcPr>
            <w:tcW w:w="993" w:type="dxa"/>
            <w:shd w:val="clear" w:color="auto" w:fill="C6EFCE"/>
            <w:noWrap/>
            <w:vAlign w:val="center"/>
          </w:tcPr>
          <w:p w14:paraId="4096196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709" w:type="dxa"/>
            <w:shd w:val="clear" w:color="auto" w:fill="C6EFCE"/>
            <w:noWrap/>
            <w:vAlign w:val="center"/>
          </w:tcPr>
          <w:p w14:paraId="59587C9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2025</w:t>
            </w:r>
          </w:p>
        </w:tc>
        <w:tc>
          <w:tcPr>
            <w:tcW w:w="3854" w:type="dxa"/>
            <w:shd w:val="clear" w:color="auto" w:fill="C6EFCE"/>
            <w:noWrap/>
            <w:vAlign w:val="center"/>
          </w:tcPr>
          <w:p w14:paraId="32AFE12E" w14:textId="605FD49F"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Vähemalt 2 500 üldkasutatavat elektrisõidukite laadimise kiirpunkti kasutuselevõtmine vabateedel, mille võimsus on vähemalt 175 kW.</w:t>
            </w:r>
          </w:p>
        </w:tc>
      </w:tr>
      <w:tr w:rsidR="0084326C" w:rsidRPr="00D90835" w14:paraId="6BE58A75" w14:textId="77777777" w:rsidTr="00DC331B">
        <w:trPr>
          <w:trHeight w:val="309"/>
          <w:jc w:val="center"/>
        </w:trPr>
        <w:tc>
          <w:tcPr>
            <w:tcW w:w="1122" w:type="dxa"/>
            <w:shd w:val="clear" w:color="auto" w:fill="C6EFCE"/>
            <w:noWrap/>
            <w:vAlign w:val="center"/>
          </w:tcPr>
          <w:p w14:paraId="6116002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M2C2-29bis</w:t>
            </w:r>
          </w:p>
        </w:tc>
        <w:tc>
          <w:tcPr>
            <w:tcW w:w="1716" w:type="dxa"/>
            <w:shd w:val="clear" w:color="auto" w:fill="C6EFCE"/>
            <w:noWrap/>
            <w:vAlign w:val="center"/>
          </w:tcPr>
          <w:p w14:paraId="2410DD2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4.3. Laadimistaristu paigaldamine</w:t>
            </w:r>
          </w:p>
        </w:tc>
        <w:tc>
          <w:tcPr>
            <w:tcW w:w="1131" w:type="dxa"/>
            <w:shd w:val="clear" w:color="auto" w:fill="C6EFCE"/>
            <w:noWrap/>
            <w:vAlign w:val="center"/>
          </w:tcPr>
          <w:p w14:paraId="36017DE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1418" w:type="dxa"/>
            <w:shd w:val="clear" w:color="auto" w:fill="C6EFCE"/>
            <w:noWrap/>
            <w:vAlign w:val="center"/>
          </w:tcPr>
          <w:p w14:paraId="72480B7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Kiirlaadimisjaamade arv linnapiirkondades</w:t>
            </w:r>
          </w:p>
        </w:tc>
        <w:tc>
          <w:tcPr>
            <w:tcW w:w="1277" w:type="dxa"/>
            <w:shd w:val="clear" w:color="auto" w:fill="C6EFCE"/>
            <w:noWrap/>
            <w:vAlign w:val="center"/>
          </w:tcPr>
          <w:p w14:paraId="50ECBA6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415" w:type="dxa"/>
            <w:shd w:val="clear" w:color="auto" w:fill="C6EFCE"/>
            <w:noWrap/>
            <w:vAlign w:val="center"/>
          </w:tcPr>
          <w:p w14:paraId="24B904E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Arv</w:t>
            </w:r>
          </w:p>
        </w:tc>
        <w:tc>
          <w:tcPr>
            <w:tcW w:w="1021" w:type="dxa"/>
            <w:shd w:val="clear" w:color="auto" w:fill="C6EFCE"/>
            <w:noWrap/>
            <w:vAlign w:val="center"/>
          </w:tcPr>
          <w:p w14:paraId="68FCC2F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0</w:t>
            </w:r>
          </w:p>
        </w:tc>
        <w:tc>
          <w:tcPr>
            <w:tcW w:w="1418" w:type="dxa"/>
            <w:shd w:val="clear" w:color="auto" w:fill="C6EFCE"/>
            <w:noWrap/>
            <w:vAlign w:val="center"/>
          </w:tcPr>
          <w:p w14:paraId="43D0636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4 700</w:t>
            </w:r>
          </w:p>
        </w:tc>
        <w:tc>
          <w:tcPr>
            <w:tcW w:w="993" w:type="dxa"/>
            <w:shd w:val="clear" w:color="auto" w:fill="C6EFCE"/>
            <w:noWrap/>
            <w:vAlign w:val="center"/>
          </w:tcPr>
          <w:p w14:paraId="2C82794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709" w:type="dxa"/>
            <w:shd w:val="clear" w:color="auto" w:fill="C6EFCE"/>
            <w:noWrap/>
            <w:vAlign w:val="center"/>
          </w:tcPr>
          <w:p w14:paraId="2473733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2025</w:t>
            </w:r>
          </w:p>
        </w:tc>
        <w:tc>
          <w:tcPr>
            <w:tcW w:w="3854" w:type="dxa"/>
            <w:shd w:val="clear" w:color="auto" w:fill="C6EFCE"/>
            <w:noWrap/>
            <w:vAlign w:val="center"/>
          </w:tcPr>
          <w:p w14:paraId="7C18817C" w14:textId="03C5E601"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Linnapiirkondades (kõigis omavalitsustes) võetakse kasutusele vähemalt 4 700 avalikku elektrisõidukite laadimise kiirtaristu punkti, mille võimsus on vähemalt 90 kW.</w:t>
            </w:r>
          </w:p>
          <w:p w14:paraId="532C7732"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Projekt võib hõlmata ka energia salvestamiseks mõeldud katselaadimisjaamu.</w:t>
            </w:r>
          </w:p>
        </w:tc>
      </w:tr>
      <w:tr w:rsidR="0084326C" w:rsidRPr="00D90835" w14:paraId="7EE3FF39" w14:textId="77777777" w:rsidTr="00DC331B">
        <w:trPr>
          <w:trHeight w:val="309"/>
          <w:jc w:val="center"/>
        </w:trPr>
        <w:tc>
          <w:tcPr>
            <w:tcW w:w="1122" w:type="dxa"/>
            <w:shd w:val="clear" w:color="auto" w:fill="C6EFCE"/>
            <w:noWrap/>
            <w:vAlign w:val="center"/>
          </w:tcPr>
          <w:p w14:paraId="5FFDADC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M2C2-30</w:t>
            </w:r>
          </w:p>
        </w:tc>
        <w:tc>
          <w:tcPr>
            <w:tcW w:w="1716" w:type="dxa"/>
            <w:shd w:val="clear" w:color="auto" w:fill="C6EFCE"/>
            <w:noWrap/>
            <w:vAlign w:val="center"/>
          </w:tcPr>
          <w:p w14:paraId="22008E2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4.3. Laadimistaristute paigaldamine</w:t>
            </w:r>
          </w:p>
        </w:tc>
        <w:tc>
          <w:tcPr>
            <w:tcW w:w="1131" w:type="dxa"/>
            <w:shd w:val="clear" w:color="auto" w:fill="C6EFCE"/>
            <w:noWrap/>
            <w:vAlign w:val="center"/>
          </w:tcPr>
          <w:p w14:paraId="0A592B8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1418" w:type="dxa"/>
            <w:shd w:val="clear" w:color="auto" w:fill="C6EFCE"/>
            <w:noWrap/>
            <w:vAlign w:val="center"/>
          </w:tcPr>
          <w:p w14:paraId="19E6D17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Kiirlaadimisjaamade arv vabateedel</w:t>
            </w:r>
          </w:p>
        </w:tc>
        <w:tc>
          <w:tcPr>
            <w:tcW w:w="1277" w:type="dxa"/>
            <w:shd w:val="clear" w:color="auto" w:fill="C6EFCE"/>
            <w:noWrap/>
            <w:vAlign w:val="center"/>
          </w:tcPr>
          <w:p w14:paraId="46FDFD99" w14:textId="77777777" w:rsidR="0084326C" w:rsidRPr="005D68A0" w:rsidRDefault="0084326C">
            <w:pPr>
              <w:spacing w:line="276" w:lineRule="auto"/>
              <w:jc w:val="center"/>
              <w:rPr>
                <w:rFonts w:ascii="Arial Narrow" w:hAnsi="Arial Narrow"/>
                <w:noProof/>
                <w:color w:val="006100"/>
                <w:sz w:val="20"/>
                <w:szCs w:val="20"/>
                <w:lang w:val="en-GB"/>
              </w:rPr>
            </w:pPr>
          </w:p>
        </w:tc>
        <w:tc>
          <w:tcPr>
            <w:tcW w:w="1415" w:type="dxa"/>
            <w:shd w:val="clear" w:color="auto" w:fill="C6EFCE"/>
            <w:noWrap/>
            <w:vAlign w:val="center"/>
          </w:tcPr>
          <w:p w14:paraId="18F6A1B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Arv</w:t>
            </w:r>
          </w:p>
        </w:tc>
        <w:tc>
          <w:tcPr>
            <w:tcW w:w="1021" w:type="dxa"/>
            <w:shd w:val="clear" w:color="auto" w:fill="C6EFCE"/>
            <w:noWrap/>
            <w:vAlign w:val="center"/>
          </w:tcPr>
          <w:p w14:paraId="48A78A41" w14:textId="73C386D5"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2 500</w:t>
            </w:r>
          </w:p>
        </w:tc>
        <w:tc>
          <w:tcPr>
            <w:tcW w:w="1418" w:type="dxa"/>
            <w:shd w:val="clear" w:color="auto" w:fill="C6EFCE"/>
            <w:noWrap/>
            <w:vAlign w:val="center"/>
          </w:tcPr>
          <w:p w14:paraId="5E6FBB1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7 500</w:t>
            </w:r>
          </w:p>
        </w:tc>
        <w:tc>
          <w:tcPr>
            <w:tcW w:w="993" w:type="dxa"/>
            <w:shd w:val="clear" w:color="auto" w:fill="C6EFCE"/>
            <w:noWrap/>
            <w:vAlign w:val="center"/>
          </w:tcPr>
          <w:p w14:paraId="7F69A5F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709" w:type="dxa"/>
            <w:shd w:val="clear" w:color="auto" w:fill="C6EFCE"/>
            <w:noWrap/>
            <w:vAlign w:val="center"/>
          </w:tcPr>
          <w:p w14:paraId="1310E68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2025</w:t>
            </w:r>
          </w:p>
        </w:tc>
        <w:tc>
          <w:tcPr>
            <w:tcW w:w="3854" w:type="dxa"/>
            <w:shd w:val="clear" w:color="auto" w:fill="C6EFCE"/>
            <w:noWrap/>
            <w:vAlign w:val="center"/>
          </w:tcPr>
          <w:p w14:paraId="0A695F68" w14:textId="6A07ECF5"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Vähemalt 7 500 üldkasutatavat elektrisõidukite laadimise kiirpunkti kasutuselevõtmine vabateedel, mille võimsus on vähemalt 175 kW.</w:t>
            </w:r>
          </w:p>
          <w:p w14:paraId="077DC465"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Projekt võib hõlmata ka energia salvestamiseks mõeldud pilootlaadimisjaamu</w:t>
            </w:r>
          </w:p>
        </w:tc>
      </w:tr>
      <w:tr w:rsidR="0084326C" w:rsidRPr="00D90835" w14:paraId="1BD90DCB" w14:textId="77777777" w:rsidTr="00DC331B">
        <w:trPr>
          <w:trHeight w:val="309"/>
          <w:jc w:val="center"/>
        </w:trPr>
        <w:tc>
          <w:tcPr>
            <w:tcW w:w="1122" w:type="dxa"/>
            <w:shd w:val="clear" w:color="auto" w:fill="C6EFCE"/>
            <w:noWrap/>
            <w:vAlign w:val="center"/>
          </w:tcPr>
          <w:p w14:paraId="0BC3382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M2C2-30bis</w:t>
            </w:r>
          </w:p>
        </w:tc>
        <w:tc>
          <w:tcPr>
            <w:tcW w:w="1716" w:type="dxa"/>
            <w:shd w:val="clear" w:color="auto" w:fill="C6EFCE"/>
            <w:noWrap/>
            <w:vAlign w:val="center"/>
          </w:tcPr>
          <w:p w14:paraId="5B4EE39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4.3. Laadimistaristute paigaldamine</w:t>
            </w:r>
          </w:p>
        </w:tc>
        <w:tc>
          <w:tcPr>
            <w:tcW w:w="1131" w:type="dxa"/>
            <w:shd w:val="clear" w:color="auto" w:fill="C6EFCE"/>
            <w:noWrap/>
            <w:vAlign w:val="center"/>
          </w:tcPr>
          <w:p w14:paraId="7C7E48D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1418" w:type="dxa"/>
            <w:shd w:val="clear" w:color="auto" w:fill="C6EFCE"/>
            <w:noWrap/>
            <w:vAlign w:val="center"/>
          </w:tcPr>
          <w:p w14:paraId="13BD14E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Kiirlaadimisjaamade arv linnapiirkondades</w:t>
            </w:r>
          </w:p>
        </w:tc>
        <w:tc>
          <w:tcPr>
            <w:tcW w:w="1277" w:type="dxa"/>
            <w:shd w:val="clear" w:color="auto" w:fill="C6EFCE"/>
            <w:noWrap/>
            <w:vAlign w:val="center"/>
          </w:tcPr>
          <w:p w14:paraId="57D8CA8C" w14:textId="77777777" w:rsidR="0084326C" w:rsidRPr="005D68A0" w:rsidRDefault="0084326C">
            <w:pPr>
              <w:spacing w:line="276" w:lineRule="auto"/>
              <w:jc w:val="center"/>
              <w:rPr>
                <w:rFonts w:ascii="Arial Narrow" w:hAnsi="Arial Narrow"/>
                <w:noProof/>
                <w:color w:val="006100"/>
                <w:sz w:val="20"/>
                <w:szCs w:val="20"/>
                <w:lang w:val="en-GB"/>
              </w:rPr>
            </w:pPr>
          </w:p>
        </w:tc>
        <w:tc>
          <w:tcPr>
            <w:tcW w:w="1415" w:type="dxa"/>
            <w:shd w:val="clear" w:color="auto" w:fill="C6EFCE"/>
            <w:noWrap/>
            <w:vAlign w:val="center"/>
          </w:tcPr>
          <w:p w14:paraId="32DF3FC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Arv</w:t>
            </w:r>
          </w:p>
        </w:tc>
        <w:tc>
          <w:tcPr>
            <w:tcW w:w="1021" w:type="dxa"/>
            <w:shd w:val="clear" w:color="auto" w:fill="C6EFCE"/>
            <w:noWrap/>
            <w:vAlign w:val="center"/>
          </w:tcPr>
          <w:p w14:paraId="399E130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4 700</w:t>
            </w:r>
          </w:p>
        </w:tc>
        <w:tc>
          <w:tcPr>
            <w:tcW w:w="1418" w:type="dxa"/>
            <w:shd w:val="clear" w:color="auto" w:fill="C6EFCE"/>
            <w:noWrap/>
            <w:vAlign w:val="center"/>
          </w:tcPr>
          <w:p w14:paraId="004DB33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13 755</w:t>
            </w:r>
          </w:p>
        </w:tc>
        <w:tc>
          <w:tcPr>
            <w:tcW w:w="993" w:type="dxa"/>
            <w:shd w:val="clear" w:color="auto" w:fill="C6EFCE"/>
            <w:noWrap/>
            <w:vAlign w:val="center"/>
          </w:tcPr>
          <w:p w14:paraId="3FE00DA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709" w:type="dxa"/>
            <w:shd w:val="clear" w:color="auto" w:fill="C6EFCE"/>
            <w:noWrap/>
            <w:vAlign w:val="center"/>
          </w:tcPr>
          <w:p w14:paraId="1177C77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2025</w:t>
            </w:r>
          </w:p>
        </w:tc>
        <w:tc>
          <w:tcPr>
            <w:tcW w:w="3854" w:type="dxa"/>
            <w:shd w:val="clear" w:color="auto" w:fill="C6EFCE"/>
            <w:noWrap/>
            <w:vAlign w:val="center"/>
          </w:tcPr>
          <w:p w14:paraId="3B2CBAC9" w14:textId="06E8964A"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Vähemalt 13 755 üldkasutatavat elektrisõidukite laadimise kiirtaristu punkti töölerakendamine linnapiirkondades võimsusega vähemalt 90 kW.</w:t>
            </w:r>
          </w:p>
          <w:p w14:paraId="3E068996"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Projekt võib hõlmata ka energia salvestamiseks mõeldud katselaadimisjaamu.</w:t>
            </w:r>
          </w:p>
        </w:tc>
      </w:tr>
      <w:tr w:rsidR="0084326C" w:rsidRPr="00D90835" w14:paraId="2184405E" w14:textId="77777777" w:rsidTr="00DC331B">
        <w:trPr>
          <w:trHeight w:val="309"/>
          <w:jc w:val="center"/>
        </w:trPr>
        <w:tc>
          <w:tcPr>
            <w:tcW w:w="1122" w:type="dxa"/>
            <w:shd w:val="clear" w:color="auto" w:fill="C6EFCE"/>
            <w:noWrap/>
            <w:vAlign w:val="center"/>
          </w:tcPr>
          <w:p w14:paraId="70F2F77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M2C2-30ter</w:t>
            </w:r>
          </w:p>
        </w:tc>
        <w:tc>
          <w:tcPr>
            <w:tcW w:w="1716" w:type="dxa"/>
            <w:shd w:val="clear" w:color="auto" w:fill="C6EFCE"/>
            <w:noWrap/>
            <w:vAlign w:val="center"/>
          </w:tcPr>
          <w:p w14:paraId="340C7E7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4.3. Laadimistaristute paigaldamine</w:t>
            </w:r>
          </w:p>
        </w:tc>
        <w:tc>
          <w:tcPr>
            <w:tcW w:w="1131" w:type="dxa"/>
            <w:shd w:val="clear" w:color="auto" w:fill="C6EFCE"/>
            <w:noWrap/>
            <w:vAlign w:val="center"/>
          </w:tcPr>
          <w:p w14:paraId="5E5BE31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1418" w:type="dxa"/>
            <w:shd w:val="clear" w:color="auto" w:fill="C6EFCE"/>
            <w:noWrap/>
            <w:vAlign w:val="center"/>
          </w:tcPr>
          <w:p w14:paraId="0624812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Kiirlaadimisjaamade arv</w:t>
            </w:r>
          </w:p>
        </w:tc>
        <w:tc>
          <w:tcPr>
            <w:tcW w:w="1277" w:type="dxa"/>
            <w:shd w:val="clear" w:color="auto" w:fill="C6EFCE"/>
            <w:noWrap/>
            <w:vAlign w:val="center"/>
          </w:tcPr>
          <w:p w14:paraId="417AFEFF" w14:textId="77777777" w:rsidR="0084326C" w:rsidRPr="005D68A0" w:rsidRDefault="0084326C">
            <w:pPr>
              <w:spacing w:line="276" w:lineRule="auto"/>
              <w:jc w:val="center"/>
              <w:rPr>
                <w:rFonts w:ascii="Arial Narrow" w:hAnsi="Arial Narrow"/>
                <w:noProof/>
                <w:color w:val="006100"/>
                <w:sz w:val="20"/>
                <w:szCs w:val="20"/>
                <w:lang w:val="en-GB"/>
              </w:rPr>
            </w:pPr>
          </w:p>
        </w:tc>
        <w:tc>
          <w:tcPr>
            <w:tcW w:w="1415" w:type="dxa"/>
            <w:shd w:val="clear" w:color="auto" w:fill="C6EFCE"/>
            <w:noWrap/>
            <w:vAlign w:val="center"/>
          </w:tcPr>
          <w:p w14:paraId="269549F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Arv</w:t>
            </w:r>
          </w:p>
        </w:tc>
        <w:tc>
          <w:tcPr>
            <w:tcW w:w="1021" w:type="dxa"/>
            <w:shd w:val="clear" w:color="auto" w:fill="C6EFCE"/>
            <w:noWrap/>
            <w:vAlign w:val="center"/>
          </w:tcPr>
          <w:p w14:paraId="48434D9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0</w:t>
            </w:r>
          </w:p>
        </w:tc>
        <w:tc>
          <w:tcPr>
            <w:tcW w:w="1418" w:type="dxa"/>
            <w:shd w:val="clear" w:color="auto" w:fill="C6EFCE"/>
            <w:noWrap/>
            <w:vAlign w:val="center"/>
          </w:tcPr>
          <w:p w14:paraId="590470E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100</w:t>
            </w:r>
          </w:p>
        </w:tc>
        <w:tc>
          <w:tcPr>
            <w:tcW w:w="993" w:type="dxa"/>
            <w:shd w:val="clear" w:color="auto" w:fill="C6EFCE"/>
            <w:noWrap/>
            <w:vAlign w:val="center"/>
          </w:tcPr>
          <w:p w14:paraId="1A6CEA2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709" w:type="dxa"/>
            <w:shd w:val="clear" w:color="auto" w:fill="C6EFCE"/>
            <w:noWrap/>
            <w:vAlign w:val="center"/>
          </w:tcPr>
          <w:p w14:paraId="5F5E7FA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2025</w:t>
            </w:r>
          </w:p>
        </w:tc>
        <w:tc>
          <w:tcPr>
            <w:tcW w:w="3854" w:type="dxa"/>
            <w:shd w:val="clear" w:color="auto" w:fill="C6EFCE"/>
            <w:noWrap/>
            <w:vAlign w:val="center"/>
          </w:tcPr>
          <w:p w14:paraId="4754F693"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Vähemalt 100 salvestusseadmega ühendatud katselise laadimisjaama kasutuselevõtmine</w:t>
            </w:r>
          </w:p>
        </w:tc>
      </w:tr>
      <w:tr w:rsidR="0084326C" w:rsidRPr="00D90835" w14:paraId="645B3D8D" w14:textId="77777777" w:rsidTr="00DC331B">
        <w:trPr>
          <w:trHeight w:val="309"/>
          <w:jc w:val="center"/>
        </w:trPr>
        <w:tc>
          <w:tcPr>
            <w:tcW w:w="1122" w:type="dxa"/>
            <w:shd w:val="clear" w:color="auto" w:fill="C6EFCE"/>
            <w:noWrap/>
            <w:vAlign w:val="center"/>
          </w:tcPr>
          <w:p w14:paraId="69A61D4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M2C2-33</w:t>
            </w:r>
          </w:p>
        </w:tc>
        <w:tc>
          <w:tcPr>
            <w:tcW w:w="1716" w:type="dxa"/>
            <w:shd w:val="clear" w:color="auto" w:fill="C6EFCE"/>
            <w:noWrap/>
            <w:vAlign w:val="center"/>
          </w:tcPr>
          <w:p w14:paraId="24BD2EE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 xml:space="preserve">Investeering 4.4.2. </w:t>
            </w:r>
            <w:r>
              <w:rPr>
                <w:rFonts w:ascii="Arial Narrow" w:hAnsi="Arial Narrow"/>
                <w:noProof/>
                <w:sz w:val="20"/>
              </w:rPr>
              <w:t xml:space="preserve"> </w:t>
            </w:r>
            <w:r>
              <w:rPr>
                <w:rFonts w:ascii="Arial Narrow" w:hAnsi="Arial Narrow"/>
                <w:noProof/>
                <w:color w:val="006100"/>
                <w:sz w:val="20"/>
              </w:rPr>
              <w:t>Heitevabade rongide ja universaalteenusega piirkondliku ühistranspordi raudteepargi tugevdamine</w:t>
            </w:r>
          </w:p>
        </w:tc>
        <w:tc>
          <w:tcPr>
            <w:tcW w:w="1131" w:type="dxa"/>
            <w:shd w:val="clear" w:color="auto" w:fill="C6EFCE"/>
            <w:noWrap/>
            <w:vAlign w:val="center"/>
          </w:tcPr>
          <w:p w14:paraId="08BD9AD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vAlign w:val="center"/>
          </w:tcPr>
          <w:p w14:paraId="6CEA80D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Kõigi riigihankelepingute sõlmimine piirkondliku ühistranspordisüsteemi tugevdamiseks heitevabade rongide ja universaalteenusega</w:t>
            </w:r>
          </w:p>
        </w:tc>
        <w:tc>
          <w:tcPr>
            <w:tcW w:w="1277" w:type="dxa"/>
            <w:shd w:val="clear" w:color="auto" w:fill="C6EFCE"/>
            <w:noWrap/>
            <w:vAlign w:val="center"/>
          </w:tcPr>
          <w:p w14:paraId="7B5DF4F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Kõigi piirkondliku ühistranspordi raudteepargi heitevabasid ronge ja universaalteenust käsitlevate riigihankelepingute sõlmimise kohta teatamine</w:t>
            </w:r>
          </w:p>
        </w:tc>
        <w:tc>
          <w:tcPr>
            <w:tcW w:w="1415" w:type="dxa"/>
            <w:shd w:val="clear" w:color="auto" w:fill="C6EFCE"/>
            <w:noWrap/>
            <w:vAlign w:val="center"/>
          </w:tcPr>
          <w:p w14:paraId="5E8CD7B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21" w:type="dxa"/>
            <w:shd w:val="clear" w:color="auto" w:fill="C6EFCE"/>
            <w:noWrap/>
            <w:vAlign w:val="center"/>
          </w:tcPr>
          <w:p w14:paraId="5C3B814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418" w:type="dxa"/>
            <w:shd w:val="clear" w:color="auto" w:fill="C6EFCE"/>
            <w:noWrap/>
            <w:vAlign w:val="center"/>
          </w:tcPr>
          <w:p w14:paraId="71DB9B2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noWrap/>
            <w:vAlign w:val="center"/>
          </w:tcPr>
          <w:p w14:paraId="10DBBB2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 kv</w:t>
            </w:r>
          </w:p>
        </w:tc>
        <w:tc>
          <w:tcPr>
            <w:tcW w:w="709" w:type="dxa"/>
            <w:shd w:val="clear" w:color="auto" w:fill="C6EFCE"/>
            <w:noWrap/>
            <w:vAlign w:val="center"/>
          </w:tcPr>
          <w:p w14:paraId="58A8740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2023</w:t>
            </w:r>
          </w:p>
        </w:tc>
        <w:tc>
          <w:tcPr>
            <w:tcW w:w="3854" w:type="dxa"/>
            <w:shd w:val="clear" w:color="auto" w:fill="C6EFCE"/>
            <w:noWrap/>
            <w:vAlign w:val="center"/>
          </w:tcPr>
          <w:p w14:paraId="51772F37"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Kõigi laadimistaristute paigaldamist käsitlevate riigihankelepingute sõlmimise kohta teatamine</w:t>
            </w:r>
            <w:r w:rsidRPr="005D68A0">
              <w:rPr>
                <w:rStyle w:val="FootnoteReference"/>
                <w:rFonts w:ascii="Arial Narrow" w:hAnsi="Arial Narrow"/>
                <w:noProof/>
                <w:color w:val="006100"/>
                <w:sz w:val="20"/>
                <w:szCs w:val="20"/>
                <w:lang w:val="en-GB"/>
              </w:rPr>
              <w:footnoteReference w:id="49"/>
            </w:r>
            <w:r>
              <w:rPr>
                <w:rFonts w:ascii="Arial Narrow" w:hAnsi="Arial Narrow"/>
                <w:noProof/>
                <w:color w:val="006100"/>
                <w:sz w:val="20"/>
              </w:rPr>
              <w:t>.</w:t>
            </w:r>
          </w:p>
        </w:tc>
      </w:tr>
      <w:tr w:rsidR="0084326C" w:rsidRPr="00D90835" w14:paraId="08BF8EB6" w14:textId="77777777" w:rsidTr="00DC331B">
        <w:trPr>
          <w:trHeight w:val="309"/>
          <w:jc w:val="center"/>
        </w:trPr>
        <w:tc>
          <w:tcPr>
            <w:tcW w:w="1122" w:type="dxa"/>
            <w:shd w:val="clear" w:color="auto" w:fill="C6EFCE"/>
            <w:noWrap/>
            <w:vAlign w:val="center"/>
          </w:tcPr>
          <w:p w14:paraId="1B552BA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M2C2-37</w:t>
            </w:r>
          </w:p>
        </w:tc>
        <w:tc>
          <w:tcPr>
            <w:tcW w:w="1716" w:type="dxa"/>
            <w:shd w:val="clear" w:color="auto" w:fill="C6EFCE"/>
            <w:noWrap/>
            <w:vAlign w:val="center"/>
          </w:tcPr>
          <w:p w14:paraId="2D779E6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Reform 5. Arukamad menetlused projektide hindamiseks paiksete seadmetega kohalike ühistranspordisüsteemide sektoris ja kiires massitranspordisektoris</w:t>
            </w:r>
          </w:p>
        </w:tc>
        <w:tc>
          <w:tcPr>
            <w:tcW w:w="1131" w:type="dxa"/>
            <w:shd w:val="clear" w:color="auto" w:fill="C6EFCE"/>
            <w:noWrap/>
            <w:vAlign w:val="center"/>
          </w:tcPr>
          <w:p w14:paraId="6105746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vAlign w:val="center"/>
          </w:tcPr>
          <w:p w14:paraId="294F146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Dekreetseaduse jõustumine</w:t>
            </w:r>
          </w:p>
        </w:tc>
        <w:tc>
          <w:tcPr>
            <w:tcW w:w="1277" w:type="dxa"/>
            <w:shd w:val="clear" w:color="auto" w:fill="C6EFCE"/>
            <w:noWrap/>
            <w:vAlign w:val="center"/>
          </w:tcPr>
          <w:p w14:paraId="59CE280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 xml:space="preserve">Dekreetseaduse jõustumisele viitav õigusnorm </w:t>
            </w:r>
          </w:p>
        </w:tc>
        <w:tc>
          <w:tcPr>
            <w:tcW w:w="1415" w:type="dxa"/>
            <w:shd w:val="clear" w:color="auto" w:fill="C6EFCE"/>
            <w:noWrap/>
            <w:vAlign w:val="center"/>
          </w:tcPr>
          <w:p w14:paraId="54E27D5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21" w:type="dxa"/>
            <w:shd w:val="clear" w:color="auto" w:fill="C6EFCE"/>
            <w:noWrap/>
            <w:vAlign w:val="center"/>
          </w:tcPr>
          <w:p w14:paraId="0FF05D6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418" w:type="dxa"/>
            <w:shd w:val="clear" w:color="auto" w:fill="C6EFCE"/>
            <w:noWrap/>
            <w:vAlign w:val="center"/>
          </w:tcPr>
          <w:p w14:paraId="133C4BF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noWrap/>
            <w:vAlign w:val="center"/>
          </w:tcPr>
          <w:p w14:paraId="0B3A9C1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709" w:type="dxa"/>
            <w:shd w:val="clear" w:color="auto" w:fill="C6EFCE"/>
            <w:noWrap/>
            <w:vAlign w:val="center"/>
          </w:tcPr>
          <w:p w14:paraId="62821C8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2021</w:t>
            </w:r>
          </w:p>
        </w:tc>
        <w:tc>
          <w:tcPr>
            <w:tcW w:w="3854" w:type="dxa"/>
            <w:shd w:val="clear" w:color="auto" w:fill="C6EFCE"/>
            <w:noWrap/>
            <w:vAlign w:val="center"/>
          </w:tcPr>
          <w:p w14:paraId="348C6305"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Dekreetseadusega lihtsustatakse kohaliku ühistranspordi projektide hindamiskriteeriume ning kiirendatakse kavandamis- ja loamenetlust.</w:t>
            </w:r>
          </w:p>
        </w:tc>
      </w:tr>
      <w:tr w:rsidR="0084326C" w:rsidRPr="00D90835" w14:paraId="33E7C4B7" w14:textId="77777777" w:rsidTr="00DC331B">
        <w:trPr>
          <w:trHeight w:val="309"/>
          <w:jc w:val="center"/>
        </w:trPr>
        <w:tc>
          <w:tcPr>
            <w:tcW w:w="1122" w:type="dxa"/>
            <w:shd w:val="clear" w:color="auto" w:fill="C6EFCE"/>
            <w:noWrap/>
            <w:vAlign w:val="center"/>
          </w:tcPr>
          <w:p w14:paraId="37D2921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M2C2-38</w:t>
            </w:r>
          </w:p>
        </w:tc>
        <w:tc>
          <w:tcPr>
            <w:tcW w:w="1716" w:type="dxa"/>
            <w:shd w:val="clear" w:color="auto" w:fill="C6EFCE"/>
            <w:noWrap/>
            <w:vAlign w:val="center"/>
          </w:tcPr>
          <w:p w14:paraId="243A67A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5.1. Taastuvenergia ja akud</w:t>
            </w:r>
          </w:p>
        </w:tc>
        <w:tc>
          <w:tcPr>
            <w:tcW w:w="1131" w:type="dxa"/>
            <w:shd w:val="clear" w:color="auto" w:fill="C6EFCE"/>
            <w:noWrap/>
            <w:vAlign w:val="center"/>
          </w:tcPr>
          <w:p w14:paraId="6FA6299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vAlign w:val="center"/>
          </w:tcPr>
          <w:p w14:paraId="5497204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Ministri määruse jõustumine</w:t>
            </w:r>
          </w:p>
        </w:tc>
        <w:tc>
          <w:tcPr>
            <w:tcW w:w="1277" w:type="dxa"/>
            <w:shd w:val="clear" w:color="auto" w:fill="C6EFCE"/>
            <w:noWrap/>
            <w:vAlign w:val="center"/>
          </w:tcPr>
          <w:p w14:paraId="44BD750B" w14:textId="3E913243"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 xml:space="preserve">Ministri dekreedi jõustumisele viitav seadusesäte </w:t>
            </w:r>
          </w:p>
        </w:tc>
        <w:tc>
          <w:tcPr>
            <w:tcW w:w="1415" w:type="dxa"/>
            <w:shd w:val="clear" w:color="auto" w:fill="C6EFCE"/>
            <w:noWrap/>
            <w:vAlign w:val="center"/>
          </w:tcPr>
          <w:p w14:paraId="3340048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21" w:type="dxa"/>
            <w:shd w:val="clear" w:color="auto" w:fill="C6EFCE"/>
            <w:noWrap/>
            <w:vAlign w:val="center"/>
          </w:tcPr>
          <w:p w14:paraId="39F9BD1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418" w:type="dxa"/>
            <w:shd w:val="clear" w:color="auto" w:fill="C6EFCE"/>
            <w:noWrap/>
            <w:vAlign w:val="center"/>
          </w:tcPr>
          <w:p w14:paraId="3CD7778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noWrap/>
            <w:vAlign w:val="center"/>
          </w:tcPr>
          <w:p w14:paraId="3111C9B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 kv</w:t>
            </w:r>
          </w:p>
        </w:tc>
        <w:tc>
          <w:tcPr>
            <w:tcW w:w="709" w:type="dxa"/>
            <w:shd w:val="clear" w:color="auto" w:fill="C6EFCE"/>
            <w:noWrap/>
            <w:vAlign w:val="center"/>
          </w:tcPr>
          <w:p w14:paraId="1274507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2022</w:t>
            </w:r>
          </w:p>
        </w:tc>
        <w:tc>
          <w:tcPr>
            <w:tcW w:w="3854" w:type="dxa"/>
            <w:shd w:val="clear" w:color="auto" w:fill="C6EFCE"/>
            <w:noWrap/>
            <w:vAlign w:val="center"/>
          </w:tcPr>
          <w:p w14:paraId="1340B18A"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Ministri dekreedis määratakse kindlaks olemasolevate vahendite summa, abisaajate juurdepääsunõuded, programmide ja projektide abikõlblikkuse tingimused, abikõlblikud kulud ning abi vorm ja osatähtsus tõhusate fotoelektriliste paneelide ja akude arendamiseks.</w:t>
            </w:r>
          </w:p>
        </w:tc>
      </w:tr>
      <w:tr w:rsidR="0084326C" w:rsidRPr="00D90835" w14:paraId="42C8AF1E" w14:textId="77777777" w:rsidTr="00DC331B">
        <w:trPr>
          <w:trHeight w:val="309"/>
          <w:jc w:val="center"/>
        </w:trPr>
        <w:tc>
          <w:tcPr>
            <w:tcW w:w="1122" w:type="dxa"/>
            <w:shd w:val="clear" w:color="auto" w:fill="C6EFCE"/>
            <w:noWrap/>
            <w:vAlign w:val="center"/>
          </w:tcPr>
          <w:p w14:paraId="5D72623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M2C2-41</w:t>
            </w:r>
          </w:p>
        </w:tc>
        <w:tc>
          <w:tcPr>
            <w:tcW w:w="1716" w:type="dxa"/>
            <w:shd w:val="clear" w:color="auto" w:fill="C6EFCE"/>
            <w:noWrap/>
            <w:vAlign w:val="center"/>
          </w:tcPr>
          <w:p w14:paraId="082DD71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5.3. Elektribussid</w:t>
            </w:r>
          </w:p>
        </w:tc>
        <w:tc>
          <w:tcPr>
            <w:tcW w:w="1131" w:type="dxa"/>
            <w:shd w:val="clear" w:color="auto" w:fill="C6EFCE"/>
            <w:noWrap/>
            <w:vAlign w:val="center"/>
          </w:tcPr>
          <w:p w14:paraId="61A1F07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vAlign w:val="center"/>
          </w:tcPr>
          <w:p w14:paraId="1C92CDE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Ministri määruse jõustumine, millega määratakse kindlaks sekkumise eesmärgi saavutamiseks kasutada olevad vahendid (kasutatakse ära tarneahel)</w:t>
            </w:r>
          </w:p>
        </w:tc>
        <w:tc>
          <w:tcPr>
            <w:tcW w:w="1277" w:type="dxa"/>
            <w:shd w:val="clear" w:color="auto" w:fill="C6EFCE"/>
            <w:noWrap/>
            <w:vAlign w:val="center"/>
          </w:tcPr>
          <w:p w14:paraId="46F244D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Ministri määruse jõustumisele viitav säte</w:t>
            </w:r>
          </w:p>
        </w:tc>
        <w:tc>
          <w:tcPr>
            <w:tcW w:w="1415" w:type="dxa"/>
            <w:shd w:val="clear" w:color="auto" w:fill="C6EFCE"/>
            <w:noWrap/>
            <w:vAlign w:val="center"/>
          </w:tcPr>
          <w:p w14:paraId="5747430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21" w:type="dxa"/>
            <w:shd w:val="clear" w:color="auto" w:fill="C6EFCE"/>
            <w:noWrap/>
            <w:vAlign w:val="center"/>
          </w:tcPr>
          <w:p w14:paraId="63E3E88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418" w:type="dxa"/>
            <w:shd w:val="clear" w:color="auto" w:fill="C6EFCE"/>
            <w:noWrap/>
            <w:vAlign w:val="center"/>
          </w:tcPr>
          <w:p w14:paraId="395C02E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noWrap/>
            <w:vAlign w:val="center"/>
          </w:tcPr>
          <w:p w14:paraId="19E7D71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709" w:type="dxa"/>
            <w:shd w:val="clear" w:color="auto" w:fill="C6EFCE"/>
            <w:noWrap/>
            <w:vAlign w:val="center"/>
          </w:tcPr>
          <w:p w14:paraId="6E338DA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2021</w:t>
            </w:r>
          </w:p>
        </w:tc>
        <w:tc>
          <w:tcPr>
            <w:tcW w:w="3854" w:type="dxa"/>
            <w:shd w:val="clear" w:color="auto" w:fill="C6EFCE"/>
            <w:noWrap/>
            <w:vAlign w:val="center"/>
          </w:tcPr>
          <w:p w14:paraId="4ACD587E"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Ministri käskkirjas määratakse kindlaks umbes 45 tööstusliku ümberkujundamise projekti elluviimiseks kasutada olevad vahendid „Arengulepingute“ kaudu.</w:t>
            </w:r>
          </w:p>
        </w:tc>
      </w:tr>
      <w:tr w:rsidR="0084326C" w:rsidRPr="00D90835" w14:paraId="307E97C2" w14:textId="77777777" w:rsidTr="00DC331B">
        <w:trPr>
          <w:trHeight w:val="7425"/>
          <w:jc w:val="center"/>
        </w:trPr>
        <w:tc>
          <w:tcPr>
            <w:tcW w:w="1122" w:type="dxa"/>
            <w:shd w:val="clear" w:color="auto" w:fill="C6EFCE"/>
            <w:noWrap/>
            <w:vAlign w:val="center"/>
          </w:tcPr>
          <w:p w14:paraId="27F2E77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M2C2-42</w:t>
            </w:r>
          </w:p>
        </w:tc>
        <w:tc>
          <w:tcPr>
            <w:tcW w:w="1716" w:type="dxa"/>
            <w:shd w:val="clear" w:color="auto" w:fill="C6EFCE"/>
            <w:noWrap/>
            <w:vAlign w:val="center"/>
          </w:tcPr>
          <w:p w14:paraId="2CA6AAB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5.4. Toetus ökoloogilise üleminekuga tegelevatele idufirmadele ja riskikapitalile</w:t>
            </w:r>
          </w:p>
        </w:tc>
        <w:tc>
          <w:tcPr>
            <w:tcW w:w="1131" w:type="dxa"/>
            <w:shd w:val="clear" w:color="auto" w:fill="C6EFCE"/>
            <w:noWrap/>
            <w:vAlign w:val="center"/>
          </w:tcPr>
          <w:p w14:paraId="10EF998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vAlign w:val="center"/>
          </w:tcPr>
          <w:p w14:paraId="52E0A2B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Finantslepingu allkirjastamine</w:t>
            </w:r>
          </w:p>
        </w:tc>
        <w:tc>
          <w:tcPr>
            <w:tcW w:w="1277" w:type="dxa"/>
            <w:shd w:val="clear" w:color="auto" w:fill="C6EFCE"/>
            <w:noWrap/>
            <w:vAlign w:val="center"/>
          </w:tcPr>
          <w:p w14:paraId="0ECFDAF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Finantslepingu allkirjastamisest teatamine</w:t>
            </w:r>
          </w:p>
        </w:tc>
        <w:tc>
          <w:tcPr>
            <w:tcW w:w="1415" w:type="dxa"/>
            <w:shd w:val="clear" w:color="auto" w:fill="C6EFCE"/>
            <w:noWrap/>
            <w:vAlign w:val="center"/>
          </w:tcPr>
          <w:p w14:paraId="5710194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21" w:type="dxa"/>
            <w:shd w:val="clear" w:color="auto" w:fill="C6EFCE"/>
            <w:noWrap/>
            <w:vAlign w:val="center"/>
          </w:tcPr>
          <w:p w14:paraId="1FA7D4E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418" w:type="dxa"/>
            <w:shd w:val="clear" w:color="auto" w:fill="C6EFCE"/>
            <w:noWrap/>
            <w:vAlign w:val="center"/>
          </w:tcPr>
          <w:p w14:paraId="049F564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noWrap/>
            <w:vAlign w:val="center"/>
          </w:tcPr>
          <w:p w14:paraId="6FBE53C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 kv</w:t>
            </w:r>
          </w:p>
        </w:tc>
        <w:tc>
          <w:tcPr>
            <w:tcW w:w="709" w:type="dxa"/>
            <w:shd w:val="clear" w:color="auto" w:fill="C6EFCE"/>
            <w:noWrap/>
            <w:vAlign w:val="center"/>
          </w:tcPr>
          <w:p w14:paraId="73A220D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2022</w:t>
            </w:r>
          </w:p>
        </w:tc>
        <w:tc>
          <w:tcPr>
            <w:tcW w:w="3854" w:type="dxa"/>
            <w:shd w:val="clear" w:color="auto" w:fill="C6EFCE"/>
            <w:noWrap/>
            <w:vAlign w:val="center"/>
          </w:tcPr>
          <w:p w14:paraId="2DD39115"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Rahastamislepingus sätestatakse kaudsed investeeringud riskikapitalifondide valitsejate rahastamisse koos investeeringute ja ettevõtete/idufirmadega kooskõlas rohelisele majandusele ülemineku eesmärkidega, et suurendada teadlaste ja idufirmade jaoks kättesaadavat kapitali, tugevdada aktiivsete riskikapitalifondide tegevust, arendada uusi ja innovaatilisi ettevõtteid partnerluses äriühingutega.</w:t>
            </w:r>
          </w:p>
          <w:p w14:paraId="2871A188" w14:textId="77777777" w:rsidR="0084326C" w:rsidRPr="00F33804" w:rsidRDefault="0084326C">
            <w:pPr>
              <w:spacing w:after="120"/>
              <w:rPr>
                <w:rFonts w:ascii="Arial Narrow" w:hAnsi="Arial Narrow"/>
                <w:noProof/>
                <w:color w:val="006100"/>
                <w:sz w:val="20"/>
                <w:szCs w:val="20"/>
              </w:rPr>
            </w:pPr>
          </w:p>
          <w:p w14:paraId="2A4E9C26"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Rahastamisleping sisaldab järgmist:</w:t>
            </w:r>
          </w:p>
          <w:p w14:paraId="24C92B0F" w14:textId="77777777" w:rsidR="0084326C" w:rsidRPr="005D68A0" w:rsidRDefault="0084326C">
            <w:pPr>
              <w:pStyle w:val="ListParagraph"/>
              <w:numPr>
                <w:ilvl w:val="0"/>
                <w:numId w:val="69"/>
              </w:numPr>
              <w:spacing w:before="0"/>
              <w:ind w:left="296"/>
              <w:contextualSpacing w:val="0"/>
              <w:jc w:val="left"/>
              <w:rPr>
                <w:rFonts w:ascii="Arial Narrow" w:hAnsi="Arial Narrow"/>
                <w:noProof/>
                <w:color w:val="006100"/>
                <w:sz w:val="20"/>
                <w:szCs w:val="20"/>
              </w:rPr>
            </w:pPr>
            <w:r>
              <w:rPr>
                <w:rFonts w:ascii="Arial Narrow" w:hAnsi="Arial Narrow"/>
                <w:noProof/>
                <w:color w:val="006100"/>
                <w:sz w:val="20"/>
              </w:rPr>
              <w:t>investeerimispoliitika,</w:t>
            </w:r>
          </w:p>
          <w:p w14:paraId="54859C57" w14:textId="77777777" w:rsidR="0084326C" w:rsidRPr="005D68A0" w:rsidRDefault="0084326C">
            <w:pPr>
              <w:pStyle w:val="ListParagraph"/>
              <w:numPr>
                <w:ilvl w:val="0"/>
                <w:numId w:val="69"/>
              </w:numPr>
              <w:spacing w:before="0"/>
              <w:ind w:left="296"/>
              <w:contextualSpacing w:val="0"/>
              <w:jc w:val="left"/>
              <w:rPr>
                <w:rFonts w:ascii="Arial Narrow" w:hAnsi="Arial Narrow"/>
                <w:noProof/>
                <w:color w:val="006100"/>
                <w:sz w:val="20"/>
                <w:szCs w:val="20"/>
              </w:rPr>
            </w:pPr>
            <w:r>
              <w:rPr>
                <w:rFonts w:ascii="Arial Narrow" w:hAnsi="Arial Narrow"/>
                <w:noProof/>
                <w:color w:val="006100"/>
                <w:sz w:val="20"/>
              </w:rPr>
              <w:t>rahastamiskõlblikkuse kriteeriumid,</w:t>
            </w:r>
          </w:p>
          <w:p w14:paraId="24CB90CC"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käesoleva meetme raames toetatud tehingute vastavus tehnilisele juhendile „Mitte tekitada olulist kahju“ (2021/C58/01), kasutades jätkusuutlikkuse hindamist, erandite loetelu ning asjaomaste ELi ja riiklike keskkonnaalaste õigusaktide järgimise nõuet.</w:t>
            </w:r>
          </w:p>
        </w:tc>
      </w:tr>
    </w:tbl>
    <w:p w14:paraId="0390C96B" w14:textId="77777777" w:rsidR="0084326C" w:rsidRPr="00F33804" w:rsidRDefault="0084326C" w:rsidP="0084326C">
      <w:pPr>
        <w:spacing w:before="120" w:after="120"/>
        <w:ind w:left="709"/>
        <w:jc w:val="both"/>
        <w:rPr>
          <w:noProof/>
        </w:rPr>
      </w:pPr>
    </w:p>
    <w:p w14:paraId="648BBC79" w14:textId="77777777" w:rsidR="0084326C" w:rsidRPr="00F33804" w:rsidRDefault="0084326C" w:rsidP="0084326C">
      <w:pPr>
        <w:spacing w:before="120" w:after="120"/>
        <w:ind w:left="709"/>
        <w:jc w:val="both"/>
        <w:rPr>
          <w:noProof/>
        </w:rPr>
        <w:sectPr w:rsidR="0084326C" w:rsidRPr="00F33804">
          <w:headerReference w:type="even" r:id="rId146"/>
          <w:headerReference w:type="default" r:id="rId147"/>
          <w:footerReference w:type="even" r:id="rId148"/>
          <w:footerReference w:type="default" r:id="rId149"/>
          <w:headerReference w:type="first" r:id="rId150"/>
          <w:footerReference w:type="first" r:id="rId151"/>
          <w:pgSz w:w="16839" w:h="11907" w:orient="landscape"/>
          <w:pgMar w:top="1134" w:right="1134" w:bottom="1134" w:left="1134" w:header="567" w:footer="567" w:gutter="0"/>
          <w:cols w:space="720"/>
          <w:docGrid w:linePitch="360"/>
        </w:sectPr>
      </w:pPr>
    </w:p>
    <w:p w14:paraId="5FCA6D69" w14:textId="77777777" w:rsidR="0084326C" w:rsidRPr="005D68A0" w:rsidRDefault="0084326C" w:rsidP="0084326C">
      <w:pPr>
        <w:pStyle w:val="Heading3"/>
        <w:numPr>
          <w:ilvl w:val="0"/>
          <w:numId w:val="0"/>
        </w:numPr>
        <w:ind w:left="850" w:hanging="850"/>
        <w:rPr>
          <w:b/>
          <w:bCs w:val="0"/>
          <w:i w:val="0"/>
          <w:iCs/>
          <w:noProof/>
          <w:color w:val="4472C4" w:themeColor="accent1"/>
          <w:u w:val="single"/>
        </w:rPr>
      </w:pPr>
      <w:r>
        <w:rPr>
          <w:b/>
          <w:i w:val="0"/>
          <w:noProof/>
          <w:u w:val="single"/>
        </w:rPr>
        <w:t xml:space="preserve">E.3. </w:t>
      </w:r>
      <w:r>
        <w:rPr>
          <w:noProof/>
        </w:rPr>
        <w:tab/>
      </w:r>
      <w:r>
        <w:rPr>
          <w:b/>
          <w:i w:val="0"/>
          <w:noProof/>
          <w:u w:val="single"/>
        </w:rPr>
        <w:t xml:space="preserve">Laenuga seotud reformide ja investeeringute kirjeldus </w:t>
      </w:r>
    </w:p>
    <w:p w14:paraId="73D42DDB" w14:textId="77777777" w:rsidR="0084326C" w:rsidRPr="005D68A0" w:rsidRDefault="0084326C" w:rsidP="0084326C">
      <w:pPr>
        <w:spacing w:before="120" w:after="120"/>
        <w:jc w:val="both"/>
        <w:rPr>
          <w:b/>
          <w:noProof/>
        </w:rPr>
      </w:pPr>
      <w:r>
        <w:rPr>
          <w:b/>
          <w:noProof/>
        </w:rPr>
        <w:t>Investeering 1.1. Põllumajanduslike vulkaaniliste süsteemide arendamine</w:t>
      </w:r>
    </w:p>
    <w:p w14:paraId="2DF02D29" w14:textId="77777777" w:rsidR="0084326C" w:rsidRPr="005D68A0" w:rsidRDefault="0084326C" w:rsidP="0084326C">
      <w:pPr>
        <w:spacing w:before="120" w:after="120"/>
        <w:jc w:val="both"/>
        <w:rPr>
          <w:noProof/>
        </w:rPr>
      </w:pPr>
      <w:r>
        <w:rPr>
          <w:noProof/>
        </w:rPr>
        <w:t>Need investeeringud koosnevad toetustest ja laenudest, millega toetatakse investeeringuid põllumajanduslike vulkaaniliste süsteemide ehitamisse ja mõõtevahendite paigaldamisse, et jälgida aluseks olevat põllumajandustegevust, et hinnata mikrokliimat, vee säästmist, mullaviljakuse taastamist, kliimamuutustele vastupanu võimet ja põllumajanduse tootlikkust eri liiki põllukultuuride puhul.</w:t>
      </w:r>
    </w:p>
    <w:p w14:paraId="72014872" w14:textId="77777777" w:rsidR="0084326C" w:rsidRPr="005D68A0" w:rsidRDefault="0084326C" w:rsidP="0084326C">
      <w:pPr>
        <w:spacing w:before="120" w:after="120"/>
        <w:jc w:val="both"/>
        <w:rPr>
          <w:b/>
          <w:noProof/>
        </w:rPr>
      </w:pPr>
      <w:r>
        <w:rPr>
          <w:b/>
          <w:noProof/>
        </w:rPr>
        <w:t>Investeering 1.2. Taastuvenergia edendamine energiakogukondades ja koos omatarbeks toodetud taastuvenergia tarbijatega</w:t>
      </w:r>
    </w:p>
    <w:p w14:paraId="3645335A" w14:textId="5C284B47" w:rsidR="0084326C" w:rsidRPr="005D68A0" w:rsidRDefault="0084326C" w:rsidP="0084326C">
      <w:pPr>
        <w:spacing w:before="120" w:after="120"/>
        <w:jc w:val="both"/>
        <w:rPr>
          <w:noProof/>
        </w:rPr>
      </w:pPr>
      <w:r>
        <w:rPr>
          <w:noProof/>
        </w:rPr>
        <w:t>See investeering seisneb 1 730 MW uue elektritootmisvõimsuse paigaldamise toetamises kollektiivsete omatarbimise konfiguratsioonide ja taastuvenergiakogukondade jaoks, eelkõige omavalitsustes, mille elanikkond on alla 5 000 elaniku. Toetus põhineb toetustel taastuvate energiaallikate ja tootmisjaamade ehitamiseks, mis on ühendatud energiasalvestussüsteemidega.</w:t>
      </w:r>
    </w:p>
    <w:p w14:paraId="17CFD9F1" w14:textId="77777777" w:rsidR="0084326C" w:rsidRPr="005D68A0" w:rsidRDefault="0084326C" w:rsidP="0084326C">
      <w:pPr>
        <w:spacing w:before="120" w:after="120"/>
        <w:jc w:val="both"/>
        <w:rPr>
          <w:b/>
          <w:noProof/>
        </w:rPr>
      </w:pPr>
      <w:r>
        <w:rPr>
          <w:b/>
          <w:noProof/>
        </w:rPr>
        <w:t>Investeering 1.4. Biometaani arendamine vastavalt ringmajanduse edendamise kriteeriumidele</w:t>
      </w:r>
    </w:p>
    <w:p w14:paraId="1BE8A8A7" w14:textId="77777777" w:rsidR="0084326C" w:rsidRPr="005D68A0" w:rsidRDefault="0084326C" w:rsidP="0084326C">
      <w:pPr>
        <w:spacing w:before="120" w:after="120"/>
        <w:jc w:val="both"/>
        <w:rPr>
          <w:noProof/>
        </w:rPr>
      </w:pPr>
      <w:r>
        <w:rPr>
          <w:noProof/>
        </w:rPr>
        <w:t>Kõnealune investeering koosneb järgmisest:</w:t>
      </w:r>
    </w:p>
    <w:p w14:paraId="479AC7B0" w14:textId="77777777" w:rsidR="0084326C" w:rsidRPr="005D68A0" w:rsidRDefault="0084326C" w:rsidP="0084326C">
      <w:pPr>
        <w:numPr>
          <w:ilvl w:val="0"/>
          <w:numId w:val="67"/>
        </w:numPr>
        <w:spacing w:before="120" w:after="120" w:line="259" w:lineRule="auto"/>
        <w:ind w:left="360"/>
        <w:contextualSpacing/>
        <w:jc w:val="both"/>
        <w:rPr>
          <w:noProof/>
        </w:rPr>
      </w:pPr>
      <w:r>
        <w:rPr>
          <w:noProof/>
        </w:rPr>
        <w:t>Toetus biometaani tootmise uute tehaste ehitamiseks</w:t>
      </w:r>
    </w:p>
    <w:p w14:paraId="17EB8D8C" w14:textId="57799BE8" w:rsidR="0084326C" w:rsidRPr="005D68A0" w:rsidRDefault="0084326C" w:rsidP="0084326C">
      <w:pPr>
        <w:numPr>
          <w:ilvl w:val="0"/>
          <w:numId w:val="67"/>
        </w:numPr>
        <w:spacing w:before="120" w:after="120" w:line="259" w:lineRule="auto"/>
        <w:ind w:left="360"/>
        <w:contextualSpacing/>
        <w:jc w:val="both"/>
        <w:rPr>
          <w:noProof/>
        </w:rPr>
      </w:pPr>
      <w:r>
        <w:rPr>
          <w:noProof/>
        </w:rPr>
        <w:t xml:space="preserve">Olemasolevate põllumajanduslike biogaasitehaste (sealhulgas orgaaniliste tahkete olmejäätmete (FUSW)) ümberkorraldamine ja tõhususe parandamine biometaani tootmiseks transpordi, tööstuse ja kütte jaoks. </w:t>
      </w:r>
      <w:r w:rsidR="008F7E6C" w:rsidRPr="008F7E6C">
        <w:rPr>
          <w:noProof/>
        </w:rPr>
        <w:t>Biometaan peab vastama direktiivis 2018/2001 (II taastuvenergia direktiiv) sätestatud kriteeriumidele, et meede vastaks olulise kahju ärahoidmise põhimõttele ja määruse (EL) 2021/241 VI lisa joonealuse märkuse 8 asjakohastele nõuetele.</w:t>
      </w:r>
    </w:p>
    <w:p w14:paraId="42A1E8D5" w14:textId="77777777" w:rsidR="0084326C" w:rsidRPr="005D68A0" w:rsidRDefault="0084326C" w:rsidP="0084326C">
      <w:pPr>
        <w:numPr>
          <w:ilvl w:val="0"/>
          <w:numId w:val="67"/>
        </w:numPr>
        <w:spacing w:before="120" w:after="120" w:line="259" w:lineRule="auto"/>
        <w:ind w:left="360"/>
        <w:contextualSpacing/>
        <w:jc w:val="both"/>
        <w:rPr>
          <w:noProof/>
        </w:rPr>
      </w:pPr>
      <w:r>
        <w:rPr>
          <w:noProof/>
        </w:rPr>
        <w:t>Vananenud ja vähetõhusate mehaaniliste sõidukite asendamine üksnes biometaaniga käitatavate sõidukitega, mis vastavad direktiivis 2018/2001 (RED II direktiiv) sätestatud kriteeriumidele. Biokütuse ja biometaani ning gaasi ja biokütuse tootjad peavad esitama tõendid (säästvuse tõend), mille on välja andnud sõltumatud hindajad, nagu on sätestatud direktiivis 2018/2001. Käitajad ostavad päritolutagatise sertifikaadi, mis vastab eeldatavale kütusekasutusele.</w:t>
      </w:r>
    </w:p>
    <w:p w14:paraId="586E1D54" w14:textId="77777777" w:rsidR="0084326C" w:rsidRPr="005D68A0" w:rsidRDefault="0084326C" w:rsidP="0084326C">
      <w:pPr>
        <w:numPr>
          <w:ilvl w:val="0"/>
          <w:numId w:val="67"/>
        </w:numPr>
        <w:spacing w:before="120" w:after="120" w:line="259" w:lineRule="auto"/>
        <w:ind w:left="360"/>
        <w:contextualSpacing/>
        <w:jc w:val="both"/>
        <w:rPr>
          <w:noProof/>
        </w:rPr>
      </w:pPr>
      <w:r>
        <w:rPr>
          <w:noProof/>
        </w:rPr>
        <w:t>Ökoloogiliste tavade levitamine biogaasi tootmise etapis (minimaalse mullatöötluse kohad, uuenduslikud vähesaastavad süsteemid kääritussaaduse jaotamiseks).</w:t>
      </w:r>
    </w:p>
    <w:p w14:paraId="1367F337" w14:textId="77777777" w:rsidR="0084326C" w:rsidRPr="005D68A0" w:rsidRDefault="0084326C" w:rsidP="0084326C">
      <w:pPr>
        <w:spacing w:before="120" w:after="120"/>
        <w:jc w:val="both"/>
        <w:rPr>
          <w:b/>
          <w:noProof/>
        </w:rPr>
      </w:pPr>
      <w:r>
        <w:rPr>
          <w:b/>
          <w:noProof/>
        </w:rPr>
        <w:t>Investeering 2.1. Arukate võrkude tugevdamine</w:t>
      </w:r>
    </w:p>
    <w:p w14:paraId="15EA3457" w14:textId="77777777" w:rsidR="0084326C" w:rsidRPr="005D68A0" w:rsidRDefault="0084326C" w:rsidP="0084326C">
      <w:pPr>
        <w:spacing w:before="120" w:after="120"/>
        <w:jc w:val="both"/>
        <w:rPr>
          <w:noProof/>
        </w:rPr>
      </w:pPr>
      <w:r>
        <w:rPr>
          <w:noProof/>
        </w:rPr>
        <w:t>See investeering seisneb jaotusvõrkude ümberkujundamises ja haldamises, sekkudes nii elektrivõrku kui ka selle tarkvarakomponente, et võimaldada uusi energiaga seotud stsenaariume, milles saavad osaleda ka tarbijad ja tootvad tarbijad.</w:t>
      </w:r>
    </w:p>
    <w:p w14:paraId="54E6994A" w14:textId="77777777" w:rsidR="0084326C" w:rsidRPr="005D68A0" w:rsidRDefault="0084326C" w:rsidP="0084326C">
      <w:pPr>
        <w:spacing w:before="120" w:after="120"/>
        <w:jc w:val="both"/>
        <w:rPr>
          <w:b/>
          <w:noProof/>
        </w:rPr>
      </w:pPr>
      <w:r>
        <w:rPr>
          <w:b/>
          <w:noProof/>
        </w:rPr>
        <w:t>Investeering 2.2. Sekkumised elektrivõrgu vastupidavuse suurendamiseks</w:t>
      </w:r>
    </w:p>
    <w:p w14:paraId="2D9381C1" w14:textId="77777777" w:rsidR="0084326C" w:rsidRPr="005D68A0" w:rsidRDefault="0084326C" w:rsidP="0084326C">
      <w:pPr>
        <w:spacing w:before="120" w:after="120"/>
        <w:jc w:val="both"/>
        <w:rPr>
          <w:noProof/>
        </w:rPr>
      </w:pPr>
      <w:r>
        <w:rPr>
          <w:noProof/>
        </w:rPr>
        <w:t>See investeering seisneb sekkumises, mille eesmärk on parandada elektrivõrgu vastupidavust äärmuslikele ilmastikunähtustele (tuule-/langevad puud, jää, kuumalained, üleujutus- ja hüdrogeoloogiline oht), eelkõige jaotusvõrgule, ning vähendada elektritarnete pikaajalise katkemise tõenäosust ning negatiivseid sotsiaalseid ja majanduslikke tagajärgi mõjutatud piirkondadele.</w:t>
      </w:r>
    </w:p>
    <w:p w14:paraId="0EE582BD" w14:textId="77777777" w:rsidR="0084326C" w:rsidRPr="005D68A0" w:rsidRDefault="0084326C" w:rsidP="0084326C">
      <w:pPr>
        <w:spacing w:before="120" w:after="120"/>
        <w:jc w:val="both"/>
        <w:rPr>
          <w:b/>
          <w:noProof/>
        </w:rPr>
      </w:pPr>
      <w:r>
        <w:rPr>
          <w:b/>
          <w:noProof/>
        </w:rPr>
        <w:t>Investeering 3.1. Vesiniku tootmine mahajäetud tööstusaladel (Hydrogen Valleys)</w:t>
      </w:r>
    </w:p>
    <w:p w14:paraId="15D533ED" w14:textId="77777777" w:rsidR="0084326C" w:rsidRPr="005D68A0" w:rsidRDefault="0084326C" w:rsidP="0084326C">
      <w:pPr>
        <w:spacing w:before="120" w:after="120"/>
        <w:jc w:val="both"/>
        <w:rPr>
          <w:noProof/>
        </w:rPr>
      </w:pPr>
      <w:r>
        <w:rPr>
          <w:noProof/>
        </w:rPr>
        <w:t>See investeering seisneb rohelise vesiniku kohaliku tootmise ja kasutamise toetamises tööstuses, väikestes ja keskmise suurusega ettevõtetes ning kohalikus transpordis, luues seega uued vesiniku orud, mis asuvad peamiselt Lõuna-Itaalias, koos kohaliku tootmisega taastuvatest energiaallikatest ja kohaliku kasutamisega. Projekti eesmärk on mahajäetud tööstuspiirkondade taaskasutamine, et katsetada samas tööstusruumis ja rajatistes või naaberpiirkondades asuvatest kohalikest taastuvenergiajaamadest vesiniku tootmise seadmeid. Selle meetmega toetatakse elektrolüüsil põhinevat vesinikutootmist, kasutades direktiivis (EL) 2018/2001 (taastuvenergia direktiiv) määratletud taastuvaid energiaallikaid, või võrguelektri tootmist.</w:t>
      </w:r>
    </w:p>
    <w:p w14:paraId="2F35C578" w14:textId="77777777" w:rsidR="0084326C" w:rsidRPr="005D68A0" w:rsidRDefault="0084326C" w:rsidP="0084326C">
      <w:pPr>
        <w:spacing w:before="120" w:after="120"/>
        <w:jc w:val="both"/>
        <w:rPr>
          <w:b/>
          <w:noProof/>
        </w:rPr>
      </w:pPr>
      <w:r>
        <w:rPr>
          <w:b/>
          <w:noProof/>
        </w:rPr>
        <w:t>Investeering 3.2. Vesiniku kasutamine raskesti amortiseeritavas tööstuses</w:t>
      </w:r>
    </w:p>
    <w:p w14:paraId="3CE5532D" w14:textId="19F207FD" w:rsidR="0084326C" w:rsidRPr="005D68A0" w:rsidRDefault="0084326C" w:rsidP="0084326C">
      <w:pPr>
        <w:spacing w:before="120" w:after="120"/>
        <w:jc w:val="both"/>
        <w:rPr>
          <w:b/>
          <w:noProof/>
        </w:rPr>
      </w:pPr>
      <w:r>
        <w:rPr>
          <w:noProof/>
        </w:rPr>
        <w:t>See investeering seisneb teadus- ja arendustegevuse ning innovatsiooni toetamises tööstusprotsessides, eesmärgiga töötada välja algatused vesiniku kasutamiseks tööstussektorites, kus metaani kasutatakse soojusenergia energiaallikana (tsement, paberitööstused, keraamika, klaasitööstus jne). Fossiilkütuste sektor, näiteks naftarafineerimistehased, ei ole toetuskõlblikud. Selle meetmega toetatakse elektrolüüsil põhinevat vesinikutootmist, kasutades direktiivis (EL)</w:t>
      </w:r>
      <w:r w:rsidR="00B62B71">
        <w:rPr>
          <w:noProof/>
        </w:rPr>
        <w:t> </w:t>
      </w:r>
      <w:r>
        <w:rPr>
          <w:noProof/>
        </w:rPr>
        <w:t>2018/2001 (taastuvenergia direktiiv) määratletud taastuvaid energiaallikaid, või võrguelektri tootmist.</w:t>
      </w:r>
      <w:r>
        <w:rPr>
          <w:b/>
          <w:noProof/>
        </w:rPr>
        <w:t xml:space="preserve"> </w:t>
      </w:r>
    </w:p>
    <w:p w14:paraId="44B4C33C" w14:textId="77777777" w:rsidR="0084326C" w:rsidRPr="005D68A0" w:rsidRDefault="0084326C" w:rsidP="0084326C">
      <w:pPr>
        <w:spacing w:before="120" w:after="120"/>
        <w:jc w:val="both"/>
        <w:rPr>
          <w:noProof/>
        </w:rPr>
      </w:pPr>
      <w:r>
        <w:rPr>
          <w:noProof/>
        </w:rPr>
        <w:t>Tagamaks, et meede on kooskõlas olulise kahju ärahoidmise põhimõttega taaste- ja vastupidavusrahastu raames, nagu on sätestatud põhimõtte „ei kahjusta oluliselt“ tehnilistes suunistes (2021/C58/01), jäetakse tulevaste projektikonkursside rahastamiskõlblikkuse kriteeriumidest välja ELi heitkogustega kauplemise süsteemi (HKS) alla kuuluvad tegevused, millega saavutatakse prognoositud kasvuhoonegaaside heide, mis ei ole väiksem kui asjaomased võrdlusalused. Kui tegevuse prognoositav kasvuhoonegaaside heide ei ole asjaomasest võrdlusalusest oluliselt väiksem, kuid on sellest siiski väiksem, tuleks esitada selgitus põhjuste kohta, miks kasvuhoonegaaside heidet ei olnud võimalik rohkem vähendada. Saastekvootide tasuta eraldamise võrdlusalused saastekvootidega kauplemise süsteemi kohaldamisalasse kuuluvate tegevuste jaoks on sätestatud komisjoni rakendusmääruses (EL) 2021/447.</w:t>
      </w:r>
    </w:p>
    <w:p w14:paraId="65B29F20" w14:textId="77777777" w:rsidR="0084326C" w:rsidRPr="005D68A0" w:rsidRDefault="0084326C" w:rsidP="0084326C">
      <w:pPr>
        <w:spacing w:before="120" w:after="120"/>
        <w:jc w:val="both"/>
        <w:rPr>
          <w:b/>
          <w:noProof/>
        </w:rPr>
      </w:pPr>
      <w:r>
        <w:rPr>
          <w:b/>
          <w:noProof/>
        </w:rPr>
        <w:t>Investeering 3.3. Vesinikukatsed maanteetranspordis</w:t>
      </w:r>
    </w:p>
    <w:p w14:paraId="108F6FA9" w14:textId="77777777" w:rsidR="0084326C" w:rsidRPr="005D68A0" w:rsidRDefault="0084326C" w:rsidP="0084326C">
      <w:pPr>
        <w:spacing w:before="120" w:after="120"/>
        <w:jc w:val="both"/>
        <w:rPr>
          <w:noProof/>
        </w:rPr>
      </w:pPr>
      <w:r>
        <w:rPr>
          <w:noProof/>
        </w:rPr>
        <w:t xml:space="preserve">See investeering seisneb vähemalt 40 vesinikul töötava tankla rajamises kiirtee teenindusaladel, logistikaladudes ja sadamates vastavalt alternatiivkütuste taristut käsitleva direktiivi 2014/94 nõuetele. </w:t>
      </w:r>
    </w:p>
    <w:p w14:paraId="69BB627C" w14:textId="77777777" w:rsidR="0084326C" w:rsidRPr="005D68A0" w:rsidRDefault="0084326C" w:rsidP="0084326C">
      <w:pPr>
        <w:spacing w:before="120" w:after="120"/>
        <w:jc w:val="both"/>
        <w:rPr>
          <w:b/>
          <w:noProof/>
        </w:rPr>
      </w:pPr>
      <w:r>
        <w:rPr>
          <w:b/>
          <w:noProof/>
        </w:rPr>
        <w:t>Investeering 3.4. Vesinikukatsed raudteetranspordi valdkonnas</w:t>
      </w:r>
    </w:p>
    <w:p w14:paraId="54BE22CF" w14:textId="77777777" w:rsidR="0084326C" w:rsidRPr="005D68A0" w:rsidRDefault="0084326C" w:rsidP="0084326C">
      <w:pPr>
        <w:spacing w:before="120" w:after="120"/>
        <w:jc w:val="both"/>
        <w:rPr>
          <w:noProof/>
        </w:rPr>
      </w:pPr>
      <w:r>
        <w:rPr>
          <w:noProof/>
        </w:rPr>
        <w:t xml:space="preserve">See investeering hõlmab vähemalt kümne vesinikul põhineva raudtee tankla ehitamist vähemalt kuuele raudteeliinile. Rongide vesinikutanklad ehitatakse eelistatavalt kohalike taastuvallikatest toodetud vesiniku tootmiskohtade ja/või kiirteedel asuvate vesinikutanklate lähedusse.  </w:t>
      </w:r>
    </w:p>
    <w:p w14:paraId="1D4A5164" w14:textId="77777777" w:rsidR="0084326C" w:rsidRPr="005D68A0" w:rsidRDefault="0084326C" w:rsidP="0084326C">
      <w:pPr>
        <w:spacing w:before="120" w:after="120"/>
        <w:jc w:val="both"/>
        <w:rPr>
          <w:b/>
          <w:noProof/>
        </w:rPr>
      </w:pPr>
      <w:r>
        <w:rPr>
          <w:b/>
          <w:noProof/>
        </w:rPr>
        <w:t>Investeering 3.5. Vesinikualane teadus- ja arendustegevus</w:t>
      </w:r>
    </w:p>
    <w:p w14:paraId="47213C46" w14:textId="77777777" w:rsidR="0084326C" w:rsidRPr="005D68A0" w:rsidRDefault="0084326C" w:rsidP="0084326C">
      <w:pPr>
        <w:spacing w:before="120" w:after="120" w:line="246" w:lineRule="auto"/>
        <w:jc w:val="both"/>
        <w:rPr>
          <w:noProof/>
        </w:rPr>
      </w:pPr>
      <w:r>
        <w:rPr>
          <w:noProof/>
        </w:rPr>
        <w:t>See investeering seisneb vesinikualase teadus- ja arendustegevuse toetamises järgmistes valdkondades:</w:t>
      </w:r>
    </w:p>
    <w:p w14:paraId="61122630" w14:textId="77777777" w:rsidR="0084326C" w:rsidRPr="005D68A0" w:rsidRDefault="0084326C" w:rsidP="0084326C">
      <w:pPr>
        <w:numPr>
          <w:ilvl w:val="0"/>
          <w:numId w:val="68"/>
        </w:numPr>
        <w:spacing w:before="120" w:after="120" w:line="246" w:lineRule="auto"/>
        <w:ind w:left="360"/>
        <w:contextualSpacing/>
        <w:jc w:val="both"/>
        <w:rPr>
          <w:noProof/>
        </w:rPr>
      </w:pPr>
      <w:r>
        <w:rPr>
          <w:noProof/>
        </w:rPr>
        <w:t>Keskkonnahoidliku ja puhta vesiniku tootmine</w:t>
      </w:r>
    </w:p>
    <w:p w14:paraId="104FFAB3" w14:textId="77777777" w:rsidR="0084326C" w:rsidRPr="005D68A0" w:rsidRDefault="0084326C" w:rsidP="0084326C">
      <w:pPr>
        <w:numPr>
          <w:ilvl w:val="0"/>
          <w:numId w:val="68"/>
        </w:numPr>
        <w:spacing w:before="120" w:after="120" w:line="246" w:lineRule="auto"/>
        <w:ind w:left="360"/>
        <w:contextualSpacing/>
        <w:jc w:val="both"/>
        <w:rPr>
          <w:noProof/>
        </w:rPr>
      </w:pPr>
      <w:r>
        <w:rPr>
          <w:noProof/>
        </w:rPr>
        <w:t>Uuenduslikud tehnoloogialahendused vesiniku säilitamiseks, transportimiseks ja muundamiseks derivaatideks ja e-kütusteks</w:t>
      </w:r>
    </w:p>
    <w:p w14:paraId="675150C9" w14:textId="77777777" w:rsidR="0084326C" w:rsidRPr="005D68A0" w:rsidRDefault="0084326C" w:rsidP="0084326C">
      <w:pPr>
        <w:numPr>
          <w:ilvl w:val="0"/>
          <w:numId w:val="68"/>
        </w:numPr>
        <w:spacing w:before="120" w:after="120" w:line="246" w:lineRule="auto"/>
        <w:ind w:left="360"/>
        <w:contextualSpacing/>
        <w:jc w:val="both"/>
        <w:rPr>
          <w:noProof/>
        </w:rPr>
      </w:pPr>
      <w:r>
        <w:rPr>
          <w:noProof/>
        </w:rPr>
        <w:t>Kütuseelemendid paikseks kasutamiseks ja liikuvuseks</w:t>
      </w:r>
    </w:p>
    <w:p w14:paraId="35950BDB" w14:textId="77777777" w:rsidR="0084326C" w:rsidRPr="005D68A0" w:rsidRDefault="0084326C" w:rsidP="0084326C">
      <w:pPr>
        <w:numPr>
          <w:ilvl w:val="0"/>
          <w:numId w:val="68"/>
        </w:numPr>
        <w:spacing w:before="120" w:after="120" w:line="246" w:lineRule="auto"/>
        <w:ind w:left="360"/>
        <w:contextualSpacing/>
        <w:jc w:val="both"/>
        <w:rPr>
          <w:noProof/>
        </w:rPr>
      </w:pPr>
      <w:r>
        <w:rPr>
          <w:noProof/>
        </w:rPr>
        <w:t xml:space="preserve">Integreeritud arukad juhtimissüsteemid, et suurendada intelligentsete vesinikupõhiste taristute vastupidavust ja usaldusväärsust </w:t>
      </w:r>
    </w:p>
    <w:p w14:paraId="31F4AC6C" w14:textId="67CD1DAB" w:rsidR="0084326C" w:rsidRPr="005D68A0" w:rsidRDefault="0084326C" w:rsidP="0084326C">
      <w:pPr>
        <w:spacing w:before="120" w:after="120"/>
        <w:jc w:val="both"/>
        <w:rPr>
          <w:noProof/>
        </w:rPr>
      </w:pPr>
      <w:r>
        <w:rPr>
          <w:noProof/>
        </w:rPr>
        <w:t>Selle meetmega toetatakse vesiniku tootmist elektrolüüsi teel, kasutades direktiivis (EL) 2018/2001 (taastuvenergia direktiiv) määratletud taastuvaid energiaallikaid või võrguelektrit, või vesinikuga seotud tegevust, mis vastab nõudele vähendada kasvuhoonegaaside heidet olelusringi jooksul vesiniku puhul 73,4 %, mille tulemusel on olelusringi jooksul tekkiv kasvuhoonegaaside heide väiksem kui 3tCO2e/tH2 ja vesinikupõhiste sünteetiliste kütuste puhul 70 % võrreldes fossiilkütusega, mille võrdlusväärtus on 94 g CO2e/MJ, analoogselt direktiivi (EL) 2018/2001 artikli 25 lõikes 2 ja V lisas sätestatud lähenemisviisiga.</w:t>
      </w:r>
    </w:p>
    <w:p w14:paraId="1287793D" w14:textId="20798956" w:rsidR="0084326C" w:rsidRPr="005D68A0" w:rsidRDefault="0084326C" w:rsidP="0084326C">
      <w:pPr>
        <w:spacing w:after="120"/>
        <w:jc w:val="both"/>
        <w:rPr>
          <w:b/>
          <w:noProof/>
        </w:rPr>
      </w:pPr>
      <w:r>
        <w:rPr>
          <w:b/>
          <w:noProof/>
        </w:rPr>
        <w:t>Investeering 4.2. Masstranspordi kiirsüsteemide arendamine</w:t>
      </w:r>
    </w:p>
    <w:p w14:paraId="7242D001" w14:textId="77777777" w:rsidR="0084326C" w:rsidRPr="005D68A0" w:rsidRDefault="0084326C" w:rsidP="0084326C">
      <w:pPr>
        <w:spacing w:after="120"/>
        <w:jc w:val="both"/>
        <w:rPr>
          <w:noProof/>
        </w:rPr>
      </w:pPr>
      <w:r>
        <w:rPr>
          <w:noProof/>
        </w:rPr>
        <w:t xml:space="preserve">Meetme eesmärk on suurendada massitranspordisüsteemi kiiret kasutamist, soodustades üleminekut autotranspordilt ühistranspordile. </w:t>
      </w:r>
    </w:p>
    <w:p w14:paraId="0832B512" w14:textId="77777777" w:rsidR="0084326C" w:rsidRPr="005D68A0" w:rsidRDefault="0084326C" w:rsidP="0084326C">
      <w:pPr>
        <w:spacing w:after="120"/>
        <w:jc w:val="both"/>
        <w:rPr>
          <w:noProof/>
        </w:rPr>
      </w:pPr>
      <w:r>
        <w:rPr>
          <w:noProof/>
        </w:rPr>
        <w:t>Kõnealune investeering koosneb järgmisest:</w:t>
      </w:r>
    </w:p>
    <w:p w14:paraId="1C592D03" w14:textId="231D8479" w:rsidR="0084326C" w:rsidRPr="005D68A0" w:rsidRDefault="0084326C" w:rsidP="0084326C">
      <w:pPr>
        <w:numPr>
          <w:ilvl w:val="0"/>
          <w:numId w:val="98"/>
        </w:numPr>
        <w:spacing w:after="120"/>
        <w:ind w:right="4"/>
        <w:jc w:val="both"/>
        <w:rPr>
          <w:noProof/>
        </w:rPr>
      </w:pPr>
      <w:r>
        <w:rPr>
          <w:noProof/>
        </w:rPr>
        <w:t>Uute liinide ehitamine ja olemasolevate kiirtranspordisüsteemide liinide laiendamine vähemalt 231 km ulatuses. Projektide loetelu peab sisaldama vähemalt 96 km metrooradasid või trammiradasid ning vähemalt 135 km trollibussi- või bussi kiirsüsteemi (Bus Rapid Transport) või köisteid.</w:t>
      </w:r>
    </w:p>
    <w:p w14:paraId="24208BC8" w14:textId="2A429120" w:rsidR="0084326C" w:rsidRPr="005D68A0" w:rsidRDefault="0084326C" w:rsidP="0084326C">
      <w:pPr>
        <w:numPr>
          <w:ilvl w:val="0"/>
          <w:numId w:val="98"/>
        </w:numPr>
        <w:spacing w:after="120"/>
        <w:ind w:right="4"/>
        <w:jc w:val="both"/>
        <w:rPr>
          <w:noProof/>
        </w:rPr>
      </w:pPr>
      <w:r>
        <w:rPr>
          <w:noProof/>
        </w:rPr>
        <w:t>Kiirete massitranspordisüsteemide taristu ajakohastamine, mis võib hõlmata nende digiteerimist. Need sekkumised hõlmavad metroojaamade ja metrooteede taristu ajakohastamist, raudteede ja trammide signalisatsioonisüsteeme, avalikke transiidihoidlaid.</w:t>
      </w:r>
    </w:p>
    <w:p w14:paraId="0F9F3A45" w14:textId="77777777" w:rsidR="0084326C" w:rsidRPr="005D68A0" w:rsidRDefault="0084326C" w:rsidP="0084326C">
      <w:pPr>
        <w:numPr>
          <w:ilvl w:val="0"/>
          <w:numId w:val="98"/>
        </w:numPr>
        <w:spacing w:after="120"/>
        <w:ind w:right="4"/>
        <w:jc w:val="both"/>
        <w:rPr>
          <w:noProof/>
        </w:rPr>
      </w:pPr>
      <w:r>
        <w:rPr>
          <w:noProof/>
        </w:rPr>
        <w:t>Heitevaba veeremi ostmine kiirete massitranspordisüsteemide jaoks.</w:t>
      </w:r>
    </w:p>
    <w:p w14:paraId="3D38EC39" w14:textId="50F0EEDA" w:rsidR="0084326C" w:rsidRPr="005D68A0" w:rsidRDefault="0084326C" w:rsidP="00E71D73">
      <w:pPr>
        <w:pStyle w:val="ListParagraph"/>
        <w:numPr>
          <w:ilvl w:val="0"/>
          <w:numId w:val="98"/>
        </w:numPr>
        <w:spacing w:before="0"/>
        <w:rPr>
          <w:noProof/>
        </w:rPr>
      </w:pPr>
      <w:r>
        <w:rPr>
          <w:noProof/>
        </w:rPr>
        <w:t>Käesolev meede hõlmab vähemalt 28 meedet, mis on suunatud vähemalt Bari, Bergamo, Bologna, Catania, Firenze, Genova, Milano, Napoli, Padova, Perugia, Rimini, Rooma ja Taranto suurlinnapiirkondadele</w:t>
      </w:r>
      <w:r w:rsidRPr="005D68A0">
        <w:rPr>
          <w:rStyle w:val="FootnoteReference"/>
          <w:noProof/>
          <w:lang w:val="en-GB"/>
        </w:rPr>
        <w:footnoteReference w:id="50"/>
      </w:r>
      <w:r>
        <w:rPr>
          <w:noProof/>
        </w:rPr>
        <w:t xml:space="preserve">. </w:t>
      </w:r>
    </w:p>
    <w:p w14:paraId="4BCB2424" w14:textId="664C826B" w:rsidR="0084326C" w:rsidRPr="005D68A0" w:rsidRDefault="0084326C" w:rsidP="0084326C">
      <w:pPr>
        <w:spacing w:after="120"/>
        <w:ind w:right="4"/>
        <w:jc w:val="both"/>
        <w:rPr>
          <w:noProof/>
        </w:rPr>
      </w:pPr>
      <w:r>
        <w:rPr>
          <w:noProof/>
        </w:rPr>
        <w:t>Nii ehitamiseks kui ka uuendamiseks sobiv taristu (st metroorajad, trammiliinid, trollibussirajad, bussi kiirsüsteem või köisteed) peab võimaldama heitevaba veeremi käitamist. Investeering ei hõlma sekkumise kohaldamisalast väljapoole jäävate teede ehitamist või ajakohastamist, välja arvatud juhul, kui need on heitevaba veeremi käitamist võimaldava taristu lahutamatud osad.</w:t>
      </w:r>
    </w:p>
    <w:p w14:paraId="4B366653" w14:textId="77777777" w:rsidR="0084326C" w:rsidRPr="005D68A0" w:rsidRDefault="0084326C" w:rsidP="0084326C">
      <w:pPr>
        <w:spacing w:after="120"/>
        <w:jc w:val="both"/>
        <w:rPr>
          <w:b/>
          <w:noProof/>
        </w:rPr>
      </w:pPr>
      <w:bookmarkStart w:id="9" w:name="_Hlk151064119"/>
      <w:r>
        <w:rPr>
          <w:b/>
          <w:noProof/>
        </w:rPr>
        <w:t>Investeering 4.4.1. Piirkondliku ühistranspordi heitevaba bussipargi tugevdamine</w:t>
      </w:r>
    </w:p>
    <w:p w14:paraId="0100518D" w14:textId="5B8AFBF1" w:rsidR="0084326C" w:rsidRPr="005D68A0" w:rsidRDefault="0084326C" w:rsidP="0084326C">
      <w:pPr>
        <w:spacing w:after="120"/>
        <w:jc w:val="both"/>
        <w:rPr>
          <w:noProof/>
        </w:rPr>
      </w:pPr>
      <w:r>
        <w:rPr>
          <w:noProof/>
        </w:rPr>
        <w:t xml:space="preserve">See investeering hõlmab vähemalt 3 000 heiteta vähese põrandaga bussi ning vähemalt 1 000 heiteta ja vähese heitega vähese põrandaga busside laadimisjaama hankeid. Bussidel peavad olema digitaalsed funktsioonid. Nõuetele vastavad bussid on madala põrandaga (st nad kuuluvad ÜRO Euroopa Majanduskomisjoni standardite kohaselt M2- ja M3-kategooriasse) ning on kas elektri- või vesinikkütuseelement. </w:t>
      </w:r>
    </w:p>
    <w:bookmarkEnd w:id="9"/>
    <w:p w14:paraId="04454812" w14:textId="77777777" w:rsidR="0084326C" w:rsidRPr="005D68A0" w:rsidRDefault="0084326C" w:rsidP="0084326C">
      <w:pPr>
        <w:spacing w:before="120" w:after="120"/>
        <w:jc w:val="both"/>
        <w:rPr>
          <w:b/>
          <w:noProof/>
        </w:rPr>
      </w:pPr>
      <w:r>
        <w:rPr>
          <w:b/>
          <w:noProof/>
        </w:rPr>
        <w:t>Investeering 4.4.2. Piirkondliku ühistranspordi raudteepargi tõhustamine heitevabade rongide ja universaalteenustega</w:t>
      </w:r>
    </w:p>
    <w:p w14:paraId="70EA96B4" w14:textId="77777777" w:rsidR="0084326C" w:rsidRPr="005D68A0" w:rsidRDefault="0084326C" w:rsidP="0084326C">
      <w:pPr>
        <w:spacing w:before="120" w:after="120"/>
        <w:jc w:val="both"/>
        <w:rPr>
          <w:noProof/>
        </w:rPr>
      </w:pPr>
      <w:r>
        <w:rPr>
          <w:noProof/>
        </w:rPr>
        <w:t>See investeering hõlmab vähemalt 66 heitevaba reisirongi</w:t>
      </w:r>
      <w:r w:rsidRPr="005D68A0">
        <w:rPr>
          <w:rStyle w:val="FootnoteReference"/>
          <w:noProof/>
          <w:lang w:val="en-GB"/>
        </w:rPr>
        <w:footnoteReference w:id="51"/>
      </w:r>
      <w:r>
        <w:rPr>
          <w:noProof/>
        </w:rPr>
        <w:t xml:space="preserve"> (rong koosneb vähemalt ühest vedurist ja hõlmab reisivaguneid) ja 100 täiendava, universaalteenuse osutamiseks kasutatava vaguni hanget ja kasutuselevõtmist. Investeeringuga hangitakse kokku 523 ühikut veeremit, millest vähemalt 66 on vedurid.</w:t>
      </w:r>
    </w:p>
    <w:p w14:paraId="72A47D9E" w14:textId="77777777" w:rsidR="0084326C" w:rsidRPr="005D68A0" w:rsidRDefault="0084326C" w:rsidP="0084326C">
      <w:pPr>
        <w:spacing w:before="120" w:after="120"/>
        <w:jc w:val="both"/>
        <w:rPr>
          <w:b/>
          <w:noProof/>
        </w:rPr>
      </w:pPr>
      <w:r>
        <w:rPr>
          <w:b/>
          <w:noProof/>
        </w:rPr>
        <w:t xml:space="preserve">Investeering 4.4.3. Riikliku tuletõrjebrigaadide staabi uuendamine </w:t>
      </w:r>
    </w:p>
    <w:p w14:paraId="44314BCA" w14:textId="3D3E232A" w:rsidR="00810006" w:rsidRPr="005D68A0" w:rsidRDefault="00810006" w:rsidP="00D83F17">
      <w:pPr>
        <w:spacing w:after="120"/>
        <w:jc w:val="both"/>
        <w:rPr>
          <w:noProof/>
        </w:rPr>
      </w:pPr>
      <w:r>
        <w:rPr>
          <w:noProof/>
        </w:rPr>
        <w:t>See investeering hõlmab 200 riikliku tuletõrjebrigaadi lennujaamasõiduki ja 3 600 tuletõrjesõiduki hankimist ning tuletõrjejaamadesse paigaldatud 875 laadimispunkti ja vähemalt 3 000 mobiilse elektrisõidukite laadimispunkti rajamist. 3 500 sõidukit peavad olema heitevabad, ülejäänud aga üksnes biometaanil või biokütusel vastavalt artiklites 29–31 sätestatud säästlikkuse ja kasvuhoonegaaside heite vähendamise kriteeriumidele ning taastuvenergia direktiivi (EL) 2018/2001 (REDII) artiklis 26 sätestatud toidu- ja söödapõhiste biokütuste eeskirjadele ning nendega seotud rakendusaktidele ja delegeeritud õigusaktidele. Käitajad ostavad päritolutagatise sertifikaadi, mis vastab eeldatavale kütusekasutusele. Biokütusel töötavatel sõidukitel peab olema B100 tüübikinnitus.</w:t>
      </w:r>
    </w:p>
    <w:p w14:paraId="1DEA76D6" w14:textId="77777777" w:rsidR="0084326C" w:rsidRPr="005D68A0" w:rsidRDefault="0084326C" w:rsidP="0084326C">
      <w:pPr>
        <w:spacing w:after="120"/>
        <w:jc w:val="both"/>
        <w:rPr>
          <w:b/>
          <w:noProof/>
        </w:rPr>
      </w:pPr>
      <w:r>
        <w:rPr>
          <w:b/>
          <w:noProof/>
        </w:rPr>
        <w:t>Investeering 5.1. Rahvusvahelise, tööstusliku ning teadus- ja arendustegevuse arendamine; juhtpositsioon taastuvenergia ja akude valdkonnas</w:t>
      </w:r>
    </w:p>
    <w:p w14:paraId="46DDA5D7" w14:textId="5C3ED0E4" w:rsidR="0084326C" w:rsidRPr="005D68A0" w:rsidRDefault="0084326C" w:rsidP="0084326C">
      <w:pPr>
        <w:spacing w:after="120"/>
        <w:jc w:val="both"/>
        <w:rPr>
          <w:noProof/>
        </w:rPr>
      </w:pPr>
      <w:r>
        <w:rPr>
          <w:noProof/>
        </w:rPr>
        <w:t>See meede koosneb avaliku sektori investeeringust rahastamisvahendisse „Taastuvate energiaallikate ja akude rajatisse“, et stimuleerida erainvesteeringuid ja parandada juurdepääsu rahastamisele, et toetada taastuvate energiaallikate ja akude väärtusahela arendamist. Rahastu tegevus seisneb tagastamatute toetuste, subsideeritud laenude ja intressitoetuste andmises otse erasektorile. Taaste- ja vastupidavusrahastu investeeringute põhjal on rahastu eesmärk esialgu eraldada vähemalt 1 400 000 000 eurot.</w:t>
      </w:r>
    </w:p>
    <w:p w14:paraId="4030087D" w14:textId="77777777" w:rsidR="0084326C" w:rsidRPr="005D68A0" w:rsidRDefault="0084326C" w:rsidP="0084326C">
      <w:pPr>
        <w:spacing w:after="120"/>
        <w:jc w:val="both"/>
        <w:rPr>
          <w:noProof/>
        </w:rPr>
      </w:pPr>
      <w:r>
        <w:rPr>
          <w:noProof/>
        </w:rPr>
        <w:t>Rahastut haldab rakenduspartnerina Invitalia S.p.A. Rahastu hõlmab järgmisi tooteliike:</w:t>
      </w:r>
    </w:p>
    <w:p w14:paraId="0DC28605" w14:textId="599A9500" w:rsidR="0084326C" w:rsidRPr="005D68A0" w:rsidRDefault="0084326C" w:rsidP="0084326C">
      <w:pPr>
        <w:pStyle w:val="ListParagraph"/>
        <w:numPr>
          <w:ilvl w:val="0"/>
          <w:numId w:val="101"/>
        </w:numPr>
        <w:spacing w:before="0"/>
        <w:rPr>
          <w:noProof/>
        </w:rPr>
      </w:pPr>
      <w:r>
        <w:rPr>
          <w:noProof/>
        </w:rPr>
        <w:t xml:space="preserve">Esimeses keskendutakse fotogalvaanilise või tuuletehnoloogia tootmisele ning suurendatakse fotogalvaanilise või tuuletehnoloogia tootmisvõimsust vähemalt 2,4 GW võrra aastas.  </w:t>
      </w:r>
    </w:p>
    <w:p w14:paraId="7A9C22CA" w14:textId="1A5305A2" w:rsidR="0084326C" w:rsidRPr="005D68A0" w:rsidRDefault="0084326C" w:rsidP="0084326C">
      <w:pPr>
        <w:pStyle w:val="ListParagraph"/>
        <w:numPr>
          <w:ilvl w:val="0"/>
          <w:numId w:val="101"/>
        </w:numPr>
        <w:spacing w:before="0"/>
        <w:rPr>
          <w:noProof/>
        </w:rPr>
      </w:pPr>
      <w:r>
        <w:rPr>
          <w:noProof/>
        </w:rPr>
        <w:t>Teises keskendutakse patareide ja akude tootmisele ning suurendatakse patareide ja akude tootmisvõimsust vähemalt 13 GW võrra aastas.</w:t>
      </w:r>
    </w:p>
    <w:p w14:paraId="52EF8955" w14:textId="77777777" w:rsidR="0084326C" w:rsidRPr="005D68A0" w:rsidRDefault="0084326C" w:rsidP="0084326C">
      <w:pPr>
        <w:spacing w:after="120"/>
        <w:jc w:val="both"/>
        <w:rPr>
          <w:noProof/>
        </w:rPr>
      </w:pPr>
      <w:r>
        <w:rPr>
          <w:noProof/>
        </w:rPr>
        <w:t>Rahastusse investeeringu tegemiseks kirjutavad Itaalia ja Invitalia alla rakenduslepingule, mis sisaldab järgmist sisu:</w:t>
      </w:r>
    </w:p>
    <w:p w14:paraId="4A7455B9" w14:textId="77777777" w:rsidR="0084326C" w:rsidRPr="005D68A0" w:rsidRDefault="0084326C" w:rsidP="0084326C">
      <w:pPr>
        <w:pStyle w:val="ListParagraph"/>
        <w:numPr>
          <w:ilvl w:val="0"/>
          <w:numId w:val="139"/>
        </w:numPr>
        <w:spacing w:before="0"/>
        <w:contextualSpacing w:val="0"/>
        <w:rPr>
          <w:noProof/>
        </w:rPr>
      </w:pPr>
      <w:r>
        <w:rPr>
          <w:noProof/>
        </w:rPr>
        <w:t>Rahastu otsustusprotsessi kirjeldus: Rahastu lõpliku investeerimisotsuse teeb investeerimiskomitee või muu samaväärne juhtorgan ning see kiidetakse heaks valitsusest sõltumatute liikmete häälteenamusega.</w:t>
      </w:r>
    </w:p>
    <w:p w14:paraId="6C097DDC" w14:textId="77777777" w:rsidR="0084326C" w:rsidRPr="005D68A0" w:rsidRDefault="0084326C" w:rsidP="0084326C">
      <w:pPr>
        <w:pStyle w:val="ListParagraph"/>
        <w:numPr>
          <w:ilvl w:val="0"/>
          <w:numId w:val="139"/>
        </w:numPr>
        <w:spacing w:before="0"/>
        <w:contextualSpacing w:val="0"/>
        <w:rPr>
          <w:noProof/>
        </w:rPr>
      </w:pPr>
      <w:r>
        <w:rPr>
          <w:noProof/>
        </w:rPr>
        <w:t>Seotud investeerimispoliitika põhinõuded, mis hõlmavad järgmist:</w:t>
      </w:r>
    </w:p>
    <w:p w14:paraId="432E5117" w14:textId="77777777" w:rsidR="0084326C" w:rsidRPr="005D68A0" w:rsidRDefault="0084326C" w:rsidP="0084326C">
      <w:pPr>
        <w:pStyle w:val="ListParagraph"/>
        <w:numPr>
          <w:ilvl w:val="4"/>
          <w:numId w:val="27"/>
        </w:numPr>
        <w:spacing w:before="0"/>
        <w:ind w:left="1276"/>
        <w:contextualSpacing w:val="0"/>
        <w:rPr>
          <w:noProof/>
        </w:rPr>
      </w:pPr>
      <w:r>
        <w:rPr>
          <w:noProof/>
        </w:rPr>
        <w:t xml:space="preserve">Finantstoodete ja rahastamiskõlblike lõplike toetusesaajate kirjeldus. </w:t>
      </w:r>
    </w:p>
    <w:p w14:paraId="62E9B60C" w14:textId="77777777" w:rsidR="0084326C" w:rsidRPr="005D68A0" w:rsidRDefault="0084326C" w:rsidP="0084326C">
      <w:pPr>
        <w:pStyle w:val="ListParagraph"/>
        <w:numPr>
          <w:ilvl w:val="4"/>
          <w:numId w:val="27"/>
        </w:numPr>
        <w:spacing w:before="0"/>
        <w:ind w:left="1276"/>
        <w:contextualSpacing w:val="0"/>
        <w:rPr>
          <w:noProof/>
        </w:rPr>
      </w:pPr>
      <w:r>
        <w:rPr>
          <w:noProof/>
        </w:rPr>
        <w:t xml:space="preserve">Nõue, et kõik toetatavad investeeringud on majanduslikult elujõulised. </w:t>
      </w:r>
    </w:p>
    <w:p w14:paraId="3AF9CA45" w14:textId="77777777" w:rsidR="0084326C" w:rsidRPr="005D68A0" w:rsidRDefault="0084326C" w:rsidP="0084326C">
      <w:pPr>
        <w:pStyle w:val="ListParagraph"/>
        <w:numPr>
          <w:ilvl w:val="4"/>
          <w:numId w:val="27"/>
        </w:numPr>
        <w:spacing w:before="0"/>
        <w:ind w:left="1276"/>
        <w:contextualSpacing w:val="0"/>
        <w:rPr>
          <w:noProof/>
        </w:rPr>
      </w:pPr>
      <w:r>
        <w:rPr>
          <w:noProof/>
        </w:rPr>
        <w:t>Nõue järgida olulise kahju ärahoidmise põhimõtet, nagu on sätestatud põhimõtte „ei kahjusta oluliselt“ tehnilistes suunistes (2021/C58/01). Eelkõige jäetakse investeerimispoliitika raames rahastamiskõlblikkuse alt välja järgmised tegevused ja varad: i) abikõlblikud tegevused ja varad: i) fossiilkütustega seotud tegevused ja varad, sealhulgas järgnev kasutamine,</w:t>
      </w:r>
      <w:r w:rsidRPr="005D68A0">
        <w:rPr>
          <w:rStyle w:val="FootnoteReference"/>
          <w:noProof/>
          <w:lang w:val="en-GB"/>
        </w:rPr>
        <w:footnoteReference w:id="52"/>
      </w:r>
      <w:r>
        <w:rPr>
          <w:noProof/>
        </w:rPr>
        <w:t xml:space="preserve"> ii) ELi heitkogustega kauplemise süsteemi (HKS) alla kuuluvad tegevused ja varad, millega saavutatakse prognoositud kasvuhoonegaaside heide, mis ei ole väiksem kui asjaomased võrdlusalused,</w:t>
      </w:r>
      <w:r w:rsidRPr="005D68A0">
        <w:rPr>
          <w:rStyle w:val="FootnoteReference"/>
          <w:noProof/>
          <w:lang w:val="en-GB"/>
        </w:rPr>
        <w:footnoteReference w:id="53"/>
      </w:r>
      <w:r>
        <w:rPr>
          <w:noProof/>
        </w:rPr>
        <w:t xml:space="preserve"> iii) prügilate, jäätmepõletustehaste</w:t>
      </w:r>
      <w:r w:rsidRPr="005D68A0">
        <w:rPr>
          <w:rStyle w:val="FootnoteReference"/>
          <w:noProof/>
          <w:lang w:val="en-GB"/>
        </w:rPr>
        <w:footnoteReference w:id="54"/>
      </w:r>
      <w:r>
        <w:rPr>
          <w:noProof/>
        </w:rPr>
        <w:t xml:space="preserve"> ja mehhaaniliste bioloogiliste töötlemistehastega seotud tegevused ja varad</w:t>
      </w:r>
      <w:r w:rsidRPr="005D68A0">
        <w:rPr>
          <w:rStyle w:val="FootnoteReference"/>
          <w:noProof/>
          <w:lang w:val="en-GB"/>
        </w:rPr>
        <w:footnoteReference w:id="55"/>
      </w:r>
      <w:r>
        <w:rPr>
          <w:noProof/>
        </w:rPr>
        <w:t xml:space="preserve">. </w:t>
      </w:r>
    </w:p>
    <w:p w14:paraId="1BD17FBA" w14:textId="77777777" w:rsidR="0084326C" w:rsidRPr="005D68A0" w:rsidRDefault="0084326C" w:rsidP="0084326C">
      <w:pPr>
        <w:pStyle w:val="ListParagraph"/>
        <w:numPr>
          <w:ilvl w:val="4"/>
          <w:numId w:val="27"/>
        </w:numPr>
        <w:spacing w:before="0"/>
        <w:ind w:left="1276"/>
        <w:contextualSpacing w:val="0"/>
        <w:rPr>
          <w:noProof/>
        </w:rPr>
      </w:pPr>
      <w:r>
        <w:rPr>
          <w:noProof/>
        </w:rPr>
        <w:t>Nõue, et rahastu lõplikud abisaajad ei saa samade kulude katmiseks toetust muudest liidu vahenditest.</w:t>
      </w:r>
    </w:p>
    <w:p w14:paraId="4F1DC10F" w14:textId="77777777" w:rsidR="0084326C" w:rsidRPr="005D68A0" w:rsidRDefault="0084326C" w:rsidP="0084326C">
      <w:pPr>
        <w:pStyle w:val="ListParagraph"/>
        <w:numPr>
          <w:ilvl w:val="0"/>
          <w:numId w:val="139"/>
        </w:numPr>
        <w:spacing w:before="0"/>
        <w:contextualSpacing w:val="0"/>
        <w:rPr>
          <w:noProof/>
        </w:rPr>
      </w:pPr>
      <w:r>
        <w:rPr>
          <w:noProof/>
        </w:rPr>
        <w:t>Rakenduslepinguga hõlmatud summa, rakenduspartneri tasude struktuur ja nõue reinvesteerida tagasisaadavaid vahendeid vastavalt rahastu investeerimispoliitikale.</w:t>
      </w:r>
    </w:p>
    <w:p w14:paraId="43844905" w14:textId="77777777" w:rsidR="0084326C" w:rsidRPr="005D68A0" w:rsidRDefault="0084326C" w:rsidP="0084326C">
      <w:pPr>
        <w:pStyle w:val="ListParagraph"/>
        <w:numPr>
          <w:ilvl w:val="0"/>
          <w:numId w:val="139"/>
        </w:numPr>
        <w:spacing w:before="0"/>
        <w:contextualSpacing w:val="0"/>
        <w:rPr>
          <w:noProof/>
        </w:rPr>
      </w:pPr>
      <w:r>
        <w:rPr>
          <w:noProof/>
        </w:rPr>
        <w:t>Seire-, auditi- ja kontrollinõuded, sealhulgas:</w:t>
      </w:r>
    </w:p>
    <w:p w14:paraId="44F22639" w14:textId="77777777" w:rsidR="0084326C" w:rsidRPr="005D68A0" w:rsidRDefault="0084326C" w:rsidP="0084326C">
      <w:pPr>
        <w:pStyle w:val="ListParagraph"/>
        <w:numPr>
          <w:ilvl w:val="4"/>
          <w:numId w:val="27"/>
        </w:numPr>
        <w:spacing w:before="0"/>
        <w:ind w:left="1276"/>
        <w:contextualSpacing w:val="0"/>
        <w:rPr>
          <w:noProof/>
        </w:rPr>
      </w:pPr>
      <w:r>
        <w:rPr>
          <w:noProof/>
        </w:rPr>
        <w:t>Rakenduspartneri järelevalvesüsteemi kirjeldus kaasatud investeeringute kohta aru andmiseks.</w:t>
      </w:r>
    </w:p>
    <w:p w14:paraId="18B137A5" w14:textId="77777777" w:rsidR="0084326C" w:rsidRPr="005D68A0" w:rsidRDefault="0084326C" w:rsidP="0084326C">
      <w:pPr>
        <w:pStyle w:val="ListParagraph"/>
        <w:numPr>
          <w:ilvl w:val="4"/>
          <w:numId w:val="27"/>
        </w:numPr>
        <w:spacing w:before="0"/>
        <w:ind w:left="1276"/>
        <w:contextualSpacing w:val="0"/>
        <w:rPr>
          <w:noProof/>
        </w:rPr>
      </w:pPr>
      <w:r>
        <w:rPr>
          <w:noProof/>
        </w:rPr>
        <w:t xml:space="preserve">Selliste rakenduspartneri menetluste kirjeldus, millega tagatakse pettuste, korruptsiooni ja huvide konfliktide ennetamine, avastamine ja kõrvaldamine. </w:t>
      </w:r>
    </w:p>
    <w:p w14:paraId="61B06DBC" w14:textId="77777777" w:rsidR="0084326C" w:rsidRPr="005D68A0" w:rsidRDefault="0084326C" w:rsidP="0084326C">
      <w:pPr>
        <w:pStyle w:val="ListParagraph"/>
        <w:numPr>
          <w:ilvl w:val="4"/>
          <w:numId w:val="27"/>
        </w:numPr>
        <w:spacing w:before="0"/>
        <w:ind w:left="1276"/>
        <w:contextualSpacing w:val="0"/>
        <w:rPr>
          <w:noProof/>
        </w:rPr>
      </w:pPr>
      <w:r>
        <w:rPr>
          <w:noProof/>
        </w:rPr>
        <w:t>Kohustus kontrollida iga toimingu rahastamiskõlblikkust kooskõlas rakenduslepingus sätestatud nõuetega enne toimingu rahastamise kohustuse võtmist.</w:t>
      </w:r>
    </w:p>
    <w:p w14:paraId="486EB95C" w14:textId="77777777" w:rsidR="0084326C" w:rsidRPr="005D68A0" w:rsidRDefault="0084326C" w:rsidP="0084326C">
      <w:pPr>
        <w:pStyle w:val="ListParagraph"/>
        <w:numPr>
          <w:ilvl w:val="4"/>
          <w:numId w:val="27"/>
        </w:numPr>
        <w:spacing w:before="0"/>
        <w:ind w:left="1276"/>
        <w:contextualSpacing w:val="0"/>
        <w:rPr>
          <w:noProof/>
        </w:rPr>
      </w:pPr>
      <w:r>
        <w:rPr>
          <w:noProof/>
        </w:rPr>
        <w:t>Kohustus teha riskipõhiseid järelauditeid kooskõlas Invitalia erikaitseala auditikavaga. Nende audititega kontrollitakse:</w:t>
      </w:r>
    </w:p>
    <w:p w14:paraId="5AC9E61F" w14:textId="77777777" w:rsidR="0084326C" w:rsidRPr="005D68A0" w:rsidRDefault="0084326C" w:rsidP="0084326C">
      <w:pPr>
        <w:pStyle w:val="ListParagraph"/>
        <w:numPr>
          <w:ilvl w:val="5"/>
          <w:numId w:val="27"/>
        </w:numPr>
        <w:spacing w:before="0"/>
        <w:ind w:left="1985"/>
        <w:contextualSpacing w:val="0"/>
        <w:rPr>
          <w:noProof/>
        </w:rPr>
      </w:pPr>
      <w:r>
        <w:rPr>
          <w:noProof/>
        </w:rPr>
        <w:t>kontrollisüsteemide tõhusus, sealhulgas pettuste, korruptsiooni ja huvide konflikti avastamine;</w:t>
      </w:r>
    </w:p>
    <w:p w14:paraId="0E8E1C17" w14:textId="77777777" w:rsidR="0084326C" w:rsidRPr="005D68A0" w:rsidRDefault="0084326C" w:rsidP="0084326C">
      <w:pPr>
        <w:pStyle w:val="ListParagraph"/>
        <w:numPr>
          <w:ilvl w:val="5"/>
          <w:numId w:val="27"/>
        </w:numPr>
        <w:spacing w:before="0"/>
        <w:ind w:left="1985"/>
        <w:contextualSpacing w:val="0"/>
        <w:rPr>
          <w:noProof/>
        </w:rPr>
      </w:pPr>
      <w:r>
        <w:rPr>
          <w:noProof/>
        </w:rPr>
        <w:t xml:space="preserve">põhimõtte „ei kahjusta oluliselt“ järgimine, riigiabi eeskirjad ja kliimaeesmärgi nõuded;  </w:t>
      </w:r>
    </w:p>
    <w:p w14:paraId="7CD85640" w14:textId="77777777" w:rsidR="0084326C" w:rsidRPr="005D68A0" w:rsidRDefault="0084326C" w:rsidP="0084326C">
      <w:pPr>
        <w:pStyle w:val="ListParagraph"/>
        <w:numPr>
          <w:ilvl w:val="5"/>
          <w:numId w:val="27"/>
        </w:numPr>
        <w:spacing w:before="0"/>
        <w:ind w:left="1985"/>
        <w:contextualSpacing w:val="0"/>
        <w:rPr>
          <w:noProof/>
        </w:rPr>
      </w:pPr>
      <w:r>
        <w:rPr>
          <w:noProof/>
        </w:rPr>
        <w:t xml:space="preserve">järgitakse nõuet, et rahastu lõplikud abisaajad ei ole saanud toetust muudest liidu vahenditest samade kulude katmiseks. Auditite käigus kontrollitakse ka tehingute seaduslikkust ja kohaldatava rakenduskokkuleppe tingimuste täitmist. </w:t>
      </w:r>
    </w:p>
    <w:p w14:paraId="1271C26C" w14:textId="4F2F7B01" w:rsidR="0084326C" w:rsidRPr="005D68A0" w:rsidRDefault="0084326C" w:rsidP="0084326C">
      <w:pPr>
        <w:pStyle w:val="ListParagraph"/>
        <w:numPr>
          <w:ilvl w:val="0"/>
          <w:numId w:val="139"/>
        </w:numPr>
        <w:spacing w:before="0"/>
        <w:contextualSpacing w:val="0"/>
        <w:rPr>
          <w:noProof/>
        </w:rPr>
      </w:pPr>
      <w:r>
        <w:rPr>
          <w:noProof/>
        </w:rPr>
        <w:t>Nõuded rakenduspartneri tehtavatele kliimainvesteeringutele: vähemalt 1 000 000 000 eurot taaste- ja vastupidavusrahastu investeeringust rahastusse aitab kaasa kliimamuutustega seotud eesmärkide saavutamisele kooskõlas taaste- ja vastupidavusrahastu määruse VI lisaga</w:t>
      </w:r>
      <w:r w:rsidRPr="005D68A0">
        <w:rPr>
          <w:rStyle w:val="FootnoteReference"/>
          <w:noProof/>
          <w:lang w:val="en-GB"/>
        </w:rPr>
        <w:footnoteReference w:id="56"/>
      </w:r>
      <w:r>
        <w:rPr>
          <w:noProof/>
        </w:rPr>
        <w:t>.</w:t>
      </w:r>
    </w:p>
    <w:p w14:paraId="313C75BD" w14:textId="77777777" w:rsidR="0084326C" w:rsidRPr="005D68A0" w:rsidRDefault="0084326C" w:rsidP="0084326C">
      <w:pPr>
        <w:spacing w:after="120"/>
        <w:jc w:val="both"/>
        <w:rPr>
          <w:noProof/>
        </w:rPr>
      </w:pPr>
      <w:r>
        <w:rPr>
          <w:noProof/>
        </w:rPr>
        <w:t>Meetme rakendamine viiakse lõpule 31. augustiks 2026.</w:t>
      </w:r>
    </w:p>
    <w:p w14:paraId="777D9897" w14:textId="77777777" w:rsidR="0084326C" w:rsidRPr="005D68A0" w:rsidRDefault="0084326C" w:rsidP="0084326C">
      <w:pPr>
        <w:spacing w:before="120" w:after="120"/>
        <w:jc w:val="both"/>
        <w:rPr>
          <w:b/>
          <w:noProof/>
        </w:rPr>
      </w:pPr>
      <w:r>
        <w:rPr>
          <w:b/>
          <w:noProof/>
        </w:rPr>
        <w:t>Investeering 5.2. Rahvusvahelise, tööstusliku ning teadus- ja arendustegevuse arendamine;</w:t>
      </w:r>
    </w:p>
    <w:p w14:paraId="2853DD41" w14:textId="77777777" w:rsidR="0084326C" w:rsidRPr="005D68A0" w:rsidRDefault="0084326C" w:rsidP="0084326C">
      <w:pPr>
        <w:spacing w:before="120" w:after="120"/>
        <w:jc w:val="both"/>
        <w:rPr>
          <w:noProof/>
        </w:rPr>
      </w:pPr>
      <w:r>
        <w:rPr>
          <w:noProof/>
        </w:rPr>
        <w:t>D juhtpositsioon vesiniku valdkonnas See investeering seisneb vesiniku väärtusahela arendamise projektide toetamises Itaalias, mis sobib osalema ka Euroopa ühist huvi pakkuvates olulistes vesinikuprojektides.</w:t>
      </w:r>
    </w:p>
    <w:p w14:paraId="345BDEF4" w14:textId="77777777" w:rsidR="0084326C" w:rsidRPr="005D68A0" w:rsidRDefault="0084326C" w:rsidP="0084326C">
      <w:pPr>
        <w:spacing w:before="120" w:after="120"/>
        <w:jc w:val="both"/>
        <w:rPr>
          <w:b/>
          <w:noProof/>
        </w:rPr>
      </w:pPr>
      <w:r>
        <w:rPr>
          <w:b/>
          <w:noProof/>
        </w:rPr>
        <w:t>Investeering 5.3. Rahvusvahelise, tööstusliku ning teadus- ja arendustegevusse suunatu väljatöötamine; D juhtpositsioon elektribusside valdkonnas</w:t>
      </w:r>
    </w:p>
    <w:p w14:paraId="43851666" w14:textId="77777777" w:rsidR="0084326C" w:rsidRPr="005D68A0" w:rsidRDefault="0084326C" w:rsidP="0084326C">
      <w:pPr>
        <w:spacing w:before="120" w:after="120"/>
        <w:jc w:val="both"/>
        <w:rPr>
          <w:noProof/>
        </w:rPr>
      </w:pPr>
      <w:r>
        <w:rPr>
          <w:noProof/>
        </w:rPr>
        <w:t>See investeering seisneb ligikaudu 45 projekti toetamises, millega saab edendada bussitööstuse digitaalset ja keskkonnahoidlikku üleminekut elektri- ja andmesideühendusega bussidele.  Selle investeeringuga loodetakse toetada ka investeeringuid elektribussipargi uuendamiseks (ilma hübriidbussideta).</w:t>
      </w:r>
    </w:p>
    <w:p w14:paraId="63B92623" w14:textId="77777777" w:rsidR="0084326C" w:rsidRPr="005D68A0" w:rsidRDefault="0084326C" w:rsidP="0084326C">
      <w:pPr>
        <w:spacing w:before="120" w:after="120"/>
        <w:jc w:val="both"/>
        <w:rPr>
          <w:b/>
          <w:bCs/>
          <w:noProof/>
        </w:rPr>
      </w:pPr>
      <w:r>
        <w:rPr>
          <w:b/>
          <w:noProof/>
        </w:rPr>
        <w:t>Investeering 5.4. Tegevusalustavate ettevõtete ja riskikapitali toetamine ökoloogilise ülemineku valdkonnas</w:t>
      </w:r>
    </w:p>
    <w:p w14:paraId="50F8F9CF" w14:textId="77777777" w:rsidR="0084326C" w:rsidRPr="005D68A0" w:rsidRDefault="0084326C" w:rsidP="0084326C">
      <w:pPr>
        <w:jc w:val="both"/>
        <w:rPr>
          <w:noProof/>
        </w:rPr>
      </w:pPr>
      <w:r>
        <w:rPr>
          <w:noProof/>
        </w:rPr>
        <w:t xml:space="preserve">See meede koosneb avaliku sektori investeeringutest rahastusse ehk Rohelise Ülemineku Fondi, et stimuleerida erainvesteeringuid, parandada Itaalias rohepöördega tegelevate idufirmade juurdepääsu rahastamisele ja arendada selles sektoris riskikapitaliturgu. Rahastu tegutseb otse või kaudselt omakapitali- või kvaasiomakapitali toetuse andmise kaudu. Eelkõige otseinvesteeringute puhul pakub GTF idufirmadele omakapitali- või kvaasiomakapitali (nagu konverteeritavad võlakirjad) toetust; kaudsete investeeringute korral tegutseb SGR, rahastades kolmandate isikute fonde (–AIF – alternatiivne investeerimisfond), mis pakuvad omakapitali või kvaasiomakapitali, võla- või kvaasivõlainstrumente. GTF investeerib järgmistesse sekkumisvaldkondadesse: Taastuvad energiaallikad, ringmajandus, liikuvus, energiatõhusus, jäätmekäitlus ja energia salvestamine. </w:t>
      </w:r>
    </w:p>
    <w:p w14:paraId="7A946605" w14:textId="77777777" w:rsidR="0084326C" w:rsidRPr="00F33804" w:rsidRDefault="0084326C" w:rsidP="0084326C">
      <w:pPr>
        <w:jc w:val="both"/>
        <w:rPr>
          <w:noProof/>
        </w:rPr>
      </w:pPr>
    </w:p>
    <w:p w14:paraId="2A1AB645" w14:textId="77FEEA3B" w:rsidR="0084326C" w:rsidRPr="005D68A0" w:rsidRDefault="0084326C" w:rsidP="0084326C">
      <w:pPr>
        <w:jc w:val="both"/>
        <w:rPr>
          <w:noProof/>
        </w:rPr>
      </w:pPr>
      <w:r>
        <w:rPr>
          <w:noProof/>
        </w:rPr>
        <w:t>Taaste- ja vastupidavusrahastu investeeringute põhjal on rahastu eesmärk esialgu eraldada vähemalt 250 000 000 eurot.</w:t>
      </w:r>
    </w:p>
    <w:p w14:paraId="5DCF30A2" w14:textId="77777777" w:rsidR="0084326C" w:rsidRPr="00F33804" w:rsidRDefault="0084326C" w:rsidP="0084326C">
      <w:pPr>
        <w:jc w:val="both"/>
        <w:rPr>
          <w:noProof/>
        </w:rPr>
      </w:pPr>
    </w:p>
    <w:p w14:paraId="7089A033" w14:textId="77777777" w:rsidR="0084326C" w:rsidRPr="005D68A0" w:rsidRDefault="0084326C" w:rsidP="0084326C">
      <w:pPr>
        <w:jc w:val="both"/>
        <w:rPr>
          <w:noProof/>
        </w:rPr>
      </w:pPr>
      <w:r>
        <w:rPr>
          <w:noProof/>
        </w:rPr>
        <w:t>Rahastut haldab rakenduspartnerina CDP riskikapitali SGR. GTFi kestus on 15 aastat, et vastata investeeritud kolmandate isikute vahendite kestusele, ning ta investeerib järgmistesse tooteliinidesse:</w:t>
      </w:r>
    </w:p>
    <w:p w14:paraId="6AD3AD33" w14:textId="77777777" w:rsidR="0084326C" w:rsidRPr="005D68A0" w:rsidRDefault="0084326C" w:rsidP="0084326C">
      <w:pPr>
        <w:pStyle w:val="ListParagraph"/>
        <w:numPr>
          <w:ilvl w:val="0"/>
          <w:numId w:val="52"/>
        </w:numPr>
        <w:spacing w:before="0" w:after="160"/>
        <w:rPr>
          <w:noProof/>
        </w:rPr>
      </w:pPr>
      <w:r>
        <w:rPr>
          <w:noProof/>
        </w:rPr>
        <w:t>Omakapitali- või kvaasiomakapitali toetus keskkonnasäästlikele idufirmadele (otseselt);</w:t>
      </w:r>
    </w:p>
    <w:p w14:paraId="55A8744A" w14:textId="77777777" w:rsidR="0084326C" w:rsidRPr="005D68A0" w:rsidRDefault="0084326C" w:rsidP="0084326C">
      <w:pPr>
        <w:pStyle w:val="ListParagraph"/>
        <w:numPr>
          <w:ilvl w:val="0"/>
          <w:numId w:val="52"/>
        </w:numPr>
        <w:spacing w:before="0" w:after="160"/>
        <w:rPr>
          <w:noProof/>
        </w:rPr>
      </w:pPr>
      <w:r>
        <w:rPr>
          <w:noProof/>
        </w:rPr>
        <w:t>Omakapital, kvaasiomakapitali toetus riskikapitali omakapitalile/võlafondidele (kaudne);</w:t>
      </w:r>
    </w:p>
    <w:p w14:paraId="3A8210FA" w14:textId="77777777" w:rsidR="0084326C" w:rsidRPr="005D68A0" w:rsidRDefault="0084326C" w:rsidP="0084326C">
      <w:pPr>
        <w:pStyle w:val="ListParagraph"/>
        <w:numPr>
          <w:ilvl w:val="0"/>
          <w:numId w:val="52"/>
        </w:numPr>
        <w:spacing w:before="0" w:after="160"/>
        <w:rPr>
          <w:noProof/>
        </w:rPr>
      </w:pPr>
      <w:r>
        <w:rPr>
          <w:noProof/>
        </w:rPr>
        <w:t>Toetus omakapitali või kvaasiomakapitali kaudu inkubatsiooni-/kiirendusprogrammidele.</w:t>
      </w:r>
    </w:p>
    <w:p w14:paraId="2AD21559" w14:textId="77777777" w:rsidR="0084326C" w:rsidRPr="00F33804" w:rsidRDefault="0084326C" w:rsidP="0084326C">
      <w:pPr>
        <w:pStyle w:val="ListParagraph"/>
        <w:rPr>
          <w:noProof/>
        </w:rPr>
      </w:pPr>
    </w:p>
    <w:p w14:paraId="5889B898" w14:textId="77777777" w:rsidR="0084326C" w:rsidRPr="005D68A0" w:rsidRDefault="0084326C" w:rsidP="0084326C">
      <w:pPr>
        <w:jc w:val="both"/>
        <w:rPr>
          <w:noProof/>
        </w:rPr>
      </w:pPr>
      <w:r>
        <w:rPr>
          <w:noProof/>
        </w:rPr>
        <w:t>MIMIT ja SGR muudavad kehtivat rakenduskokkulepet („Accordo Finanziario“) ja GTFi eeskirju, et lisada järgmised sätted:</w:t>
      </w:r>
    </w:p>
    <w:p w14:paraId="367B8113" w14:textId="77777777" w:rsidR="0084326C" w:rsidRPr="005D68A0" w:rsidRDefault="0084326C" w:rsidP="0084326C">
      <w:pPr>
        <w:pStyle w:val="LegalNumPar"/>
        <w:numPr>
          <w:ilvl w:val="0"/>
          <w:numId w:val="0"/>
        </w:numPr>
        <w:jc w:val="both"/>
        <w:rPr>
          <w:rFonts w:ascii="Times New Roman" w:eastAsia="Times New Roman" w:hAnsi="Times New Roman" w:cs="Times New Roman"/>
          <w:noProof/>
          <w:sz w:val="24"/>
          <w:szCs w:val="24"/>
        </w:rPr>
      </w:pPr>
      <w:r>
        <w:rPr>
          <w:rFonts w:ascii="Times New Roman" w:hAnsi="Times New Roman"/>
          <w:noProof/>
          <w:sz w:val="24"/>
        </w:rPr>
        <w:t>Rahastu otsustusprotsessi kirjeldus: rahastu lõpliku investeerimisotsuse teeb juhatus või muu samaväärne juhtorgan ning see kiidetakse heaks valitsusest sõltumatute liikmete häälteenamusega</w:t>
      </w:r>
      <w:r w:rsidRPr="005D68A0">
        <w:rPr>
          <w:rStyle w:val="FootnoteReference"/>
          <w:rFonts w:eastAsia="Times New Roman"/>
          <w:noProof/>
          <w:lang w:val="en-GB"/>
        </w:rPr>
        <w:footnoteReference w:id="57"/>
      </w:r>
      <w:r>
        <w:rPr>
          <w:rFonts w:ascii="Times New Roman" w:hAnsi="Times New Roman"/>
          <w:noProof/>
          <w:sz w:val="24"/>
        </w:rPr>
        <w:t>.</w:t>
      </w:r>
    </w:p>
    <w:p w14:paraId="3B139849" w14:textId="77777777" w:rsidR="0084326C" w:rsidRPr="005D68A0" w:rsidRDefault="0084326C" w:rsidP="0084326C">
      <w:pPr>
        <w:pStyle w:val="LegalNumPar"/>
        <w:jc w:val="both"/>
        <w:rPr>
          <w:rFonts w:ascii="Times New Roman" w:eastAsia="Times New Roman" w:hAnsi="Times New Roman" w:cs="Times New Roman"/>
          <w:noProof/>
          <w:sz w:val="24"/>
          <w:szCs w:val="24"/>
        </w:rPr>
      </w:pPr>
      <w:r>
        <w:rPr>
          <w:rFonts w:ascii="Times New Roman" w:hAnsi="Times New Roman"/>
          <w:noProof/>
          <w:sz w:val="24"/>
        </w:rPr>
        <w:t>Seotud investeerimispoliitika põhinõuded, mis hõlmavad järgmist:</w:t>
      </w:r>
    </w:p>
    <w:p w14:paraId="79C5EEF3" w14:textId="77777777" w:rsidR="0084326C" w:rsidRPr="005D68A0" w:rsidRDefault="0084326C" w:rsidP="0084326C">
      <w:pPr>
        <w:pStyle w:val="LegalNumPar2"/>
        <w:jc w:val="both"/>
        <w:rPr>
          <w:rFonts w:ascii="Times New Roman" w:eastAsia="Times New Roman" w:hAnsi="Times New Roman" w:cs="Times New Roman"/>
          <w:noProof/>
          <w:sz w:val="24"/>
          <w:szCs w:val="24"/>
        </w:rPr>
      </w:pPr>
      <w:r>
        <w:rPr>
          <w:rFonts w:ascii="Times New Roman" w:hAnsi="Times New Roman"/>
          <w:noProof/>
          <w:sz w:val="24"/>
        </w:rPr>
        <w:t xml:space="preserve">Finantstoodete ja rahastamiskõlblike lõplike toetusesaajate kirjeldus. </w:t>
      </w:r>
    </w:p>
    <w:p w14:paraId="396CD697" w14:textId="77777777" w:rsidR="0084326C" w:rsidRPr="005D68A0" w:rsidRDefault="0084326C" w:rsidP="0084326C">
      <w:pPr>
        <w:pStyle w:val="LegalNumPar2"/>
        <w:jc w:val="both"/>
        <w:rPr>
          <w:rFonts w:ascii="Times New Roman" w:eastAsia="Times New Roman" w:hAnsi="Times New Roman" w:cs="Times New Roman"/>
          <w:noProof/>
          <w:sz w:val="24"/>
          <w:szCs w:val="24"/>
        </w:rPr>
      </w:pPr>
      <w:r>
        <w:rPr>
          <w:rFonts w:ascii="Times New Roman" w:hAnsi="Times New Roman"/>
          <w:noProof/>
          <w:sz w:val="24"/>
        </w:rPr>
        <w:t>Nõue, et kõik toetatavad investeeringud on majanduslikult elujõulised.</w:t>
      </w:r>
    </w:p>
    <w:p w14:paraId="1F713181" w14:textId="77777777" w:rsidR="0084326C" w:rsidRPr="005D68A0" w:rsidRDefault="0084326C" w:rsidP="0084326C">
      <w:pPr>
        <w:pStyle w:val="LegalNumPar2"/>
        <w:numPr>
          <w:ilvl w:val="0"/>
          <w:numId w:val="0"/>
        </w:numPr>
        <w:jc w:val="both"/>
        <w:rPr>
          <w:rFonts w:ascii="Times New Roman" w:eastAsia="Times New Roman" w:hAnsi="Times New Roman" w:cs="Times New Roman"/>
          <w:noProof/>
          <w:sz w:val="24"/>
          <w:szCs w:val="24"/>
        </w:rPr>
      </w:pPr>
      <w:r>
        <w:rPr>
          <w:rFonts w:ascii="Times New Roman" w:hAnsi="Times New Roman"/>
          <w:noProof/>
          <w:sz w:val="24"/>
        </w:rPr>
        <w:t>Nõue järgida olulise kahju ärahoidmise põhimõtet, nagu on sätestatud põhimõtte „ei kahjusta oluliselt“ tehnilistes suunistes (2021/C58/01). Idufirmadele antava üldise toetuse korral jäetakse investeerimispoliitikast välja äriühingud, mis keskenduvad</w:t>
      </w:r>
      <w:r w:rsidRPr="005D68A0">
        <w:rPr>
          <w:rFonts w:ascii="Times New Roman" w:eastAsia="Times New Roman" w:hAnsi="Times New Roman" w:cs="Times New Roman"/>
          <w:noProof/>
          <w:sz w:val="24"/>
          <w:szCs w:val="24"/>
          <w:vertAlign w:val="superscript"/>
          <w:lang w:val="en-GB"/>
        </w:rPr>
        <w:footnoteReference w:id="58"/>
      </w:r>
      <w:r>
        <w:rPr>
          <w:rFonts w:ascii="Times New Roman" w:hAnsi="Times New Roman"/>
          <w:noProof/>
          <w:sz w:val="24"/>
        </w:rPr>
        <w:t xml:space="preserve"> olulisel määral järgmistele sektoritele: i) fossiilkütustel põhinev energiatootmine ja sellega seotud tegevus</w:t>
      </w:r>
      <w:r w:rsidRPr="005D68A0">
        <w:rPr>
          <w:rFonts w:ascii="Times New Roman" w:eastAsia="Times New Roman" w:hAnsi="Times New Roman" w:cs="Times New Roman"/>
          <w:noProof/>
          <w:sz w:val="24"/>
          <w:szCs w:val="24"/>
          <w:vertAlign w:val="superscript"/>
          <w:lang w:val="en-GB"/>
        </w:rPr>
        <w:footnoteReference w:id="59"/>
      </w:r>
      <w:r>
        <w:rPr>
          <w:rFonts w:ascii="Times New Roman" w:hAnsi="Times New Roman"/>
          <w:noProof/>
          <w:sz w:val="24"/>
        </w:rPr>
        <w:t>; ii) energiamahukad ja/või suure CO</w:t>
      </w:r>
      <w:r>
        <w:rPr>
          <w:rFonts w:ascii="Times New Roman" w:hAnsi="Times New Roman"/>
          <w:noProof/>
          <w:sz w:val="24"/>
          <w:vertAlign w:val="subscript"/>
        </w:rPr>
        <w:t>2</w:t>
      </w:r>
      <w:r>
        <w:rPr>
          <w:rFonts w:ascii="Times New Roman" w:hAnsi="Times New Roman"/>
          <w:noProof/>
          <w:sz w:val="24"/>
        </w:rPr>
        <w:t xml:space="preserve"> heitega tööstusharud</w:t>
      </w:r>
      <w:r w:rsidRPr="005D68A0">
        <w:rPr>
          <w:rFonts w:ascii="Times New Roman" w:eastAsia="Times New Roman" w:hAnsi="Times New Roman" w:cs="Times New Roman"/>
          <w:noProof/>
          <w:sz w:val="24"/>
          <w:szCs w:val="24"/>
          <w:vertAlign w:val="superscript"/>
          <w:lang w:val="en-GB"/>
        </w:rPr>
        <w:footnoteReference w:id="60"/>
      </w:r>
      <w:r>
        <w:rPr>
          <w:rFonts w:ascii="Times New Roman" w:hAnsi="Times New Roman"/>
          <w:noProof/>
          <w:sz w:val="24"/>
        </w:rPr>
        <w:t>; iii) saastavate sõidukite tootmine, rentimine või müük</w:t>
      </w:r>
      <w:r w:rsidRPr="005D68A0">
        <w:rPr>
          <w:rFonts w:ascii="Times New Roman" w:eastAsia="Times New Roman" w:hAnsi="Times New Roman" w:cs="Times New Roman"/>
          <w:noProof/>
          <w:sz w:val="24"/>
          <w:szCs w:val="24"/>
          <w:vertAlign w:val="superscript"/>
          <w:lang w:val="en-GB"/>
        </w:rPr>
        <w:footnoteReference w:id="61"/>
      </w:r>
      <w:r>
        <w:rPr>
          <w:rFonts w:ascii="Times New Roman" w:hAnsi="Times New Roman"/>
          <w:noProof/>
          <w:sz w:val="24"/>
        </w:rPr>
        <w:t>; iv) jäätmete kogumine, töötlemine ja kõrvaldamine,</w:t>
      </w:r>
      <w:r w:rsidRPr="005D68A0">
        <w:rPr>
          <w:rFonts w:ascii="Times New Roman" w:eastAsia="Times New Roman" w:hAnsi="Times New Roman" w:cs="Times New Roman"/>
          <w:noProof/>
          <w:sz w:val="24"/>
          <w:szCs w:val="24"/>
          <w:vertAlign w:val="superscript"/>
          <w:lang w:val="en-GB"/>
        </w:rPr>
        <w:footnoteReference w:id="62"/>
      </w:r>
      <w:r>
        <w:rPr>
          <w:rFonts w:ascii="Times New Roman" w:hAnsi="Times New Roman"/>
          <w:noProof/>
          <w:sz w:val="24"/>
        </w:rPr>
        <w:t xml:space="preserve"> v) tuumkütuse töötlemine, tuumaenergia tootmine. Lisaks nõutakse investeerimispoliitikas rahastu lõplike abisaajate vastavust asjakohastele ELi ja riiklikele keskkonnaalastele õigusaktidele.</w:t>
      </w:r>
    </w:p>
    <w:p w14:paraId="5484E2C0" w14:textId="77777777" w:rsidR="0084326C" w:rsidRPr="005D68A0" w:rsidRDefault="0084326C" w:rsidP="0084326C">
      <w:pPr>
        <w:pStyle w:val="LegalNumPar2"/>
        <w:jc w:val="both"/>
        <w:rPr>
          <w:rFonts w:ascii="Times New Roman" w:eastAsia="Times New Roman" w:hAnsi="Times New Roman" w:cs="Times New Roman"/>
          <w:noProof/>
          <w:sz w:val="24"/>
          <w:szCs w:val="24"/>
        </w:rPr>
      </w:pPr>
      <w:r>
        <w:rPr>
          <w:rFonts w:ascii="Times New Roman" w:hAnsi="Times New Roman"/>
          <w:noProof/>
          <w:sz w:val="24"/>
        </w:rPr>
        <w:t>Nõue, et rahastu lõplikud abisaajad ei saa samade kulude katmiseks toetust muudest liidu vahenditest.</w:t>
      </w:r>
    </w:p>
    <w:p w14:paraId="08FBC522" w14:textId="77777777" w:rsidR="0084326C" w:rsidRPr="005D68A0" w:rsidRDefault="0084326C" w:rsidP="0084326C">
      <w:pPr>
        <w:pStyle w:val="LegalNumPar"/>
        <w:jc w:val="both"/>
        <w:rPr>
          <w:rFonts w:ascii="Times New Roman" w:eastAsia="Times New Roman" w:hAnsi="Times New Roman" w:cs="Times New Roman"/>
          <w:noProof/>
          <w:sz w:val="24"/>
          <w:szCs w:val="24"/>
        </w:rPr>
      </w:pPr>
      <w:r>
        <w:rPr>
          <w:rFonts w:ascii="Times New Roman" w:hAnsi="Times New Roman"/>
          <w:noProof/>
          <w:sz w:val="24"/>
        </w:rPr>
        <w:t>Rakenduslepinguga hõlmatud summa, rakenduspartneri tasude struktuur ja nõue reinvesteerida tagasisaadavaid vahendeid vastavalt rahastu investeerimispoliitikale.</w:t>
      </w:r>
    </w:p>
    <w:p w14:paraId="3DC6539D" w14:textId="77777777" w:rsidR="0084326C" w:rsidRPr="005D68A0" w:rsidRDefault="0084326C" w:rsidP="0084326C">
      <w:pPr>
        <w:pStyle w:val="LegalNumPar"/>
        <w:jc w:val="both"/>
        <w:rPr>
          <w:rFonts w:ascii="Times New Roman" w:eastAsia="Times New Roman" w:hAnsi="Times New Roman" w:cs="Times New Roman"/>
          <w:noProof/>
          <w:sz w:val="24"/>
          <w:szCs w:val="24"/>
        </w:rPr>
      </w:pPr>
      <w:r>
        <w:rPr>
          <w:rFonts w:ascii="Times New Roman" w:hAnsi="Times New Roman"/>
          <w:noProof/>
          <w:sz w:val="24"/>
        </w:rPr>
        <w:t>Seire-, auditi- ja kontrollinõuded, sealhulgas:</w:t>
      </w:r>
    </w:p>
    <w:p w14:paraId="7C827297" w14:textId="77777777" w:rsidR="0084326C" w:rsidRPr="005D68A0" w:rsidRDefault="0084326C" w:rsidP="0084326C">
      <w:pPr>
        <w:numPr>
          <w:ilvl w:val="1"/>
          <w:numId w:val="100"/>
        </w:numPr>
        <w:spacing w:after="160"/>
        <w:jc w:val="both"/>
        <w:rPr>
          <w:noProof/>
        </w:rPr>
      </w:pPr>
      <w:r>
        <w:rPr>
          <w:noProof/>
        </w:rPr>
        <w:t>Rakenduspartneri järelevalvesüsteemi kirjeldus kaasatud investeeringute kohta aru andmiseks.</w:t>
      </w:r>
    </w:p>
    <w:p w14:paraId="337312C7" w14:textId="77777777" w:rsidR="0084326C" w:rsidRPr="005D68A0" w:rsidRDefault="0084326C" w:rsidP="0084326C">
      <w:pPr>
        <w:numPr>
          <w:ilvl w:val="1"/>
          <w:numId w:val="100"/>
        </w:numPr>
        <w:spacing w:after="160" w:line="259" w:lineRule="auto"/>
        <w:jc w:val="both"/>
        <w:rPr>
          <w:noProof/>
        </w:rPr>
      </w:pPr>
      <w:r>
        <w:rPr>
          <w:noProof/>
        </w:rPr>
        <w:t xml:space="preserve">Selliste rakenduspartneri menetluste kirjeldus, millega tagatakse pettuste, korruptsiooni ja huvide konfliktide ennetamine, avastamine ja kõrvaldamine. </w:t>
      </w:r>
    </w:p>
    <w:p w14:paraId="60A422F3" w14:textId="77777777" w:rsidR="0084326C" w:rsidRPr="005D68A0" w:rsidRDefault="0084326C" w:rsidP="0084326C">
      <w:pPr>
        <w:numPr>
          <w:ilvl w:val="1"/>
          <w:numId w:val="100"/>
        </w:numPr>
        <w:spacing w:after="160" w:line="259" w:lineRule="auto"/>
        <w:jc w:val="both"/>
        <w:rPr>
          <w:noProof/>
        </w:rPr>
      </w:pPr>
      <w:r>
        <w:rPr>
          <w:noProof/>
        </w:rPr>
        <w:t>Kohustus kontrollida iga toimingu rahastamiskõlblikkust kooskõlas rakenduslepingus sätestatud nõuetega enne toimingu rahastamise kohustuse võtmist.</w:t>
      </w:r>
    </w:p>
    <w:p w14:paraId="13DDA922" w14:textId="77777777" w:rsidR="0084326C" w:rsidRPr="005D68A0" w:rsidRDefault="0084326C" w:rsidP="0084326C">
      <w:pPr>
        <w:numPr>
          <w:ilvl w:val="1"/>
          <w:numId w:val="100"/>
        </w:numPr>
        <w:spacing w:after="160"/>
        <w:jc w:val="both"/>
        <w:rPr>
          <w:noProof/>
        </w:rPr>
      </w:pPr>
      <w:r>
        <w:rPr>
          <w:noProof/>
        </w:rPr>
        <w:t xml:space="preserve">Kohustus teha riskipõhiseid järelauditeid kooskõlas riskirühma auditikavaga. Nende audititega kontrollitakse i) kontrollisüsteemide tõhusust, sealhulgas pettuste, korruptsiooni ja huvide konflikti avastamist; ii) põhimõtte „ei kahjusta oluliselt“ järgimine, riigiabi eeskirjad; ning iii) järgitakse nõuet, et rahastu lõplikud abisaajad ei ole saanud toetust muudest liidu vahenditest samade kulude katmiseks. Auditite käigus kontrollitakse ka tehingute seaduslikkust ning kohaldatava rakenduslepingu ja rahastamislepingute tingimuste täitmist. </w:t>
      </w:r>
    </w:p>
    <w:p w14:paraId="39AE438F" w14:textId="77777777" w:rsidR="0084326C" w:rsidRPr="005D68A0" w:rsidRDefault="0084326C" w:rsidP="0084326C">
      <w:pPr>
        <w:numPr>
          <w:ilvl w:val="0"/>
          <w:numId w:val="25"/>
        </w:numPr>
        <w:spacing w:after="160"/>
        <w:ind w:left="720" w:hanging="360"/>
        <w:jc w:val="both"/>
        <w:rPr>
          <w:noProof/>
        </w:rPr>
      </w:pPr>
      <w:r>
        <w:rPr>
          <w:b/>
          <w:noProof/>
        </w:rPr>
        <w:t>Riskikapitali omakapitali/võlafondide valimise nõuded:</w:t>
      </w:r>
      <w:r>
        <w:rPr>
          <w:noProof/>
        </w:rPr>
        <w:t xml:space="preserve"> Rohelise ülemineku fond valib finantsvahendajad avatud, läbipaistval ja mittediskrimineerival viisil kooskõlas praeguse tavaga, avaldades muu hulgas kõik nõuded ja taotlusvormid nii SGRi kui ka MIMITi veebisaitidel. Finantsvahendajate huvide konflikti puudumist kontrollitakse eelnevalt kõigi asjaomaste finantsjuhtimises osalejate suhtes. Huvide konflikti puudumine viitab alati rahastu „lõplikule abisaajale“.</w:t>
      </w:r>
    </w:p>
    <w:p w14:paraId="6D62A65B" w14:textId="77777777" w:rsidR="0084326C" w:rsidRPr="005D68A0" w:rsidRDefault="0084326C" w:rsidP="0084326C">
      <w:pPr>
        <w:numPr>
          <w:ilvl w:val="0"/>
          <w:numId w:val="25"/>
        </w:numPr>
        <w:spacing w:after="160"/>
        <w:ind w:left="720" w:hanging="360"/>
        <w:jc w:val="both"/>
        <w:rPr>
          <w:noProof/>
        </w:rPr>
      </w:pPr>
      <w:r>
        <w:rPr>
          <w:b/>
          <w:noProof/>
        </w:rPr>
        <w:t>Rahastamislepingute allkirjastamise nõue:</w:t>
      </w:r>
      <w:r>
        <w:rPr>
          <w:noProof/>
        </w:rPr>
        <w:t xml:space="preserve"> GTF allkirjastab finantsvahendajatega rahastamislepingud kooskõlas põhinõuetega, mis hõlmavad kõiki nõudeid, mille alusel GTF tegutseb, sealhulgas: </w:t>
      </w:r>
    </w:p>
    <w:p w14:paraId="7C94CFFD" w14:textId="77777777" w:rsidR="0084326C" w:rsidRPr="005D68A0" w:rsidRDefault="0084326C" w:rsidP="0084326C">
      <w:pPr>
        <w:numPr>
          <w:ilvl w:val="0"/>
          <w:numId w:val="51"/>
        </w:numPr>
        <w:spacing w:after="160"/>
        <w:jc w:val="both"/>
        <w:rPr>
          <w:noProof/>
        </w:rPr>
      </w:pPr>
      <w:r>
        <w:rPr>
          <w:noProof/>
        </w:rPr>
        <w:t xml:space="preserve">Finantsvahendaja kohustus teha oma otsused </w:t>
      </w:r>
      <w:r>
        <w:rPr>
          <w:i/>
          <w:noProof/>
        </w:rPr>
        <w:t>mutatis mutandis</w:t>
      </w:r>
      <w:r>
        <w:rPr>
          <w:noProof/>
        </w:rPr>
        <w:t xml:space="preserve"> kooskõlas eespool nimetatud otsuste tegemise ja investeerimispoliitika nõuetega, sealhulgas seoses põhimõtte „ei kahjusta oluliselt“ järgimisega.</w:t>
      </w:r>
    </w:p>
    <w:p w14:paraId="73FC2281" w14:textId="77777777" w:rsidR="0084326C" w:rsidRPr="005D68A0" w:rsidRDefault="0084326C" w:rsidP="0084326C">
      <w:pPr>
        <w:numPr>
          <w:ilvl w:val="0"/>
          <w:numId w:val="51"/>
        </w:numPr>
        <w:spacing w:after="160"/>
        <w:jc w:val="both"/>
        <w:rPr>
          <w:noProof/>
        </w:rPr>
      </w:pPr>
      <w:r>
        <w:rPr>
          <w:noProof/>
        </w:rPr>
        <w:t xml:space="preserve">Finantsvahendaja kehtestatava järelevalve-, auditi- ja kontrolliraamistiku kirjeldus, mille suhtes kohaldatakse </w:t>
      </w:r>
      <w:r>
        <w:rPr>
          <w:i/>
          <w:noProof/>
        </w:rPr>
        <w:t>mutatis mutandis</w:t>
      </w:r>
      <w:r>
        <w:rPr>
          <w:noProof/>
        </w:rPr>
        <w:t xml:space="preserve"> kõiki eespool nimetatud seire-, auditeerimis- ja kontrollinõudeid. </w:t>
      </w:r>
    </w:p>
    <w:p w14:paraId="2AC4A9F9" w14:textId="77777777" w:rsidR="0084326C" w:rsidRPr="005D68A0" w:rsidRDefault="0084326C" w:rsidP="0084326C">
      <w:pPr>
        <w:spacing w:before="120" w:after="120"/>
        <w:jc w:val="both"/>
        <w:rPr>
          <w:noProof/>
        </w:rPr>
      </w:pPr>
      <w:r>
        <w:rPr>
          <w:noProof/>
        </w:rPr>
        <w:t xml:space="preserve">Meetme rakendamine viiakse lõpule 31. augustiks 2026. </w:t>
      </w:r>
    </w:p>
    <w:p w14:paraId="55B979B7" w14:textId="77777777" w:rsidR="0084326C" w:rsidRPr="005D68A0" w:rsidRDefault="0084326C" w:rsidP="0084326C">
      <w:pPr>
        <w:pStyle w:val="Heading3"/>
        <w:numPr>
          <w:ilvl w:val="0"/>
          <w:numId w:val="0"/>
        </w:numPr>
        <w:ind w:left="850" w:hanging="850"/>
        <w:rPr>
          <w:b/>
          <w:bCs w:val="0"/>
          <w:i w:val="0"/>
          <w:iCs/>
          <w:noProof/>
          <w:u w:val="single"/>
        </w:rPr>
      </w:pPr>
      <w:r>
        <w:rPr>
          <w:b/>
          <w:i w:val="0"/>
          <w:noProof/>
          <w:u w:val="single"/>
        </w:rPr>
        <w:t xml:space="preserve">E.4. </w:t>
      </w:r>
      <w:r>
        <w:rPr>
          <w:noProof/>
        </w:rPr>
        <w:tab/>
      </w:r>
      <w:r>
        <w:rPr>
          <w:b/>
          <w:i w:val="0"/>
          <w:noProof/>
          <w:u w:val="single"/>
        </w:rPr>
        <w:t xml:space="preserve">Laenu eesmärgid, sihid, näitajad ning seire ja rakendamise ajakava </w:t>
      </w:r>
    </w:p>
    <w:p w14:paraId="477F4D87" w14:textId="77777777" w:rsidR="0084326C" w:rsidRPr="00F33804" w:rsidRDefault="0084326C" w:rsidP="0084326C">
      <w:pPr>
        <w:spacing w:before="120" w:after="120"/>
        <w:ind w:left="709"/>
        <w:contextualSpacing/>
        <w:jc w:val="both"/>
        <w:rPr>
          <w:noProof/>
        </w:rPr>
        <w:sectPr w:rsidR="0084326C" w:rsidRPr="00F33804">
          <w:headerReference w:type="even" r:id="rId152"/>
          <w:headerReference w:type="default" r:id="rId153"/>
          <w:footerReference w:type="even" r:id="rId154"/>
          <w:footerReference w:type="default" r:id="rId155"/>
          <w:headerReference w:type="first" r:id="rId156"/>
          <w:footerReference w:type="first" r:id="rId157"/>
          <w:pgSz w:w="11907" w:h="16839"/>
          <w:pgMar w:top="1134" w:right="1134" w:bottom="1134" w:left="1134" w:header="567" w:footer="567" w:gutter="0"/>
          <w:cols w:space="720"/>
          <w:docGrid w:linePitch="360"/>
        </w:sectPr>
      </w:pPr>
    </w:p>
    <w:p w14:paraId="79CE0B08" w14:textId="77777777" w:rsidR="0084326C" w:rsidRPr="00F33804" w:rsidRDefault="0084326C" w:rsidP="0084326C">
      <w:pPr>
        <w:spacing w:before="120" w:after="120"/>
        <w:ind w:left="709"/>
        <w:contextualSpacing/>
        <w:jc w:val="both"/>
        <w:rPr>
          <w:noProof/>
        </w:rPr>
      </w:pPr>
    </w:p>
    <w:tbl>
      <w:tblPr>
        <w:tblW w:w="16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1831"/>
        <w:gridCol w:w="900"/>
        <w:gridCol w:w="2345"/>
        <w:gridCol w:w="1876"/>
        <w:gridCol w:w="1417"/>
        <w:gridCol w:w="1134"/>
        <w:gridCol w:w="1210"/>
        <w:gridCol w:w="992"/>
        <w:gridCol w:w="756"/>
        <w:gridCol w:w="2793"/>
      </w:tblGrid>
      <w:tr w:rsidR="0084326C" w:rsidRPr="00D90835" w14:paraId="0F89A30F" w14:textId="77777777" w:rsidTr="00B62B71">
        <w:trPr>
          <w:trHeight w:val="927"/>
          <w:tblHeader/>
          <w:jc w:val="center"/>
        </w:trPr>
        <w:tc>
          <w:tcPr>
            <w:tcW w:w="992" w:type="dxa"/>
            <w:vMerge w:val="restart"/>
            <w:shd w:val="clear" w:color="auto" w:fill="BDD7EE"/>
            <w:vAlign w:val="center"/>
            <w:hideMark/>
          </w:tcPr>
          <w:p w14:paraId="708A2DAF" w14:textId="0BDF4E53" w:rsidR="0084326C" w:rsidRPr="005D68A0" w:rsidRDefault="0084326C">
            <w:pPr>
              <w:jc w:val="center"/>
              <w:rPr>
                <w:rFonts w:ascii="Arial Narrow" w:hAnsi="Arial Narrow"/>
                <w:b/>
                <w:noProof/>
                <w:sz w:val="20"/>
                <w:szCs w:val="20"/>
              </w:rPr>
            </w:pPr>
            <w:r>
              <w:rPr>
                <w:rFonts w:ascii="Arial Narrow" w:hAnsi="Arial Narrow"/>
                <w:b/>
                <w:noProof/>
                <w:sz w:val="20"/>
              </w:rPr>
              <w:t>Järjekorra</w:t>
            </w:r>
            <w:r w:rsidR="00B62B71">
              <w:rPr>
                <w:rFonts w:ascii="Arial Narrow" w:hAnsi="Arial Narrow"/>
                <w:b/>
                <w:noProof/>
                <w:sz w:val="20"/>
              </w:rPr>
              <w:t>-</w:t>
            </w:r>
            <w:r>
              <w:rPr>
                <w:rFonts w:ascii="Arial Narrow" w:hAnsi="Arial Narrow"/>
                <w:b/>
                <w:noProof/>
                <w:sz w:val="20"/>
              </w:rPr>
              <w:t>number</w:t>
            </w:r>
          </w:p>
        </w:tc>
        <w:tc>
          <w:tcPr>
            <w:tcW w:w="1831" w:type="dxa"/>
            <w:vMerge w:val="restart"/>
            <w:shd w:val="clear" w:color="auto" w:fill="BDD7EE"/>
            <w:vAlign w:val="center"/>
            <w:hideMark/>
          </w:tcPr>
          <w:p w14:paraId="0007957A" w14:textId="77777777" w:rsidR="0084326C" w:rsidRPr="005D68A0" w:rsidRDefault="0084326C">
            <w:pPr>
              <w:jc w:val="center"/>
              <w:rPr>
                <w:rFonts w:ascii="Arial Narrow" w:hAnsi="Arial Narrow"/>
                <w:b/>
                <w:noProof/>
                <w:sz w:val="20"/>
                <w:szCs w:val="20"/>
              </w:rPr>
            </w:pPr>
            <w:r>
              <w:rPr>
                <w:rFonts w:ascii="Arial Narrow" w:hAnsi="Arial Narrow"/>
                <w:b/>
                <w:noProof/>
                <w:sz w:val="20"/>
              </w:rPr>
              <w:t>Seotud meede (reform või investeering)</w:t>
            </w:r>
          </w:p>
        </w:tc>
        <w:tc>
          <w:tcPr>
            <w:tcW w:w="900" w:type="dxa"/>
            <w:vMerge w:val="restart"/>
            <w:shd w:val="clear" w:color="auto" w:fill="BDD7EE"/>
            <w:vAlign w:val="center"/>
            <w:hideMark/>
          </w:tcPr>
          <w:p w14:paraId="3DFE2962" w14:textId="77777777" w:rsidR="0084326C" w:rsidRPr="005D68A0" w:rsidRDefault="0084326C">
            <w:pPr>
              <w:jc w:val="center"/>
              <w:rPr>
                <w:rFonts w:ascii="Arial Narrow" w:hAnsi="Arial Narrow"/>
                <w:b/>
                <w:noProof/>
                <w:sz w:val="20"/>
                <w:szCs w:val="20"/>
              </w:rPr>
            </w:pPr>
            <w:r>
              <w:rPr>
                <w:rFonts w:ascii="Arial Narrow" w:hAnsi="Arial Narrow"/>
                <w:b/>
                <w:noProof/>
                <w:sz w:val="20"/>
              </w:rPr>
              <w:t>Eesmärk / siht</w:t>
            </w:r>
          </w:p>
        </w:tc>
        <w:tc>
          <w:tcPr>
            <w:tcW w:w="2345" w:type="dxa"/>
            <w:vMerge w:val="restart"/>
            <w:shd w:val="clear" w:color="auto" w:fill="BDD7EE"/>
            <w:vAlign w:val="center"/>
            <w:hideMark/>
          </w:tcPr>
          <w:p w14:paraId="5A867A0E" w14:textId="77777777" w:rsidR="0084326C" w:rsidRPr="005D68A0" w:rsidRDefault="0084326C">
            <w:pPr>
              <w:jc w:val="center"/>
              <w:rPr>
                <w:rFonts w:ascii="Arial Narrow" w:hAnsi="Arial Narrow"/>
                <w:b/>
                <w:noProof/>
                <w:sz w:val="20"/>
                <w:szCs w:val="20"/>
              </w:rPr>
            </w:pPr>
            <w:r>
              <w:rPr>
                <w:rFonts w:ascii="Arial Narrow" w:hAnsi="Arial Narrow"/>
                <w:b/>
                <w:noProof/>
                <w:sz w:val="20"/>
              </w:rPr>
              <w:t>Nimi</w:t>
            </w:r>
          </w:p>
        </w:tc>
        <w:tc>
          <w:tcPr>
            <w:tcW w:w="1876" w:type="dxa"/>
            <w:vMerge w:val="restart"/>
            <w:shd w:val="clear" w:color="auto" w:fill="BDD7EE"/>
            <w:vAlign w:val="center"/>
            <w:hideMark/>
          </w:tcPr>
          <w:p w14:paraId="74055050" w14:textId="77777777" w:rsidR="0084326C" w:rsidRPr="005D68A0" w:rsidRDefault="0084326C">
            <w:pPr>
              <w:jc w:val="center"/>
              <w:rPr>
                <w:rFonts w:ascii="Arial Narrow" w:hAnsi="Arial Narrow"/>
                <w:b/>
                <w:noProof/>
                <w:sz w:val="20"/>
                <w:szCs w:val="20"/>
              </w:rPr>
            </w:pPr>
            <w:r>
              <w:rPr>
                <w:rFonts w:ascii="Arial Narrow" w:hAnsi="Arial Narrow"/>
                <w:b/>
                <w:noProof/>
                <w:sz w:val="20"/>
              </w:rPr>
              <w:t>Kvalitatiivsed näitajad</w:t>
            </w:r>
            <w:r>
              <w:rPr>
                <w:noProof/>
              </w:rPr>
              <w:t xml:space="preserve"> </w:t>
            </w:r>
            <w:r>
              <w:rPr>
                <w:noProof/>
              </w:rPr>
              <w:br/>
            </w:r>
            <w:r>
              <w:rPr>
                <w:rFonts w:ascii="Arial Narrow" w:hAnsi="Arial Narrow"/>
                <w:b/>
                <w:noProof/>
                <w:sz w:val="20"/>
              </w:rPr>
              <w:t>(eesmärkide puhul)</w:t>
            </w:r>
          </w:p>
        </w:tc>
        <w:tc>
          <w:tcPr>
            <w:tcW w:w="3761" w:type="dxa"/>
            <w:gridSpan w:val="3"/>
            <w:shd w:val="clear" w:color="auto" w:fill="BDD7EE"/>
            <w:vAlign w:val="center"/>
            <w:hideMark/>
          </w:tcPr>
          <w:p w14:paraId="0AE6F61E" w14:textId="77777777" w:rsidR="0084326C" w:rsidRPr="005D68A0" w:rsidRDefault="0084326C">
            <w:pPr>
              <w:jc w:val="center"/>
              <w:rPr>
                <w:rFonts w:ascii="Arial Narrow" w:hAnsi="Arial Narrow"/>
                <w:b/>
                <w:noProof/>
                <w:sz w:val="20"/>
                <w:szCs w:val="20"/>
              </w:rPr>
            </w:pPr>
            <w:r>
              <w:rPr>
                <w:rFonts w:ascii="Arial Narrow" w:hAnsi="Arial Narrow"/>
                <w:b/>
                <w:noProof/>
                <w:sz w:val="20"/>
              </w:rPr>
              <w:t xml:space="preserve">Kvantitatiivsed näitajad </w:t>
            </w:r>
            <w:r>
              <w:rPr>
                <w:noProof/>
              </w:rPr>
              <w:br/>
            </w:r>
            <w:r>
              <w:rPr>
                <w:rFonts w:ascii="Arial Narrow" w:hAnsi="Arial Narrow"/>
                <w:b/>
                <w:noProof/>
                <w:sz w:val="20"/>
              </w:rPr>
              <w:t>(sihtide puhul)</w:t>
            </w:r>
          </w:p>
        </w:tc>
        <w:tc>
          <w:tcPr>
            <w:tcW w:w="1748" w:type="dxa"/>
            <w:gridSpan w:val="2"/>
            <w:shd w:val="clear" w:color="auto" w:fill="BDD7EE"/>
            <w:vAlign w:val="center"/>
            <w:hideMark/>
          </w:tcPr>
          <w:p w14:paraId="597C837C" w14:textId="77777777" w:rsidR="0084326C" w:rsidRPr="005D68A0" w:rsidRDefault="0084326C">
            <w:pPr>
              <w:jc w:val="center"/>
              <w:rPr>
                <w:rFonts w:ascii="Arial Narrow" w:hAnsi="Arial Narrow"/>
                <w:b/>
                <w:noProof/>
                <w:sz w:val="20"/>
                <w:szCs w:val="20"/>
              </w:rPr>
            </w:pPr>
            <w:r>
              <w:rPr>
                <w:rFonts w:ascii="Arial Narrow" w:hAnsi="Arial Narrow"/>
                <w:b/>
                <w:noProof/>
                <w:sz w:val="20"/>
              </w:rPr>
              <w:t>Lõpuleviimise soovituslik ajakava</w:t>
            </w:r>
          </w:p>
        </w:tc>
        <w:tc>
          <w:tcPr>
            <w:tcW w:w="2793" w:type="dxa"/>
            <w:vMerge w:val="restart"/>
            <w:shd w:val="clear" w:color="auto" w:fill="BDD7EE"/>
            <w:vAlign w:val="center"/>
            <w:hideMark/>
          </w:tcPr>
          <w:p w14:paraId="18CD1ACB" w14:textId="77777777" w:rsidR="0084326C" w:rsidRPr="005D68A0" w:rsidRDefault="0084326C">
            <w:pPr>
              <w:rPr>
                <w:rFonts w:ascii="Arial Narrow" w:hAnsi="Arial Narrow"/>
                <w:b/>
                <w:noProof/>
                <w:sz w:val="20"/>
                <w:szCs w:val="20"/>
              </w:rPr>
            </w:pPr>
            <w:r>
              <w:rPr>
                <w:rFonts w:ascii="Arial Narrow" w:hAnsi="Arial Narrow"/>
                <w:b/>
                <w:noProof/>
                <w:sz w:val="20"/>
              </w:rPr>
              <w:t>Iga eesmärgi ja sihi kirjeldus</w:t>
            </w:r>
          </w:p>
        </w:tc>
      </w:tr>
      <w:tr w:rsidR="0084326C" w:rsidRPr="005D68A0" w14:paraId="4AF7C576" w14:textId="77777777" w:rsidTr="00B62B71">
        <w:trPr>
          <w:trHeight w:val="771"/>
          <w:tblHeader/>
          <w:jc w:val="center"/>
        </w:trPr>
        <w:tc>
          <w:tcPr>
            <w:tcW w:w="992" w:type="dxa"/>
            <w:vMerge/>
            <w:vAlign w:val="center"/>
            <w:hideMark/>
          </w:tcPr>
          <w:p w14:paraId="2E412A9A" w14:textId="77777777" w:rsidR="0084326C" w:rsidRPr="00F33804" w:rsidRDefault="0084326C">
            <w:pPr>
              <w:jc w:val="center"/>
              <w:rPr>
                <w:rFonts w:ascii="Arial Narrow" w:hAnsi="Arial Narrow"/>
                <w:b/>
                <w:bCs/>
                <w:noProof/>
                <w:sz w:val="20"/>
                <w:szCs w:val="20"/>
              </w:rPr>
            </w:pPr>
          </w:p>
        </w:tc>
        <w:tc>
          <w:tcPr>
            <w:tcW w:w="1831" w:type="dxa"/>
            <w:vMerge/>
            <w:vAlign w:val="center"/>
            <w:hideMark/>
          </w:tcPr>
          <w:p w14:paraId="150C199C" w14:textId="77777777" w:rsidR="0084326C" w:rsidRPr="00F33804" w:rsidRDefault="0084326C">
            <w:pPr>
              <w:jc w:val="center"/>
              <w:rPr>
                <w:rFonts w:ascii="Arial Narrow" w:hAnsi="Arial Narrow"/>
                <w:b/>
                <w:bCs/>
                <w:noProof/>
                <w:sz w:val="20"/>
                <w:szCs w:val="20"/>
              </w:rPr>
            </w:pPr>
          </w:p>
        </w:tc>
        <w:tc>
          <w:tcPr>
            <w:tcW w:w="900" w:type="dxa"/>
            <w:vMerge/>
            <w:vAlign w:val="center"/>
            <w:hideMark/>
          </w:tcPr>
          <w:p w14:paraId="0C3F29FA" w14:textId="77777777" w:rsidR="0084326C" w:rsidRPr="00F33804" w:rsidRDefault="0084326C">
            <w:pPr>
              <w:jc w:val="center"/>
              <w:rPr>
                <w:rFonts w:ascii="Arial Narrow" w:hAnsi="Arial Narrow"/>
                <w:b/>
                <w:bCs/>
                <w:noProof/>
                <w:sz w:val="20"/>
                <w:szCs w:val="20"/>
              </w:rPr>
            </w:pPr>
          </w:p>
        </w:tc>
        <w:tc>
          <w:tcPr>
            <w:tcW w:w="2345" w:type="dxa"/>
            <w:vMerge/>
            <w:vAlign w:val="center"/>
            <w:hideMark/>
          </w:tcPr>
          <w:p w14:paraId="6E3A070D" w14:textId="77777777" w:rsidR="0084326C" w:rsidRPr="00F33804" w:rsidRDefault="0084326C">
            <w:pPr>
              <w:jc w:val="center"/>
              <w:rPr>
                <w:rFonts w:ascii="Arial Narrow" w:hAnsi="Arial Narrow"/>
                <w:b/>
                <w:bCs/>
                <w:noProof/>
                <w:sz w:val="20"/>
                <w:szCs w:val="20"/>
              </w:rPr>
            </w:pPr>
          </w:p>
        </w:tc>
        <w:tc>
          <w:tcPr>
            <w:tcW w:w="1876" w:type="dxa"/>
            <w:vMerge/>
            <w:vAlign w:val="center"/>
            <w:hideMark/>
          </w:tcPr>
          <w:p w14:paraId="432D7682" w14:textId="77777777" w:rsidR="0084326C" w:rsidRPr="00F33804" w:rsidRDefault="0084326C">
            <w:pPr>
              <w:jc w:val="center"/>
              <w:rPr>
                <w:rFonts w:ascii="Arial Narrow" w:hAnsi="Arial Narrow"/>
                <w:b/>
                <w:bCs/>
                <w:noProof/>
                <w:sz w:val="20"/>
                <w:szCs w:val="20"/>
              </w:rPr>
            </w:pPr>
          </w:p>
        </w:tc>
        <w:tc>
          <w:tcPr>
            <w:tcW w:w="1417" w:type="dxa"/>
            <w:shd w:val="clear" w:color="auto" w:fill="BDD7EE"/>
            <w:vAlign w:val="center"/>
            <w:hideMark/>
          </w:tcPr>
          <w:p w14:paraId="42282B93" w14:textId="77777777" w:rsidR="0084326C" w:rsidRPr="005D68A0" w:rsidRDefault="0084326C">
            <w:pPr>
              <w:jc w:val="center"/>
              <w:rPr>
                <w:rFonts w:ascii="Arial Narrow" w:hAnsi="Arial Narrow"/>
                <w:b/>
                <w:noProof/>
                <w:sz w:val="20"/>
                <w:szCs w:val="20"/>
              </w:rPr>
            </w:pPr>
            <w:r>
              <w:rPr>
                <w:rFonts w:ascii="Arial Narrow" w:hAnsi="Arial Narrow"/>
                <w:b/>
                <w:noProof/>
                <w:sz w:val="20"/>
              </w:rPr>
              <w:t>Mõõtühik</w:t>
            </w:r>
          </w:p>
        </w:tc>
        <w:tc>
          <w:tcPr>
            <w:tcW w:w="1134" w:type="dxa"/>
            <w:shd w:val="clear" w:color="auto" w:fill="BDD7EE"/>
            <w:vAlign w:val="center"/>
            <w:hideMark/>
          </w:tcPr>
          <w:p w14:paraId="1A1C71C8" w14:textId="77777777" w:rsidR="0084326C" w:rsidRPr="005D68A0" w:rsidRDefault="0084326C">
            <w:pPr>
              <w:jc w:val="center"/>
              <w:rPr>
                <w:rFonts w:ascii="Arial Narrow" w:hAnsi="Arial Narrow"/>
                <w:b/>
                <w:noProof/>
                <w:sz w:val="20"/>
                <w:szCs w:val="20"/>
              </w:rPr>
            </w:pPr>
            <w:r>
              <w:rPr>
                <w:rFonts w:ascii="Arial Narrow" w:hAnsi="Arial Narrow"/>
                <w:b/>
                <w:noProof/>
                <w:sz w:val="20"/>
              </w:rPr>
              <w:t>Lähtetase</w:t>
            </w:r>
          </w:p>
        </w:tc>
        <w:tc>
          <w:tcPr>
            <w:tcW w:w="1210" w:type="dxa"/>
            <w:shd w:val="clear" w:color="auto" w:fill="BDD7EE"/>
            <w:vAlign w:val="center"/>
            <w:hideMark/>
          </w:tcPr>
          <w:p w14:paraId="5045D528" w14:textId="77777777" w:rsidR="0084326C" w:rsidRPr="005D68A0" w:rsidRDefault="0084326C">
            <w:pPr>
              <w:jc w:val="center"/>
              <w:rPr>
                <w:rFonts w:ascii="Arial Narrow" w:hAnsi="Arial Narrow"/>
                <w:b/>
                <w:noProof/>
                <w:sz w:val="20"/>
                <w:szCs w:val="20"/>
              </w:rPr>
            </w:pPr>
            <w:r>
              <w:rPr>
                <w:rFonts w:ascii="Arial Narrow" w:hAnsi="Arial Narrow"/>
                <w:b/>
                <w:noProof/>
                <w:sz w:val="20"/>
              </w:rPr>
              <w:t>Eesmärk</w:t>
            </w:r>
          </w:p>
        </w:tc>
        <w:tc>
          <w:tcPr>
            <w:tcW w:w="992" w:type="dxa"/>
            <w:shd w:val="clear" w:color="auto" w:fill="BDD7EE"/>
            <w:vAlign w:val="center"/>
            <w:hideMark/>
          </w:tcPr>
          <w:p w14:paraId="220F2EA8" w14:textId="77777777" w:rsidR="0084326C" w:rsidRPr="005D68A0" w:rsidRDefault="0084326C">
            <w:pPr>
              <w:jc w:val="center"/>
              <w:rPr>
                <w:rFonts w:ascii="Arial Narrow" w:hAnsi="Arial Narrow"/>
                <w:b/>
                <w:noProof/>
                <w:sz w:val="20"/>
                <w:szCs w:val="20"/>
              </w:rPr>
            </w:pPr>
            <w:r>
              <w:rPr>
                <w:rFonts w:ascii="Arial Narrow" w:hAnsi="Arial Narrow"/>
                <w:b/>
                <w:noProof/>
                <w:sz w:val="20"/>
              </w:rPr>
              <w:t>Kvartal</w:t>
            </w:r>
          </w:p>
        </w:tc>
        <w:tc>
          <w:tcPr>
            <w:tcW w:w="756" w:type="dxa"/>
            <w:shd w:val="clear" w:color="auto" w:fill="BDD7EE"/>
            <w:vAlign w:val="center"/>
            <w:hideMark/>
          </w:tcPr>
          <w:p w14:paraId="3B7DB5AE" w14:textId="77777777" w:rsidR="0084326C" w:rsidRPr="005D68A0" w:rsidRDefault="0084326C">
            <w:pPr>
              <w:jc w:val="center"/>
              <w:rPr>
                <w:rFonts w:ascii="Arial Narrow" w:hAnsi="Arial Narrow"/>
                <w:b/>
                <w:noProof/>
                <w:sz w:val="20"/>
                <w:szCs w:val="20"/>
              </w:rPr>
            </w:pPr>
            <w:r>
              <w:rPr>
                <w:rFonts w:ascii="Arial Narrow" w:hAnsi="Arial Narrow"/>
                <w:b/>
                <w:noProof/>
                <w:sz w:val="20"/>
              </w:rPr>
              <w:t>Aasta</w:t>
            </w:r>
          </w:p>
        </w:tc>
        <w:tc>
          <w:tcPr>
            <w:tcW w:w="2793" w:type="dxa"/>
            <w:vMerge/>
            <w:vAlign w:val="center"/>
            <w:hideMark/>
          </w:tcPr>
          <w:p w14:paraId="60AF9519" w14:textId="77777777" w:rsidR="0084326C" w:rsidRPr="005D68A0" w:rsidRDefault="0084326C">
            <w:pPr>
              <w:rPr>
                <w:rFonts w:ascii="Arial Narrow" w:hAnsi="Arial Narrow"/>
                <w:b/>
                <w:bCs/>
                <w:noProof/>
                <w:sz w:val="20"/>
                <w:szCs w:val="20"/>
                <w:lang w:val="en-GB"/>
              </w:rPr>
            </w:pPr>
          </w:p>
        </w:tc>
      </w:tr>
      <w:tr w:rsidR="0084326C" w:rsidRPr="00D90835" w14:paraId="7B623232" w14:textId="77777777" w:rsidTr="00B62B71">
        <w:trPr>
          <w:trHeight w:val="309"/>
          <w:jc w:val="center"/>
        </w:trPr>
        <w:tc>
          <w:tcPr>
            <w:tcW w:w="992" w:type="dxa"/>
            <w:shd w:val="clear" w:color="auto" w:fill="C6EFCE"/>
            <w:noWrap/>
            <w:vAlign w:val="center"/>
          </w:tcPr>
          <w:p w14:paraId="1E5F107E"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M2C2-3</w:t>
            </w:r>
          </w:p>
        </w:tc>
        <w:tc>
          <w:tcPr>
            <w:tcW w:w="1831" w:type="dxa"/>
            <w:shd w:val="clear" w:color="auto" w:fill="C6EFCE"/>
            <w:noWrap/>
            <w:vAlign w:val="center"/>
          </w:tcPr>
          <w:p w14:paraId="40087655"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Investeering 1.4. Biometaani arendamine vastavalt ringmajanduse edendamise kriteeriumidele</w:t>
            </w:r>
          </w:p>
        </w:tc>
        <w:tc>
          <w:tcPr>
            <w:tcW w:w="900" w:type="dxa"/>
            <w:shd w:val="clear" w:color="auto" w:fill="C6EFCE"/>
            <w:noWrap/>
            <w:vAlign w:val="center"/>
          </w:tcPr>
          <w:p w14:paraId="1FB07C70"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Siht</w:t>
            </w:r>
          </w:p>
        </w:tc>
        <w:tc>
          <w:tcPr>
            <w:tcW w:w="2345" w:type="dxa"/>
            <w:shd w:val="clear" w:color="auto" w:fill="C6EFCE"/>
            <w:noWrap/>
            <w:vAlign w:val="center"/>
          </w:tcPr>
          <w:p w14:paraId="50A29B32"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Põllumajandustraktorite asendamine</w:t>
            </w:r>
          </w:p>
        </w:tc>
        <w:tc>
          <w:tcPr>
            <w:tcW w:w="1876" w:type="dxa"/>
            <w:shd w:val="clear" w:color="auto" w:fill="C6EFCE"/>
            <w:noWrap/>
            <w:vAlign w:val="center"/>
          </w:tcPr>
          <w:p w14:paraId="0928A416"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Ei kohaldata</w:t>
            </w:r>
          </w:p>
        </w:tc>
        <w:tc>
          <w:tcPr>
            <w:tcW w:w="1417" w:type="dxa"/>
            <w:shd w:val="clear" w:color="auto" w:fill="C6EFCE"/>
            <w:noWrap/>
            <w:vAlign w:val="center"/>
          </w:tcPr>
          <w:p w14:paraId="772B8813"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Arv</w:t>
            </w:r>
          </w:p>
        </w:tc>
        <w:tc>
          <w:tcPr>
            <w:tcW w:w="1134" w:type="dxa"/>
            <w:shd w:val="clear" w:color="auto" w:fill="C6EFCE"/>
            <w:noWrap/>
            <w:vAlign w:val="center"/>
          </w:tcPr>
          <w:p w14:paraId="5C1047EC"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0</w:t>
            </w:r>
          </w:p>
        </w:tc>
        <w:tc>
          <w:tcPr>
            <w:tcW w:w="1210" w:type="dxa"/>
            <w:shd w:val="clear" w:color="auto" w:fill="C6EFCE"/>
            <w:noWrap/>
            <w:vAlign w:val="center"/>
          </w:tcPr>
          <w:p w14:paraId="77A40EDC"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300</w:t>
            </w:r>
          </w:p>
        </w:tc>
        <w:tc>
          <w:tcPr>
            <w:tcW w:w="992" w:type="dxa"/>
            <w:shd w:val="clear" w:color="auto" w:fill="C6EFCE"/>
            <w:noWrap/>
            <w:vAlign w:val="center"/>
          </w:tcPr>
          <w:p w14:paraId="6BDAFDDD"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 kv</w:t>
            </w:r>
          </w:p>
        </w:tc>
        <w:tc>
          <w:tcPr>
            <w:tcW w:w="756" w:type="dxa"/>
            <w:shd w:val="clear" w:color="auto" w:fill="C6EFCE"/>
            <w:noWrap/>
            <w:vAlign w:val="center"/>
          </w:tcPr>
          <w:p w14:paraId="4B49EF83"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2026</w:t>
            </w:r>
          </w:p>
        </w:tc>
        <w:tc>
          <w:tcPr>
            <w:tcW w:w="2793" w:type="dxa"/>
            <w:shd w:val="clear" w:color="auto" w:fill="C6EFCE"/>
            <w:noWrap/>
            <w:vAlign w:val="center"/>
          </w:tcPr>
          <w:p w14:paraId="6E76418A"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Vähemalt 300 põllumajandustraktori autopargi asendamine mehaaniliste traktoritega, mida käitatakse üksnes biometaaniga ja mis on varustatud täppispõllundustööriistadega.</w:t>
            </w:r>
          </w:p>
          <w:p w14:paraId="49BD39E0" w14:textId="76E363A8" w:rsidR="0084326C" w:rsidRPr="005D68A0" w:rsidRDefault="008F7E6C">
            <w:pPr>
              <w:rPr>
                <w:rFonts w:ascii="Arial Narrow" w:hAnsi="Arial Narrow"/>
                <w:noProof/>
                <w:sz w:val="20"/>
              </w:rPr>
            </w:pPr>
            <w:r w:rsidRPr="008F7E6C">
              <w:rPr>
                <w:rFonts w:ascii="Arial Narrow" w:hAnsi="Arial Narrow"/>
                <w:noProof/>
                <w:color w:val="006100"/>
                <w:sz w:val="20"/>
              </w:rPr>
              <w:t>Biometaan peab vastama direktiivis 2018/2001 (II taastuvenergia direktiiv) sätestatud kriteeriumidele, et järgida olulise kahju ärahoidmise põhimõtet.</w:t>
            </w:r>
            <w:r w:rsidR="0084326C">
              <w:rPr>
                <w:rFonts w:ascii="Arial Narrow" w:hAnsi="Arial Narrow"/>
                <w:noProof/>
                <w:color w:val="006100"/>
                <w:sz w:val="20"/>
              </w:rPr>
              <w:t xml:space="preserve">. Biokütuse ja biometaani ning gaasi ja biokütuse tootjad peavad esitama tõendid (säästvuse tõend), mille on välja andnud sõltumatud hindajad, nagu on sätestatud direktiivis 2018/2001. Käitaja ostab päritolutagatise sertifikaadid vastavalt eeldatavale kütusekasutusele.  </w:t>
            </w:r>
          </w:p>
        </w:tc>
      </w:tr>
      <w:tr w:rsidR="0084326C" w:rsidRPr="00D90835" w14:paraId="7FAF6144" w14:textId="77777777" w:rsidTr="00B62B71">
        <w:trPr>
          <w:trHeight w:val="309"/>
          <w:jc w:val="center"/>
        </w:trPr>
        <w:tc>
          <w:tcPr>
            <w:tcW w:w="992" w:type="dxa"/>
            <w:shd w:val="clear" w:color="auto" w:fill="C6EFCE"/>
            <w:noWrap/>
            <w:vAlign w:val="center"/>
          </w:tcPr>
          <w:p w14:paraId="012C909E"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M2C2-4</w:t>
            </w:r>
          </w:p>
        </w:tc>
        <w:tc>
          <w:tcPr>
            <w:tcW w:w="1831" w:type="dxa"/>
            <w:shd w:val="clear" w:color="auto" w:fill="C6EFCE"/>
            <w:noWrap/>
            <w:vAlign w:val="center"/>
          </w:tcPr>
          <w:p w14:paraId="25B4B8F8"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Investeering 1.4. Biometaani arendamine vastavalt ringmajanduse edendamise kriteeriumidele</w:t>
            </w:r>
          </w:p>
        </w:tc>
        <w:tc>
          <w:tcPr>
            <w:tcW w:w="900" w:type="dxa"/>
            <w:shd w:val="clear" w:color="auto" w:fill="C6EFCE"/>
            <w:noWrap/>
            <w:vAlign w:val="center"/>
          </w:tcPr>
          <w:p w14:paraId="2128C515"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Siht</w:t>
            </w:r>
          </w:p>
        </w:tc>
        <w:tc>
          <w:tcPr>
            <w:tcW w:w="2345" w:type="dxa"/>
            <w:shd w:val="clear" w:color="auto" w:fill="C6EFCE"/>
            <w:noWrap/>
            <w:vAlign w:val="center"/>
          </w:tcPr>
          <w:p w14:paraId="341D8471"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Täiendav biometaani tootmisvõimsus</w:t>
            </w:r>
          </w:p>
        </w:tc>
        <w:tc>
          <w:tcPr>
            <w:tcW w:w="1876" w:type="dxa"/>
            <w:shd w:val="clear" w:color="auto" w:fill="C6EFCE"/>
            <w:noWrap/>
            <w:vAlign w:val="center"/>
          </w:tcPr>
          <w:p w14:paraId="6B6EC205"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Ei kohaldata</w:t>
            </w:r>
          </w:p>
        </w:tc>
        <w:tc>
          <w:tcPr>
            <w:tcW w:w="1417" w:type="dxa"/>
            <w:shd w:val="clear" w:color="auto" w:fill="C6EFCE"/>
            <w:noWrap/>
            <w:vAlign w:val="center"/>
          </w:tcPr>
          <w:p w14:paraId="13162FA5"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1 000 000 000</w:t>
            </w:r>
          </w:p>
        </w:tc>
        <w:tc>
          <w:tcPr>
            <w:tcW w:w="1134" w:type="dxa"/>
            <w:shd w:val="clear" w:color="auto" w:fill="C6EFCE"/>
            <w:noWrap/>
            <w:vAlign w:val="center"/>
          </w:tcPr>
          <w:p w14:paraId="552E8583"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0</w:t>
            </w:r>
          </w:p>
        </w:tc>
        <w:tc>
          <w:tcPr>
            <w:tcW w:w="1210" w:type="dxa"/>
            <w:shd w:val="clear" w:color="auto" w:fill="C6EFCE"/>
            <w:noWrap/>
            <w:vAlign w:val="center"/>
          </w:tcPr>
          <w:p w14:paraId="74C4D1BF"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0,6</w:t>
            </w:r>
          </w:p>
        </w:tc>
        <w:tc>
          <w:tcPr>
            <w:tcW w:w="992" w:type="dxa"/>
            <w:shd w:val="clear" w:color="auto" w:fill="C6EFCE"/>
            <w:noWrap/>
            <w:vAlign w:val="center"/>
          </w:tcPr>
          <w:p w14:paraId="3DAF8073"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 kv</w:t>
            </w:r>
          </w:p>
        </w:tc>
        <w:tc>
          <w:tcPr>
            <w:tcW w:w="756" w:type="dxa"/>
            <w:shd w:val="clear" w:color="auto" w:fill="C6EFCE"/>
            <w:noWrap/>
            <w:vAlign w:val="center"/>
          </w:tcPr>
          <w:p w14:paraId="10DFA38E"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2025</w:t>
            </w:r>
          </w:p>
        </w:tc>
        <w:tc>
          <w:tcPr>
            <w:tcW w:w="2793" w:type="dxa"/>
            <w:shd w:val="clear" w:color="auto" w:fill="C6EFCE"/>
            <w:noWrap/>
            <w:vAlign w:val="center"/>
          </w:tcPr>
          <w:p w14:paraId="6E924803" w14:textId="7E0BC92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Arendada biometaani tootmisvõimsust olemasolevate tehaste (sealhulgas orgaaniliste tahkete olmejäätmete fraktsioon) ja uutest tehastest vähemalt 0,6 miljardi m³-ni.</w:t>
            </w:r>
          </w:p>
          <w:p w14:paraId="7CE19B97" w14:textId="74D24216" w:rsidR="0084326C" w:rsidRPr="005D68A0" w:rsidRDefault="008F7E6C">
            <w:pPr>
              <w:spacing w:after="120"/>
              <w:rPr>
                <w:rFonts w:ascii="Arial Narrow" w:hAnsi="Arial Narrow"/>
                <w:noProof/>
                <w:color w:val="006100"/>
                <w:sz w:val="20"/>
                <w:szCs w:val="20"/>
              </w:rPr>
            </w:pPr>
            <w:r w:rsidRPr="008F7E6C">
              <w:rPr>
                <w:rFonts w:ascii="Arial Narrow" w:hAnsi="Arial Narrow"/>
                <w:noProof/>
                <w:color w:val="006100"/>
                <w:sz w:val="20"/>
              </w:rPr>
              <w:t>Biometaan peab vastama direktiivis 2018/2001 (II taastuvenergia direktiiv) sätestatud kriteeriumidele, et meede vastaks olulise kahju ärahoidmise põhimõttele ja määruse (EL)</w:t>
            </w:r>
            <w:r w:rsidR="00B62B71">
              <w:rPr>
                <w:rFonts w:ascii="Arial Narrow" w:hAnsi="Arial Narrow"/>
                <w:noProof/>
                <w:color w:val="006100"/>
                <w:sz w:val="20"/>
              </w:rPr>
              <w:t> </w:t>
            </w:r>
            <w:r w:rsidRPr="008F7E6C">
              <w:rPr>
                <w:rFonts w:ascii="Arial Narrow" w:hAnsi="Arial Narrow"/>
                <w:noProof/>
                <w:color w:val="006100"/>
                <w:sz w:val="20"/>
              </w:rPr>
              <w:t>2021/241 VI lisa joonealuse märkuse 8 asjakohastele nõuetele</w:t>
            </w:r>
            <w:r w:rsidR="0084326C">
              <w:rPr>
                <w:rFonts w:ascii="Arial Narrow" w:hAnsi="Arial Narrow"/>
                <w:noProof/>
                <w:color w:val="006100"/>
                <w:sz w:val="20"/>
              </w:rPr>
              <w:t>.</w:t>
            </w:r>
          </w:p>
          <w:p w14:paraId="761ADD79" w14:textId="77777777" w:rsidR="0084326C" w:rsidRPr="005D68A0" w:rsidRDefault="0084326C">
            <w:pPr>
              <w:rPr>
                <w:rFonts w:ascii="Arial Narrow" w:hAnsi="Arial Narrow"/>
                <w:noProof/>
                <w:sz w:val="20"/>
              </w:rPr>
            </w:pPr>
            <w:r>
              <w:rPr>
                <w:rFonts w:ascii="Arial Narrow" w:hAnsi="Arial Narrow"/>
                <w:noProof/>
                <w:color w:val="006100"/>
                <w:sz w:val="20"/>
              </w:rPr>
              <w:t xml:space="preserve">Biokütuse ja biometaani ning gaasi ja biokütuse tootjad peavad esitama tõendid (säästvuse tõend), mille on välja andnud sõltumatud hindajad, nagu on sätestatud direktiivis 2018/2001. </w:t>
            </w:r>
          </w:p>
        </w:tc>
      </w:tr>
      <w:tr w:rsidR="0084326C" w:rsidRPr="00D90835" w14:paraId="47C17AAE" w14:textId="77777777" w:rsidTr="00B62B71">
        <w:trPr>
          <w:trHeight w:val="309"/>
          <w:jc w:val="center"/>
        </w:trPr>
        <w:tc>
          <w:tcPr>
            <w:tcW w:w="992" w:type="dxa"/>
            <w:shd w:val="clear" w:color="auto" w:fill="C6EFCE"/>
            <w:noWrap/>
            <w:vAlign w:val="center"/>
          </w:tcPr>
          <w:p w14:paraId="063366B7"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M2C2-5</w:t>
            </w:r>
          </w:p>
        </w:tc>
        <w:tc>
          <w:tcPr>
            <w:tcW w:w="1831" w:type="dxa"/>
            <w:shd w:val="clear" w:color="auto" w:fill="C6EFCE"/>
            <w:noWrap/>
            <w:vAlign w:val="center"/>
          </w:tcPr>
          <w:p w14:paraId="7CF83B71"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Investeering 1.4. Biometaani arendamine vastavalt ringmajanduse edendamise kriteeriumidele</w:t>
            </w:r>
          </w:p>
        </w:tc>
        <w:tc>
          <w:tcPr>
            <w:tcW w:w="900" w:type="dxa"/>
            <w:shd w:val="clear" w:color="auto" w:fill="C6EFCE"/>
            <w:noWrap/>
            <w:vAlign w:val="center"/>
          </w:tcPr>
          <w:p w14:paraId="5A0D4A65"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Siht</w:t>
            </w:r>
          </w:p>
        </w:tc>
        <w:tc>
          <w:tcPr>
            <w:tcW w:w="2345" w:type="dxa"/>
            <w:shd w:val="clear" w:color="auto" w:fill="C6EFCE"/>
            <w:noWrap/>
            <w:vAlign w:val="center"/>
          </w:tcPr>
          <w:p w14:paraId="4AEBF7B5" w14:textId="2530CAF1" w:rsidR="0084326C" w:rsidRPr="005D68A0" w:rsidRDefault="0084326C">
            <w:pPr>
              <w:jc w:val="center"/>
              <w:rPr>
                <w:rFonts w:ascii="Arial Narrow" w:hAnsi="Arial Narrow"/>
                <w:noProof/>
                <w:color w:val="006100"/>
                <w:sz w:val="20"/>
              </w:rPr>
            </w:pPr>
            <w:r>
              <w:rPr>
                <w:rFonts w:ascii="Arial Narrow" w:hAnsi="Arial Narrow"/>
                <w:noProof/>
                <w:color w:val="006100"/>
                <w:sz w:val="20"/>
              </w:rPr>
              <w:t>Täiendav biometaani tootmisvõimsus</w:t>
            </w:r>
          </w:p>
        </w:tc>
        <w:tc>
          <w:tcPr>
            <w:tcW w:w="1876" w:type="dxa"/>
            <w:shd w:val="clear" w:color="auto" w:fill="C6EFCE"/>
            <w:noWrap/>
            <w:vAlign w:val="center"/>
          </w:tcPr>
          <w:p w14:paraId="598AADA0"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Ei kohaldata</w:t>
            </w:r>
          </w:p>
        </w:tc>
        <w:tc>
          <w:tcPr>
            <w:tcW w:w="1417" w:type="dxa"/>
            <w:shd w:val="clear" w:color="auto" w:fill="C6EFCE"/>
            <w:noWrap/>
            <w:vAlign w:val="center"/>
          </w:tcPr>
          <w:p w14:paraId="3833A8EB"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 xml:space="preserve">1 000 000 000 </w:t>
            </w:r>
          </w:p>
        </w:tc>
        <w:tc>
          <w:tcPr>
            <w:tcW w:w="1134" w:type="dxa"/>
            <w:shd w:val="clear" w:color="auto" w:fill="C6EFCE"/>
            <w:noWrap/>
            <w:vAlign w:val="center"/>
          </w:tcPr>
          <w:p w14:paraId="30E41863"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0,6</w:t>
            </w:r>
          </w:p>
        </w:tc>
        <w:tc>
          <w:tcPr>
            <w:tcW w:w="1210" w:type="dxa"/>
            <w:shd w:val="clear" w:color="auto" w:fill="C6EFCE"/>
            <w:noWrap/>
            <w:vAlign w:val="center"/>
          </w:tcPr>
          <w:p w14:paraId="39885FB6"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2,3</w:t>
            </w:r>
          </w:p>
        </w:tc>
        <w:tc>
          <w:tcPr>
            <w:tcW w:w="992" w:type="dxa"/>
            <w:shd w:val="clear" w:color="auto" w:fill="C6EFCE"/>
            <w:noWrap/>
            <w:vAlign w:val="center"/>
          </w:tcPr>
          <w:p w14:paraId="3FCCA97A"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 kv</w:t>
            </w:r>
          </w:p>
        </w:tc>
        <w:tc>
          <w:tcPr>
            <w:tcW w:w="756" w:type="dxa"/>
            <w:shd w:val="clear" w:color="auto" w:fill="C6EFCE"/>
            <w:noWrap/>
            <w:vAlign w:val="center"/>
          </w:tcPr>
          <w:p w14:paraId="298E776D"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2026</w:t>
            </w:r>
          </w:p>
        </w:tc>
        <w:tc>
          <w:tcPr>
            <w:tcW w:w="2793" w:type="dxa"/>
            <w:shd w:val="clear" w:color="auto" w:fill="C6EFCE"/>
            <w:noWrap/>
            <w:vAlign w:val="center"/>
          </w:tcPr>
          <w:p w14:paraId="59885CB9"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Arendada biometaani tootmisvõimsust olemasolevate jaamade (sh orgaaniliste tahkete olmejäätmete (FUSW)) ümberkujundamisest ja uutest tehastest 2026. aasta juuni lõpuks vähemalt 2,3 miljardile m³-le.</w:t>
            </w:r>
          </w:p>
          <w:p w14:paraId="37EB5F65" w14:textId="0E4B5027" w:rsidR="008F7E6C" w:rsidRDefault="008F7E6C">
            <w:pPr>
              <w:rPr>
                <w:rFonts w:ascii="Arial Narrow" w:hAnsi="Arial Narrow"/>
                <w:noProof/>
                <w:color w:val="006100"/>
                <w:sz w:val="20"/>
              </w:rPr>
            </w:pPr>
            <w:r w:rsidRPr="008F7E6C">
              <w:rPr>
                <w:rFonts w:ascii="Arial Narrow" w:hAnsi="Arial Narrow"/>
                <w:noProof/>
                <w:color w:val="006100"/>
                <w:sz w:val="20"/>
              </w:rPr>
              <w:t>Biometaan peab vastama direktiivis 2018/2001 (II taastuvenergia direktiiv) sätestatud kriteeriumidele, et meede vastaks olulise kahju ärahoidmise põhimõttele ja määruse (EL)</w:t>
            </w:r>
            <w:r w:rsidR="00B62B71">
              <w:rPr>
                <w:rFonts w:ascii="Arial Narrow" w:hAnsi="Arial Narrow"/>
                <w:noProof/>
                <w:color w:val="006100"/>
                <w:sz w:val="20"/>
              </w:rPr>
              <w:t> </w:t>
            </w:r>
            <w:r w:rsidRPr="008F7E6C">
              <w:rPr>
                <w:rFonts w:ascii="Arial Narrow" w:hAnsi="Arial Narrow"/>
                <w:noProof/>
                <w:color w:val="006100"/>
                <w:sz w:val="20"/>
              </w:rPr>
              <w:t>2021/241 VI lisa joonealuse märkuse 8 asjakohastele nõuetele.</w:t>
            </w:r>
          </w:p>
          <w:p w14:paraId="29EC32D9" w14:textId="77777777" w:rsidR="008F7E6C" w:rsidRDefault="008F7E6C">
            <w:pPr>
              <w:rPr>
                <w:rFonts w:ascii="Arial Narrow" w:hAnsi="Arial Narrow"/>
                <w:noProof/>
                <w:color w:val="006100"/>
                <w:sz w:val="20"/>
              </w:rPr>
            </w:pPr>
          </w:p>
          <w:p w14:paraId="1DBF1CD3" w14:textId="5BB78167" w:rsidR="0084326C" w:rsidRPr="005D68A0" w:rsidRDefault="0084326C">
            <w:pPr>
              <w:rPr>
                <w:rFonts w:ascii="Arial Narrow" w:hAnsi="Arial Narrow"/>
                <w:noProof/>
                <w:sz w:val="20"/>
              </w:rPr>
            </w:pPr>
            <w:r>
              <w:rPr>
                <w:rFonts w:ascii="Arial Narrow" w:hAnsi="Arial Narrow"/>
                <w:noProof/>
                <w:color w:val="006100"/>
                <w:sz w:val="20"/>
              </w:rPr>
              <w:t xml:space="preserve">Biokütuse ja biometaani ning gaasi ja biokütuse tootjad peavad esitama tõendid (säästvuse tõend), mille on välja andnud sõltumatud hindajad, nagu on sätestatud direktiivis 2018/2001. </w:t>
            </w:r>
          </w:p>
        </w:tc>
      </w:tr>
      <w:tr w:rsidR="0084326C" w:rsidRPr="00D90835" w14:paraId="5C8E7037" w14:textId="77777777" w:rsidTr="00B62B71">
        <w:trPr>
          <w:trHeight w:val="309"/>
          <w:jc w:val="center"/>
        </w:trPr>
        <w:tc>
          <w:tcPr>
            <w:tcW w:w="992" w:type="dxa"/>
            <w:shd w:val="clear" w:color="auto" w:fill="C6EFCE"/>
            <w:noWrap/>
            <w:vAlign w:val="center"/>
          </w:tcPr>
          <w:p w14:paraId="648C4F9B"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M2C2-9</w:t>
            </w:r>
          </w:p>
        </w:tc>
        <w:tc>
          <w:tcPr>
            <w:tcW w:w="1831" w:type="dxa"/>
            <w:shd w:val="clear" w:color="auto" w:fill="C6EFCE"/>
            <w:noWrap/>
            <w:vAlign w:val="center"/>
          </w:tcPr>
          <w:p w14:paraId="75D6EACF"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Investeering 2.1. Arukate võrkude tugevdamine</w:t>
            </w:r>
          </w:p>
        </w:tc>
        <w:tc>
          <w:tcPr>
            <w:tcW w:w="900" w:type="dxa"/>
            <w:shd w:val="clear" w:color="auto" w:fill="C6EFCE"/>
            <w:noWrap/>
            <w:vAlign w:val="center"/>
          </w:tcPr>
          <w:p w14:paraId="50FB10EB"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Siht</w:t>
            </w:r>
          </w:p>
        </w:tc>
        <w:tc>
          <w:tcPr>
            <w:tcW w:w="2345" w:type="dxa"/>
            <w:shd w:val="clear" w:color="auto" w:fill="C6EFCE"/>
            <w:noWrap/>
            <w:vAlign w:val="center"/>
          </w:tcPr>
          <w:p w14:paraId="4AC4DBD1"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Arukad võrgud – suurendada võrguvõimsust taastuvenergia jaotamiseks</w:t>
            </w:r>
          </w:p>
        </w:tc>
        <w:tc>
          <w:tcPr>
            <w:tcW w:w="1876" w:type="dxa"/>
            <w:shd w:val="clear" w:color="auto" w:fill="C6EFCE"/>
            <w:noWrap/>
            <w:vAlign w:val="center"/>
          </w:tcPr>
          <w:p w14:paraId="7D31AF99"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Ei kohaldata</w:t>
            </w:r>
          </w:p>
        </w:tc>
        <w:tc>
          <w:tcPr>
            <w:tcW w:w="1417" w:type="dxa"/>
            <w:shd w:val="clear" w:color="auto" w:fill="C6EFCE"/>
            <w:noWrap/>
            <w:vAlign w:val="center"/>
          </w:tcPr>
          <w:p w14:paraId="762A7624"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Arv</w:t>
            </w:r>
          </w:p>
        </w:tc>
        <w:tc>
          <w:tcPr>
            <w:tcW w:w="1134" w:type="dxa"/>
            <w:shd w:val="clear" w:color="auto" w:fill="C6EFCE"/>
            <w:noWrap/>
            <w:vAlign w:val="center"/>
          </w:tcPr>
          <w:p w14:paraId="56034321"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0</w:t>
            </w:r>
          </w:p>
        </w:tc>
        <w:tc>
          <w:tcPr>
            <w:tcW w:w="1210" w:type="dxa"/>
            <w:shd w:val="clear" w:color="auto" w:fill="C6EFCE"/>
            <w:noWrap/>
            <w:vAlign w:val="center"/>
          </w:tcPr>
          <w:p w14:paraId="56333329"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1 000.</w:t>
            </w:r>
          </w:p>
        </w:tc>
        <w:tc>
          <w:tcPr>
            <w:tcW w:w="992" w:type="dxa"/>
            <w:shd w:val="clear" w:color="auto" w:fill="C6EFCE"/>
            <w:noWrap/>
            <w:vAlign w:val="center"/>
          </w:tcPr>
          <w:p w14:paraId="053E9480"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4. kv</w:t>
            </w:r>
          </w:p>
        </w:tc>
        <w:tc>
          <w:tcPr>
            <w:tcW w:w="756" w:type="dxa"/>
            <w:shd w:val="clear" w:color="auto" w:fill="C6EFCE"/>
            <w:noWrap/>
            <w:vAlign w:val="center"/>
          </w:tcPr>
          <w:p w14:paraId="4CD3957E"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2024</w:t>
            </w:r>
          </w:p>
        </w:tc>
        <w:tc>
          <w:tcPr>
            <w:tcW w:w="2793" w:type="dxa"/>
            <w:shd w:val="clear" w:color="auto" w:fill="C6EFCE"/>
            <w:noWrap/>
            <w:vAlign w:val="center"/>
          </w:tcPr>
          <w:p w14:paraId="6C1AD5F1" w14:textId="383CF836" w:rsidR="0084326C" w:rsidRPr="005D68A0" w:rsidRDefault="0084326C">
            <w:pPr>
              <w:rPr>
                <w:rFonts w:ascii="Arial Narrow" w:hAnsi="Arial Narrow"/>
                <w:noProof/>
                <w:sz w:val="20"/>
              </w:rPr>
            </w:pPr>
            <w:r>
              <w:rPr>
                <w:rFonts w:ascii="Arial Narrow" w:hAnsi="Arial Narrow"/>
                <w:noProof/>
                <w:color w:val="006100"/>
                <w:sz w:val="20"/>
              </w:rPr>
              <w:t>Suurendada taastuvenergia jaotamise võrguvõimsust vähemalt 1 000 MW võrra;</w:t>
            </w:r>
          </w:p>
        </w:tc>
      </w:tr>
      <w:tr w:rsidR="0084326C" w:rsidRPr="00D90835" w14:paraId="7210D0E4" w14:textId="77777777" w:rsidTr="00B62B71">
        <w:trPr>
          <w:trHeight w:val="309"/>
          <w:jc w:val="center"/>
        </w:trPr>
        <w:tc>
          <w:tcPr>
            <w:tcW w:w="992" w:type="dxa"/>
            <w:shd w:val="clear" w:color="auto" w:fill="C6EFCE"/>
            <w:noWrap/>
            <w:vAlign w:val="center"/>
          </w:tcPr>
          <w:p w14:paraId="5F73DCF3"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M2C2-10</w:t>
            </w:r>
          </w:p>
        </w:tc>
        <w:tc>
          <w:tcPr>
            <w:tcW w:w="1831" w:type="dxa"/>
            <w:shd w:val="clear" w:color="auto" w:fill="C6EFCE"/>
            <w:noWrap/>
            <w:vAlign w:val="center"/>
          </w:tcPr>
          <w:p w14:paraId="7AF0307D"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Investeering 2.1. Arukate võrkude tugevdamine</w:t>
            </w:r>
          </w:p>
        </w:tc>
        <w:tc>
          <w:tcPr>
            <w:tcW w:w="900" w:type="dxa"/>
            <w:shd w:val="clear" w:color="auto" w:fill="C6EFCE"/>
            <w:noWrap/>
            <w:vAlign w:val="center"/>
          </w:tcPr>
          <w:p w14:paraId="6B811FEC"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Siht</w:t>
            </w:r>
          </w:p>
        </w:tc>
        <w:tc>
          <w:tcPr>
            <w:tcW w:w="2345" w:type="dxa"/>
            <w:shd w:val="clear" w:color="auto" w:fill="C6EFCE"/>
            <w:noWrap/>
            <w:vAlign w:val="center"/>
          </w:tcPr>
          <w:p w14:paraId="53B28BF5"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Arukad võrgud – suurendada võrguvõimsust taastuvenergia jaotamiseks</w:t>
            </w:r>
          </w:p>
        </w:tc>
        <w:tc>
          <w:tcPr>
            <w:tcW w:w="1876" w:type="dxa"/>
            <w:shd w:val="clear" w:color="auto" w:fill="C6EFCE"/>
            <w:noWrap/>
            <w:vAlign w:val="center"/>
          </w:tcPr>
          <w:p w14:paraId="03B00D26"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Ei kohaldata</w:t>
            </w:r>
          </w:p>
        </w:tc>
        <w:tc>
          <w:tcPr>
            <w:tcW w:w="1417" w:type="dxa"/>
            <w:shd w:val="clear" w:color="auto" w:fill="C6EFCE"/>
            <w:noWrap/>
            <w:vAlign w:val="center"/>
          </w:tcPr>
          <w:p w14:paraId="13F527CD"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Arv</w:t>
            </w:r>
          </w:p>
        </w:tc>
        <w:tc>
          <w:tcPr>
            <w:tcW w:w="1134" w:type="dxa"/>
            <w:shd w:val="clear" w:color="auto" w:fill="C6EFCE"/>
            <w:noWrap/>
            <w:vAlign w:val="center"/>
          </w:tcPr>
          <w:p w14:paraId="3F049167"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1 000.</w:t>
            </w:r>
          </w:p>
        </w:tc>
        <w:tc>
          <w:tcPr>
            <w:tcW w:w="1210" w:type="dxa"/>
            <w:shd w:val="clear" w:color="auto" w:fill="C6EFCE"/>
            <w:noWrap/>
            <w:vAlign w:val="center"/>
          </w:tcPr>
          <w:p w14:paraId="2D4B0385"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4 000.</w:t>
            </w:r>
          </w:p>
        </w:tc>
        <w:tc>
          <w:tcPr>
            <w:tcW w:w="992" w:type="dxa"/>
            <w:shd w:val="clear" w:color="auto" w:fill="C6EFCE"/>
            <w:noWrap/>
            <w:vAlign w:val="center"/>
          </w:tcPr>
          <w:p w14:paraId="31D2DCC2"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 kv</w:t>
            </w:r>
          </w:p>
        </w:tc>
        <w:tc>
          <w:tcPr>
            <w:tcW w:w="756" w:type="dxa"/>
            <w:shd w:val="clear" w:color="auto" w:fill="C6EFCE"/>
            <w:noWrap/>
            <w:vAlign w:val="center"/>
          </w:tcPr>
          <w:p w14:paraId="016BD758"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2026</w:t>
            </w:r>
          </w:p>
        </w:tc>
        <w:tc>
          <w:tcPr>
            <w:tcW w:w="2793" w:type="dxa"/>
            <w:shd w:val="clear" w:color="auto" w:fill="C6EFCE"/>
            <w:noWrap/>
            <w:vAlign w:val="center"/>
          </w:tcPr>
          <w:p w14:paraId="21310EC8" w14:textId="4070DF6F" w:rsidR="0084326C" w:rsidRPr="005D68A0" w:rsidRDefault="0084326C">
            <w:pPr>
              <w:rPr>
                <w:rFonts w:ascii="Arial Narrow" w:hAnsi="Arial Narrow"/>
                <w:noProof/>
                <w:sz w:val="20"/>
              </w:rPr>
            </w:pPr>
            <w:r>
              <w:rPr>
                <w:rFonts w:ascii="Arial Narrow" w:hAnsi="Arial Narrow"/>
                <w:noProof/>
                <w:color w:val="006100"/>
                <w:sz w:val="20"/>
              </w:rPr>
              <w:t>Suurendada taastuvenergia jaotamise võrguvõimsust vähemalt 4 000 MW võrra;</w:t>
            </w:r>
          </w:p>
        </w:tc>
      </w:tr>
      <w:tr w:rsidR="0084326C" w:rsidRPr="00D90835" w14:paraId="54CC267F" w14:textId="77777777" w:rsidTr="00B62B71">
        <w:trPr>
          <w:trHeight w:val="309"/>
          <w:jc w:val="center"/>
        </w:trPr>
        <w:tc>
          <w:tcPr>
            <w:tcW w:w="992" w:type="dxa"/>
            <w:shd w:val="clear" w:color="auto" w:fill="C6EFCE"/>
            <w:noWrap/>
            <w:vAlign w:val="center"/>
          </w:tcPr>
          <w:p w14:paraId="0A2AB60D"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M2C2-11</w:t>
            </w:r>
          </w:p>
        </w:tc>
        <w:tc>
          <w:tcPr>
            <w:tcW w:w="1831" w:type="dxa"/>
            <w:shd w:val="clear" w:color="auto" w:fill="C6EFCE"/>
            <w:noWrap/>
            <w:vAlign w:val="center"/>
          </w:tcPr>
          <w:p w14:paraId="2396CC4B"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Investeering 2.1. Arukate võrkude tugevdamine</w:t>
            </w:r>
          </w:p>
        </w:tc>
        <w:tc>
          <w:tcPr>
            <w:tcW w:w="900" w:type="dxa"/>
            <w:shd w:val="clear" w:color="auto" w:fill="C6EFCE"/>
            <w:noWrap/>
            <w:vAlign w:val="center"/>
          </w:tcPr>
          <w:p w14:paraId="6B281C3B"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Siht</w:t>
            </w:r>
          </w:p>
        </w:tc>
        <w:tc>
          <w:tcPr>
            <w:tcW w:w="2345" w:type="dxa"/>
            <w:shd w:val="clear" w:color="auto" w:fill="C6EFCE"/>
            <w:noWrap/>
            <w:vAlign w:val="center"/>
          </w:tcPr>
          <w:p w14:paraId="7CCFEC1B"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Arukad võrgud – energiatarbimise elektrifitseerimine</w:t>
            </w:r>
          </w:p>
        </w:tc>
        <w:tc>
          <w:tcPr>
            <w:tcW w:w="1876" w:type="dxa"/>
            <w:shd w:val="clear" w:color="auto" w:fill="C6EFCE"/>
            <w:noWrap/>
            <w:vAlign w:val="center"/>
          </w:tcPr>
          <w:p w14:paraId="4FA1BE92"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Ei kohaldata</w:t>
            </w:r>
          </w:p>
        </w:tc>
        <w:tc>
          <w:tcPr>
            <w:tcW w:w="1417" w:type="dxa"/>
            <w:shd w:val="clear" w:color="auto" w:fill="C6EFCE"/>
            <w:noWrap/>
            <w:vAlign w:val="center"/>
          </w:tcPr>
          <w:p w14:paraId="0B18BD23"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Arv</w:t>
            </w:r>
          </w:p>
        </w:tc>
        <w:tc>
          <w:tcPr>
            <w:tcW w:w="1134" w:type="dxa"/>
            <w:shd w:val="clear" w:color="auto" w:fill="C6EFCE"/>
            <w:noWrap/>
            <w:vAlign w:val="center"/>
          </w:tcPr>
          <w:p w14:paraId="4F1C8FE0"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0</w:t>
            </w:r>
          </w:p>
        </w:tc>
        <w:tc>
          <w:tcPr>
            <w:tcW w:w="1210" w:type="dxa"/>
            <w:shd w:val="clear" w:color="auto" w:fill="C6EFCE"/>
            <w:noWrap/>
            <w:vAlign w:val="center"/>
          </w:tcPr>
          <w:p w14:paraId="15C86C01"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1 500 000</w:t>
            </w:r>
          </w:p>
        </w:tc>
        <w:tc>
          <w:tcPr>
            <w:tcW w:w="992" w:type="dxa"/>
            <w:shd w:val="clear" w:color="auto" w:fill="C6EFCE"/>
            <w:noWrap/>
            <w:vAlign w:val="center"/>
          </w:tcPr>
          <w:p w14:paraId="44E41DDB"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 kv</w:t>
            </w:r>
          </w:p>
        </w:tc>
        <w:tc>
          <w:tcPr>
            <w:tcW w:w="756" w:type="dxa"/>
            <w:shd w:val="clear" w:color="auto" w:fill="C6EFCE"/>
            <w:noWrap/>
            <w:vAlign w:val="center"/>
          </w:tcPr>
          <w:p w14:paraId="7E5A3CF0"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2026</w:t>
            </w:r>
          </w:p>
        </w:tc>
        <w:tc>
          <w:tcPr>
            <w:tcW w:w="2793" w:type="dxa"/>
            <w:shd w:val="clear" w:color="auto" w:fill="C6EFCE"/>
            <w:noWrap/>
            <w:vAlign w:val="center"/>
          </w:tcPr>
          <w:p w14:paraId="66E0AFFB" w14:textId="723F1C81" w:rsidR="0084326C" w:rsidRPr="005D68A0" w:rsidRDefault="0084326C">
            <w:pPr>
              <w:rPr>
                <w:rFonts w:ascii="Arial Narrow" w:hAnsi="Arial Narrow"/>
                <w:noProof/>
                <w:sz w:val="20"/>
              </w:rPr>
            </w:pPr>
            <w:r>
              <w:rPr>
                <w:rFonts w:ascii="Arial Narrow" w:hAnsi="Arial Narrow"/>
                <w:noProof/>
                <w:color w:val="006100"/>
                <w:sz w:val="20"/>
              </w:rPr>
              <w:t>Vähemalt 1 500 000 elanikuni jõudva energiatarbimise elektrifitseerimine</w:t>
            </w:r>
          </w:p>
        </w:tc>
      </w:tr>
      <w:tr w:rsidR="0084326C" w:rsidRPr="00D90835" w14:paraId="00C520B6" w14:textId="77777777" w:rsidTr="00B62B71">
        <w:trPr>
          <w:trHeight w:val="309"/>
          <w:jc w:val="center"/>
        </w:trPr>
        <w:tc>
          <w:tcPr>
            <w:tcW w:w="992" w:type="dxa"/>
            <w:shd w:val="clear" w:color="auto" w:fill="C6EFCE"/>
            <w:noWrap/>
            <w:vAlign w:val="center"/>
          </w:tcPr>
          <w:p w14:paraId="36EDA8B5"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M2C2-13</w:t>
            </w:r>
          </w:p>
        </w:tc>
        <w:tc>
          <w:tcPr>
            <w:tcW w:w="1831" w:type="dxa"/>
            <w:shd w:val="clear" w:color="auto" w:fill="C6EFCE"/>
            <w:noWrap/>
            <w:vAlign w:val="center"/>
          </w:tcPr>
          <w:p w14:paraId="566E0809"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Investeering 2.2. Sekkumised elektrivõrgu vastupidavuse suurendamiseks</w:t>
            </w:r>
          </w:p>
        </w:tc>
        <w:tc>
          <w:tcPr>
            <w:tcW w:w="900" w:type="dxa"/>
            <w:shd w:val="clear" w:color="auto" w:fill="C6EFCE"/>
            <w:noWrap/>
            <w:vAlign w:val="center"/>
          </w:tcPr>
          <w:p w14:paraId="56372AC4"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Siht</w:t>
            </w:r>
          </w:p>
        </w:tc>
        <w:tc>
          <w:tcPr>
            <w:tcW w:w="2345" w:type="dxa"/>
            <w:shd w:val="clear" w:color="auto" w:fill="C6EFCE"/>
            <w:noWrap/>
            <w:vAlign w:val="center"/>
          </w:tcPr>
          <w:p w14:paraId="1D7097D1"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Suurendada elektrisüsteemi võrgu vastupidavust</w:t>
            </w:r>
          </w:p>
        </w:tc>
        <w:tc>
          <w:tcPr>
            <w:tcW w:w="1876" w:type="dxa"/>
            <w:shd w:val="clear" w:color="auto" w:fill="C6EFCE"/>
            <w:noWrap/>
            <w:vAlign w:val="center"/>
          </w:tcPr>
          <w:p w14:paraId="037CF503"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Ei kohaldata</w:t>
            </w:r>
          </w:p>
        </w:tc>
        <w:tc>
          <w:tcPr>
            <w:tcW w:w="1417" w:type="dxa"/>
            <w:shd w:val="clear" w:color="auto" w:fill="C6EFCE"/>
            <w:noWrap/>
            <w:vAlign w:val="center"/>
          </w:tcPr>
          <w:p w14:paraId="6BD01D86"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Arv</w:t>
            </w:r>
          </w:p>
        </w:tc>
        <w:tc>
          <w:tcPr>
            <w:tcW w:w="1134" w:type="dxa"/>
            <w:shd w:val="clear" w:color="auto" w:fill="C6EFCE"/>
            <w:noWrap/>
            <w:vAlign w:val="center"/>
          </w:tcPr>
          <w:p w14:paraId="2A0988AE"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0</w:t>
            </w:r>
          </w:p>
        </w:tc>
        <w:tc>
          <w:tcPr>
            <w:tcW w:w="1210" w:type="dxa"/>
            <w:shd w:val="clear" w:color="auto" w:fill="C6EFCE"/>
            <w:noWrap/>
            <w:vAlign w:val="center"/>
          </w:tcPr>
          <w:p w14:paraId="4ACD3D5F"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4 000</w:t>
            </w:r>
          </w:p>
        </w:tc>
        <w:tc>
          <w:tcPr>
            <w:tcW w:w="992" w:type="dxa"/>
            <w:shd w:val="clear" w:color="auto" w:fill="C6EFCE"/>
            <w:noWrap/>
            <w:vAlign w:val="center"/>
          </w:tcPr>
          <w:p w14:paraId="3EB84E43"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 kv</w:t>
            </w:r>
          </w:p>
        </w:tc>
        <w:tc>
          <w:tcPr>
            <w:tcW w:w="756" w:type="dxa"/>
            <w:shd w:val="clear" w:color="auto" w:fill="C6EFCE"/>
            <w:noWrap/>
            <w:vAlign w:val="center"/>
          </w:tcPr>
          <w:p w14:paraId="3F9F37A2"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2026</w:t>
            </w:r>
          </w:p>
        </w:tc>
        <w:tc>
          <w:tcPr>
            <w:tcW w:w="2793" w:type="dxa"/>
            <w:shd w:val="clear" w:color="auto" w:fill="C6EFCE"/>
            <w:noWrap/>
            <w:vAlign w:val="center"/>
          </w:tcPr>
          <w:p w14:paraId="5A260CC7" w14:textId="7223B53B" w:rsidR="0084326C" w:rsidRPr="005D68A0" w:rsidRDefault="0084326C">
            <w:pPr>
              <w:rPr>
                <w:rFonts w:ascii="Arial Narrow" w:hAnsi="Arial Narrow"/>
                <w:noProof/>
                <w:sz w:val="20"/>
              </w:rPr>
            </w:pPr>
            <w:r>
              <w:rPr>
                <w:rFonts w:ascii="Arial Narrow" w:hAnsi="Arial Narrow"/>
                <w:noProof/>
                <w:color w:val="006100"/>
                <w:sz w:val="20"/>
              </w:rPr>
              <w:t>Suurendada elektrisüsteemi võrgu vastupidavust vähemalt 4 000 km ulatuses, et vähendada äärmuslikest ilmastikuoludest tingitud energiakatkestuste sagedust ja kestust.</w:t>
            </w:r>
          </w:p>
        </w:tc>
      </w:tr>
      <w:tr w:rsidR="0084326C" w:rsidRPr="00D90835" w14:paraId="3A068E70" w14:textId="77777777" w:rsidTr="00B62B71">
        <w:trPr>
          <w:trHeight w:val="309"/>
          <w:jc w:val="center"/>
        </w:trPr>
        <w:tc>
          <w:tcPr>
            <w:tcW w:w="992" w:type="dxa"/>
            <w:shd w:val="clear" w:color="auto" w:fill="C6EFCE"/>
            <w:noWrap/>
            <w:vAlign w:val="center"/>
          </w:tcPr>
          <w:p w14:paraId="2584A79B"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M2C2-15</w:t>
            </w:r>
          </w:p>
        </w:tc>
        <w:tc>
          <w:tcPr>
            <w:tcW w:w="1831" w:type="dxa"/>
            <w:shd w:val="clear" w:color="auto" w:fill="C6EFCE"/>
            <w:noWrap/>
            <w:vAlign w:val="center"/>
          </w:tcPr>
          <w:p w14:paraId="6D1EB5B5"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Investeering 3.3. Vesinikukatsed maanteetranspordis</w:t>
            </w:r>
          </w:p>
        </w:tc>
        <w:tc>
          <w:tcPr>
            <w:tcW w:w="900" w:type="dxa"/>
            <w:shd w:val="clear" w:color="auto" w:fill="C6EFCE"/>
            <w:noWrap/>
            <w:vAlign w:val="center"/>
          </w:tcPr>
          <w:p w14:paraId="4E2DC246"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Siht</w:t>
            </w:r>
          </w:p>
        </w:tc>
        <w:tc>
          <w:tcPr>
            <w:tcW w:w="2345" w:type="dxa"/>
            <w:shd w:val="clear" w:color="auto" w:fill="C6EFCE"/>
            <w:noWrap/>
            <w:vAlign w:val="center"/>
          </w:tcPr>
          <w:p w14:paraId="4C82CDAC"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Vesinikul põhinevate laadimisjaamade arendamine</w:t>
            </w:r>
          </w:p>
        </w:tc>
        <w:tc>
          <w:tcPr>
            <w:tcW w:w="1876" w:type="dxa"/>
            <w:shd w:val="clear" w:color="auto" w:fill="C6EFCE"/>
            <w:noWrap/>
            <w:vAlign w:val="center"/>
          </w:tcPr>
          <w:p w14:paraId="51191BF2"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Ei kohaldata</w:t>
            </w:r>
          </w:p>
        </w:tc>
        <w:tc>
          <w:tcPr>
            <w:tcW w:w="1417" w:type="dxa"/>
            <w:shd w:val="clear" w:color="auto" w:fill="C6EFCE"/>
            <w:noWrap/>
            <w:vAlign w:val="center"/>
          </w:tcPr>
          <w:p w14:paraId="4B51F24C"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Arv</w:t>
            </w:r>
          </w:p>
        </w:tc>
        <w:tc>
          <w:tcPr>
            <w:tcW w:w="1134" w:type="dxa"/>
            <w:shd w:val="clear" w:color="auto" w:fill="C6EFCE"/>
            <w:noWrap/>
            <w:vAlign w:val="center"/>
          </w:tcPr>
          <w:p w14:paraId="21C93038"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0</w:t>
            </w:r>
          </w:p>
        </w:tc>
        <w:tc>
          <w:tcPr>
            <w:tcW w:w="1210" w:type="dxa"/>
            <w:shd w:val="clear" w:color="auto" w:fill="C6EFCE"/>
            <w:noWrap/>
            <w:vAlign w:val="center"/>
          </w:tcPr>
          <w:p w14:paraId="3E4B8952"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40</w:t>
            </w:r>
          </w:p>
        </w:tc>
        <w:tc>
          <w:tcPr>
            <w:tcW w:w="992" w:type="dxa"/>
            <w:shd w:val="clear" w:color="auto" w:fill="C6EFCE"/>
            <w:noWrap/>
            <w:vAlign w:val="center"/>
          </w:tcPr>
          <w:p w14:paraId="72DFD25F"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 kv</w:t>
            </w:r>
          </w:p>
        </w:tc>
        <w:tc>
          <w:tcPr>
            <w:tcW w:w="756" w:type="dxa"/>
            <w:shd w:val="clear" w:color="auto" w:fill="C6EFCE"/>
            <w:noWrap/>
            <w:vAlign w:val="center"/>
          </w:tcPr>
          <w:p w14:paraId="0F968093"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2026</w:t>
            </w:r>
          </w:p>
        </w:tc>
        <w:tc>
          <w:tcPr>
            <w:tcW w:w="2793" w:type="dxa"/>
            <w:shd w:val="clear" w:color="auto" w:fill="C6EFCE"/>
            <w:noWrap/>
            <w:vAlign w:val="center"/>
          </w:tcPr>
          <w:p w14:paraId="1BCF36D6"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Töötada kooskõlas direktiiviga 2014/94/EL välja vähemalt 40 kerg- ja raskeveokite vesinikul põhinevat laadimisjaama.</w:t>
            </w:r>
          </w:p>
          <w:p w14:paraId="77776264" w14:textId="77777777" w:rsidR="0084326C" w:rsidRPr="00F33804" w:rsidRDefault="0084326C">
            <w:pPr>
              <w:rPr>
                <w:rFonts w:ascii="Arial Narrow" w:hAnsi="Arial Narrow"/>
                <w:noProof/>
                <w:sz w:val="20"/>
              </w:rPr>
            </w:pPr>
          </w:p>
        </w:tc>
      </w:tr>
      <w:tr w:rsidR="0084326C" w:rsidRPr="00D90835" w14:paraId="0288D10F" w14:textId="77777777" w:rsidTr="00B62B71">
        <w:trPr>
          <w:trHeight w:val="309"/>
          <w:jc w:val="center"/>
        </w:trPr>
        <w:tc>
          <w:tcPr>
            <w:tcW w:w="992" w:type="dxa"/>
            <w:shd w:val="clear" w:color="auto" w:fill="C6EFCE"/>
            <w:noWrap/>
            <w:vAlign w:val="center"/>
          </w:tcPr>
          <w:p w14:paraId="28933F1F"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M2C2-17</w:t>
            </w:r>
          </w:p>
        </w:tc>
        <w:tc>
          <w:tcPr>
            <w:tcW w:w="1831" w:type="dxa"/>
            <w:shd w:val="clear" w:color="auto" w:fill="C6EFCE"/>
            <w:noWrap/>
            <w:vAlign w:val="center"/>
          </w:tcPr>
          <w:p w14:paraId="33E95956"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Investeering 3.4. Vesinikukatsed raudteetranspordi valdkonnas</w:t>
            </w:r>
          </w:p>
        </w:tc>
        <w:tc>
          <w:tcPr>
            <w:tcW w:w="900" w:type="dxa"/>
            <w:shd w:val="clear" w:color="auto" w:fill="C6EFCE"/>
            <w:noWrap/>
            <w:vAlign w:val="center"/>
          </w:tcPr>
          <w:p w14:paraId="1A150040"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Siht</w:t>
            </w:r>
          </w:p>
        </w:tc>
        <w:tc>
          <w:tcPr>
            <w:tcW w:w="2345" w:type="dxa"/>
            <w:shd w:val="clear" w:color="auto" w:fill="C6EFCE"/>
            <w:noWrap/>
            <w:vAlign w:val="center"/>
          </w:tcPr>
          <w:p w14:paraId="32B76015"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Vesinikutanklate arv</w:t>
            </w:r>
          </w:p>
        </w:tc>
        <w:tc>
          <w:tcPr>
            <w:tcW w:w="1876" w:type="dxa"/>
            <w:shd w:val="clear" w:color="auto" w:fill="C6EFCE"/>
            <w:noWrap/>
            <w:vAlign w:val="center"/>
          </w:tcPr>
          <w:p w14:paraId="3FEDCE62"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Ei kohaldata</w:t>
            </w:r>
          </w:p>
        </w:tc>
        <w:tc>
          <w:tcPr>
            <w:tcW w:w="1417" w:type="dxa"/>
            <w:shd w:val="clear" w:color="auto" w:fill="C6EFCE"/>
            <w:noWrap/>
            <w:vAlign w:val="center"/>
          </w:tcPr>
          <w:p w14:paraId="21136DC1"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Arv</w:t>
            </w:r>
          </w:p>
        </w:tc>
        <w:tc>
          <w:tcPr>
            <w:tcW w:w="1134" w:type="dxa"/>
            <w:shd w:val="clear" w:color="auto" w:fill="C6EFCE"/>
            <w:noWrap/>
            <w:vAlign w:val="center"/>
          </w:tcPr>
          <w:p w14:paraId="01664B07"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0</w:t>
            </w:r>
          </w:p>
        </w:tc>
        <w:tc>
          <w:tcPr>
            <w:tcW w:w="1210" w:type="dxa"/>
            <w:shd w:val="clear" w:color="auto" w:fill="C6EFCE"/>
            <w:noWrap/>
            <w:vAlign w:val="center"/>
          </w:tcPr>
          <w:p w14:paraId="4C58EAB6"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10</w:t>
            </w:r>
          </w:p>
        </w:tc>
        <w:tc>
          <w:tcPr>
            <w:tcW w:w="992" w:type="dxa"/>
            <w:shd w:val="clear" w:color="auto" w:fill="C6EFCE"/>
            <w:noWrap/>
            <w:vAlign w:val="center"/>
          </w:tcPr>
          <w:p w14:paraId="0A31378A"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 kv</w:t>
            </w:r>
          </w:p>
        </w:tc>
        <w:tc>
          <w:tcPr>
            <w:tcW w:w="756" w:type="dxa"/>
            <w:shd w:val="clear" w:color="auto" w:fill="C6EFCE"/>
            <w:noWrap/>
            <w:vAlign w:val="center"/>
          </w:tcPr>
          <w:p w14:paraId="1D2C6BE5"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2026</w:t>
            </w:r>
          </w:p>
        </w:tc>
        <w:tc>
          <w:tcPr>
            <w:tcW w:w="2793" w:type="dxa"/>
            <w:shd w:val="clear" w:color="auto" w:fill="C6EFCE"/>
            <w:noWrap/>
            <w:vAlign w:val="center"/>
          </w:tcPr>
          <w:p w14:paraId="4C3403F6" w14:textId="77777777" w:rsidR="0084326C" w:rsidRPr="005D68A0" w:rsidRDefault="0084326C">
            <w:pPr>
              <w:spacing w:after="120"/>
              <w:rPr>
                <w:rFonts w:ascii="Arial Narrow" w:hAnsi="Arial Narrow"/>
                <w:noProof/>
                <w:sz w:val="20"/>
              </w:rPr>
            </w:pPr>
            <w:r>
              <w:rPr>
                <w:rFonts w:ascii="Arial Narrow" w:hAnsi="Arial Narrow"/>
                <w:noProof/>
                <w:color w:val="006100"/>
                <w:sz w:val="20"/>
              </w:rPr>
              <w:t>Ehitada kuuele raudteeliinile kümme vesinikul põhinevat tanklat, mis määratakse kindlaks säästva liikuvuse ministeeriumi ja ökoloogilise ülemineku ministeeriumi (MITE) kehtestatud avalike menetlustega.</w:t>
            </w:r>
          </w:p>
        </w:tc>
      </w:tr>
      <w:tr w:rsidR="0084326C" w:rsidRPr="00D90835" w14:paraId="18BA4DC1" w14:textId="77777777" w:rsidTr="00B62B71">
        <w:trPr>
          <w:trHeight w:val="309"/>
          <w:jc w:val="center"/>
        </w:trPr>
        <w:tc>
          <w:tcPr>
            <w:tcW w:w="992" w:type="dxa"/>
            <w:shd w:val="clear" w:color="auto" w:fill="C6EFCE"/>
            <w:noWrap/>
            <w:vAlign w:val="center"/>
          </w:tcPr>
          <w:p w14:paraId="55C8D403"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M2C2-19</w:t>
            </w:r>
          </w:p>
        </w:tc>
        <w:tc>
          <w:tcPr>
            <w:tcW w:w="1831" w:type="dxa"/>
            <w:shd w:val="clear" w:color="auto" w:fill="C6EFCE"/>
            <w:noWrap/>
            <w:vAlign w:val="center"/>
          </w:tcPr>
          <w:p w14:paraId="147A4D56"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Investeering 3.5. Vesinikualane teadus- ja arendustegevus</w:t>
            </w:r>
          </w:p>
        </w:tc>
        <w:tc>
          <w:tcPr>
            <w:tcW w:w="900" w:type="dxa"/>
            <w:shd w:val="clear" w:color="auto" w:fill="C6EFCE"/>
            <w:noWrap/>
            <w:vAlign w:val="center"/>
          </w:tcPr>
          <w:p w14:paraId="32F5A958"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Siht</w:t>
            </w:r>
          </w:p>
        </w:tc>
        <w:tc>
          <w:tcPr>
            <w:tcW w:w="2345" w:type="dxa"/>
            <w:shd w:val="clear" w:color="auto" w:fill="C6EFCE"/>
            <w:noWrap/>
            <w:vAlign w:val="center"/>
          </w:tcPr>
          <w:p w14:paraId="156E6B4A"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Vesinikualase teadus- ja arendustegevuse projektide arv</w:t>
            </w:r>
          </w:p>
        </w:tc>
        <w:tc>
          <w:tcPr>
            <w:tcW w:w="1876" w:type="dxa"/>
            <w:shd w:val="clear" w:color="auto" w:fill="C6EFCE"/>
            <w:noWrap/>
            <w:vAlign w:val="center"/>
          </w:tcPr>
          <w:p w14:paraId="4816B2F3"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Ei kohaldata</w:t>
            </w:r>
          </w:p>
        </w:tc>
        <w:tc>
          <w:tcPr>
            <w:tcW w:w="1417" w:type="dxa"/>
            <w:shd w:val="clear" w:color="auto" w:fill="C6EFCE"/>
            <w:noWrap/>
            <w:vAlign w:val="center"/>
          </w:tcPr>
          <w:p w14:paraId="29DBEF8B"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Arv</w:t>
            </w:r>
          </w:p>
        </w:tc>
        <w:tc>
          <w:tcPr>
            <w:tcW w:w="1134" w:type="dxa"/>
            <w:shd w:val="clear" w:color="auto" w:fill="C6EFCE"/>
            <w:noWrap/>
            <w:vAlign w:val="center"/>
          </w:tcPr>
          <w:p w14:paraId="7581641C"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0</w:t>
            </w:r>
          </w:p>
        </w:tc>
        <w:tc>
          <w:tcPr>
            <w:tcW w:w="1210" w:type="dxa"/>
            <w:shd w:val="clear" w:color="auto" w:fill="C6EFCE"/>
            <w:noWrap/>
            <w:vAlign w:val="center"/>
          </w:tcPr>
          <w:p w14:paraId="7FEA8459"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10</w:t>
            </w:r>
          </w:p>
        </w:tc>
        <w:tc>
          <w:tcPr>
            <w:tcW w:w="992" w:type="dxa"/>
            <w:shd w:val="clear" w:color="auto" w:fill="C6EFCE"/>
            <w:noWrap/>
            <w:vAlign w:val="center"/>
          </w:tcPr>
          <w:p w14:paraId="62E44609"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 kv</w:t>
            </w:r>
          </w:p>
        </w:tc>
        <w:tc>
          <w:tcPr>
            <w:tcW w:w="756" w:type="dxa"/>
            <w:shd w:val="clear" w:color="auto" w:fill="C6EFCE"/>
            <w:noWrap/>
            <w:vAlign w:val="center"/>
          </w:tcPr>
          <w:p w14:paraId="6A5FC346"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2026</w:t>
            </w:r>
          </w:p>
        </w:tc>
        <w:tc>
          <w:tcPr>
            <w:tcW w:w="2793" w:type="dxa"/>
            <w:shd w:val="clear" w:color="auto" w:fill="C6EFCE"/>
            <w:noWrap/>
            <w:vAlign w:val="center"/>
          </w:tcPr>
          <w:p w14:paraId="76D345DE"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Vähemalt 10 R &amp;D projekti (üks iga R&amp;D-mõõtme kohta), mis on läbi viidud ja mille kohta on esitatud katsetunnistus või -väljaanne</w:t>
            </w:r>
          </w:p>
          <w:p w14:paraId="222C5601"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Töötatakse välja neli teadus- ja arendustegevuse tegevussuunda, võttes arvesse järgmist:</w:t>
            </w:r>
          </w:p>
          <w:p w14:paraId="19EC1DB0"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a) Rohelise ja puhta vesiniku tootmine</w:t>
            </w:r>
          </w:p>
          <w:p w14:paraId="123B9AB1"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b) vesiniku salvestamise, transpordi ja derivaatideks ja e-kütusteks muundamise uuenduslikud tehnoloogiad</w:t>
            </w:r>
          </w:p>
          <w:p w14:paraId="13AA4328" w14:textId="5EEC835B"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c) Kütuseelemendid paikseks kasutamiseks ja liikuvuseks</w:t>
            </w:r>
          </w:p>
          <w:p w14:paraId="05DF1A9E" w14:textId="32781BB1"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d) Integreeritud arukad juhtimissüsteemid, et suurendada intelligentsete vesinikupõhiste taristute vastupidavust ja usaldusväärsust</w:t>
            </w:r>
          </w:p>
          <w:p w14:paraId="5B0CE501" w14:textId="33E4040E" w:rsidR="0084326C" w:rsidRPr="005D68A0" w:rsidRDefault="0084326C">
            <w:pPr>
              <w:rPr>
                <w:rFonts w:ascii="Arial Narrow" w:hAnsi="Arial Narrow"/>
                <w:noProof/>
                <w:sz w:val="20"/>
              </w:rPr>
            </w:pPr>
            <w:r>
              <w:rPr>
                <w:rFonts w:ascii="Arial Narrow" w:hAnsi="Arial Narrow"/>
                <w:noProof/>
                <w:color w:val="006100"/>
                <w:sz w:val="20"/>
              </w:rPr>
              <w:t>Selle meetmega toetatakse vesiniku tootmist elektrolüüsi teel, kasutades direktiivis (EL)</w:t>
            </w:r>
            <w:r w:rsidR="00B62B71">
              <w:rPr>
                <w:rFonts w:ascii="Arial Narrow" w:hAnsi="Arial Narrow"/>
                <w:noProof/>
                <w:color w:val="006100"/>
                <w:sz w:val="20"/>
              </w:rPr>
              <w:t> </w:t>
            </w:r>
            <w:r>
              <w:rPr>
                <w:rFonts w:ascii="Arial Narrow" w:hAnsi="Arial Narrow"/>
                <w:noProof/>
                <w:color w:val="006100"/>
                <w:sz w:val="20"/>
              </w:rPr>
              <w:t>2018/2001 (taastuvenergia direktiiv) määratletud taastuvaid energiaallikaid või võrguelektrit, või vesinikuga seotud tegevust, mis vastab nõudele vähendada kasvuhoonegaaside heidet olelusringi jooksul vesiniku puhul 73,4 %, mille tulemusel on olelusringi jooksul tekkiv kasvuhoonegaaside heide väiksem kui 3tCO2e/tH2 ja vesinikupõhiste sünteetiliste kütuste puhul 70 % võrreldes fossiilkütusega, mille võrdlusväärtus on 94 g CO2e/MJ, analoogselt direktiivi (EL) 2018/2001 artikli 25 lõikes 2 ja V lisas sätestatud lähenemisviisiga.</w:t>
            </w:r>
          </w:p>
        </w:tc>
      </w:tr>
      <w:tr w:rsidR="004A4B43" w:rsidRPr="00D90835" w14:paraId="1FDB60FC" w14:textId="77777777" w:rsidTr="00B62B71">
        <w:trPr>
          <w:trHeight w:val="309"/>
          <w:jc w:val="center"/>
        </w:trPr>
        <w:tc>
          <w:tcPr>
            <w:tcW w:w="992" w:type="dxa"/>
            <w:shd w:val="clear" w:color="auto" w:fill="C6EFCE"/>
            <w:noWrap/>
            <w:vAlign w:val="center"/>
          </w:tcPr>
          <w:p w14:paraId="3E45984A"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M2C2-24</w:t>
            </w:r>
          </w:p>
        </w:tc>
        <w:tc>
          <w:tcPr>
            <w:tcW w:w="1831" w:type="dxa"/>
            <w:shd w:val="clear" w:color="auto" w:fill="C6EFCE"/>
            <w:noWrap/>
            <w:vAlign w:val="center"/>
          </w:tcPr>
          <w:p w14:paraId="0EF02B0C" w14:textId="3BC73C45" w:rsidR="0084326C" w:rsidRPr="005D68A0" w:rsidRDefault="0084326C">
            <w:pPr>
              <w:jc w:val="center"/>
              <w:rPr>
                <w:rFonts w:ascii="Arial Narrow" w:hAnsi="Arial Narrow"/>
                <w:noProof/>
                <w:color w:val="006100"/>
                <w:sz w:val="20"/>
              </w:rPr>
            </w:pPr>
            <w:r>
              <w:rPr>
                <w:rFonts w:ascii="Arial Narrow" w:hAnsi="Arial Narrow"/>
                <w:noProof/>
                <w:color w:val="006100"/>
                <w:sz w:val="20"/>
              </w:rPr>
              <w:t xml:space="preserve">Investeering 4.2. Masstranspordi kiirsüsteemide arendamine </w:t>
            </w:r>
          </w:p>
        </w:tc>
        <w:tc>
          <w:tcPr>
            <w:tcW w:w="900" w:type="dxa"/>
            <w:shd w:val="clear" w:color="auto" w:fill="C6EFCE"/>
            <w:noWrap/>
            <w:vAlign w:val="center"/>
          </w:tcPr>
          <w:p w14:paraId="2EB02EDF"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Eesmärk</w:t>
            </w:r>
          </w:p>
        </w:tc>
        <w:tc>
          <w:tcPr>
            <w:tcW w:w="2345" w:type="dxa"/>
            <w:shd w:val="clear" w:color="auto" w:fill="C6EFCE"/>
            <w:noWrap/>
            <w:vAlign w:val="center"/>
          </w:tcPr>
          <w:p w14:paraId="3802EDBD" w14:textId="329C0210"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Kõigi riigihankelepingute sõlmimine kiirete massitranspordisüsteemide infrastruktuuri rajamiseks </w:t>
            </w:r>
          </w:p>
        </w:tc>
        <w:tc>
          <w:tcPr>
            <w:tcW w:w="1876" w:type="dxa"/>
            <w:shd w:val="clear" w:color="auto" w:fill="C6EFCE"/>
            <w:noWrap/>
            <w:vAlign w:val="center"/>
          </w:tcPr>
          <w:p w14:paraId="6367457F"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Kõikide riigihankelepingute sõlmimisest teatamine.</w:t>
            </w:r>
          </w:p>
        </w:tc>
        <w:tc>
          <w:tcPr>
            <w:tcW w:w="1417" w:type="dxa"/>
            <w:shd w:val="clear" w:color="auto" w:fill="C6EFCE"/>
            <w:noWrap/>
            <w:vAlign w:val="center"/>
          </w:tcPr>
          <w:p w14:paraId="0BE2112D"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Ei kohaldata</w:t>
            </w:r>
          </w:p>
        </w:tc>
        <w:tc>
          <w:tcPr>
            <w:tcW w:w="1134" w:type="dxa"/>
            <w:shd w:val="clear" w:color="auto" w:fill="C6EFCE"/>
            <w:noWrap/>
            <w:vAlign w:val="center"/>
          </w:tcPr>
          <w:p w14:paraId="7AB99E5F"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Ei kohaldata</w:t>
            </w:r>
          </w:p>
        </w:tc>
        <w:tc>
          <w:tcPr>
            <w:tcW w:w="1210" w:type="dxa"/>
            <w:shd w:val="clear" w:color="auto" w:fill="C6EFCE"/>
            <w:noWrap/>
            <w:vAlign w:val="center"/>
          </w:tcPr>
          <w:p w14:paraId="3DFD971A"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Ei kohaldata</w:t>
            </w:r>
          </w:p>
        </w:tc>
        <w:tc>
          <w:tcPr>
            <w:tcW w:w="992" w:type="dxa"/>
            <w:shd w:val="clear" w:color="auto" w:fill="C6EFCE"/>
            <w:noWrap/>
            <w:vAlign w:val="center"/>
          </w:tcPr>
          <w:p w14:paraId="449A8C33"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4. kv</w:t>
            </w:r>
          </w:p>
        </w:tc>
        <w:tc>
          <w:tcPr>
            <w:tcW w:w="756" w:type="dxa"/>
            <w:shd w:val="clear" w:color="auto" w:fill="C6EFCE"/>
            <w:noWrap/>
            <w:vAlign w:val="center"/>
          </w:tcPr>
          <w:p w14:paraId="78014C80"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2023</w:t>
            </w:r>
          </w:p>
        </w:tc>
        <w:tc>
          <w:tcPr>
            <w:tcW w:w="2793" w:type="dxa"/>
            <w:shd w:val="clear" w:color="auto" w:fill="C6EFCE"/>
            <w:noWrap/>
            <w:vAlign w:val="center"/>
          </w:tcPr>
          <w:p w14:paraId="64E0D1BE" w14:textId="77777777" w:rsidR="0084326C" w:rsidRPr="005D68A0" w:rsidRDefault="0084326C">
            <w:pPr>
              <w:rPr>
                <w:rFonts w:ascii="Arial Narrow" w:hAnsi="Arial Narrow"/>
                <w:noProof/>
                <w:color w:val="006100"/>
                <w:sz w:val="20"/>
              </w:rPr>
            </w:pPr>
            <w:r>
              <w:rPr>
                <w:rFonts w:ascii="Arial Narrow" w:hAnsi="Arial Narrow"/>
                <w:noProof/>
                <w:color w:val="006100"/>
                <w:sz w:val="20"/>
              </w:rPr>
              <w:t>Teade kõigi meetme kirjelduses määratletud taristuprojektide ehitamiseks sõlmitud riigihankelepingute sõlmimise kohta.</w:t>
            </w:r>
          </w:p>
        </w:tc>
      </w:tr>
      <w:tr w:rsidR="0084326C" w:rsidRPr="00D90835" w14:paraId="71A9A146" w14:textId="77777777" w:rsidTr="00B62B71">
        <w:trPr>
          <w:trHeight w:val="309"/>
          <w:jc w:val="center"/>
        </w:trPr>
        <w:tc>
          <w:tcPr>
            <w:tcW w:w="992" w:type="dxa"/>
            <w:shd w:val="clear" w:color="auto" w:fill="C6EFCE"/>
            <w:noWrap/>
            <w:vAlign w:val="center"/>
          </w:tcPr>
          <w:p w14:paraId="3E2459CC"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M2C2-25</w:t>
            </w:r>
          </w:p>
        </w:tc>
        <w:tc>
          <w:tcPr>
            <w:tcW w:w="1831" w:type="dxa"/>
            <w:shd w:val="clear" w:color="auto" w:fill="C6EFCE"/>
            <w:noWrap/>
            <w:vAlign w:val="center"/>
          </w:tcPr>
          <w:p w14:paraId="1395AE12" w14:textId="553EDC70" w:rsidR="0084326C" w:rsidRPr="005D68A0" w:rsidRDefault="0084326C">
            <w:pPr>
              <w:jc w:val="center"/>
              <w:rPr>
                <w:rFonts w:ascii="Arial Narrow" w:hAnsi="Arial Narrow"/>
                <w:noProof/>
                <w:color w:val="006100"/>
                <w:sz w:val="20"/>
              </w:rPr>
            </w:pPr>
            <w:r>
              <w:rPr>
                <w:rFonts w:ascii="Arial Narrow" w:hAnsi="Arial Narrow"/>
                <w:noProof/>
                <w:color w:val="006100"/>
                <w:sz w:val="20"/>
              </w:rPr>
              <w:t>Investeering 4.2. Masstranspordi kiirsüsteemide arendamine</w:t>
            </w:r>
          </w:p>
        </w:tc>
        <w:tc>
          <w:tcPr>
            <w:tcW w:w="900" w:type="dxa"/>
            <w:shd w:val="clear" w:color="auto" w:fill="C6EFCE"/>
            <w:noWrap/>
            <w:vAlign w:val="center"/>
          </w:tcPr>
          <w:p w14:paraId="70439C89"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Eesmärk</w:t>
            </w:r>
          </w:p>
        </w:tc>
        <w:tc>
          <w:tcPr>
            <w:tcW w:w="2345" w:type="dxa"/>
            <w:shd w:val="clear" w:color="auto" w:fill="C6EFCE"/>
            <w:noWrap/>
            <w:vAlign w:val="center"/>
          </w:tcPr>
          <w:p w14:paraId="6CD93638"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Kõigi riigihankelepingute sõlmimine heitevaba veeremi ostmiseks ja meetmed kiirete masstranspordisüsteemide taristu ajakohastamiseks</w:t>
            </w:r>
          </w:p>
        </w:tc>
        <w:tc>
          <w:tcPr>
            <w:tcW w:w="1876" w:type="dxa"/>
            <w:shd w:val="clear" w:color="auto" w:fill="C6EFCE"/>
            <w:noWrap/>
            <w:vAlign w:val="center"/>
          </w:tcPr>
          <w:p w14:paraId="6401E552"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 xml:space="preserve">Kõikide riigihankelepingute sõlmimisest teatamine. </w:t>
            </w:r>
          </w:p>
        </w:tc>
        <w:tc>
          <w:tcPr>
            <w:tcW w:w="1417" w:type="dxa"/>
            <w:shd w:val="clear" w:color="auto" w:fill="C6EFCE"/>
            <w:noWrap/>
            <w:vAlign w:val="center"/>
          </w:tcPr>
          <w:p w14:paraId="37C7790B"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Ei kohaldata</w:t>
            </w:r>
          </w:p>
        </w:tc>
        <w:tc>
          <w:tcPr>
            <w:tcW w:w="1134" w:type="dxa"/>
            <w:shd w:val="clear" w:color="auto" w:fill="C6EFCE"/>
            <w:noWrap/>
            <w:vAlign w:val="center"/>
          </w:tcPr>
          <w:p w14:paraId="7A7B774E"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Ei kohaldata</w:t>
            </w:r>
          </w:p>
        </w:tc>
        <w:tc>
          <w:tcPr>
            <w:tcW w:w="1210" w:type="dxa"/>
            <w:shd w:val="clear" w:color="auto" w:fill="C6EFCE"/>
            <w:noWrap/>
            <w:vAlign w:val="center"/>
          </w:tcPr>
          <w:p w14:paraId="6D9CE325"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Ei kohaldata</w:t>
            </w:r>
          </w:p>
        </w:tc>
        <w:tc>
          <w:tcPr>
            <w:tcW w:w="992" w:type="dxa"/>
            <w:shd w:val="clear" w:color="auto" w:fill="C6EFCE"/>
            <w:noWrap/>
            <w:vAlign w:val="center"/>
          </w:tcPr>
          <w:p w14:paraId="36C2ED5D"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3. kv</w:t>
            </w:r>
          </w:p>
        </w:tc>
        <w:tc>
          <w:tcPr>
            <w:tcW w:w="756" w:type="dxa"/>
            <w:shd w:val="clear" w:color="auto" w:fill="C6EFCE"/>
            <w:noWrap/>
            <w:vAlign w:val="center"/>
          </w:tcPr>
          <w:p w14:paraId="6F18EA6A"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2024</w:t>
            </w:r>
          </w:p>
        </w:tc>
        <w:tc>
          <w:tcPr>
            <w:tcW w:w="2793" w:type="dxa"/>
            <w:shd w:val="clear" w:color="auto" w:fill="C6EFCE"/>
            <w:noWrap/>
            <w:vAlign w:val="center"/>
          </w:tcPr>
          <w:p w14:paraId="29E5D859" w14:textId="77777777" w:rsidR="0084326C" w:rsidRPr="005D68A0" w:rsidRDefault="0084326C">
            <w:pPr>
              <w:rPr>
                <w:rFonts w:ascii="Arial Narrow" w:hAnsi="Arial Narrow"/>
                <w:noProof/>
                <w:sz w:val="20"/>
              </w:rPr>
            </w:pPr>
            <w:r>
              <w:rPr>
                <w:rFonts w:ascii="Arial Narrow" w:hAnsi="Arial Narrow"/>
                <w:noProof/>
                <w:color w:val="006100"/>
                <w:sz w:val="20"/>
              </w:rPr>
              <w:t>Teade kõigi riigihankelepingute sõlmimise kohta vähemalt 85 veeremiühiku ostmiseks ja vähemalt 5 sekkumiseks kiirete massitranspordisüsteemide infrastruktuuri uuendamiseks, nagu on määratletud meetme kirjelduses.</w:t>
            </w:r>
          </w:p>
        </w:tc>
      </w:tr>
      <w:tr w:rsidR="0084326C" w:rsidRPr="00D90835" w14:paraId="609F078A" w14:textId="77777777" w:rsidTr="00B62B71">
        <w:trPr>
          <w:trHeight w:val="309"/>
          <w:jc w:val="center"/>
        </w:trPr>
        <w:tc>
          <w:tcPr>
            <w:tcW w:w="992" w:type="dxa"/>
            <w:shd w:val="clear" w:color="auto" w:fill="C6EFCE"/>
            <w:noWrap/>
            <w:vAlign w:val="center"/>
          </w:tcPr>
          <w:p w14:paraId="139CFD8F"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M2C2-25bis</w:t>
            </w:r>
          </w:p>
        </w:tc>
        <w:tc>
          <w:tcPr>
            <w:tcW w:w="1831" w:type="dxa"/>
            <w:shd w:val="clear" w:color="auto" w:fill="C6EFCE"/>
            <w:noWrap/>
            <w:vAlign w:val="center"/>
          </w:tcPr>
          <w:p w14:paraId="08B805A2" w14:textId="08A4CD3C" w:rsidR="0084326C" w:rsidRPr="005D68A0" w:rsidRDefault="0084326C">
            <w:pPr>
              <w:jc w:val="center"/>
              <w:rPr>
                <w:rFonts w:ascii="Arial Narrow" w:hAnsi="Arial Narrow"/>
                <w:noProof/>
                <w:color w:val="006100"/>
                <w:sz w:val="20"/>
              </w:rPr>
            </w:pPr>
            <w:r>
              <w:rPr>
                <w:rFonts w:ascii="Arial Narrow" w:hAnsi="Arial Narrow"/>
                <w:noProof/>
                <w:color w:val="006100"/>
                <w:sz w:val="20"/>
              </w:rPr>
              <w:t>Investeering 4.2. Masstranspordi kiirsüsteemide arendamine</w:t>
            </w:r>
          </w:p>
        </w:tc>
        <w:tc>
          <w:tcPr>
            <w:tcW w:w="900" w:type="dxa"/>
            <w:shd w:val="clear" w:color="auto" w:fill="C6EFCE"/>
            <w:noWrap/>
            <w:vAlign w:val="center"/>
          </w:tcPr>
          <w:p w14:paraId="16BCD18D"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Siht</w:t>
            </w:r>
          </w:p>
        </w:tc>
        <w:tc>
          <w:tcPr>
            <w:tcW w:w="2345" w:type="dxa"/>
            <w:shd w:val="clear" w:color="auto" w:fill="C6EFCE"/>
            <w:noWrap/>
            <w:vAlign w:val="center"/>
          </w:tcPr>
          <w:p w14:paraId="64BFBC74"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Vähemalt viis sekkumist kiirete massitranspordisüsteemide infrastruktuuri ajakohastamiseks</w:t>
            </w:r>
          </w:p>
        </w:tc>
        <w:tc>
          <w:tcPr>
            <w:tcW w:w="1876" w:type="dxa"/>
            <w:shd w:val="clear" w:color="auto" w:fill="C6EFCE"/>
            <w:noWrap/>
            <w:vAlign w:val="center"/>
          </w:tcPr>
          <w:p w14:paraId="2AAD8AC1" w14:textId="77777777" w:rsidR="0084326C" w:rsidRPr="00F33804" w:rsidRDefault="0084326C">
            <w:pPr>
              <w:jc w:val="center"/>
              <w:rPr>
                <w:rFonts w:ascii="Arial Narrow" w:hAnsi="Arial Narrow"/>
                <w:noProof/>
                <w:color w:val="006100"/>
                <w:sz w:val="20"/>
              </w:rPr>
            </w:pPr>
          </w:p>
        </w:tc>
        <w:tc>
          <w:tcPr>
            <w:tcW w:w="1417" w:type="dxa"/>
            <w:shd w:val="clear" w:color="auto" w:fill="C6EFCE"/>
            <w:noWrap/>
            <w:vAlign w:val="center"/>
          </w:tcPr>
          <w:p w14:paraId="5EB0D512"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Arv</w:t>
            </w:r>
          </w:p>
        </w:tc>
        <w:tc>
          <w:tcPr>
            <w:tcW w:w="1134" w:type="dxa"/>
            <w:shd w:val="clear" w:color="auto" w:fill="C6EFCE"/>
            <w:noWrap/>
            <w:vAlign w:val="center"/>
          </w:tcPr>
          <w:p w14:paraId="40EAEDE7"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0</w:t>
            </w:r>
          </w:p>
        </w:tc>
        <w:tc>
          <w:tcPr>
            <w:tcW w:w="1210" w:type="dxa"/>
            <w:shd w:val="clear" w:color="auto" w:fill="C6EFCE"/>
            <w:noWrap/>
            <w:vAlign w:val="center"/>
          </w:tcPr>
          <w:p w14:paraId="0FB59302"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5</w:t>
            </w:r>
          </w:p>
        </w:tc>
        <w:tc>
          <w:tcPr>
            <w:tcW w:w="992" w:type="dxa"/>
            <w:shd w:val="clear" w:color="auto" w:fill="C6EFCE"/>
            <w:noWrap/>
            <w:vAlign w:val="center"/>
          </w:tcPr>
          <w:p w14:paraId="43D57045"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 kv</w:t>
            </w:r>
          </w:p>
        </w:tc>
        <w:tc>
          <w:tcPr>
            <w:tcW w:w="756" w:type="dxa"/>
            <w:shd w:val="clear" w:color="auto" w:fill="C6EFCE"/>
            <w:noWrap/>
            <w:vAlign w:val="center"/>
          </w:tcPr>
          <w:p w14:paraId="6E40D7E9"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2026</w:t>
            </w:r>
          </w:p>
        </w:tc>
        <w:tc>
          <w:tcPr>
            <w:tcW w:w="2793" w:type="dxa"/>
            <w:shd w:val="clear" w:color="auto" w:fill="C6EFCE"/>
            <w:noWrap/>
            <w:vAlign w:val="center"/>
          </w:tcPr>
          <w:p w14:paraId="48A80579"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Vähemalt viie sekkumise lõpuleviimine kiirete masstranspordisüsteemide infrastruktuuri uuendamiseks (nagu on määratletud meetme kirjelduses).</w:t>
            </w:r>
          </w:p>
          <w:p w14:paraId="70E6C84C" w14:textId="77777777" w:rsidR="0084326C" w:rsidRPr="005D68A0" w:rsidRDefault="0084326C">
            <w:pPr>
              <w:rPr>
                <w:rFonts w:ascii="Arial Narrow" w:hAnsi="Arial Narrow"/>
                <w:noProof/>
                <w:sz w:val="20"/>
              </w:rPr>
            </w:pPr>
            <w:r>
              <w:rPr>
                <w:rFonts w:ascii="Arial Narrow" w:hAnsi="Arial Narrow"/>
                <w:noProof/>
                <w:color w:val="006100"/>
                <w:sz w:val="20"/>
              </w:rPr>
              <w:t>Tööde lõpetamisel peab sihtinfrastruktuur olema töökorras või juurdepääsetav (sõltuvalt taristu liigist).</w:t>
            </w:r>
          </w:p>
        </w:tc>
      </w:tr>
      <w:tr w:rsidR="0084326C" w:rsidRPr="00D90835" w14:paraId="21EC6914" w14:textId="77777777" w:rsidTr="00B62B71">
        <w:trPr>
          <w:trHeight w:val="309"/>
          <w:jc w:val="center"/>
        </w:trPr>
        <w:tc>
          <w:tcPr>
            <w:tcW w:w="992" w:type="dxa"/>
            <w:shd w:val="clear" w:color="auto" w:fill="C6EFCE"/>
            <w:noWrap/>
            <w:vAlign w:val="center"/>
          </w:tcPr>
          <w:p w14:paraId="4FF123C1"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M2C2-25ter</w:t>
            </w:r>
          </w:p>
        </w:tc>
        <w:tc>
          <w:tcPr>
            <w:tcW w:w="1831" w:type="dxa"/>
            <w:shd w:val="clear" w:color="auto" w:fill="C6EFCE"/>
            <w:noWrap/>
            <w:vAlign w:val="center"/>
          </w:tcPr>
          <w:p w14:paraId="70F58F28" w14:textId="6704E467" w:rsidR="0084326C" w:rsidRPr="005D68A0" w:rsidRDefault="0084326C">
            <w:pPr>
              <w:jc w:val="center"/>
              <w:rPr>
                <w:rFonts w:ascii="Arial Narrow" w:hAnsi="Arial Narrow"/>
                <w:noProof/>
                <w:color w:val="006100"/>
                <w:sz w:val="20"/>
              </w:rPr>
            </w:pPr>
            <w:r>
              <w:rPr>
                <w:rFonts w:ascii="Arial Narrow" w:hAnsi="Arial Narrow"/>
                <w:noProof/>
                <w:color w:val="006100"/>
                <w:sz w:val="20"/>
              </w:rPr>
              <w:t>Investeering 4.2. Masstranspordi kiirsüsteemide arendamine</w:t>
            </w:r>
          </w:p>
        </w:tc>
        <w:tc>
          <w:tcPr>
            <w:tcW w:w="900" w:type="dxa"/>
            <w:shd w:val="clear" w:color="auto" w:fill="C6EFCE"/>
            <w:noWrap/>
            <w:vAlign w:val="center"/>
          </w:tcPr>
          <w:p w14:paraId="1781EEE4"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Siht</w:t>
            </w:r>
          </w:p>
        </w:tc>
        <w:tc>
          <w:tcPr>
            <w:tcW w:w="2345" w:type="dxa"/>
            <w:shd w:val="clear" w:color="auto" w:fill="C6EFCE"/>
            <w:noWrap/>
            <w:vAlign w:val="center"/>
          </w:tcPr>
          <w:p w14:paraId="6EB64FF5"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Vähemalt 85 veeremiühiku ostmine kiireks veoks</w:t>
            </w:r>
          </w:p>
        </w:tc>
        <w:tc>
          <w:tcPr>
            <w:tcW w:w="1876" w:type="dxa"/>
            <w:shd w:val="clear" w:color="auto" w:fill="C6EFCE"/>
            <w:noWrap/>
            <w:vAlign w:val="center"/>
          </w:tcPr>
          <w:p w14:paraId="63264D82" w14:textId="77777777" w:rsidR="0084326C" w:rsidRPr="00F33804" w:rsidRDefault="0084326C">
            <w:pPr>
              <w:jc w:val="center"/>
              <w:rPr>
                <w:rFonts w:ascii="Arial Narrow" w:hAnsi="Arial Narrow"/>
                <w:noProof/>
                <w:color w:val="006100"/>
                <w:sz w:val="20"/>
              </w:rPr>
            </w:pPr>
          </w:p>
        </w:tc>
        <w:tc>
          <w:tcPr>
            <w:tcW w:w="1417" w:type="dxa"/>
            <w:shd w:val="clear" w:color="auto" w:fill="C6EFCE"/>
            <w:noWrap/>
            <w:vAlign w:val="center"/>
          </w:tcPr>
          <w:p w14:paraId="4F785675"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Arv</w:t>
            </w:r>
          </w:p>
        </w:tc>
        <w:tc>
          <w:tcPr>
            <w:tcW w:w="1134" w:type="dxa"/>
            <w:shd w:val="clear" w:color="auto" w:fill="C6EFCE"/>
            <w:noWrap/>
            <w:vAlign w:val="center"/>
          </w:tcPr>
          <w:p w14:paraId="5699A55D"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0</w:t>
            </w:r>
          </w:p>
        </w:tc>
        <w:tc>
          <w:tcPr>
            <w:tcW w:w="1210" w:type="dxa"/>
            <w:shd w:val="clear" w:color="auto" w:fill="C6EFCE"/>
            <w:noWrap/>
            <w:vAlign w:val="center"/>
          </w:tcPr>
          <w:p w14:paraId="5F69B8F9"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85</w:t>
            </w:r>
          </w:p>
        </w:tc>
        <w:tc>
          <w:tcPr>
            <w:tcW w:w="992" w:type="dxa"/>
            <w:shd w:val="clear" w:color="auto" w:fill="C6EFCE"/>
            <w:noWrap/>
            <w:vAlign w:val="center"/>
          </w:tcPr>
          <w:p w14:paraId="75EA20A4"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 kv</w:t>
            </w:r>
          </w:p>
        </w:tc>
        <w:tc>
          <w:tcPr>
            <w:tcW w:w="756" w:type="dxa"/>
            <w:shd w:val="clear" w:color="auto" w:fill="C6EFCE"/>
            <w:noWrap/>
            <w:vAlign w:val="center"/>
          </w:tcPr>
          <w:p w14:paraId="31F31AE8"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2026</w:t>
            </w:r>
          </w:p>
        </w:tc>
        <w:tc>
          <w:tcPr>
            <w:tcW w:w="2793" w:type="dxa"/>
            <w:shd w:val="clear" w:color="auto" w:fill="C6EFCE"/>
            <w:noWrap/>
            <w:vAlign w:val="center"/>
          </w:tcPr>
          <w:p w14:paraId="565BFC57" w14:textId="77777777" w:rsidR="0084326C" w:rsidRPr="005D68A0" w:rsidRDefault="0084326C">
            <w:pPr>
              <w:rPr>
                <w:rFonts w:ascii="Arial Narrow" w:hAnsi="Arial Narrow"/>
                <w:noProof/>
                <w:sz w:val="20"/>
              </w:rPr>
            </w:pPr>
            <w:r>
              <w:rPr>
                <w:rFonts w:ascii="Arial Narrow" w:hAnsi="Arial Narrow"/>
                <w:noProof/>
                <w:color w:val="006100"/>
                <w:sz w:val="20"/>
              </w:rPr>
              <w:t>Vähemalt 85 heitevaba veeremi soetamine massitranspordiks suurlinnapiirkondades, nagu on määratletud meetme kirjelduses.</w:t>
            </w:r>
          </w:p>
        </w:tc>
      </w:tr>
      <w:tr w:rsidR="0084326C" w:rsidRPr="00D90835" w14:paraId="3272FD87" w14:textId="77777777" w:rsidTr="00B62B71">
        <w:trPr>
          <w:trHeight w:val="309"/>
          <w:jc w:val="center"/>
        </w:trPr>
        <w:tc>
          <w:tcPr>
            <w:tcW w:w="992" w:type="dxa"/>
            <w:shd w:val="clear" w:color="auto" w:fill="C6EFCE"/>
            <w:noWrap/>
            <w:vAlign w:val="center"/>
          </w:tcPr>
          <w:p w14:paraId="0587E515"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M2C2-26</w:t>
            </w:r>
          </w:p>
        </w:tc>
        <w:tc>
          <w:tcPr>
            <w:tcW w:w="1831" w:type="dxa"/>
            <w:shd w:val="clear" w:color="auto" w:fill="C6EFCE"/>
            <w:noWrap/>
            <w:vAlign w:val="center"/>
          </w:tcPr>
          <w:p w14:paraId="496C0EAD" w14:textId="358DFD9D" w:rsidR="0084326C" w:rsidRPr="005D68A0" w:rsidRDefault="0084326C">
            <w:pPr>
              <w:jc w:val="center"/>
              <w:rPr>
                <w:rFonts w:ascii="Arial Narrow" w:hAnsi="Arial Narrow"/>
                <w:noProof/>
                <w:color w:val="006100"/>
                <w:sz w:val="20"/>
              </w:rPr>
            </w:pPr>
            <w:r>
              <w:rPr>
                <w:rFonts w:ascii="Arial Narrow" w:hAnsi="Arial Narrow"/>
                <w:noProof/>
                <w:color w:val="006100"/>
                <w:sz w:val="20"/>
              </w:rPr>
              <w:t>Investeering 4.2. Masstranspordi kiirsüsteemide arendamine</w:t>
            </w:r>
          </w:p>
        </w:tc>
        <w:tc>
          <w:tcPr>
            <w:tcW w:w="900" w:type="dxa"/>
            <w:shd w:val="clear" w:color="auto" w:fill="C6EFCE"/>
            <w:noWrap/>
            <w:vAlign w:val="center"/>
          </w:tcPr>
          <w:p w14:paraId="517BD797"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Siht</w:t>
            </w:r>
          </w:p>
        </w:tc>
        <w:tc>
          <w:tcPr>
            <w:tcW w:w="2345" w:type="dxa"/>
            <w:shd w:val="clear" w:color="auto" w:fill="C6EFCE"/>
            <w:noWrap/>
            <w:vAlign w:val="center"/>
          </w:tcPr>
          <w:p w14:paraId="170AA668"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Ühistranspordi taristu kilomeetrite arv</w:t>
            </w:r>
          </w:p>
        </w:tc>
        <w:tc>
          <w:tcPr>
            <w:tcW w:w="1876" w:type="dxa"/>
            <w:shd w:val="clear" w:color="auto" w:fill="C6EFCE"/>
            <w:noWrap/>
            <w:vAlign w:val="center"/>
          </w:tcPr>
          <w:p w14:paraId="0E9EA280"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Ei kohaldata</w:t>
            </w:r>
          </w:p>
        </w:tc>
        <w:tc>
          <w:tcPr>
            <w:tcW w:w="1417" w:type="dxa"/>
            <w:shd w:val="clear" w:color="auto" w:fill="C6EFCE"/>
            <w:noWrap/>
            <w:vAlign w:val="center"/>
          </w:tcPr>
          <w:p w14:paraId="76CCBD3F"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Km</w:t>
            </w:r>
          </w:p>
        </w:tc>
        <w:tc>
          <w:tcPr>
            <w:tcW w:w="1134" w:type="dxa"/>
            <w:shd w:val="clear" w:color="auto" w:fill="C6EFCE"/>
            <w:noWrap/>
            <w:vAlign w:val="center"/>
          </w:tcPr>
          <w:p w14:paraId="2785154C"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0</w:t>
            </w:r>
          </w:p>
        </w:tc>
        <w:tc>
          <w:tcPr>
            <w:tcW w:w="1210" w:type="dxa"/>
            <w:shd w:val="clear" w:color="auto" w:fill="C6EFCE"/>
            <w:noWrap/>
            <w:vAlign w:val="center"/>
          </w:tcPr>
          <w:p w14:paraId="378EBE61"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231</w:t>
            </w:r>
          </w:p>
        </w:tc>
        <w:tc>
          <w:tcPr>
            <w:tcW w:w="992" w:type="dxa"/>
            <w:shd w:val="clear" w:color="auto" w:fill="C6EFCE"/>
            <w:noWrap/>
            <w:vAlign w:val="center"/>
          </w:tcPr>
          <w:p w14:paraId="7A2A6ACC"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 kv</w:t>
            </w:r>
          </w:p>
        </w:tc>
        <w:tc>
          <w:tcPr>
            <w:tcW w:w="756" w:type="dxa"/>
            <w:shd w:val="clear" w:color="auto" w:fill="C6EFCE"/>
            <w:noWrap/>
            <w:vAlign w:val="center"/>
          </w:tcPr>
          <w:p w14:paraId="485012F6"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2026</w:t>
            </w:r>
          </w:p>
        </w:tc>
        <w:tc>
          <w:tcPr>
            <w:tcW w:w="2793" w:type="dxa"/>
            <w:shd w:val="clear" w:color="auto" w:fill="C6EFCE"/>
            <w:noWrap/>
            <w:vAlign w:val="center"/>
          </w:tcPr>
          <w:p w14:paraId="42F45523" w14:textId="77777777" w:rsidR="0084326C" w:rsidRPr="005D68A0" w:rsidRDefault="0084326C">
            <w:pPr>
              <w:rPr>
                <w:rFonts w:ascii="Arial Narrow" w:hAnsi="Arial Narrow"/>
                <w:noProof/>
                <w:sz w:val="20"/>
              </w:rPr>
            </w:pPr>
            <w:r>
              <w:rPr>
                <w:rFonts w:ascii="Arial Narrow" w:hAnsi="Arial Narrow"/>
                <w:noProof/>
                <w:color w:val="006100"/>
                <w:sz w:val="20"/>
              </w:rPr>
              <w:t xml:space="preserve">Ehitada vähemalt 231 km ühistransporditaristut funktsionaalsetes linnapiirkondades, nagu on määratletud meetme kirjelduses. </w:t>
            </w:r>
          </w:p>
        </w:tc>
      </w:tr>
      <w:tr w:rsidR="0084326C" w:rsidRPr="00D90835" w14:paraId="0EB9E140" w14:textId="77777777" w:rsidTr="00B62B71">
        <w:trPr>
          <w:trHeight w:val="309"/>
          <w:jc w:val="center"/>
        </w:trPr>
        <w:tc>
          <w:tcPr>
            <w:tcW w:w="992" w:type="dxa"/>
            <w:shd w:val="clear" w:color="auto" w:fill="C6EFCE"/>
            <w:noWrap/>
            <w:vAlign w:val="center"/>
          </w:tcPr>
          <w:p w14:paraId="0074E768"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M2C2-31</w:t>
            </w:r>
          </w:p>
        </w:tc>
        <w:tc>
          <w:tcPr>
            <w:tcW w:w="1831" w:type="dxa"/>
            <w:shd w:val="clear" w:color="auto" w:fill="C6EFCE"/>
            <w:noWrap/>
            <w:vAlign w:val="center"/>
          </w:tcPr>
          <w:p w14:paraId="1FDE3F93"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Investeering 4.4.3. Riikliku tuletõrjebrigaadide staabi uuendamine</w:t>
            </w:r>
          </w:p>
        </w:tc>
        <w:tc>
          <w:tcPr>
            <w:tcW w:w="900" w:type="dxa"/>
            <w:shd w:val="clear" w:color="auto" w:fill="C6EFCE"/>
            <w:noWrap/>
            <w:vAlign w:val="center"/>
          </w:tcPr>
          <w:p w14:paraId="2C39A61F"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Eesmärk</w:t>
            </w:r>
          </w:p>
        </w:tc>
        <w:tc>
          <w:tcPr>
            <w:tcW w:w="2345" w:type="dxa"/>
            <w:shd w:val="clear" w:color="auto" w:fill="C6EFCE"/>
            <w:noWrap/>
            <w:vAlign w:val="center"/>
          </w:tcPr>
          <w:p w14:paraId="3AA6CFB0"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Riikliku tuletõrjebrigaadide staabi uuendamiseks kõigi riigihankelepingute sõlmimine</w:t>
            </w:r>
          </w:p>
        </w:tc>
        <w:tc>
          <w:tcPr>
            <w:tcW w:w="1876" w:type="dxa"/>
            <w:shd w:val="clear" w:color="auto" w:fill="C6EFCE"/>
            <w:noWrap/>
            <w:vAlign w:val="center"/>
          </w:tcPr>
          <w:p w14:paraId="2C7A5BA8"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Teade kõigi riikliku tuletõrjebrigaadide juhtimise uuendamisega seotud lepingute sõlmimise kohta</w:t>
            </w:r>
          </w:p>
        </w:tc>
        <w:tc>
          <w:tcPr>
            <w:tcW w:w="1417" w:type="dxa"/>
            <w:shd w:val="clear" w:color="auto" w:fill="C6EFCE"/>
            <w:noWrap/>
            <w:vAlign w:val="center"/>
          </w:tcPr>
          <w:p w14:paraId="6D1B0D8D"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Ei kohaldata</w:t>
            </w:r>
          </w:p>
        </w:tc>
        <w:tc>
          <w:tcPr>
            <w:tcW w:w="1134" w:type="dxa"/>
            <w:shd w:val="clear" w:color="auto" w:fill="C6EFCE"/>
            <w:noWrap/>
            <w:vAlign w:val="center"/>
          </w:tcPr>
          <w:p w14:paraId="41E3CC0A"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Ei kohaldata</w:t>
            </w:r>
          </w:p>
        </w:tc>
        <w:tc>
          <w:tcPr>
            <w:tcW w:w="1210" w:type="dxa"/>
            <w:shd w:val="clear" w:color="auto" w:fill="C6EFCE"/>
            <w:noWrap/>
            <w:vAlign w:val="center"/>
          </w:tcPr>
          <w:p w14:paraId="5B17722C"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EI KOHALDATA</w:t>
            </w:r>
          </w:p>
        </w:tc>
        <w:tc>
          <w:tcPr>
            <w:tcW w:w="992" w:type="dxa"/>
            <w:shd w:val="clear" w:color="auto" w:fill="C6EFCE"/>
            <w:noWrap/>
            <w:vAlign w:val="center"/>
          </w:tcPr>
          <w:p w14:paraId="2D83FA52"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 kv</w:t>
            </w:r>
          </w:p>
        </w:tc>
        <w:tc>
          <w:tcPr>
            <w:tcW w:w="756" w:type="dxa"/>
            <w:shd w:val="clear" w:color="auto" w:fill="C6EFCE"/>
            <w:noWrap/>
            <w:vAlign w:val="center"/>
          </w:tcPr>
          <w:p w14:paraId="3B26EAB0"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2024</w:t>
            </w:r>
          </w:p>
        </w:tc>
        <w:tc>
          <w:tcPr>
            <w:tcW w:w="2793" w:type="dxa"/>
            <w:shd w:val="clear" w:color="auto" w:fill="C6EFCE"/>
            <w:noWrap/>
            <w:vAlign w:val="center"/>
          </w:tcPr>
          <w:p w14:paraId="5F06460A" w14:textId="77777777" w:rsidR="0084326C" w:rsidRPr="005D68A0" w:rsidRDefault="0084326C">
            <w:pPr>
              <w:rPr>
                <w:rFonts w:ascii="Arial Narrow" w:hAnsi="Arial Narrow"/>
                <w:noProof/>
                <w:sz w:val="20"/>
              </w:rPr>
            </w:pPr>
            <w:r>
              <w:rPr>
                <w:rFonts w:ascii="Arial Narrow" w:hAnsi="Arial Narrow"/>
                <w:noProof/>
                <w:color w:val="006100"/>
                <w:sz w:val="20"/>
              </w:rPr>
              <w:t>Teatis kõigi riigi tuletõrjebrigaadsõidukite ostmiseks riigihankelepingute sõlmimise kohta.</w:t>
            </w:r>
          </w:p>
        </w:tc>
      </w:tr>
      <w:tr w:rsidR="0084326C" w:rsidRPr="00D90835" w14:paraId="2CA6E635" w14:textId="77777777" w:rsidTr="00B62B71">
        <w:trPr>
          <w:trHeight w:val="309"/>
          <w:jc w:val="center"/>
        </w:trPr>
        <w:tc>
          <w:tcPr>
            <w:tcW w:w="992" w:type="dxa"/>
            <w:shd w:val="clear" w:color="auto" w:fill="C6EFCE"/>
            <w:noWrap/>
            <w:vAlign w:val="center"/>
          </w:tcPr>
          <w:p w14:paraId="0C031225"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M2C2-32</w:t>
            </w:r>
          </w:p>
        </w:tc>
        <w:tc>
          <w:tcPr>
            <w:tcW w:w="1831" w:type="dxa"/>
            <w:shd w:val="clear" w:color="auto" w:fill="C6EFCE"/>
            <w:noWrap/>
            <w:vAlign w:val="center"/>
          </w:tcPr>
          <w:p w14:paraId="6CDBCA43"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Investeering 4.4.1. Heiteta vähese põrandaga bussidega piirkondliku ühistranspordi bussipargi tugevdamine</w:t>
            </w:r>
          </w:p>
        </w:tc>
        <w:tc>
          <w:tcPr>
            <w:tcW w:w="900" w:type="dxa"/>
            <w:shd w:val="clear" w:color="auto" w:fill="C6EFCE"/>
            <w:noWrap/>
            <w:vAlign w:val="center"/>
          </w:tcPr>
          <w:p w14:paraId="46EB6EB7"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Eesmärk</w:t>
            </w:r>
          </w:p>
        </w:tc>
        <w:tc>
          <w:tcPr>
            <w:tcW w:w="2345" w:type="dxa"/>
            <w:shd w:val="clear" w:color="auto" w:fill="C6EFCE"/>
            <w:noWrap/>
            <w:vAlign w:val="center"/>
          </w:tcPr>
          <w:p w14:paraId="51033E6B"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Kõigi riigihankelepingute sõlmimine piirkondliku ühistranspordi bussipargi tugevdamiseks heiteta madala põrandaga bussidega</w:t>
            </w:r>
          </w:p>
        </w:tc>
        <w:tc>
          <w:tcPr>
            <w:tcW w:w="1876" w:type="dxa"/>
            <w:shd w:val="clear" w:color="auto" w:fill="C6EFCE"/>
            <w:noWrap/>
            <w:vAlign w:val="center"/>
          </w:tcPr>
          <w:p w14:paraId="047E63D8"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 xml:space="preserve">Teade kõigi lepingute sõlmimise kohta </w:t>
            </w:r>
          </w:p>
        </w:tc>
        <w:tc>
          <w:tcPr>
            <w:tcW w:w="1417" w:type="dxa"/>
            <w:shd w:val="clear" w:color="auto" w:fill="C6EFCE"/>
            <w:noWrap/>
            <w:vAlign w:val="center"/>
          </w:tcPr>
          <w:p w14:paraId="7FC90831"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Ei kohaldata</w:t>
            </w:r>
          </w:p>
        </w:tc>
        <w:tc>
          <w:tcPr>
            <w:tcW w:w="1134" w:type="dxa"/>
            <w:shd w:val="clear" w:color="auto" w:fill="C6EFCE"/>
            <w:noWrap/>
            <w:vAlign w:val="center"/>
          </w:tcPr>
          <w:p w14:paraId="5E4C3EE1"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Ei kohaldata</w:t>
            </w:r>
          </w:p>
        </w:tc>
        <w:tc>
          <w:tcPr>
            <w:tcW w:w="1210" w:type="dxa"/>
            <w:shd w:val="clear" w:color="auto" w:fill="C6EFCE"/>
            <w:noWrap/>
            <w:vAlign w:val="center"/>
          </w:tcPr>
          <w:p w14:paraId="2E1519FA"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Ei kohaldata</w:t>
            </w:r>
          </w:p>
        </w:tc>
        <w:tc>
          <w:tcPr>
            <w:tcW w:w="992" w:type="dxa"/>
            <w:shd w:val="clear" w:color="auto" w:fill="C6EFCE"/>
            <w:noWrap/>
            <w:vAlign w:val="center"/>
          </w:tcPr>
          <w:p w14:paraId="7A92564C"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4. kv</w:t>
            </w:r>
          </w:p>
        </w:tc>
        <w:tc>
          <w:tcPr>
            <w:tcW w:w="756" w:type="dxa"/>
            <w:shd w:val="clear" w:color="auto" w:fill="C6EFCE"/>
            <w:noWrap/>
            <w:vAlign w:val="center"/>
          </w:tcPr>
          <w:p w14:paraId="5B059094"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2023</w:t>
            </w:r>
          </w:p>
        </w:tc>
        <w:tc>
          <w:tcPr>
            <w:tcW w:w="2793" w:type="dxa"/>
            <w:shd w:val="clear" w:color="auto" w:fill="C6EFCE"/>
            <w:noWrap/>
            <w:vAlign w:val="center"/>
          </w:tcPr>
          <w:p w14:paraId="7F88580D" w14:textId="0010887F" w:rsidR="0084326C" w:rsidRPr="005D68A0" w:rsidRDefault="0084326C">
            <w:pPr>
              <w:rPr>
                <w:rFonts w:ascii="Arial Narrow" w:hAnsi="Arial Narrow"/>
                <w:noProof/>
                <w:sz w:val="20"/>
              </w:rPr>
            </w:pPr>
            <w:r>
              <w:rPr>
                <w:rFonts w:ascii="Arial Narrow" w:hAnsi="Arial Narrow"/>
                <w:noProof/>
                <w:color w:val="006100"/>
                <w:sz w:val="20"/>
              </w:rPr>
              <w:t>Teade riigihankelepingute sõlmimise kohta vähemalt 3 000 heiteta vähese põrandaga bussi soetamiseks.</w:t>
            </w:r>
          </w:p>
        </w:tc>
      </w:tr>
      <w:tr w:rsidR="0084326C" w:rsidRPr="00D90835" w14:paraId="6AF64137" w14:textId="77777777" w:rsidTr="00B62B71">
        <w:trPr>
          <w:trHeight w:val="309"/>
          <w:jc w:val="center"/>
        </w:trPr>
        <w:tc>
          <w:tcPr>
            <w:tcW w:w="992" w:type="dxa"/>
            <w:shd w:val="clear" w:color="auto" w:fill="C6EFCE"/>
            <w:noWrap/>
            <w:vAlign w:val="center"/>
          </w:tcPr>
          <w:p w14:paraId="19DA3FEB"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M2C2-34</w:t>
            </w:r>
          </w:p>
        </w:tc>
        <w:tc>
          <w:tcPr>
            <w:tcW w:w="1831" w:type="dxa"/>
            <w:shd w:val="clear" w:color="auto" w:fill="C6EFCE"/>
            <w:noWrap/>
            <w:vAlign w:val="center"/>
          </w:tcPr>
          <w:p w14:paraId="64D2EAD8"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Investeering 4.4.1. Heiteta vähese põrandaga bussidega piirkondliku ühistranspordi bussipargi tugevdamine</w:t>
            </w:r>
          </w:p>
        </w:tc>
        <w:tc>
          <w:tcPr>
            <w:tcW w:w="900" w:type="dxa"/>
            <w:shd w:val="clear" w:color="auto" w:fill="C6EFCE"/>
            <w:noWrap/>
            <w:vAlign w:val="center"/>
          </w:tcPr>
          <w:p w14:paraId="0A883D75"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Siht</w:t>
            </w:r>
          </w:p>
        </w:tc>
        <w:tc>
          <w:tcPr>
            <w:tcW w:w="2345" w:type="dxa"/>
            <w:shd w:val="clear" w:color="auto" w:fill="C6EFCE"/>
            <w:noWrap/>
            <w:vAlign w:val="center"/>
          </w:tcPr>
          <w:p w14:paraId="27AA74F1"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Ostetud heiteta vähese põrandaga busside arv T1</w:t>
            </w:r>
          </w:p>
        </w:tc>
        <w:tc>
          <w:tcPr>
            <w:tcW w:w="1876" w:type="dxa"/>
            <w:shd w:val="clear" w:color="auto" w:fill="C6EFCE"/>
            <w:noWrap/>
            <w:vAlign w:val="center"/>
          </w:tcPr>
          <w:p w14:paraId="5155074F"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Ei kohaldata</w:t>
            </w:r>
          </w:p>
        </w:tc>
        <w:tc>
          <w:tcPr>
            <w:tcW w:w="1417" w:type="dxa"/>
            <w:shd w:val="clear" w:color="auto" w:fill="C6EFCE"/>
            <w:noWrap/>
            <w:vAlign w:val="center"/>
          </w:tcPr>
          <w:p w14:paraId="46063FA9"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Arv</w:t>
            </w:r>
          </w:p>
        </w:tc>
        <w:tc>
          <w:tcPr>
            <w:tcW w:w="1134" w:type="dxa"/>
            <w:shd w:val="clear" w:color="auto" w:fill="C6EFCE"/>
            <w:noWrap/>
            <w:vAlign w:val="center"/>
          </w:tcPr>
          <w:p w14:paraId="78C507B0"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0</w:t>
            </w:r>
          </w:p>
        </w:tc>
        <w:tc>
          <w:tcPr>
            <w:tcW w:w="1210" w:type="dxa"/>
            <w:shd w:val="clear" w:color="auto" w:fill="C6EFCE"/>
            <w:noWrap/>
            <w:vAlign w:val="center"/>
          </w:tcPr>
          <w:p w14:paraId="39C4EE36"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800</w:t>
            </w:r>
          </w:p>
        </w:tc>
        <w:tc>
          <w:tcPr>
            <w:tcW w:w="992" w:type="dxa"/>
            <w:shd w:val="clear" w:color="auto" w:fill="C6EFCE"/>
            <w:noWrap/>
            <w:vAlign w:val="center"/>
          </w:tcPr>
          <w:p w14:paraId="52F37072"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4. kv</w:t>
            </w:r>
          </w:p>
        </w:tc>
        <w:tc>
          <w:tcPr>
            <w:tcW w:w="756" w:type="dxa"/>
            <w:shd w:val="clear" w:color="auto" w:fill="C6EFCE"/>
            <w:noWrap/>
            <w:vAlign w:val="center"/>
          </w:tcPr>
          <w:p w14:paraId="602DB5A8"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2024</w:t>
            </w:r>
          </w:p>
        </w:tc>
        <w:tc>
          <w:tcPr>
            <w:tcW w:w="2793" w:type="dxa"/>
            <w:shd w:val="clear" w:color="auto" w:fill="C6EFCE"/>
            <w:noWrap/>
            <w:vAlign w:val="center"/>
          </w:tcPr>
          <w:p w14:paraId="549ECB9E" w14:textId="77777777" w:rsidR="0084326C" w:rsidRPr="005D68A0" w:rsidRDefault="0084326C">
            <w:pPr>
              <w:rPr>
                <w:rFonts w:ascii="Arial Narrow" w:hAnsi="Arial Narrow"/>
                <w:noProof/>
                <w:sz w:val="20"/>
              </w:rPr>
            </w:pPr>
            <w:r>
              <w:rPr>
                <w:rFonts w:ascii="Arial Narrow" w:hAnsi="Arial Narrow"/>
                <w:noProof/>
                <w:color w:val="006100"/>
                <w:sz w:val="20"/>
              </w:rPr>
              <w:t>Vähemalt 800 heiteta vähese põrandaga bussi ostmine, mis on ostetud M2C2–32 alusel vastava sõidukipargi tugevdamiseks.</w:t>
            </w:r>
          </w:p>
        </w:tc>
      </w:tr>
      <w:tr w:rsidR="0084326C" w:rsidRPr="00D90835" w14:paraId="5B5A24F7" w14:textId="77777777" w:rsidTr="00B62B71">
        <w:trPr>
          <w:trHeight w:val="309"/>
          <w:jc w:val="center"/>
        </w:trPr>
        <w:tc>
          <w:tcPr>
            <w:tcW w:w="992" w:type="dxa"/>
            <w:shd w:val="clear" w:color="auto" w:fill="C6EFCE"/>
            <w:noWrap/>
            <w:vAlign w:val="center"/>
          </w:tcPr>
          <w:p w14:paraId="0430CC80"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M2C2–34 Bis</w:t>
            </w:r>
          </w:p>
        </w:tc>
        <w:tc>
          <w:tcPr>
            <w:tcW w:w="1831" w:type="dxa"/>
            <w:shd w:val="clear" w:color="auto" w:fill="C6EFCE"/>
            <w:noWrap/>
            <w:vAlign w:val="center"/>
          </w:tcPr>
          <w:p w14:paraId="5F22052B" w14:textId="101C3A2C" w:rsidR="0084326C" w:rsidRPr="005D68A0" w:rsidRDefault="0084326C">
            <w:pPr>
              <w:jc w:val="center"/>
              <w:rPr>
                <w:rFonts w:ascii="Arial Narrow" w:hAnsi="Arial Narrow"/>
                <w:noProof/>
                <w:color w:val="006100"/>
                <w:sz w:val="20"/>
              </w:rPr>
            </w:pPr>
            <w:r>
              <w:rPr>
                <w:rFonts w:ascii="Arial Narrow" w:hAnsi="Arial Narrow"/>
                <w:noProof/>
                <w:color w:val="006100"/>
                <w:sz w:val="20"/>
              </w:rPr>
              <w:t>Investeering 4.4.2. Heitevabade rongide ja universaalteenusega piirkondliku ühistranspordi raudteepargi tugevdamine</w:t>
            </w:r>
          </w:p>
        </w:tc>
        <w:tc>
          <w:tcPr>
            <w:tcW w:w="900" w:type="dxa"/>
            <w:shd w:val="clear" w:color="auto" w:fill="C6EFCE"/>
            <w:noWrap/>
            <w:vAlign w:val="center"/>
          </w:tcPr>
          <w:p w14:paraId="372D2514"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Siht</w:t>
            </w:r>
          </w:p>
        </w:tc>
        <w:tc>
          <w:tcPr>
            <w:tcW w:w="2345" w:type="dxa"/>
            <w:shd w:val="clear" w:color="auto" w:fill="C6EFCE"/>
            <w:noWrap/>
            <w:vAlign w:val="center"/>
          </w:tcPr>
          <w:p w14:paraId="59F43DAA"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Heiteta rongide arv T1</w:t>
            </w:r>
          </w:p>
        </w:tc>
        <w:tc>
          <w:tcPr>
            <w:tcW w:w="1876" w:type="dxa"/>
            <w:shd w:val="clear" w:color="auto" w:fill="C6EFCE"/>
            <w:noWrap/>
            <w:vAlign w:val="center"/>
          </w:tcPr>
          <w:p w14:paraId="09EE94F4"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Ei kohaldata</w:t>
            </w:r>
          </w:p>
        </w:tc>
        <w:tc>
          <w:tcPr>
            <w:tcW w:w="1417" w:type="dxa"/>
            <w:shd w:val="clear" w:color="auto" w:fill="C6EFCE"/>
            <w:noWrap/>
            <w:vAlign w:val="center"/>
          </w:tcPr>
          <w:p w14:paraId="20D5013A"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Arv</w:t>
            </w:r>
          </w:p>
        </w:tc>
        <w:tc>
          <w:tcPr>
            <w:tcW w:w="1134" w:type="dxa"/>
            <w:shd w:val="clear" w:color="auto" w:fill="C6EFCE"/>
            <w:noWrap/>
            <w:vAlign w:val="center"/>
          </w:tcPr>
          <w:p w14:paraId="269CC478"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0</w:t>
            </w:r>
          </w:p>
        </w:tc>
        <w:tc>
          <w:tcPr>
            <w:tcW w:w="1210" w:type="dxa"/>
            <w:shd w:val="clear" w:color="auto" w:fill="C6EFCE"/>
            <w:noWrap/>
            <w:vAlign w:val="center"/>
          </w:tcPr>
          <w:p w14:paraId="672A047C"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25</w:t>
            </w:r>
          </w:p>
        </w:tc>
        <w:tc>
          <w:tcPr>
            <w:tcW w:w="992" w:type="dxa"/>
            <w:shd w:val="clear" w:color="auto" w:fill="C6EFCE"/>
            <w:noWrap/>
            <w:vAlign w:val="center"/>
          </w:tcPr>
          <w:p w14:paraId="51FB0188"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4. kv</w:t>
            </w:r>
          </w:p>
        </w:tc>
        <w:tc>
          <w:tcPr>
            <w:tcW w:w="756" w:type="dxa"/>
            <w:shd w:val="clear" w:color="auto" w:fill="C6EFCE"/>
            <w:noWrap/>
            <w:vAlign w:val="center"/>
          </w:tcPr>
          <w:p w14:paraId="25769B3F"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2024</w:t>
            </w:r>
          </w:p>
        </w:tc>
        <w:tc>
          <w:tcPr>
            <w:tcW w:w="2793" w:type="dxa"/>
            <w:shd w:val="clear" w:color="auto" w:fill="C6EFCE"/>
            <w:noWrap/>
            <w:vAlign w:val="center"/>
          </w:tcPr>
          <w:p w14:paraId="522E7562" w14:textId="77777777" w:rsidR="0084326C" w:rsidRPr="005D68A0" w:rsidRDefault="0084326C">
            <w:pPr>
              <w:rPr>
                <w:rFonts w:ascii="Arial Narrow" w:hAnsi="Arial Narrow"/>
                <w:noProof/>
                <w:sz w:val="20"/>
              </w:rPr>
            </w:pPr>
            <w:r>
              <w:rPr>
                <w:rFonts w:ascii="Arial Narrow" w:hAnsi="Arial Narrow"/>
                <w:noProof/>
                <w:color w:val="006100"/>
                <w:sz w:val="20"/>
              </w:rPr>
              <w:t>Seadusandliku dekreedi nr 57/2019 (st Dichiarazione di verifica di conformità CE di cui all’art 15 del D.Lgs 57/2019) artikli 15 kohase EÜ vastavustõendi hankimine vähemalt 25 heitevaba rongi puhul vastava veeremi tugevdamiseks.</w:t>
            </w:r>
          </w:p>
        </w:tc>
      </w:tr>
      <w:tr w:rsidR="0084326C" w:rsidRPr="00D90835" w14:paraId="09018306" w14:textId="77777777" w:rsidTr="00B62B71">
        <w:trPr>
          <w:trHeight w:val="309"/>
          <w:jc w:val="center"/>
        </w:trPr>
        <w:tc>
          <w:tcPr>
            <w:tcW w:w="992" w:type="dxa"/>
            <w:shd w:val="clear" w:color="auto" w:fill="C6EFCE"/>
            <w:noWrap/>
            <w:vAlign w:val="center"/>
          </w:tcPr>
          <w:p w14:paraId="2C48F4F1"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M2C2-35</w:t>
            </w:r>
          </w:p>
        </w:tc>
        <w:tc>
          <w:tcPr>
            <w:tcW w:w="1831" w:type="dxa"/>
            <w:shd w:val="clear" w:color="auto" w:fill="C6EFCE"/>
            <w:noWrap/>
            <w:vAlign w:val="center"/>
          </w:tcPr>
          <w:p w14:paraId="05E999E5" w14:textId="23473FFC" w:rsidR="0084326C" w:rsidRPr="005D68A0" w:rsidRDefault="0084326C">
            <w:pPr>
              <w:jc w:val="center"/>
              <w:rPr>
                <w:rFonts w:ascii="Arial Narrow" w:hAnsi="Arial Narrow"/>
                <w:noProof/>
                <w:color w:val="006100"/>
                <w:sz w:val="20"/>
              </w:rPr>
            </w:pPr>
            <w:r>
              <w:rPr>
                <w:rFonts w:ascii="Arial Narrow" w:hAnsi="Arial Narrow"/>
                <w:noProof/>
                <w:color w:val="006100"/>
                <w:sz w:val="20"/>
              </w:rPr>
              <w:t>Investeering 4.4.1. Heiteta vähese põrandaga bussidega piirkondliku ühistranspordi bussipargi tugevdamine</w:t>
            </w:r>
          </w:p>
        </w:tc>
        <w:tc>
          <w:tcPr>
            <w:tcW w:w="900" w:type="dxa"/>
            <w:shd w:val="clear" w:color="auto" w:fill="C6EFCE"/>
            <w:noWrap/>
            <w:vAlign w:val="center"/>
          </w:tcPr>
          <w:p w14:paraId="6DC19F96"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Siht</w:t>
            </w:r>
          </w:p>
        </w:tc>
        <w:tc>
          <w:tcPr>
            <w:tcW w:w="2345" w:type="dxa"/>
            <w:shd w:val="clear" w:color="auto" w:fill="C6EFCE"/>
            <w:noWrap/>
            <w:vAlign w:val="center"/>
          </w:tcPr>
          <w:p w14:paraId="38141C94"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Heiteta madala põrandaga busside arv T2</w:t>
            </w:r>
          </w:p>
        </w:tc>
        <w:tc>
          <w:tcPr>
            <w:tcW w:w="1876" w:type="dxa"/>
            <w:shd w:val="clear" w:color="auto" w:fill="C6EFCE"/>
            <w:noWrap/>
            <w:vAlign w:val="center"/>
          </w:tcPr>
          <w:p w14:paraId="76992092"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Ei kohaldata</w:t>
            </w:r>
          </w:p>
        </w:tc>
        <w:tc>
          <w:tcPr>
            <w:tcW w:w="1417" w:type="dxa"/>
            <w:shd w:val="clear" w:color="auto" w:fill="C6EFCE"/>
            <w:noWrap/>
            <w:vAlign w:val="center"/>
          </w:tcPr>
          <w:p w14:paraId="6B8373D4"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Arv</w:t>
            </w:r>
          </w:p>
        </w:tc>
        <w:tc>
          <w:tcPr>
            <w:tcW w:w="1134" w:type="dxa"/>
            <w:shd w:val="clear" w:color="auto" w:fill="C6EFCE"/>
            <w:noWrap/>
            <w:vAlign w:val="center"/>
          </w:tcPr>
          <w:p w14:paraId="2CFF7059"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0</w:t>
            </w:r>
          </w:p>
        </w:tc>
        <w:tc>
          <w:tcPr>
            <w:tcW w:w="1210" w:type="dxa"/>
            <w:shd w:val="clear" w:color="auto" w:fill="C6EFCE"/>
            <w:noWrap/>
            <w:vAlign w:val="center"/>
          </w:tcPr>
          <w:p w14:paraId="5E85C233" w14:textId="0D40B94F" w:rsidR="0084326C" w:rsidRPr="005D68A0" w:rsidRDefault="0084326C">
            <w:pPr>
              <w:jc w:val="center"/>
              <w:rPr>
                <w:rFonts w:ascii="Arial Narrow" w:hAnsi="Arial Narrow"/>
                <w:noProof/>
                <w:color w:val="006100"/>
                <w:sz w:val="20"/>
              </w:rPr>
            </w:pPr>
            <w:r>
              <w:rPr>
                <w:rFonts w:ascii="Arial Narrow" w:hAnsi="Arial Narrow"/>
                <w:noProof/>
                <w:color w:val="006100"/>
                <w:sz w:val="20"/>
              </w:rPr>
              <w:t>3 000</w:t>
            </w:r>
          </w:p>
        </w:tc>
        <w:tc>
          <w:tcPr>
            <w:tcW w:w="992" w:type="dxa"/>
            <w:shd w:val="clear" w:color="auto" w:fill="C6EFCE"/>
            <w:noWrap/>
            <w:vAlign w:val="center"/>
          </w:tcPr>
          <w:p w14:paraId="4C77FD63"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 kv</w:t>
            </w:r>
          </w:p>
        </w:tc>
        <w:tc>
          <w:tcPr>
            <w:tcW w:w="756" w:type="dxa"/>
            <w:shd w:val="clear" w:color="auto" w:fill="C6EFCE"/>
            <w:noWrap/>
            <w:vAlign w:val="center"/>
          </w:tcPr>
          <w:p w14:paraId="32409728"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2026</w:t>
            </w:r>
          </w:p>
        </w:tc>
        <w:tc>
          <w:tcPr>
            <w:tcW w:w="2793" w:type="dxa"/>
            <w:shd w:val="clear" w:color="auto" w:fill="C6EFCE"/>
            <w:noWrap/>
            <w:vAlign w:val="center"/>
          </w:tcPr>
          <w:p w14:paraId="72F3AB5A" w14:textId="641AF7DB" w:rsidR="0084326C" w:rsidRPr="005D68A0" w:rsidRDefault="0084326C">
            <w:pPr>
              <w:rPr>
                <w:rFonts w:ascii="Arial Narrow" w:hAnsi="Arial Narrow"/>
                <w:noProof/>
                <w:sz w:val="20"/>
              </w:rPr>
            </w:pPr>
            <w:r>
              <w:rPr>
                <w:rFonts w:ascii="Arial Narrow" w:hAnsi="Arial Narrow"/>
                <w:noProof/>
                <w:color w:val="006100"/>
                <w:sz w:val="20"/>
              </w:rPr>
              <w:t>Vähemalt 3 000 heiteta vähese põrandaga bussi kasutuselevõtt, mis on hangitud M2C2–32 alusel vastava sõidukipargi tugevdamiseks.</w:t>
            </w:r>
          </w:p>
        </w:tc>
      </w:tr>
      <w:tr w:rsidR="0084326C" w:rsidRPr="00D90835" w14:paraId="61B8769E" w14:textId="77777777" w:rsidTr="00B62B71">
        <w:trPr>
          <w:trHeight w:val="309"/>
          <w:jc w:val="center"/>
        </w:trPr>
        <w:tc>
          <w:tcPr>
            <w:tcW w:w="992" w:type="dxa"/>
            <w:shd w:val="clear" w:color="auto" w:fill="C6EFCE"/>
            <w:noWrap/>
            <w:vAlign w:val="center"/>
          </w:tcPr>
          <w:p w14:paraId="1A0C433E"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M2C2–35 ter</w:t>
            </w:r>
          </w:p>
        </w:tc>
        <w:tc>
          <w:tcPr>
            <w:tcW w:w="1831" w:type="dxa"/>
            <w:shd w:val="clear" w:color="auto" w:fill="C6EFCE"/>
            <w:noWrap/>
            <w:vAlign w:val="center"/>
          </w:tcPr>
          <w:p w14:paraId="637C4EA1" w14:textId="4C29542E" w:rsidR="0084326C" w:rsidRPr="005D68A0" w:rsidRDefault="0084326C">
            <w:pPr>
              <w:jc w:val="center"/>
              <w:rPr>
                <w:rFonts w:ascii="Arial Narrow" w:hAnsi="Arial Narrow"/>
                <w:noProof/>
                <w:color w:val="006100"/>
                <w:sz w:val="20"/>
              </w:rPr>
            </w:pPr>
            <w:r>
              <w:rPr>
                <w:rFonts w:ascii="Arial Narrow" w:hAnsi="Arial Narrow"/>
                <w:noProof/>
                <w:color w:val="006100"/>
                <w:sz w:val="20"/>
              </w:rPr>
              <w:t>Investeering 4.4.1. Heiteta vähese põrandaga bussidega piirkondliku ühistranspordi bussipargi tugevdamine</w:t>
            </w:r>
          </w:p>
        </w:tc>
        <w:tc>
          <w:tcPr>
            <w:tcW w:w="900" w:type="dxa"/>
            <w:shd w:val="clear" w:color="auto" w:fill="C6EFCE"/>
            <w:noWrap/>
            <w:vAlign w:val="center"/>
          </w:tcPr>
          <w:p w14:paraId="32E15DAA"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Siht</w:t>
            </w:r>
          </w:p>
        </w:tc>
        <w:tc>
          <w:tcPr>
            <w:tcW w:w="2345" w:type="dxa"/>
            <w:shd w:val="clear" w:color="auto" w:fill="C6EFCE"/>
            <w:noWrap/>
            <w:vAlign w:val="center"/>
          </w:tcPr>
          <w:p w14:paraId="0AD3212C"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Heiteta ja vähese heitega madala põrandaga busside laadimisjaamade arv</w:t>
            </w:r>
          </w:p>
        </w:tc>
        <w:tc>
          <w:tcPr>
            <w:tcW w:w="1876" w:type="dxa"/>
            <w:shd w:val="clear" w:color="auto" w:fill="C6EFCE"/>
            <w:noWrap/>
            <w:vAlign w:val="center"/>
          </w:tcPr>
          <w:p w14:paraId="60AC435D" w14:textId="77777777" w:rsidR="0084326C" w:rsidRPr="00F33804" w:rsidRDefault="0084326C">
            <w:pPr>
              <w:jc w:val="center"/>
              <w:rPr>
                <w:rFonts w:ascii="Arial Narrow" w:hAnsi="Arial Narrow"/>
                <w:noProof/>
                <w:color w:val="006100"/>
                <w:sz w:val="20"/>
              </w:rPr>
            </w:pPr>
          </w:p>
        </w:tc>
        <w:tc>
          <w:tcPr>
            <w:tcW w:w="1417" w:type="dxa"/>
            <w:shd w:val="clear" w:color="auto" w:fill="C6EFCE"/>
            <w:noWrap/>
            <w:vAlign w:val="center"/>
          </w:tcPr>
          <w:p w14:paraId="4BA13155"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Arv</w:t>
            </w:r>
          </w:p>
        </w:tc>
        <w:tc>
          <w:tcPr>
            <w:tcW w:w="1134" w:type="dxa"/>
            <w:shd w:val="clear" w:color="auto" w:fill="C6EFCE"/>
            <w:noWrap/>
            <w:vAlign w:val="center"/>
          </w:tcPr>
          <w:p w14:paraId="01EE6EF6"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0</w:t>
            </w:r>
          </w:p>
        </w:tc>
        <w:tc>
          <w:tcPr>
            <w:tcW w:w="1210" w:type="dxa"/>
            <w:shd w:val="clear" w:color="auto" w:fill="C6EFCE"/>
            <w:noWrap/>
            <w:vAlign w:val="center"/>
          </w:tcPr>
          <w:p w14:paraId="3323881E" w14:textId="4DB50078" w:rsidR="0084326C" w:rsidRPr="005D68A0" w:rsidRDefault="0084326C">
            <w:pPr>
              <w:jc w:val="center"/>
              <w:rPr>
                <w:rFonts w:ascii="Arial Narrow" w:hAnsi="Arial Narrow"/>
                <w:noProof/>
                <w:color w:val="006100"/>
                <w:sz w:val="20"/>
              </w:rPr>
            </w:pPr>
            <w:r>
              <w:rPr>
                <w:rFonts w:ascii="Arial Narrow" w:hAnsi="Arial Narrow"/>
                <w:noProof/>
                <w:color w:val="006100"/>
                <w:sz w:val="20"/>
              </w:rPr>
              <w:t>1 000</w:t>
            </w:r>
          </w:p>
        </w:tc>
        <w:tc>
          <w:tcPr>
            <w:tcW w:w="992" w:type="dxa"/>
            <w:shd w:val="clear" w:color="auto" w:fill="C6EFCE"/>
            <w:noWrap/>
            <w:vAlign w:val="center"/>
          </w:tcPr>
          <w:p w14:paraId="7529BBF1"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 kv</w:t>
            </w:r>
          </w:p>
        </w:tc>
        <w:tc>
          <w:tcPr>
            <w:tcW w:w="756" w:type="dxa"/>
            <w:shd w:val="clear" w:color="auto" w:fill="C6EFCE"/>
            <w:noWrap/>
            <w:vAlign w:val="center"/>
          </w:tcPr>
          <w:p w14:paraId="5D1C039C"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2026</w:t>
            </w:r>
          </w:p>
        </w:tc>
        <w:tc>
          <w:tcPr>
            <w:tcW w:w="2793" w:type="dxa"/>
            <w:shd w:val="clear" w:color="auto" w:fill="C6EFCE"/>
            <w:noWrap/>
            <w:vAlign w:val="center"/>
          </w:tcPr>
          <w:p w14:paraId="16C369A4" w14:textId="7DD8671B" w:rsidR="0084326C" w:rsidRPr="005D68A0" w:rsidRDefault="0084326C">
            <w:pPr>
              <w:rPr>
                <w:rFonts w:ascii="Arial Narrow" w:hAnsi="Arial Narrow"/>
                <w:noProof/>
                <w:sz w:val="20"/>
              </w:rPr>
            </w:pPr>
            <w:r>
              <w:rPr>
                <w:rFonts w:ascii="Arial Narrow" w:hAnsi="Arial Narrow"/>
                <w:noProof/>
                <w:color w:val="006100"/>
                <w:sz w:val="20"/>
              </w:rPr>
              <w:t>Heiteta või vähese heitega vähese põrandaga busside vähemalt 1 000 laadimisjaama kasutuselevõtmine.</w:t>
            </w:r>
          </w:p>
        </w:tc>
      </w:tr>
      <w:tr w:rsidR="0084326C" w:rsidRPr="00D90835" w14:paraId="6C893094" w14:textId="77777777" w:rsidTr="00B62B71">
        <w:trPr>
          <w:trHeight w:val="309"/>
          <w:jc w:val="center"/>
        </w:trPr>
        <w:tc>
          <w:tcPr>
            <w:tcW w:w="992" w:type="dxa"/>
            <w:shd w:val="clear" w:color="auto" w:fill="C6EFCE"/>
            <w:noWrap/>
            <w:vAlign w:val="center"/>
          </w:tcPr>
          <w:p w14:paraId="7CAB7485"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 xml:space="preserve">M2C2–35a </w:t>
            </w:r>
          </w:p>
        </w:tc>
        <w:tc>
          <w:tcPr>
            <w:tcW w:w="1831" w:type="dxa"/>
            <w:shd w:val="clear" w:color="auto" w:fill="C6EFCE"/>
            <w:noWrap/>
            <w:vAlign w:val="center"/>
          </w:tcPr>
          <w:p w14:paraId="58A20C73"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Investeering 4.4.2.  Heitevabade rongide ja universaalteenusega piirkondliku ühistranspordi raudteepargi tugevdamine</w:t>
            </w:r>
          </w:p>
        </w:tc>
        <w:tc>
          <w:tcPr>
            <w:tcW w:w="900" w:type="dxa"/>
            <w:shd w:val="clear" w:color="auto" w:fill="C6EFCE"/>
            <w:noWrap/>
            <w:vAlign w:val="center"/>
          </w:tcPr>
          <w:p w14:paraId="5BC4749D"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Siht</w:t>
            </w:r>
          </w:p>
        </w:tc>
        <w:tc>
          <w:tcPr>
            <w:tcW w:w="2345" w:type="dxa"/>
            <w:shd w:val="clear" w:color="auto" w:fill="C6EFCE"/>
            <w:noWrap/>
            <w:vAlign w:val="center"/>
          </w:tcPr>
          <w:p w14:paraId="1ABA86E6"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 xml:space="preserve">Nullheitmetega rongide arv ja vedude arv universaalteenuse puhul </w:t>
            </w:r>
          </w:p>
        </w:tc>
        <w:tc>
          <w:tcPr>
            <w:tcW w:w="1876" w:type="dxa"/>
            <w:shd w:val="clear" w:color="auto" w:fill="C6EFCE"/>
            <w:noWrap/>
            <w:vAlign w:val="center"/>
          </w:tcPr>
          <w:p w14:paraId="00D5F38F"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Ei kohaldata</w:t>
            </w:r>
          </w:p>
        </w:tc>
        <w:tc>
          <w:tcPr>
            <w:tcW w:w="1417" w:type="dxa"/>
            <w:shd w:val="clear" w:color="auto" w:fill="C6EFCE"/>
            <w:noWrap/>
            <w:vAlign w:val="center"/>
          </w:tcPr>
          <w:p w14:paraId="2AED6BCC"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Arv</w:t>
            </w:r>
          </w:p>
        </w:tc>
        <w:tc>
          <w:tcPr>
            <w:tcW w:w="1134" w:type="dxa"/>
            <w:shd w:val="clear" w:color="auto" w:fill="C6EFCE"/>
            <w:noWrap/>
            <w:vAlign w:val="center"/>
          </w:tcPr>
          <w:p w14:paraId="714D4973"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25</w:t>
            </w:r>
          </w:p>
        </w:tc>
        <w:tc>
          <w:tcPr>
            <w:tcW w:w="1210" w:type="dxa"/>
            <w:shd w:val="clear" w:color="auto" w:fill="C6EFCE"/>
            <w:noWrap/>
            <w:vAlign w:val="center"/>
          </w:tcPr>
          <w:p w14:paraId="3D07AC0A"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66</w:t>
            </w:r>
          </w:p>
        </w:tc>
        <w:tc>
          <w:tcPr>
            <w:tcW w:w="992" w:type="dxa"/>
            <w:shd w:val="clear" w:color="auto" w:fill="C6EFCE"/>
            <w:noWrap/>
            <w:vAlign w:val="center"/>
          </w:tcPr>
          <w:p w14:paraId="6A5FC30A"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 kv</w:t>
            </w:r>
          </w:p>
        </w:tc>
        <w:tc>
          <w:tcPr>
            <w:tcW w:w="756" w:type="dxa"/>
            <w:shd w:val="clear" w:color="auto" w:fill="C6EFCE"/>
            <w:noWrap/>
            <w:vAlign w:val="center"/>
          </w:tcPr>
          <w:p w14:paraId="76CA3471"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2026</w:t>
            </w:r>
          </w:p>
        </w:tc>
        <w:tc>
          <w:tcPr>
            <w:tcW w:w="2793" w:type="dxa"/>
            <w:shd w:val="clear" w:color="auto" w:fill="C6EFCE"/>
            <w:noWrap/>
            <w:vAlign w:val="center"/>
          </w:tcPr>
          <w:p w14:paraId="464ABCC6"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 xml:space="preserve">Seadusandliku dekreedi nr 57/2019 (st Dichiarazione di verifica di conformità CE di cui all’art 15 del D.Lgs 57/2019) artikli 15 kohase EÜ vastavustõendamise deklaratsiooni kasutuselevõtmine ja omandamine vähemalt 53 heitevaba rongi puhul piirkondliku raudteepargi jaoks, vähemalt 13 kaheliigilist rongi ja 100 universaalveoteenust. </w:t>
            </w:r>
          </w:p>
          <w:p w14:paraId="3C38DD29" w14:textId="5D5491BC" w:rsidR="0084326C" w:rsidRPr="005D68A0" w:rsidRDefault="0084326C">
            <w:pPr>
              <w:rPr>
                <w:rFonts w:ascii="Arial Narrow" w:hAnsi="Arial Narrow"/>
                <w:noProof/>
                <w:sz w:val="20"/>
              </w:rPr>
            </w:pPr>
            <w:r>
              <w:rPr>
                <w:rFonts w:ascii="Arial Narrow" w:hAnsi="Arial Narrow"/>
                <w:noProof/>
                <w:color w:val="006100"/>
                <w:sz w:val="20"/>
              </w:rPr>
              <w:t>Universaalteenuse/linnadevahelise linna puhul kuulub taaste- ja vastupidavusrahastu vahenditest ostetud veerem riigile. Seega, kui turgu valitsevate teenuseosutajate teenusleping lõpeb, tehakse see veerem kättesaadavaks uuele teenuseosutajale, kellega sõlmitakse teenusleping, täielikus kooskõlas määrusega (EL) 1370/2007.</w:t>
            </w:r>
          </w:p>
        </w:tc>
      </w:tr>
      <w:tr w:rsidR="0084326C" w:rsidRPr="00D90835" w14:paraId="10A20F11" w14:textId="77777777" w:rsidTr="00B62B71">
        <w:trPr>
          <w:trHeight w:val="309"/>
          <w:jc w:val="center"/>
        </w:trPr>
        <w:tc>
          <w:tcPr>
            <w:tcW w:w="992" w:type="dxa"/>
            <w:shd w:val="clear" w:color="auto" w:fill="C6EFCE"/>
            <w:noWrap/>
            <w:vAlign w:val="center"/>
          </w:tcPr>
          <w:p w14:paraId="661990EE"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M2C2-36</w:t>
            </w:r>
          </w:p>
        </w:tc>
        <w:tc>
          <w:tcPr>
            <w:tcW w:w="1831" w:type="dxa"/>
            <w:shd w:val="clear" w:color="auto" w:fill="C6EFCE"/>
            <w:noWrap/>
            <w:vAlign w:val="center"/>
          </w:tcPr>
          <w:p w14:paraId="7DD9DB57"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Investeering 4.4.3. Riikliku tuletõrjebrigaadide staabi uuendamine</w:t>
            </w:r>
          </w:p>
        </w:tc>
        <w:tc>
          <w:tcPr>
            <w:tcW w:w="900" w:type="dxa"/>
            <w:shd w:val="clear" w:color="auto" w:fill="C6EFCE"/>
            <w:noWrap/>
            <w:vAlign w:val="center"/>
          </w:tcPr>
          <w:p w14:paraId="29C0937D"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Siht</w:t>
            </w:r>
          </w:p>
        </w:tc>
        <w:tc>
          <w:tcPr>
            <w:tcW w:w="2345" w:type="dxa"/>
            <w:shd w:val="clear" w:color="auto" w:fill="C6EFCE"/>
            <w:noWrap/>
            <w:vAlign w:val="center"/>
          </w:tcPr>
          <w:p w14:paraId="5BE6F80D"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Keskkonnasõbralike sõidukite arv riikliku tuletõrjebrigaadide käskluse uuendamiseks kasutatavas sõidukipargis</w:t>
            </w:r>
          </w:p>
        </w:tc>
        <w:tc>
          <w:tcPr>
            <w:tcW w:w="1876" w:type="dxa"/>
            <w:shd w:val="clear" w:color="auto" w:fill="C6EFCE"/>
            <w:noWrap/>
            <w:vAlign w:val="center"/>
          </w:tcPr>
          <w:p w14:paraId="46C6FC2A"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Ei kohaldata</w:t>
            </w:r>
          </w:p>
        </w:tc>
        <w:tc>
          <w:tcPr>
            <w:tcW w:w="1417" w:type="dxa"/>
            <w:shd w:val="clear" w:color="auto" w:fill="C6EFCE"/>
            <w:noWrap/>
            <w:vAlign w:val="center"/>
          </w:tcPr>
          <w:p w14:paraId="5AC4B13F"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Arv</w:t>
            </w:r>
          </w:p>
        </w:tc>
        <w:tc>
          <w:tcPr>
            <w:tcW w:w="1134" w:type="dxa"/>
            <w:shd w:val="clear" w:color="auto" w:fill="C6EFCE"/>
            <w:noWrap/>
            <w:vAlign w:val="center"/>
          </w:tcPr>
          <w:p w14:paraId="46D09D7F"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0</w:t>
            </w:r>
          </w:p>
        </w:tc>
        <w:tc>
          <w:tcPr>
            <w:tcW w:w="1210" w:type="dxa"/>
            <w:shd w:val="clear" w:color="auto" w:fill="C6EFCE"/>
            <w:noWrap/>
            <w:vAlign w:val="center"/>
          </w:tcPr>
          <w:p w14:paraId="4C36E249" w14:textId="6539CF65" w:rsidR="0084326C" w:rsidRPr="005D68A0" w:rsidRDefault="0084326C">
            <w:pPr>
              <w:jc w:val="center"/>
              <w:rPr>
                <w:rFonts w:ascii="Arial Narrow" w:hAnsi="Arial Narrow"/>
                <w:noProof/>
                <w:color w:val="006100"/>
                <w:sz w:val="20"/>
              </w:rPr>
            </w:pPr>
            <w:r>
              <w:rPr>
                <w:rFonts w:ascii="Arial Narrow" w:hAnsi="Arial Narrow"/>
                <w:noProof/>
                <w:color w:val="006100"/>
                <w:sz w:val="20"/>
              </w:rPr>
              <w:t>3 800</w:t>
            </w:r>
          </w:p>
        </w:tc>
        <w:tc>
          <w:tcPr>
            <w:tcW w:w="992" w:type="dxa"/>
            <w:shd w:val="clear" w:color="auto" w:fill="C6EFCE"/>
            <w:noWrap/>
            <w:vAlign w:val="center"/>
          </w:tcPr>
          <w:p w14:paraId="7093D97E"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 kv</w:t>
            </w:r>
          </w:p>
        </w:tc>
        <w:tc>
          <w:tcPr>
            <w:tcW w:w="756" w:type="dxa"/>
            <w:shd w:val="clear" w:color="auto" w:fill="C6EFCE"/>
            <w:noWrap/>
            <w:vAlign w:val="center"/>
          </w:tcPr>
          <w:p w14:paraId="730BA1D8"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2026</w:t>
            </w:r>
          </w:p>
        </w:tc>
        <w:tc>
          <w:tcPr>
            <w:tcW w:w="2793" w:type="dxa"/>
            <w:shd w:val="clear" w:color="auto" w:fill="C6EFCE"/>
            <w:noWrap/>
            <w:vAlign w:val="center"/>
          </w:tcPr>
          <w:p w14:paraId="204CCB0A"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Riikliku tuletõrjekomando uuenduslaevastiku kasutuselevõtt vähemalt 3 800 keskkonnasõbraliku sõidukiga</w:t>
            </w:r>
          </w:p>
          <w:p w14:paraId="3D1603F1" w14:textId="2DF78A65" w:rsidR="0084326C" w:rsidRPr="005D68A0" w:rsidRDefault="0084326C" w:rsidP="0183CD37">
            <w:pPr>
              <w:rPr>
                <w:rFonts w:ascii="Arial Narrow" w:hAnsi="Arial Narrow"/>
                <w:noProof/>
                <w:sz w:val="20"/>
                <w:szCs w:val="20"/>
              </w:rPr>
            </w:pPr>
            <w:r>
              <w:rPr>
                <w:rFonts w:ascii="Arial Narrow" w:hAnsi="Arial Narrow"/>
                <w:noProof/>
                <w:color w:val="006100"/>
                <w:sz w:val="20"/>
              </w:rPr>
              <w:t xml:space="preserve">3 500 sõidukit saab 100% -lise ökoloogilise märgistuse, sest need peavad olema 100 % elektrisõidukid ja laadimispunktid peavad olema varustatud päikesepaneelidega. 300 rasket sõidukit, 200 lennujaama ja 100 linnapäästesõidukit kasutatakse üksnes biometaanil või biokütusel ning need vastavad taastuvenergia direktiivis 2018/2001 (II taastuvenergia direktiiv) sätestatud kriteeriumidele. Biokütuse ja biometaani ning gaasi ja biokütuse tootjad peavad esitama tõendid (säästvuse tõend), mille on välja andnud sõltumatud hindajad, nagu on sätestatud direktiivis 2018/2001. Käitaja ostab päritolutagatise sertifikaadid vastavalt eeldatavale kütusekasutusele.  Biokütusel töötavatel sõidukitel peab olema B100 tüübikinnitus. </w:t>
            </w:r>
          </w:p>
        </w:tc>
      </w:tr>
      <w:tr w:rsidR="0084326C" w:rsidRPr="00D90835" w14:paraId="422E8D92" w14:textId="77777777" w:rsidTr="00B62B71">
        <w:trPr>
          <w:trHeight w:val="309"/>
          <w:jc w:val="center"/>
        </w:trPr>
        <w:tc>
          <w:tcPr>
            <w:tcW w:w="992" w:type="dxa"/>
            <w:shd w:val="clear" w:color="auto" w:fill="C6EFCE"/>
            <w:noWrap/>
            <w:vAlign w:val="center"/>
          </w:tcPr>
          <w:p w14:paraId="3428C2D6"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M2C2-38bis</w:t>
            </w:r>
          </w:p>
        </w:tc>
        <w:tc>
          <w:tcPr>
            <w:tcW w:w="1831" w:type="dxa"/>
            <w:shd w:val="clear" w:color="auto" w:fill="C6EFCE"/>
            <w:noWrap/>
            <w:vAlign w:val="center"/>
          </w:tcPr>
          <w:p w14:paraId="1AC76668"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Investeering 5.1. Taastuvenergia ja akud</w:t>
            </w:r>
          </w:p>
        </w:tc>
        <w:tc>
          <w:tcPr>
            <w:tcW w:w="900" w:type="dxa"/>
            <w:shd w:val="clear" w:color="auto" w:fill="C6EFCE"/>
            <w:noWrap/>
            <w:vAlign w:val="center"/>
          </w:tcPr>
          <w:p w14:paraId="6EB07560"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Eesmärk</w:t>
            </w:r>
          </w:p>
        </w:tc>
        <w:tc>
          <w:tcPr>
            <w:tcW w:w="2345" w:type="dxa"/>
            <w:shd w:val="clear" w:color="auto" w:fill="C6EFCE"/>
            <w:noWrap/>
            <w:vAlign w:val="center"/>
          </w:tcPr>
          <w:p w14:paraId="0293DCAA"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Rakendusleping</w:t>
            </w:r>
          </w:p>
        </w:tc>
        <w:tc>
          <w:tcPr>
            <w:tcW w:w="1876" w:type="dxa"/>
            <w:shd w:val="clear" w:color="auto" w:fill="C6EFCE"/>
            <w:noWrap/>
            <w:vAlign w:val="center"/>
          </w:tcPr>
          <w:p w14:paraId="7D8511BD"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Rakenduskokkuleppe jõustumine</w:t>
            </w:r>
          </w:p>
        </w:tc>
        <w:tc>
          <w:tcPr>
            <w:tcW w:w="1417" w:type="dxa"/>
            <w:shd w:val="clear" w:color="auto" w:fill="C6EFCE"/>
            <w:noWrap/>
          </w:tcPr>
          <w:p w14:paraId="75067167" w14:textId="77777777" w:rsidR="0084326C" w:rsidRPr="005D68A0" w:rsidRDefault="0084326C">
            <w:pPr>
              <w:jc w:val="center"/>
              <w:rPr>
                <w:rFonts w:ascii="Arial Narrow" w:hAnsi="Arial Narrow"/>
                <w:noProof/>
                <w:color w:val="006100"/>
                <w:sz w:val="20"/>
                <w:lang w:val="en-GB"/>
              </w:rPr>
            </w:pPr>
          </w:p>
        </w:tc>
        <w:tc>
          <w:tcPr>
            <w:tcW w:w="1134" w:type="dxa"/>
            <w:shd w:val="clear" w:color="auto" w:fill="C6EFCE"/>
            <w:noWrap/>
            <w:vAlign w:val="center"/>
          </w:tcPr>
          <w:p w14:paraId="133962FF" w14:textId="77777777" w:rsidR="0084326C" w:rsidRPr="005D68A0" w:rsidRDefault="0084326C">
            <w:pPr>
              <w:jc w:val="center"/>
              <w:rPr>
                <w:rFonts w:ascii="Arial Narrow" w:hAnsi="Arial Narrow"/>
                <w:noProof/>
                <w:color w:val="006100"/>
                <w:sz w:val="20"/>
                <w:lang w:val="en-GB"/>
              </w:rPr>
            </w:pPr>
          </w:p>
        </w:tc>
        <w:tc>
          <w:tcPr>
            <w:tcW w:w="1210" w:type="dxa"/>
            <w:shd w:val="clear" w:color="auto" w:fill="C6EFCE"/>
            <w:noWrap/>
            <w:vAlign w:val="center"/>
          </w:tcPr>
          <w:p w14:paraId="1B979DBE" w14:textId="77777777" w:rsidR="0084326C" w:rsidRPr="005D68A0" w:rsidRDefault="0084326C">
            <w:pPr>
              <w:jc w:val="center"/>
              <w:rPr>
                <w:rFonts w:ascii="Arial Narrow" w:hAnsi="Arial Narrow"/>
                <w:noProof/>
                <w:color w:val="006100"/>
                <w:sz w:val="20"/>
                <w:lang w:val="en-GB"/>
              </w:rPr>
            </w:pPr>
          </w:p>
        </w:tc>
        <w:tc>
          <w:tcPr>
            <w:tcW w:w="992" w:type="dxa"/>
            <w:shd w:val="clear" w:color="auto" w:fill="C6EFCE"/>
            <w:noWrap/>
            <w:vAlign w:val="center"/>
          </w:tcPr>
          <w:p w14:paraId="228B31FB"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4. kv</w:t>
            </w:r>
          </w:p>
        </w:tc>
        <w:tc>
          <w:tcPr>
            <w:tcW w:w="756" w:type="dxa"/>
            <w:shd w:val="clear" w:color="auto" w:fill="C6EFCE"/>
            <w:noWrap/>
            <w:vAlign w:val="center"/>
          </w:tcPr>
          <w:p w14:paraId="51092740"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2024</w:t>
            </w:r>
          </w:p>
        </w:tc>
        <w:tc>
          <w:tcPr>
            <w:tcW w:w="2793" w:type="dxa"/>
            <w:shd w:val="clear" w:color="auto" w:fill="C6EFCE"/>
            <w:noWrap/>
            <w:vAlign w:val="center"/>
          </w:tcPr>
          <w:p w14:paraId="67339D83" w14:textId="77777777" w:rsidR="0084326C" w:rsidRPr="005D68A0" w:rsidRDefault="0084326C">
            <w:pPr>
              <w:rPr>
                <w:rFonts w:ascii="Arial Narrow" w:hAnsi="Arial Narrow"/>
                <w:noProof/>
                <w:sz w:val="20"/>
              </w:rPr>
            </w:pPr>
            <w:r>
              <w:rPr>
                <w:rFonts w:ascii="Arial Narrow" w:hAnsi="Arial Narrow"/>
                <w:noProof/>
                <w:color w:val="006100"/>
                <w:sz w:val="20"/>
              </w:rPr>
              <w:t>Rakenduskokkuleppe jõustumine.</w:t>
            </w:r>
          </w:p>
        </w:tc>
      </w:tr>
      <w:tr w:rsidR="0084326C" w:rsidRPr="00D90835" w14:paraId="048A624F" w14:textId="77777777" w:rsidTr="00B62B71">
        <w:trPr>
          <w:trHeight w:val="309"/>
          <w:jc w:val="center"/>
        </w:trPr>
        <w:tc>
          <w:tcPr>
            <w:tcW w:w="992" w:type="dxa"/>
            <w:shd w:val="clear" w:color="auto" w:fill="C6EFCE"/>
            <w:noWrap/>
            <w:vAlign w:val="center"/>
          </w:tcPr>
          <w:p w14:paraId="0EF9F1DC"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M2C2-39</w:t>
            </w:r>
          </w:p>
        </w:tc>
        <w:tc>
          <w:tcPr>
            <w:tcW w:w="1831" w:type="dxa"/>
            <w:shd w:val="clear" w:color="auto" w:fill="C6EFCE"/>
            <w:noWrap/>
            <w:vAlign w:val="center"/>
          </w:tcPr>
          <w:p w14:paraId="25C033E7" w14:textId="3D691A6E" w:rsidR="0084326C" w:rsidRPr="005D68A0" w:rsidRDefault="0084326C">
            <w:pPr>
              <w:jc w:val="center"/>
              <w:rPr>
                <w:rFonts w:ascii="Arial Narrow" w:hAnsi="Arial Narrow"/>
                <w:noProof/>
                <w:color w:val="006100"/>
                <w:sz w:val="20"/>
              </w:rPr>
            </w:pPr>
            <w:r>
              <w:rPr>
                <w:rFonts w:ascii="Arial Narrow" w:hAnsi="Arial Narrow"/>
                <w:noProof/>
                <w:color w:val="006100"/>
                <w:sz w:val="20"/>
              </w:rPr>
              <w:t>Investeering 5.1. Taastuvenergia ja akud</w:t>
            </w:r>
          </w:p>
        </w:tc>
        <w:tc>
          <w:tcPr>
            <w:tcW w:w="900" w:type="dxa"/>
            <w:shd w:val="clear" w:color="auto" w:fill="C6EFCE"/>
            <w:noWrap/>
            <w:vAlign w:val="center"/>
          </w:tcPr>
          <w:p w14:paraId="5993FA7C"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Eesmärk</w:t>
            </w:r>
          </w:p>
        </w:tc>
        <w:tc>
          <w:tcPr>
            <w:tcW w:w="2345" w:type="dxa"/>
            <w:shd w:val="clear" w:color="auto" w:fill="C6EFCE"/>
            <w:noWrap/>
            <w:vAlign w:val="center"/>
          </w:tcPr>
          <w:p w14:paraId="1CFD5186"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Itaalia Ettevõtlus- ja Made’i ministeerium on viinud lõpule rahaliste vahendite ülekandmise Invitalia S.p.A-le</w:t>
            </w:r>
          </w:p>
        </w:tc>
        <w:tc>
          <w:tcPr>
            <w:tcW w:w="1876" w:type="dxa"/>
            <w:shd w:val="clear" w:color="auto" w:fill="C6EFCE"/>
            <w:noWrap/>
            <w:vAlign w:val="center"/>
          </w:tcPr>
          <w:p w14:paraId="3D2D396D"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Üleviimistunnistus</w:t>
            </w:r>
          </w:p>
        </w:tc>
        <w:tc>
          <w:tcPr>
            <w:tcW w:w="1417" w:type="dxa"/>
            <w:shd w:val="clear" w:color="auto" w:fill="C6EFCE"/>
            <w:noWrap/>
          </w:tcPr>
          <w:p w14:paraId="0B00E9D6" w14:textId="77777777" w:rsidR="0084326C" w:rsidRPr="005D68A0" w:rsidRDefault="0084326C">
            <w:pPr>
              <w:jc w:val="center"/>
              <w:rPr>
                <w:rFonts w:ascii="Arial Narrow" w:hAnsi="Arial Narrow"/>
                <w:noProof/>
                <w:color w:val="006100"/>
                <w:sz w:val="20"/>
                <w:lang w:val="en-GB"/>
              </w:rPr>
            </w:pPr>
          </w:p>
        </w:tc>
        <w:tc>
          <w:tcPr>
            <w:tcW w:w="1134" w:type="dxa"/>
            <w:shd w:val="clear" w:color="auto" w:fill="C6EFCE"/>
            <w:noWrap/>
            <w:vAlign w:val="center"/>
          </w:tcPr>
          <w:p w14:paraId="3D17650C" w14:textId="77777777" w:rsidR="0084326C" w:rsidRPr="005D68A0" w:rsidRDefault="0084326C">
            <w:pPr>
              <w:jc w:val="center"/>
              <w:rPr>
                <w:rFonts w:ascii="Arial Narrow" w:hAnsi="Arial Narrow"/>
                <w:noProof/>
                <w:color w:val="006100"/>
                <w:sz w:val="20"/>
                <w:lang w:val="en-GB"/>
              </w:rPr>
            </w:pPr>
          </w:p>
        </w:tc>
        <w:tc>
          <w:tcPr>
            <w:tcW w:w="1210" w:type="dxa"/>
            <w:shd w:val="clear" w:color="auto" w:fill="C6EFCE"/>
            <w:noWrap/>
            <w:vAlign w:val="center"/>
          </w:tcPr>
          <w:p w14:paraId="458C60F0" w14:textId="77777777" w:rsidR="0084326C" w:rsidRPr="005D68A0" w:rsidRDefault="0084326C">
            <w:pPr>
              <w:jc w:val="center"/>
              <w:rPr>
                <w:rFonts w:ascii="Arial Narrow" w:hAnsi="Arial Narrow"/>
                <w:noProof/>
                <w:color w:val="006100"/>
                <w:sz w:val="20"/>
                <w:lang w:val="en-GB"/>
              </w:rPr>
            </w:pPr>
          </w:p>
        </w:tc>
        <w:tc>
          <w:tcPr>
            <w:tcW w:w="992" w:type="dxa"/>
            <w:shd w:val="clear" w:color="auto" w:fill="C6EFCE"/>
            <w:noWrap/>
            <w:vAlign w:val="center"/>
          </w:tcPr>
          <w:p w14:paraId="356FC063"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4. kv</w:t>
            </w:r>
          </w:p>
        </w:tc>
        <w:tc>
          <w:tcPr>
            <w:tcW w:w="756" w:type="dxa"/>
            <w:shd w:val="clear" w:color="auto" w:fill="C6EFCE"/>
            <w:noWrap/>
            <w:vAlign w:val="center"/>
          </w:tcPr>
          <w:p w14:paraId="1B3470B5"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2024</w:t>
            </w:r>
          </w:p>
        </w:tc>
        <w:tc>
          <w:tcPr>
            <w:tcW w:w="2793" w:type="dxa"/>
            <w:shd w:val="clear" w:color="auto" w:fill="C6EFCE"/>
            <w:noWrap/>
            <w:vAlign w:val="center"/>
          </w:tcPr>
          <w:p w14:paraId="45D481F5" w14:textId="63F891BD" w:rsidR="0084326C" w:rsidRPr="005D68A0" w:rsidRDefault="0084326C">
            <w:pPr>
              <w:rPr>
                <w:rFonts w:ascii="Arial Narrow" w:hAnsi="Arial Narrow"/>
                <w:noProof/>
                <w:sz w:val="20"/>
              </w:rPr>
            </w:pPr>
            <w:r>
              <w:rPr>
                <w:rFonts w:ascii="Arial Narrow" w:hAnsi="Arial Narrow"/>
                <w:noProof/>
                <w:color w:val="006100"/>
                <w:sz w:val="20"/>
              </w:rPr>
              <w:t>Itaalia kannab rahastu jaoks Invitaliale üle 1 000 000 000 eurot.</w:t>
            </w:r>
          </w:p>
        </w:tc>
      </w:tr>
      <w:tr w:rsidR="0084326C" w:rsidRPr="00D90835" w14:paraId="7CB2F39E" w14:textId="77777777" w:rsidTr="00B62B71">
        <w:trPr>
          <w:trHeight w:val="309"/>
          <w:jc w:val="center"/>
        </w:trPr>
        <w:tc>
          <w:tcPr>
            <w:tcW w:w="992" w:type="dxa"/>
            <w:shd w:val="clear" w:color="auto" w:fill="C6EFCE"/>
            <w:noWrap/>
            <w:vAlign w:val="center"/>
          </w:tcPr>
          <w:p w14:paraId="4BEA1D0E" w14:textId="77777777" w:rsidR="0084326C" w:rsidRPr="005D68A0" w:rsidRDefault="0084326C" w:rsidP="72D320C3">
            <w:pPr>
              <w:jc w:val="center"/>
              <w:rPr>
                <w:rFonts w:ascii="Arial Narrow" w:hAnsi="Arial Narrow"/>
                <w:noProof/>
                <w:color w:val="006100"/>
                <w:sz w:val="20"/>
                <w:szCs w:val="20"/>
              </w:rPr>
            </w:pPr>
            <w:r>
              <w:rPr>
                <w:rFonts w:ascii="Arial Narrow" w:hAnsi="Arial Narrow"/>
                <w:noProof/>
                <w:color w:val="006100"/>
                <w:sz w:val="20"/>
              </w:rPr>
              <w:t>M2C2-40</w:t>
            </w:r>
          </w:p>
        </w:tc>
        <w:tc>
          <w:tcPr>
            <w:tcW w:w="1831" w:type="dxa"/>
            <w:shd w:val="clear" w:color="auto" w:fill="C6EFCE"/>
            <w:noWrap/>
            <w:vAlign w:val="center"/>
          </w:tcPr>
          <w:p w14:paraId="6F69904E" w14:textId="77C87AEF" w:rsidR="0084326C" w:rsidRPr="005D68A0" w:rsidRDefault="0084326C">
            <w:pPr>
              <w:jc w:val="center"/>
              <w:rPr>
                <w:rFonts w:ascii="Arial Narrow" w:hAnsi="Arial Narrow"/>
                <w:noProof/>
                <w:color w:val="006100"/>
                <w:sz w:val="20"/>
              </w:rPr>
            </w:pPr>
            <w:r>
              <w:rPr>
                <w:rFonts w:ascii="Arial Narrow" w:hAnsi="Arial Narrow"/>
                <w:noProof/>
                <w:color w:val="006100"/>
                <w:sz w:val="20"/>
              </w:rPr>
              <w:t>Investeering 5.1.  Taastuvenergia ja akud</w:t>
            </w:r>
          </w:p>
        </w:tc>
        <w:tc>
          <w:tcPr>
            <w:tcW w:w="900" w:type="dxa"/>
            <w:shd w:val="clear" w:color="auto" w:fill="C6EFCE"/>
            <w:noWrap/>
            <w:vAlign w:val="center"/>
          </w:tcPr>
          <w:p w14:paraId="3FD1E198"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Siht</w:t>
            </w:r>
          </w:p>
        </w:tc>
        <w:tc>
          <w:tcPr>
            <w:tcW w:w="2345" w:type="dxa"/>
            <w:shd w:val="clear" w:color="auto" w:fill="C6EFCE"/>
            <w:noWrap/>
            <w:vAlign w:val="center"/>
          </w:tcPr>
          <w:p w14:paraId="71C8555D"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Õiguslikud kokkulepped, mis on sõlmitud lõplike abisaajatega, kes vastavad fotogalvaanilise või tuuletehnoloogia ning patareide ja akude energiatootmisvõimsusele</w:t>
            </w:r>
          </w:p>
        </w:tc>
        <w:tc>
          <w:tcPr>
            <w:tcW w:w="1876" w:type="dxa"/>
            <w:shd w:val="clear" w:color="auto" w:fill="C6EFCE"/>
            <w:noWrap/>
            <w:vAlign w:val="center"/>
          </w:tcPr>
          <w:p w14:paraId="2D7FC620" w14:textId="77777777" w:rsidR="0084326C" w:rsidRPr="00F33804" w:rsidRDefault="0084326C">
            <w:pPr>
              <w:jc w:val="center"/>
              <w:rPr>
                <w:rFonts w:ascii="Arial Narrow" w:hAnsi="Arial Narrow"/>
                <w:noProof/>
                <w:color w:val="006100"/>
                <w:sz w:val="20"/>
              </w:rPr>
            </w:pPr>
          </w:p>
        </w:tc>
        <w:tc>
          <w:tcPr>
            <w:tcW w:w="1417" w:type="dxa"/>
            <w:shd w:val="clear" w:color="auto" w:fill="C6EFCE"/>
            <w:noWrap/>
            <w:vAlign w:val="center"/>
          </w:tcPr>
          <w:p w14:paraId="19E07E7D"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Protsent (%)</w:t>
            </w:r>
          </w:p>
        </w:tc>
        <w:tc>
          <w:tcPr>
            <w:tcW w:w="1134" w:type="dxa"/>
            <w:shd w:val="clear" w:color="auto" w:fill="C6EFCE"/>
            <w:noWrap/>
            <w:vAlign w:val="center"/>
          </w:tcPr>
          <w:p w14:paraId="5461321D"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0</w:t>
            </w:r>
          </w:p>
        </w:tc>
        <w:tc>
          <w:tcPr>
            <w:tcW w:w="1210" w:type="dxa"/>
            <w:shd w:val="clear" w:color="auto" w:fill="C6EFCE"/>
            <w:noWrap/>
            <w:vAlign w:val="center"/>
          </w:tcPr>
          <w:p w14:paraId="2FCC5EEC"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100 %</w:t>
            </w:r>
          </w:p>
        </w:tc>
        <w:tc>
          <w:tcPr>
            <w:tcW w:w="992" w:type="dxa"/>
            <w:shd w:val="clear" w:color="auto" w:fill="C6EFCE"/>
            <w:noWrap/>
            <w:vAlign w:val="center"/>
          </w:tcPr>
          <w:p w14:paraId="4E625C26"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4. kv</w:t>
            </w:r>
          </w:p>
        </w:tc>
        <w:tc>
          <w:tcPr>
            <w:tcW w:w="756" w:type="dxa"/>
            <w:shd w:val="clear" w:color="auto" w:fill="C6EFCE"/>
            <w:noWrap/>
            <w:vAlign w:val="center"/>
          </w:tcPr>
          <w:p w14:paraId="2E760488"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2025</w:t>
            </w:r>
          </w:p>
        </w:tc>
        <w:tc>
          <w:tcPr>
            <w:tcW w:w="2793" w:type="dxa"/>
            <w:shd w:val="clear" w:color="auto" w:fill="C6EFCE"/>
            <w:noWrap/>
            <w:vAlign w:val="center"/>
          </w:tcPr>
          <w:p w14:paraId="0098B060" w14:textId="77777777" w:rsidR="0084326C" w:rsidRPr="005D68A0" w:rsidRDefault="0084326C">
            <w:pPr>
              <w:rPr>
                <w:rFonts w:ascii="Arial Narrow" w:hAnsi="Arial Narrow"/>
                <w:noProof/>
                <w:sz w:val="20"/>
              </w:rPr>
            </w:pPr>
            <w:r>
              <w:rPr>
                <w:rFonts w:ascii="Arial Narrow" w:hAnsi="Arial Narrow"/>
                <w:noProof/>
                <w:color w:val="006100"/>
                <w:sz w:val="20"/>
              </w:rPr>
              <w:t>Invitalia S.p.A. peab olema sõlminud lõplike toetusesaajatega seaduslikud rahastamislepingud summas, mis on vajalik taaste- ja vastupidavusrahastu investeeringu 100 % kasutamiseks rahastusse (võttes arvesse haldustasusid).</w:t>
            </w:r>
          </w:p>
        </w:tc>
      </w:tr>
      <w:tr w:rsidR="0084326C" w:rsidRPr="00D90835" w14:paraId="4D29DFEC" w14:textId="77777777" w:rsidTr="00B62B71">
        <w:trPr>
          <w:trHeight w:val="309"/>
          <w:jc w:val="center"/>
        </w:trPr>
        <w:tc>
          <w:tcPr>
            <w:tcW w:w="992" w:type="dxa"/>
            <w:shd w:val="clear" w:color="auto" w:fill="C6EFCE"/>
            <w:noWrap/>
            <w:vAlign w:val="center"/>
          </w:tcPr>
          <w:p w14:paraId="7838DCB2" w14:textId="77777777" w:rsidR="0084326C" w:rsidRPr="005D68A0" w:rsidRDefault="0084326C" w:rsidP="001B0552">
            <w:pPr>
              <w:jc w:val="center"/>
              <w:rPr>
                <w:rFonts w:ascii="Arial Narrow" w:hAnsi="Arial Narrow"/>
                <w:noProof/>
                <w:color w:val="006100"/>
                <w:sz w:val="20"/>
              </w:rPr>
            </w:pPr>
            <w:r>
              <w:rPr>
                <w:rFonts w:ascii="Arial Narrow" w:hAnsi="Arial Narrow"/>
                <w:noProof/>
                <w:color w:val="006100"/>
                <w:sz w:val="20"/>
              </w:rPr>
              <w:t>M2C2–42A</w:t>
            </w:r>
          </w:p>
        </w:tc>
        <w:tc>
          <w:tcPr>
            <w:tcW w:w="1831" w:type="dxa"/>
            <w:shd w:val="clear" w:color="auto" w:fill="C6EFCE"/>
            <w:noWrap/>
            <w:vAlign w:val="center"/>
          </w:tcPr>
          <w:p w14:paraId="38779E69" w14:textId="77777777" w:rsidR="0084326C" w:rsidRPr="005D68A0" w:rsidRDefault="0084326C">
            <w:pPr>
              <w:jc w:val="both"/>
              <w:rPr>
                <w:rFonts w:ascii="Arial Narrow" w:hAnsi="Arial Narrow"/>
                <w:noProof/>
                <w:color w:val="006100"/>
                <w:sz w:val="20"/>
              </w:rPr>
            </w:pPr>
            <w:r>
              <w:rPr>
                <w:rFonts w:ascii="Arial Narrow" w:hAnsi="Arial Narrow"/>
                <w:noProof/>
                <w:color w:val="006100"/>
                <w:sz w:val="20"/>
              </w:rPr>
              <w:t>Investeering 5.4. Tegevusalustavate ettevõtete ja riskikapitali toetamine ökoloogilise ülemineku valdkonnas</w:t>
            </w:r>
          </w:p>
        </w:tc>
        <w:tc>
          <w:tcPr>
            <w:tcW w:w="900" w:type="dxa"/>
            <w:shd w:val="clear" w:color="auto" w:fill="C6EFCE"/>
            <w:noWrap/>
            <w:vAlign w:val="center"/>
          </w:tcPr>
          <w:p w14:paraId="600504D3" w14:textId="77777777" w:rsidR="0084326C" w:rsidRPr="005D68A0" w:rsidRDefault="0084326C">
            <w:pPr>
              <w:jc w:val="both"/>
              <w:rPr>
                <w:rFonts w:ascii="Arial Narrow" w:hAnsi="Arial Narrow"/>
                <w:noProof/>
                <w:color w:val="006100"/>
                <w:sz w:val="20"/>
              </w:rPr>
            </w:pPr>
            <w:r>
              <w:rPr>
                <w:rFonts w:ascii="Arial Narrow" w:hAnsi="Arial Narrow"/>
                <w:noProof/>
                <w:color w:val="006100"/>
                <w:sz w:val="20"/>
              </w:rPr>
              <w:t>Eesmärk</w:t>
            </w:r>
          </w:p>
        </w:tc>
        <w:tc>
          <w:tcPr>
            <w:tcW w:w="2345" w:type="dxa"/>
            <w:shd w:val="clear" w:color="auto" w:fill="C6EFCE"/>
            <w:noWrap/>
            <w:vAlign w:val="center"/>
          </w:tcPr>
          <w:p w14:paraId="3B96F4F5" w14:textId="77777777" w:rsidR="0084326C" w:rsidRPr="005D68A0" w:rsidRDefault="0084326C">
            <w:pPr>
              <w:jc w:val="both"/>
              <w:rPr>
                <w:rFonts w:ascii="Arial Narrow" w:hAnsi="Arial Narrow"/>
                <w:noProof/>
                <w:color w:val="006100"/>
                <w:sz w:val="20"/>
              </w:rPr>
            </w:pPr>
            <w:r>
              <w:rPr>
                <w:rFonts w:ascii="Arial Narrow" w:hAnsi="Arial Narrow"/>
                <w:noProof/>
                <w:color w:val="006100"/>
                <w:sz w:val="20"/>
              </w:rPr>
              <w:t>Ministeerium on viinud lõpule vahendite ülekandmise CDP riskikapitali SGRile</w:t>
            </w:r>
          </w:p>
        </w:tc>
        <w:tc>
          <w:tcPr>
            <w:tcW w:w="1876" w:type="dxa"/>
            <w:shd w:val="clear" w:color="auto" w:fill="C6EFCE"/>
            <w:noWrap/>
            <w:vAlign w:val="center"/>
          </w:tcPr>
          <w:p w14:paraId="294040D5"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Üleviimistunnistus</w:t>
            </w:r>
          </w:p>
        </w:tc>
        <w:tc>
          <w:tcPr>
            <w:tcW w:w="1417" w:type="dxa"/>
            <w:shd w:val="clear" w:color="auto" w:fill="C6EFCE"/>
            <w:noWrap/>
            <w:vAlign w:val="center"/>
          </w:tcPr>
          <w:p w14:paraId="2103FF73"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Ei kohaldata</w:t>
            </w:r>
          </w:p>
        </w:tc>
        <w:tc>
          <w:tcPr>
            <w:tcW w:w="1134" w:type="dxa"/>
            <w:shd w:val="clear" w:color="auto" w:fill="C6EFCE"/>
            <w:noWrap/>
            <w:vAlign w:val="center"/>
          </w:tcPr>
          <w:p w14:paraId="316BB0FA"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 xml:space="preserve"> Ei kohaldata</w:t>
            </w:r>
          </w:p>
        </w:tc>
        <w:tc>
          <w:tcPr>
            <w:tcW w:w="1210" w:type="dxa"/>
            <w:shd w:val="clear" w:color="auto" w:fill="C6EFCE"/>
            <w:noWrap/>
            <w:vAlign w:val="center"/>
          </w:tcPr>
          <w:p w14:paraId="0B712444"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Ei kohaldata</w:t>
            </w:r>
          </w:p>
        </w:tc>
        <w:tc>
          <w:tcPr>
            <w:tcW w:w="992" w:type="dxa"/>
            <w:shd w:val="clear" w:color="auto" w:fill="C6EFCE"/>
            <w:noWrap/>
            <w:vAlign w:val="center"/>
          </w:tcPr>
          <w:p w14:paraId="0E88F616"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4. kv</w:t>
            </w:r>
          </w:p>
        </w:tc>
        <w:tc>
          <w:tcPr>
            <w:tcW w:w="756" w:type="dxa"/>
            <w:shd w:val="clear" w:color="auto" w:fill="C6EFCE"/>
            <w:noWrap/>
            <w:vAlign w:val="center"/>
          </w:tcPr>
          <w:p w14:paraId="37555201"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2024</w:t>
            </w:r>
          </w:p>
        </w:tc>
        <w:tc>
          <w:tcPr>
            <w:tcW w:w="2793" w:type="dxa"/>
            <w:shd w:val="clear" w:color="auto" w:fill="C6EFCE"/>
            <w:noWrap/>
            <w:vAlign w:val="center"/>
          </w:tcPr>
          <w:p w14:paraId="5F37CA0D" w14:textId="37AF5435" w:rsidR="0084326C" w:rsidRPr="005D68A0" w:rsidRDefault="0084326C">
            <w:pPr>
              <w:spacing w:after="120"/>
              <w:jc w:val="both"/>
              <w:rPr>
                <w:rFonts w:ascii="Arial Narrow" w:hAnsi="Arial Narrow"/>
                <w:noProof/>
                <w:color w:val="006100"/>
                <w:sz w:val="20"/>
                <w:szCs w:val="20"/>
              </w:rPr>
            </w:pPr>
            <w:r>
              <w:rPr>
                <w:rFonts w:ascii="Arial Narrow" w:hAnsi="Arial Narrow"/>
                <w:noProof/>
                <w:color w:val="006100"/>
                <w:sz w:val="20"/>
              </w:rPr>
              <w:t>Itaalia kannab rahastu jaoks üle 250 000 000 eurot CDP riskikapitalile SGR.</w:t>
            </w:r>
          </w:p>
          <w:p w14:paraId="7A4F3ED1" w14:textId="77777777" w:rsidR="0084326C" w:rsidRPr="005D68A0" w:rsidRDefault="0084326C">
            <w:pPr>
              <w:rPr>
                <w:rFonts w:ascii="Arial Narrow" w:hAnsi="Arial Narrow"/>
                <w:noProof/>
                <w:sz w:val="20"/>
              </w:rPr>
            </w:pPr>
            <w:r>
              <w:rPr>
                <w:rFonts w:ascii="Arial Narrow" w:hAnsi="Arial Narrow"/>
                <w:noProof/>
                <w:color w:val="006100"/>
                <w:sz w:val="20"/>
              </w:rPr>
              <w:t>Eesmärgi rahuldavaks täitmiseks on vaja muuta ka Itaalia ja CDP riskikapitali SGRi vahelist rakenduslepingut ja rahastut käsitlevaid määrusi kooskõlas nõukogu rakendusotsuses sätestatud tingimustega.</w:t>
            </w:r>
          </w:p>
        </w:tc>
      </w:tr>
      <w:tr w:rsidR="0084326C" w:rsidRPr="00D90835" w14:paraId="11E44B73" w14:textId="77777777" w:rsidTr="00B62B71">
        <w:trPr>
          <w:trHeight w:val="309"/>
          <w:jc w:val="center"/>
        </w:trPr>
        <w:tc>
          <w:tcPr>
            <w:tcW w:w="992" w:type="dxa"/>
            <w:shd w:val="clear" w:color="auto" w:fill="C6EFCE"/>
            <w:noWrap/>
            <w:vAlign w:val="center"/>
          </w:tcPr>
          <w:p w14:paraId="5A802E49"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M2C2-43</w:t>
            </w:r>
          </w:p>
        </w:tc>
        <w:tc>
          <w:tcPr>
            <w:tcW w:w="1831" w:type="dxa"/>
            <w:shd w:val="clear" w:color="auto" w:fill="C6EFCE"/>
            <w:noWrap/>
            <w:vAlign w:val="center"/>
          </w:tcPr>
          <w:p w14:paraId="027C804A"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Investeering 5.4. Tegevusalustavate ettevõtete ja riskikapitali toetamine ökoloogilise ülemineku valdkonnas</w:t>
            </w:r>
          </w:p>
        </w:tc>
        <w:tc>
          <w:tcPr>
            <w:tcW w:w="900" w:type="dxa"/>
            <w:shd w:val="clear" w:color="auto" w:fill="C6EFCE"/>
            <w:noWrap/>
            <w:vAlign w:val="center"/>
          </w:tcPr>
          <w:p w14:paraId="7D523B38"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Siht</w:t>
            </w:r>
          </w:p>
        </w:tc>
        <w:tc>
          <w:tcPr>
            <w:tcW w:w="2345" w:type="dxa"/>
            <w:shd w:val="clear" w:color="auto" w:fill="C6EFCE"/>
            <w:noWrap/>
            <w:vAlign w:val="center"/>
          </w:tcPr>
          <w:p w14:paraId="56B6D738"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Riskikapitalifondide ja idufirmadega sõlmitud õiguslikud lepingud</w:t>
            </w:r>
          </w:p>
        </w:tc>
        <w:tc>
          <w:tcPr>
            <w:tcW w:w="1876" w:type="dxa"/>
            <w:shd w:val="clear" w:color="auto" w:fill="C6EFCE"/>
            <w:noWrap/>
            <w:vAlign w:val="center"/>
          </w:tcPr>
          <w:p w14:paraId="3F6B6446" w14:textId="77777777" w:rsidR="0084326C" w:rsidRPr="005D68A0" w:rsidRDefault="0084326C">
            <w:pPr>
              <w:jc w:val="center"/>
              <w:rPr>
                <w:rFonts w:ascii="Arial Narrow" w:hAnsi="Arial Narrow"/>
                <w:noProof/>
                <w:color w:val="006100"/>
                <w:sz w:val="20"/>
                <w:lang w:val="en-GB"/>
              </w:rPr>
            </w:pPr>
          </w:p>
        </w:tc>
        <w:tc>
          <w:tcPr>
            <w:tcW w:w="1417" w:type="dxa"/>
            <w:shd w:val="clear" w:color="auto" w:fill="C6EFCE"/>
            <w:noWrap/>
            <w:vAlign w:val="center"/>
          </w:tcPr>
          <w:p w14:paraId="15F29E9C"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eurodes</w:t>
            </w:r>
          </w:p>
        </w:tc>
        <w:tc>
          <w:tcPr>
            <w:tcW w:w="1134" w:type="dxa"/>
            <w:shd w:val="clear" w:color="auto" w:fill="C6EFCE"/>
            <w:noWrap/>
            <w:vAlign w:val="center"/>
          </w:tcPr>
          <w:p w14:paraId="17BB7D99"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0</w:t>
            </w:r>
          </w:p>
        </w:tc>
        <w:tc>
          <w:tcPr>
            <w:tcW w:w="1210" w:type="dxa"/>
            <w:shd w:val="clear" w:color="auto" w:fill="C6EFCE"/>
            <w:noWrap/>
            <w:vAlign w:val="center"/>
          </w:tcPr>
          <w:p w14:paraId="0ECE0F88"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100 %</w:t>
            </w:r>
          </w:p>
        </w:tc>
        <w:tc>
          <w:tcPr>
            <w:tcW w:w="992" w:type="dxa"/>
            <w:shd w:val="clear" w:color="auto" w:fill="C6EFCE"/>
            <w:noWrap/>
            <w:vAlign w:val="center"/>
          </w:tcPr>
          <w:p w14:paraId="123689AF"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 kv</w:t>
            </w:r>
          </w:p>
        </w:tc>
        <w:tc>
          <w:tcPr>
            <w:tcW w:w="756" w:type="dxa"/>
            <w:shd w:val="clear" w:color="auto" w:fill="C6EFCE"/>
            <w:noWrap/>
            <w:vAlign w:val="center"/>
          </w:tcPr>
          <w:p w14:paraId="514CB7AB"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2026</w:t>
            </w:r>
          </w:p>
        </w:tc>
        <w:tc>
          <w:tcPr>
            <w:tcW w:w="2793" w:type="dxa"/>
            <w:shd w:val="clear" w:color="auto" w:fill="C6EFCE"/>
            <w:noWrap/>
          </w:tcPr>
          <w:p w14:paraId="072F04B3" w14:textId="77777777" w:rsidR="0084326C" w:rsidRPr="005D68A0" w:rsidRDefault="0084326C">
            <w:pPr>
              <w:jc w:val="both"/>
              <w:rPr>
                <w:rFonts w:ascii="Arial Narrow" w:hAnsi="Arial Narrow"/>
                <w:noProof/>
                <w:color w:val="006100"/>
                <w:sz w:val="20"/>
                <w:szCs w:val="20"/>
              </w:rPr>
            </w:pPr>
            <w:r>
              <w:rPr>
                <w:rFonts w:ascii="Arial Narrow" w:hAnsi="Arial Narrow"/>
                <w:noProof/>
                <w:color w:val="006100"/>
                <w:sz w:val="20"/>
              </w:rPr>
              <w:t>Cassa Depositi e Prestiti Venture Capital peab olema sõlminud õiguslikud rahastamislepingud idufirmade, inkubatsiooni-/kiirendusprogrammide või riskikapitalifondidega summas, mis on vajalik selleks, et kasutada rahastusse 100 % (250 miljonit eurot) taaste- ja vastupidavusrahastu investeeringust (sealhulgas keskmine ülempiir 13 % haldustasudest ja GTFi kuludest fondi elutsükli jooksul ning mis hõlmavad ka eeltingimusi järgnevateks investeerimisvoorudeks, välja arvatud asjast huvitatud isikud, tulemustasud ning kõik kolmandate isikute vahenditega seotud kulud ja haldustasud).</w:t>
            </w:r>
          </w:p>
          <w:p w14:paraId="31D3F7E2" w14:textId="77777777" w:rsidR="0084326C" w:rsidRPr="00F33804" w:rsidRDefault="0084326C">
            <w:pPr>
              <w:jc w:val="both"/>
              <w:rPr>
                <w:rFonts w:ascii="Arial Narrow" w:hAnsi="Arial Narrow"/>
                <w:noProof/>
                <w:color w:val="006100"/>
                <w:sz w:val="20"/>
                <w:szCs w:val="20"/>
              </w:rPr>
            </w:pPr>
          </w:p>
          <w:p w14:paraId="2BD95D10" w14:textId="77777777" w:rsidR="0084326C" w:rsidRPr="005D68A0" w:rsidRDefault="0084326C">
            <w:pPr>
              <w:jc w:val="both"/>
              <w:rPr>
                <w:rFonts w:ascii="Arial Narrow" w:hAnsi="Arial Narrow"/>
                <w:noProof/>
                <w:color w:val="006100"/>
                <w:sz w:val="20"/>
                <w:szCs w:val="20"/>
              </w:rPr>
            </w:pPr>
            <w:r>
              <w:rPr>
                <w:rFonts w:ascii="Arial Narrow" w:hAnsi="Arial Narrow"/>
                <w:noProof/>
                <w:color w:val="006100"/>
                <w:sz w:val="20"/>
              </w:rPr>
              <w:t>Investeering jagatakse kaheks järgmiseks sekkumisreaks:</w:t>
            </w:r>
          </w:p>
          <w:p w14:paraId="4CD3FEFC" w14:textId="77777777" w:rsidR="0084326C" w:rsidRPr="005D68A0" w:rsidRDefault="0084326C">
            <w:pPr>
              <w:jc w:val="both"/>
              <w:rPr>
                <w:rFonts w:ascii="Arial Narrow" w:hAnsi="Arial Narrow"/>
                <w:noProof/>
                <w:color w:val="006100"/>
                <w:sz w:val="20"/>
                <w:szCs w:val="20"/>
                <w:lang w:val="en-GB"/>
              </w:rPr>
            </w:pPr>
          </w:p>
          <w:p w14:paraId="7BE9F105" w14:textId="77777777" w:rsidR="0084326C" w:rsidRPr="005D68A0" w:rsidRDefault="0084326C">
            <w:pPr>
              <w:jc w:val="both"/>
              <w:rPr>
                <w:rFonts w:ascii="Arial Narrow" w:hAnsi="Arial Narrow"/>
                <w:noProof/>
                <w:color w:val="006100"/>
                <w:sz w:val="20"/>
                <w:szCs w:val="20"/>
              </w:rPr>
            </w:pPr>
            <w:r>
              <w:rPr>
                <w:rFonts w:ascii="Arial Narrow" w:hAnsi="Arial Narrow"/>
                <w:noProof/>
                <w:color w:val="006100"/>
                <w:sz w:val="20"/>
              </w:rPr>
              <w:t>– Otseinvesteeringud.</w:t>
            </w:r>
          </w:p>
          <w:p w14:paraId="58D04719" w14:textId="77777777" w:rsidR="0084326C" w:rsidRPr="005D68A0" w:rsidRDefault="0084326C">
            <w:pPr>
              <w:jc w:val="both"/>
              <w:rPr>
                <w:rFonts w:ascii="Arial Narrow" w:hAnsi="Arial Narrow"/>
                <w:noProof/>
                <w:color w:val="006100"/>
                <w:sz w:val="20"/>
                <w:szCs w:val="20"/>
                <w:lang w:val="en-GB"/>
              </w:rPr>
            </w:pPr>
          </w:p>
          <w:p w14:paraId="494474B4" w14:textId="77777777" w:rsidR="0084326C" w:rsidRPr="005D68A0" w:rsidRDefault="0084326C">
            <w:pPr>
              <w:jc w:val="both"/>
              <w:rPr>
                <w:rFonts w:ascii="Arial Narrow" w:hAnsi="Arial Narrow"/>
                <w:noProof/>
                <w:color w:val="006100"/>
                <w:sz w:val="20"/>
                <w:szCs w:val="20"/>
              </w:rPr>
            </w:pPr>
            <w:r>
              <w:rPr>
                <w:rFonts w:ascii="Arial Narrow" w:hAnsi="Arial Narrow"/>
                <w:noProof/>
                <w:color w:val="006100"/>
                <w:sz w:val="20"/>
              </w:rPr>
              <w:t>– Kaudsed investeeringud.</w:t>
            </w:r>
          </w:p>
          <w:p w14:paraId="623E096F" w14:textId="77777777" w:rsidR="0084326C" w:rsidRPr="005D68A0" w:rsidRDefault="0084326C">
            <w:pPr>
              <w:jc w:val="both"/>
              <w:rPr>
                <w:rFonts w:ascii="Arial Narrow" w:hAnsi="Arial Narrow"/>
                <w:noProof/>
                <w:color w:val="006100"/>
                <w:sz w:val="20"/>
                <w:szCs w:val="20"/>
                <w:lang w:val="en-GB"/>
              </w:rPr>
            </w:pPr>
          </w:p>
          <w:p w14:paraId="00FCE4AF" w14:textId="77777777" w:rsidR="0084326C" w:rsidRPr="005D68A0" w:rsidRDefault="0084326C">
            <w:pPr>
              <w:jc w:val="both"/>
              <w:rPr>
                <w:rFonts w:ascii="Arial Narrow" w:hAnsi="Arial Narrow"/>
                <w:noProof/>
                <w:color w:val="006100"/>
                <w:sz w:val="20"/>
                <w:szCs w:val="20"/>
              </w:rPr>
            </w:pPr>
            <w:r>
              <w:rPr>
                <w:rFonts w:ascii="Arial Narrow" w:hAnsi="Arial Narrow"/>
                <w:noProof/>
                <w:color w:val="006100"/>
                <w:sz w:val="20"/>
              </w:rPr>
              <w:t xml:space="preserve">Riskikapitalifondidesse tehtavate kaudsete investeeringute puhul peab Cassa Depositi e Prestiti Venture Capital olema sõlminud riskikapitalifondidega seaduslikud rahastamislepingud summas, mis on vajalik ligikaudu 60 % taaste- ja vastupidavusrahastu investeeringute soovituslikuks kasutamiseks rahastusse (välja arvatud haldustasud ja GTFi kulud fondi elutsükli jooksul). </w:t>
            </w:r>
          </w:p>
          <w:p w14:paraId="00DDBCA2" w14:textId="77777777" w:rsidR="0084326C" w:rsidRPr="005D68A0" w:rsidRDefault="0084326C">
            <w:pPr>
              <w:jc w:val="both"/>
              <w:rPr>
                <w:rFonts w:ascii="Arial Narrow" w:hAnsi="Arial Narrow"/>
                <w:noProof/>
                <w:color w:val="006100"/>
                <w:sz w:val="20"/>
                <w:szCs w:val="20"/>
                <w:lang w:val="en-GB"/>
              </w:rPr>
            </w:pPr>
          </w:p>
          <w:p w14:paraId="559A4906" w14:textId="77777777" w:rsidR="0084326C" w:rsidRPr="005D68A0" w:rsidRDefault="0084326C">
            <w:pPr>
              <w:jc w:val="both"/>
              <w:rPr>
                <w:rFonts w:ascii="Arial Narrow" w:hAnsi="Arial Narrow"/>
                <w:noProof/>
                <w:color w:val="006100"/>
                <w:sz w:val="20"/>
                <w:szCs w:val="20"/>
              </w:rPr>
            </w:pPr>
            <w:r>
              <w:rPr>
                <w:rFonts w:ascii="Arial Narrow" w:hAnsi="Arial Narrow"/>
                <w:noProof/>
                <w:color w:val="006100"/>
                <w:sz w:val="20"/>
              </w:rPr>
              <w:t>Idufirmadesse tehtavate kaudsete investeeringute puhul peavad riskikapitalifondidega sõlmitud seaduslikud rahastamislepingud sisaldama siduvat kohustust saavutada kasutatud kapitali kumulatiivne võimendav mõju nii fondide tasandil kui ka idufirmade tasandil vähemalt 1x1 fondi kogu eluea jooksul.</w:t>
            </w:r>
          </w:p>
          <w:p w14:paraId="1AF05D09" w14:textId="77777777" w:rsidR="0084326C" w:rsidRPr="005D68A0" w:rsidRDefault="0084326C">
            <w:pPr>
              <w:jc w:val="both"/>
              <w:rPr>
                <w:rFonts w:ascii="Arial Narrow" w:hAnsi="Arial Narrow"/>
                <w:noProof/>
                <w:color w:val="006100"/>
                <w:sz w:val="20"/>
                <w:szCs w:val="20"/>
                <w:lang w:val="en-GB"/>
              </w:rPr>
            </w:pPr>
          </w:p>
          <w:p w14:paraId="122DD214" w14:textId="77777777" w:rsidR="0084326C" w:rsidRPr="005D68A0" w:rsidRDefault="0084326C">
            <w:pPr>
              <w:jc w:val="both"/>
              <w:rPr>
                <w:rFonts w:ascii="Arial Narrow" w:hAnsi="Arial Narrow"/>
                <w:noProof/>
                <w:color w:val="006100"/>
                <w:sz w:val="20"/>
                <w:szCs w:val="20"/>
              </w:rPr>
            </w:pPr>
            <w:r>
              <w:rPr>
                <w:rFonts w:ascii="Arial Narrow" w:hAnsi="Arial Narrow"/>
                <w:noProof/>
                <w:color w:val="006100"/>
                <w:sz w:val="20"/>
              </w:rPr>
              <w:t>Otseinvesteeringute puhul peab CDP riskikapital olema sõlminud idu-/inkubatsiooni-/kiirendusprogrammidega seaduslikud rahastamislepingud summas, mis on vajalik ligikaudu 40 % taaste- ja vastupidavusrahastu investeeringutest (250 miljonit eurot) kasutamiseks rahastusse (sh haldustasud ja GTFi kulud fondi elutsükli jooksul).</w:t>
            </w:r>
          </w:p>
          <w:p w14:paraId="02E0F866" w14:textId="77777777" w:rsidR="0084326C" w:rsidRPr="005D68A0" w:rsidRDefault="0084326C">
            <w:pPr>
              <w:jc w:val="both"/>
              <w:rPr>
                <w:rFonts w:ascii="Arial Narrow" w:hAnsi="Arial Narrow"/>
                <w:noProof/>
                <w:color w:val="006100"/>
                <w:sz w:val="20"/>
                <w:szCs w:val="20"/>
              </w:rPr>
            </w:pPr>
            <w:r>
              <w:rPr>
                <w:rFonts w:ascii="Arial Narrow" w:hAnsi="Arial Narrow"/>
                <w:noProof/>
                <w:color w:val="006100"/>
                <w:sz w:val="20"/>
              </w:rPr>
              <w:t>Otseinvesteeringute puhul võib idufirmadega sõlmitav õiguslik rahastamisleping sisaldada eeltingimusi järgnevateks investeerimisvoorudeks (st tingimusi Serie B või Serie C rahastamiseks).</w:t>
            </w:r>
          </w:p>
          <w:p w14:paraId="0BA61E33" w14:textId="77777777" w:rsidR="0084326C" w:rsidRPr="00F33804" w:rsidRDefault="0084326C">
            <w:pPr>
              <w:jc w:val="both"/>
              <w:rPr>
                <w:rFonts w:ascii="Arial Narrow" w:hAnsi="Arial Narrow"/>
                <w:noProof/>
                <w:color w:val="006100"/>
                <w:sz w:val="20"/>
                <w:szCs w:val="20"/>
              </w:rPr>
            </w:pPr>
          </w:p>
          <w:p w14:paraId="7EE14665" w14:textId="77777777" w:rsidR="0084326C" w:rsidRPr="005D68A0" w:rsidRDefault="0084326C">
            <w:pPr>
              <w:jc w:val="both"/>
              <w:rPr>
                <w:rFonts w:ascii="Arial Narrow" w:hAnsi="Arial Narrow"/>
                <w:noProof/>
                <w:color w:val="006100"/>
                <w:sz w:val="20"/>
                <w:szCs w:val="20"/>
              </w:rPr>
            </w:pPr>
            <w:r>
              <w:rPr>
                <w:rFonts w:ascii="Arial Narrow" w:hAnsi="Arial Narrow"/>
                <w:noProof/>
                <w:color w:val="006100"/>
                <w:sz w:val="20"/>
              </w:rPr>
              <w:t xml:space="preserve">Eesmärgi saavutamisel võetakse arvesse ka käesoleva meetme raames võetud kohustusi, mis on võetud enne rakenduslepingu investeerimispoliitika muudatuste jõustumist ja kooskõlas eesmärgiga M2C2–42 varasema investeerimispoliitika raames sõlmitud lepinguga. </w:t>
            </w:r>
          </w:p>
          <w:p w14:paraId="2356868C" w14:textId="77777777" w:rsidR="0084326C" w:rsidRPr="005D68A0" w:rsidRDefault="0084326C">
            <w:pPr>
              <w:jc w:val="both"/>
              <w:rPr>
                <w:rFonts w:ascii="Arial Narrow" w:hAnsi="Arial Narrow"/>
                <w:noProof/>
                <w:color w:val="006100"/>
                <w:sz w:val="20"/>
                <w:szCs w:val="20"/>
              </w:rPr>
            </w:pPr>
            <w:r>
              <w:rPr>
                <w:rFonts w:ascii="Arial Narrow" w:hAnsi="Arial Narrow"/>
                <w:noProof/>
                <w:color w:val="006100"/>
                <w:sz w:val="20"/>
              </w:rPr>
              <w:t xml:space="preserve">Alates nõukogu rakendusotsuse jõustumise kuupäevast peaksid uued kohustused hakkama järgima uut investeerimispoliitikat vastavalt uuele nõukogu rakendusotsusele. </w:t>
            </w:r>
          </w:p>
          <w:p w14:paraId="497468C6" w14:textId="77777777" w:rsidR="0084326C" w:rsidRPr="00F33804" w:rsidRDefault="0084326C">
            <w:pPr>
              <w:rPr>
                <w:rFonts w:ascii="Arial Narrow" w:hAnsi="Arial Narrow"/>
                <w:noProof/>
                <w:sz w:val="20"/>
              </w:rPr>
            </w:pPr>
          </w:p>
        </w:tc>
      </w:tr>
      <w:tr w:rsidR="0084326C" w:rsidRPr="00D90835" w14:paraId="3FE58104" w14:textId="77777777" w:rsidTr="00B62B71">
        <w:trPr>
          <w:trHeight w:val="309"/>
          <w:jc w:val="center"/>
        </w:trPr>
        <w:tc>
          <w:tcPr>
            <w:tcW w:w="992" w:type="dxa"/>
            <w:shd w:val="clear" w:color="auto" w:fill="C6EFCE"/>
            <w:noWrap/>
            <w:vAlign w:val="center"/>
            <w:hideMark/>
          </w:tcPr>
          <w:p w14:paraId="7E2F343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M2C2-44</w:t>
            </w:r>
          </w:p>
        </w:tc>
        <w:tc>
          <w:tcPr>
            <w:tcW w:w="1831" w:type="dxa"/>
            <w:shd w:val="clear" w:color="auto" w:fill="C6EFCE"/>
            <w:noWrap/>
            <w:vAlign w:val="center"/>
            <w:hideMark/>
          </w:tcPr>
          <w:p w14:paraId="73F43AF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1.1. Põllumajanduslike vulkaaniliste süsteemide arendamine</w:t>
            </w:r>
          </w:p>
        </w:tc>
        <w:tc>
          <w:tcPr>
            <w:tcW w:w="900" w:type="dxa"/>
            <w:shd w:val="clear" w:color="auto" w:fill="C6EFCE"/>
            <w:noWrap/>
            <w:vAlign w:val="center"/>
            <w:hideMark/>
          </w:tcPr>
          <w:p w14:paraId="7B85F24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2345" w:type="dxa"/>
            <w:shd w:val="clear" w:color="auto" w:fill="C6EFCE"/>
            <w:noWrap/>
            <w:vAlign w:val="center"/>
            <w:hideMark/>
          </w:tcPr>
          <w:p w14:paraId="5CADBAE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Kõigi riigihankelepingute sõlmimine päikesepaneelide paigaldamiseks põllumajanduslikesse vulkaanilistesse süsteemidesse</w:t>
            </w:r>
          </w:p>
        </w:tc>
        <w:tc>
          <w:tcPr>
            <w:tcW w:w="1876" w:type="dxa"/>
            <w:shd w:val="clear" w:color="auto" w:fill="C6EFCE"/>
            <w:noWrap/>
            <w:vAlign w:val="center"/>
            <w:hideMark/>
          </w:tcPr>
          <w:p w14:paraId="0FE83A0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Teade kõigi riigihankelepingute sõlmimise kohta päikesepaneelide paigaldamiseks põllumajanduslikesse elektrisüsteemidesse </w:t>
            </w:r>
          </w:p>
        </w:tc>
        <w:tc>
          <w:tcPr>
            <w:tcW w:w="1417" w:type="dxa"/>
            <w:shd w:val="clear" w:color="auto" w:fill="C6EFCE"/>
            <w:noWrap/>
            <w:vAlign w:val="center"/>
            <w:hideMark/>
          </w:tcPr>
          <w:p w14:paraId="5B0655D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hideMark/>
          </w:tcPr>
          <w:p w14:paraId="1D18D1C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210" w:type="dxa"/>
            <w:shd w:val="clear" w:color="auto" w:fill="C6EFCE"/>
            <w:noWrap/>
            <w:vAlign w:val="center"/>
            <w:hideMark/>
          </w:tcPr>
          <w:p w14:paraId="5C34BEF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992" w:type="dxa"/>
            <w:shd w:val="clear" w:color="auto" w:fill="C6EFCE"/>
            <w:noWrap/>
            <w:vAlign w:val="center"/>
            <w:hideMark/>
          </w:tcPr>
          <w:p w14:paraId="6E8F1DB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756" w:type="dxa"/>
            <w:shd w:val="clear" w:color="auto" w:fill="C6EFCE"/>
            <w:noWrap/>
            <w:vAlign w:val="center"/>
            <w:hideMark/>
          </w:tcPr>
          <w:p w14:paraId="0373C55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2024</w:t>
            </w:r>
          </w:p>
        </w:tc>
        <w:tc>
          <w:tcPr>
            <w:tcW w:w="2793" w:type="dxa"/>
            <w:shd w:val="clear" w:color="auto" w:fill="C6EFCE"/>
            <w:noWrap/>
            <w:vAlign w:val="center"/>
            <w:hideMark/>
          </w:tcPr>
          <w:p w14:paraId="0B66FFD1"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Teade kõigi riigihankelepingute sõlmimise kohta päikesepaneelide ja mõõtevahendite paigaldamiseks põllumajanduslikesse vulkaanilistesse süsteemidesse</w:t>
            </w:r>
          </w:p>
          <w:p w14:paraId="09709A8B" w14:textId="77777777" w:rsidR="0084326C" w:rsidRPr="005D68A0" w:rsidRDefault="0084326C">
            <w:pPr>
              <w:rPr>
                <w:rFonts w:ascii="Arial Narrow" w:hAnsi="Arial Narrow"/>
                <w:noProof/>
                <w:sz w:val="20"/>
                <w:szCs w:val="20"/>
              </w:rPr>
            </w:pPr>
            <w:r>
              <w:rPr>
                <w:rFonts w:ascii="Arial Narrow" w:hAnsi="Arial Narrow"/>
                <w:noProof/>
                <w:color w:val="006100"/>
                <w:sz w:val="20"/>
              </w:rPr>
              <w:t>Katselist laadi agrovolatiilsete süsteemide installeeritud võimsus peaks innustama innovaatiliste lahenduste väljatöötamist maapealsete seadmete jaoks, kus on võimalik koos kasutada mitut maakasutust, luues konkureerivaid eeliseid. Jaamade kasutuselevõtmine registreeritakse riiklikus Gaudì süsteemis (tootmisrajatiste register), mis annab vaieldamatuid tõendeid eesmärkide saavutamise kohta.</w:t>
            </w:r>
          </w:p>
        </w:tc>
      </w:tr>
      <w:tr w:rsidR="0084326C" w:rsidRPr="00D90835" w14:paraId="6D6BE188" w14:textId="77777777" w:rsidTr="00B62B71">
        <w:trPr>
          <w:trHeight w:val="309"/>
          <w:jc w:val="center"/>
        </w:trPr>
        <w:tc>
          <w:tcPr>
            <w:tcW w:w="992" w:type="dxa"/>
            <w:shd w:val="clear" w:color="auto" w:fill="C6EFCE"/>
            <w:noWrap/>
            <w:vAlign w:val="center"/>
            <w:hideMark/>
          </w:tcPr>
          <w:p w14:paraId="62934AF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M2C2-45</w:t>
            </w:r>
          </w:p>
        </w:tc>
        <w:tc>
          <w:tcPr>
            <w:tcW w:w="1831" w:type="dxa"/>
            <w:shd w:val="clear" w:color="auto" w:fill="C6EFCE"/>
            <w:noWrap/>
            <w:vAlign w:val="center"/>
            <w:hideMark/>
          </w:tcPr>
          <w:p w14:paraId="47B0081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1.1. Põllumajanduslike vulkaaniliste süsteemide arendamine</w:t>
            </w:r>
          </w:p>
        </w:tc>
        <w:tc>
          <w:tcPr>
            <w:tcW w:w="900" w:type="dxa"/>
            <w:shd w:val="clear" w:color="auto" w:fill="C6EFCE"/>
            <w:noWrap/>
            <w:vAlign w:val="center"/>
            <w:hideMark/>
          </w:tcPr>
          <w:p w14:paraId="4733988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2345" w:type="dxa"/>
            <w:shd w:val="clear" w:color="auto" w:fill="C6EFCE"/>
            <w:noWrap/>
            <w:vAlign w:val="center"/>
            <w:hideMark/>
          </w:tcPr>
          <w:p w14:paraId="216F26A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Fotogalvaaniliste päikesepaneelide paigaldamine põllumajanduslikesse vulkaanilistesse süsteemidesse </w:t>
            </w:r>
          </w:p>
        </w:tc>
        <w:tc>
          <w:tcPr>
            <w:tcW w:w="1876" w:type="dxa"/>
            <w:shd w:val="clear" w:color="auto" w:fill="C6EFCE"/>
            <w:noWrap/>
            <w:vAlign w:val="center"/>
            <w:hideMark/>
          </w:tcPr>
          <w:p w14:paraId="402B4DB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417" w:type="dxa"/>
            <w:shd w:val="clear" w:color="auto" w:fill="C6EFCE"/>
            <w:noWrap/>
            <w:vAlign w:val="center"/>
            <w:hideMark/>
          </w:tcPr>
          <w:p w14:paraId="5851D01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MW</w:t>
            </w:r>
          </w:p>
        </w:tc>
        <w:tc>
          <w:tcPr>
            <w:tcW w:w="1134" w:type="dxa"/>
            <w:shd w:val="clear" w:color="auto" w:fill="C6EFCE"/>
            <w:noWrap/>
            <w:vAlign w:val="center"/>
            <w:hideMark/>
          </w:tcPr>
          <w:p w14:paraId="55A8849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1210" w:type="dxa"/>
            <w:shd w:val="clear" w:color="auto" w:fill="C6EFCE"/>
            <w:noWrap/>
            <w:vAlign w:val="center"/>
            <w:hideMark/>
          </w:tcPr>
          <w:p w14:paraId="3CF3F305" w14:textId="77777777" w:rsidR="0084326C" w:rsidRPr="005D68A0" w:rsidRDefault="0084326C">
            <w:pPr>
              <w:jc w:val="center"/>
              <w:rPr>
                <w:rFonts w:ascii="Arial Narrow" w:hAnsi="Arial Narrow"/>
                <w:noProof/>
                <w:sz w:val="20"/>
                <w:szCs w:val="20"/>
              </w:rPr>
            </w:pPr>
            <w:r>
              <w:rPr>
                <w:rFonts w:ascii="Arial Narrow" w:hAnsi="Arial Narrow"/>
                <w:noProof/>
                <w:color w:val="006100"/>
                <w:sz w:val="20"/>
              </w:rPr>
              <w:t>900</w:t>
            </w:r>
          </w:p>
        </w:tc>
        <w:tc>
          <w:tcPr>
            <w:tcW w:w="992" w:type="dxa"/>
            <w:shd w:val="clear" w:color="auto" w:fill="C6EFCE"/>
            <w:noWrap/>
            <w:vAlign w:val="center"/>
            <w:hideMark/>
          </w:tcPr>
          <w:p w14:paraId="75BECFF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756" w:type="dxa"/>
            <w:shd w:val="clear" w:color="auto" w:fill="C6EFCE"/>
            <w:noWrap/>
            <w:vAlign w:val="center"/>
            <w:hideMark/>
          </w:tcPr>
          <w:p w14:paraId="343C5B8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2793" w:type="dxa"/>
            <w:shd w:val="clear" w:color="auto" w:fill="C6EFCE"/>
            <w:noWrap/>
            <w:vAlign w:val="center"/>
            <w:hideMark/>
          </w:tcPr>
          <w:p w14:paraId="0A90BB3E"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Fotogalvaaniliste päikesepaneelide paigaldamine agroelektrilistesse süsteemidesse võimsusega vähemalt 900 MW. </w:t>
            </w:r>
          </w:p>
        </w:tc>
      </w:tr>
      <w:tr w:rsidR="0084326C" w:rsidRPr="00D90835" w14:paraId="2C8CE195" w14:textId="77777777" w:rsidTr="00B62B71">
        <w:trPr>
          <w:trHeight w:val="309"/>
          <w:jc w:val="center"/>
        </w:trPr>
        <w:tc>
          <w:tcPr>
            <w:tcW w:w="992" w:type="dxa"/>
            <w:shd w:val="clear" w:color="auto" w:fill="C6EFCE"/>
            <w:noWrap/>
            <w:vAlign w:val="center"/>
            <w:hideMark/>
          </w:tcPr>
          <w:p w14:paraId="5EB81E7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M2C2-46</w:t>
            </w:r>
          </w:p>
        </w:tc>
        <w:tc>
          <w:tcPr>
            <w:tcW w:w="1831" w:type="dxa"/>
            <w:shd w:val="clear" w:color="auto" w:fill="C6EFCE"/>
            <w:noWrap/>
            <w:vAlign w:val="center"/>
            <w:hideMark/>
          </w:tcPr>
          <w:p w14:paraId="587558A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1.2. Taastuvate energiaallikate edendamine energiakogukondades ja koos omatarbeks toodetud taastuvenergia tarbijatega</w:t>
            </w:r>
          </w:p>
        </w:tc>
        <w:tc>
          <w:tcPr>
            <w:tcW w:w="900" w:type="dxa"/>
            <w:shd w:val="clear" w:color="auto" w:fill="C6EFCE"/>
            <w:noWrap/>
            <w:vAlign w:val="center"/>
            <w:hideMark/>
          </w:tcPr>
          <w:p w14:paraId="28D7CD7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2345" w:type="dxa"/>
            <w:shd w:val="clear" w:color="auto" w:fill="C6EFCE"/>
            <w:noWrap/>
            <w:vAlign w:val="center"/>
            <w:hideMark/>
          </w:tcPr>
          <w:p w14:paraId="79F17E2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Kõikide riigihankelepingute sõlmimine toetuste andmiseks sekkumiste rakendamiseks energiakogukondades</w:t>
            </w:r>
          </w:p>
        </w:tc>
        <w:tc>
          <w:tcPr>
            <w:tcW w:w="1876" w:type="dxa"/>
            <w:shd w:val="clear" w:color="auto" w:fill="C6EFCE"/>
            <w:noWrap/>
            <w:vAlign w:val="center"/>
            <w:hideMark/>
          </w:tcPr>
          <w:p w14:paraId="4080B18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Kõikide energiakogukondadele suunatud sekkumiste rakendamiseks sõlmitud riigihankelepingute sõlmimisest teatamine </w:t>
            </w:r>
          </w:p>
        </w:tc>
        <w:tc>
          <w:tcPr>
            <w:tcW w:w="1417" w:type="dxa"/>
            <w:shd w:val="clear" w:color="auto" w:fill="C6EFCE"/>
            <w:noWrap/>
            <w:vAlign w:val="center"/>
            <w:hideMark/>
          </w:tcPr>
          <w:p w14:paraId="24272D2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hideMark/>
          </w:tcPr>
          <w:p w14:paraId="0DFB47D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210" w:type="dxa"/>
            <w:shd w:val="clear" w:color="auto" w:fill="C6EFCE"/>
            <w:noWrap/>
            <w:vAlign w:val="center"/>
            <w:hideMark/>
          </w:tcPr>
          <w:p w14:paraId="7BFF0E4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992" w:type="dxa"/>
            <w:shd w:val="clear" w:color="auto" w:fill="C6EFCE"/>
            <w:noWrap/>
            <w:vAlign w:val="center"/>
            <w:hideMark/>
          </w:tcPr>
          <w:p w14:paraId="02D4264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756" w:type="dxa"/>
            <w:shd w:val="clear" w:color="auto" w:fill="C6EFCE"/>
            <w:noWrap/>
            <w:vAlign w:val="center"/>
            <w:hideMark/>
          </w:tcPr>
          <w:p w14:paraId="1FCCE26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2025 </w:t>
            </w:r>
          </w:p>
        </w:tc>
        <w:tc>
          <w:tcPr>
            <w:tcW w:w="2793" w:type="dxa"/>
            <w:shd w:val="clear" w:color="auto" w:fill="C6EFCE"/>
            <w:noWrap/>
            <w:vAlign w:val="center"/>
            <w:hideMark/>
          </w:tcPr>
          <w:p w14:paraId="12178D1A"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Lepingute allkirjastamine toetuste andmiseks sekkumiste rakendamiseks energiakogukondadele</w:t>
            </w:r>
          </w:p>
        </w:tc>
      </w:tr>
      <w:tr w:rsidR="0084326C" w:rsidRPr="00D90835" w14:paraId="456250AF" w14:textId="77777777" w:rsidTr="00B62B71">
        <w:trPr>
          <w:trHeight w:val="309"/>
          <w:jc w:val="center"/>
        </w:trPr>
        <w:tc>
          <w:tcPr>
            <w:tcW w:w="992" w:type="dxa"/>
            <w:shd w:val="clear" w:color="auto" w:fill="C6EFCE"/>
            <w:noWrap/>
            <w:vAlign w:val="center"/>
            <w:hideMark/>
          </w:tcPr>
          <w:p w14:paraId="33B6E16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M2C2-47</w:t>
            </w:r>
          </w:p>
        </w:tc>
        <w:tc>
          <w:tcPr>
            <w:tcW w:w="1831" w:type="dxa"/>
            <w:shd w:val="clear" w:color="auto" w:fill="C6EFCE"/>
            <w:noWrap/>
            <w:vAlign w:val="center"/>
            <w:hideMark/>
          </w:tcPr>
          <w:p w14:paraId="09F10E5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1.2. Taastuvenergia edendamine energiakogukondades ja koos omatarbeks toodetud taastuvenergia tarbijatega</w:t>
            </w:r>
          </w:p>
        </w:tc>
        <w:tc>
          <w:tcPr>
            <w:tcW w:w="900" w:type="dxa"/>
            <w:shd w:val="clear" w:color="auto" w:fill="C6EFCE"/>
            <w:noWrap/>
            <w:vAlign w:val="center"/>
            <w:hideMark/>
          </w:tcPr>
          <w:p w14:paraId="7FBF2F9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2345" w:type="dxa"/>
            <w:shd w:val="clear" w:color="auto" w:fill="C6EFCE"/>
            <w:noWrap/>
            <w:vAlign w:val="center"/>
            <w:hideMark/>
          </w:tcPr>
          <w:p w14:paraId="6491787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Taastuvenergia tootmine energiakogukondades ja ühiselt tegutsevad omatarbeks toodetud taastuvenergia tarbijad</w:t>
            </w:r>
          </w:p>
        </w:tc>
        <w:tc>
          <w:tcPr>
            <w:tcW w:w="1876" w:type="dxa"/>
            <w:shd w:val="clear" w:color="auto" w:fill="C6EFCE"/>
            <w:noWrap/>
            <w:vAlign w:val="center"/>
            <w:hideMark/>
          </w:tcPr>
          <w:p w14:paraId="3BC83BF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417" w:type="dxa"/>
            <w:shd w:val="clear" w:color="auto" w:fill="C6EFCE"/>
            <w:noWrap/>
            <w:vAlign w:val="center"/>
            <w:hideMark/>
          </w:tcPr>
          <w:p w14:paraId="0BB0289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1134" w:type="dxa"/>
            <w:shd w:val="clear" w:color="auto" w:fill="C6EFCE"/>
            <w:noWrap/>
            <w:vAlign w:val="center"/>
            <w:hideMark/>
          </w:tcPr>
          <w:p w14:paraId="001166B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1210" w:type="dxa"/>
            <w:shd w:val="clear" w:color="auto" w:fill="C6EFCE"/>
            <w:noWrap/>
            <w:vAlign w:val="center"/>
            <w:hideMark/>
          </w:tcPr>
          <w:p w14:paraId="369D8598" w14:textId="7EC75C40"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1 730</w:t>
            </w:r>
          </w:p>
        </w:tc>
        <w:tc>
          <w:tcPr>
            <w:tcW w:w="992" w:type="dxa"/>
            <w:shd w:val="clear" w:color="auto" w:fill="C6EFCE"/>
            <w:noWrap/>
            <w:vAlign w:val="center"/>
            <w:hideMark/>
          </w:tcPr>
          <w:p w14:paraId="541AE44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756" w:type="dxa"/>
            <w:shd w:val="clear" w:color="auto" w:fill="C6EFCE"/>
            <w:noWrap/>
            <w:vAlign w:val="center"/>
            <w:hideMark/>
          </w:tcPr>
          <w:p w14:paraId="26B4208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2793" w:type="dxa"/>
            <w:shd w:val="clear" w:color="auto" w:fill="C6EFCE"/>
            <w:noWrap/>
            <w:vAlign w:val="center"/>
            <w:hideMark/>
          </w:tcPr>
          <w:p w14:paraId="6751BA3B" w14:textId="363287D2" w:rsidR="0084326C" w:rsidRPr="005D68A0" w:rsidRDefault="0084326C">
            <w:pPr>
              <w:rPr>
                <w:rFonts w:ascii="Arial Narrow" w:hAnsi="Arial Narrow"/>
                <w:noProof/>
                <w:color w:val="006100"/>
                <w:sz w:val="20"/>
                <w:szCs w:val="20"/>
              </w:rPr>
            </w:pPr>
            <w:r>
              <w:rPr>
                <w:rFonts w:ascii="Arial Narrow" w:hAnsi="Arial Narrow"/>
                <w:noProof/>
                <w:color w:val="006100"/>
                <w:sz w:val="20"/>
              </w:rPr>
              <w:t>Toetada vähem kui 5 000 elanikuga omavalitsuste energiakogukondi, et tagada vähemalt 1 730 MW suurune käitis taastuvatest energiaallikatest. Selle meetmega ei toetata vesinikualast tegevust, mille tulemusel kasvuhoonegaaside heide ületab 3 CO</w:t>
            </w:r>
            <w:r w:rsidRPr="0014554E">
              <w:rPr>
                <w:rFonts w:ascii="Arial Narrow" w:hAnsi="Arial Narrow"/>
                <w:noProof/>
                <w:color w:val="006100"/>
                <w:sz w:val="20"/>
                <w:vertAlign w:val="subscript"/>
              </w:rPr>
              <w:t>2</w:t>
            </w:r>
            <w:r>
              <w:rPr>
                <w:rFonts w:ascii="Arial Narrow" w:hAnsi="Arial Narrow"/>
                <w:noProof/>
                <w:color w:val="006100"/>
                <w:sz w:val="20"/>
              </w:rPr>
              <w:t xml:space="preserve"> ekvivalenttonni/tH2.</w:t>
            </w:r>
          </w:p>
        </w:tc>
      </w:tr>
      <w:tr w:rsidR="0084326C" w:rsidRPr="00D90835" w14:paraId="0782B41F" w14:textId="77777777" w:rsidTr="00B62B71">
        <w:trPr>
          <w:trHeight w:val="309"/>
          <w:jc w:val="center"/>
        </w:trPr>
        <w:tc>
          <w:tcPr>
            <w:tcW w:w="992" w:type="dxa"/>
            <w:shd w:val="clear" w:color="auto" w:fill="C6EFCE"/>
            <w:noWrap/>
            <w:vAlign w:val="center"/>
          </w:tcPr>
          <w:p w14:paraId="67BE2EF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M2C2-48</w:t>
            </w:r>
          </w:p>
        </w:tc>
        <w:tc>
          <w:tcPr>
            <w:tcW w:w="1831" w:type="dxa"/>
            <w:shd w:val="clear" w:color="auto" w:fill="C6EFCE"/>
            <w:noWrap/>
            <w:vAlign w:val="center"/>
          </w:tcPr>
          <w:p w14:paraId="061C174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3.1. Vesiniku tootmine mahajäetud tööstusaladel (Hydrogen Valleys)</w:t>
            </w:r>
          </w:p>
        </w:tc>
        <w:tc>
          <w:tcPr>
            <w:tcW w:w="900" w:type="dxa"/>
            <w:shd w:val="clear" w:color="auto" w:fill="C6EFCE"/>
            <w:noWrap/>
            <w:vAlign w:val="center"/>
          </w:tcPr>
          <w:p w14:paraId="7EB5504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2345" w:type="dxa"/>
            <w:shd w:val="clear" w:color="auto" w:fill="C6EFCE"/>
            <w:noWrap/>
            <w:vAlign w:val="center"/>
          </w:tcPr>
          <w:p w14:paraId="0CD4FBE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Kõigi selliste projektide riigihankelepingute sõlmimine, mille eesmärk on vesiniku tootmine mahajäetud tööstuspiirkondade keskustes</w:t>
            </w:r>
          </w:p>
        </w:tc>
        <w:tc>
          <w:tcPr>
            <w:tcW w:w="1876" w:type="dxa"/>
            <w:shd w:val="clear" w:color="auto" w:fill="C6EFCE"/>
            <w:noWrap/>
            <w:vAlign w:val="center"/>
          </w:tcPr>
          <w:p w14:paraId="61D06D3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Teade kõigi riigihankelepingute sõlmimise kohta vesiniku tootmiseks mahajäetud tööstuspiirkondade keskustes</w:t>
            </w:r>
          </w:p>
        </w:tc>
        <w:tc>
          <w:tcPr>
            <w:tcW w:w="1417" w:type="dxa"/>
            <w:shd w:val="clear" w:color="auto" w:fill="C6EFCE"/>
            <w:noWrap/>
            <w:vAlign w:val="center"/>
          </w:tcPr>
          <w:p w14:paraId="13FA957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0F45092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210" w:type="dxa"/>
            <w:shd w:val="clear" w:color="auto" w:fill="C6EFCE"/>
            <w:noWrap/>
            <w:vAlign w:val="center"/>
          </w:tcPr>
          <w:p w14:paraId="667D71A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992" w:type="dxa"/>
            <w:shd w:val="clear" w:color="auto" w:fill="C6EFCE"/>
            <w:noWrap/>
            <w:vAlign w:val="center"/>
          </w:tcPr>
          <w:p w14:paraId="757E65B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 kv</w:t>
            </w:r>
          </w:p>
        </w:tc>
        <w:tc>
          <w:tcPr>
            <w:tcW w:w="756" w:type="dxa"/>
            <w:shd w:val="clear" w:color="auto" w:fill="C6EFCE"/>
            <w:noWrap/>
            <w:vAlign w:val="center"/>
          </w:tcPr>
          <w:p w14:paraId="0D10167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2023</w:t>
            </w:r>
          </w:p>
        </w:tc>
        <w:tc>
          <w:tcPr>
            <w:tcW w:w="2793" w:type="dxa"/>
            <w:shd w:val="clear" w:color="auto" w:fill="C6EFCE"/>
            <w:noWrap/>
            <w:vAlign w:val="center"/>
          </w:tcPr>
          <w:p w14:paraId="3D3A7AB8" w14:textId="73614A19" w:rsidR="0084326C" w:rsidRPr="005D68A0" w:rsidRDefault="0084326C">
            <w:pPr>
              <w:rPr>
                <w:rFonts w:ascii="Arial Narrow" w:hAnsi="Arial Narrow"/>
                <w:noProof/>
                <w:color w:val="006100"/>
                <w:sz w:val="20"/>
                <w:szCs w:val="20"/>
              </w:rPr>
            </w:pPr>
            <w:r>
              <w:rPr>
                <w:rFonts w:ascii="Arial Narrow" w:hAnsi="Arial Narrow"/>
                <w:noProof/>
                <w:color w:val="006100"/>
                <w:sz w:val="20"/>
              </w:rPr>
              <w:t>Projektide tellimine vesiniku tootmiseks mahajäetud tööstuspiirkondade keskustes. Süsinikuheite vähendamise seisukohast parima tulemuse saavutamiseks rahastatakse keskkonnahoidliku vesiniku tootmist vähem kui 3 tCO2eq/tH2. Selle meetmega toetatakse elektrolüüsil põhinevat vesiniku tootmist, kasutades direktiivis (EL)</w:t>
            </w:r>
            <w:r w:rsidR="0014554E">
              <w:rPr>
                <w:rFonts w:ascii="Arial Narrow" w:hAnsi="Arial Narrow"/>
                <w:noProof/>
                <w:color w:val="006100"/>
                <w:sz w:val="20"/>
              </w:rPr>
              <w:t> </w:t>
            </w:r>
            <w:r>
              <w:rPr>
                <w:rFonts w:ascii="Arial Narrow" w:hAnsi="Arial Narrow"/>
                <w:noProof/>
                <w:color w:val="006100"/>
                <w:sz w:val="20"/>
              </w:rPr>
              <w:t>2018/2001 (taastuvenergia direktiiv) määratletud taastuvaid energiaallikaid, või võrguelektri tootmist.</w:t>
            </w:r>
          </w:p>
        </w:tc>
      </w:tr>
      <w:tr w:rsidR="0084326C" w:rsidRPr="00D90835" w14:paraId="257E1E9D" w14:textId="77777777" w:rsidTr="00B62B71">
        <w:trPr>
          <w:trHeight w:val="309"/>
          <w:jc w:val="center"/>
        </w:trPr>
        <w:tc>
          <w:tcPr>
            <w:tcW w:w="992" w:type="dxa"/>
            <w:shd w:val="clear" w:color="auto" w:fill="C6EFCE"/>
            <w:noWrap/>
            <w:vAlign w:val="center"/>
          </w:tcPr>
          <w:p w14:paraId="3C44C37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M2C2-49</w:t>
            </w:r>
          </w:p>
        </w:tc>
        <w:tc>
          <w:tcPr>
            <w:tcW w:w="1831" w:type="dxa"/>
            <w:shd w:val="clear" w:color="auto" w:fill="C6EFCE"/>
            <w:noWrap/>
            <w:vAlign w:val="center"/>
          </w:tcPr>
          <w:p w14:paraId="350C24B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3.1. Vesiniku tootmine mahajäetud tööstusaladel (Hydrogen Valleys)</w:t>
            </w:r>
          </w:p>
        </w:tc>
        <w:tc>
          <w:tcPr>
            <w:tcW w:w="900" w:type="dxa"/>
            <w:shd w:val="clear" w:color="auto" w:fill="C6EFCE"/>
            <w:noWrap/>
            <w:vAlign w:val="center"/>
          </w:tcPr>
          <w:p w14:paraId="2DE8806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2345" w:type="dxa"/>
            <w:shd w:val="clear" w:color="auto" w:fill="C6EFCE"/>
            <w:noWrap/>
            <w:vAlign w:val="center"/>
          </w:tcPr>
          <w:p w14:paraId="4B93C58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Vesiniku tootmist tööstuspiirkondades käsitleva projekti lõpuleviimine</w:t>
            </w:r>
          </w:p>
        </w:tc>
        <w:tc>
          <w:tcPr>
            <w:tcW w:w="1876" w:type="dxa"/>
            <w:shd w:val="clear" w:color="auto" w:fill="C6EFCE"/>
            <w:noWrap/>
            <w:vAlign w:val="center"/>
          </w:tcPr>
          <w:p w14:paraId="7F0E273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417" w:type="dxa"/>
            <w:shd w:val="clear" w:color="auto" w:fill="C6EFCE"/>
            <w:noWrap/>
            <w:vAlign w:val="center"/>
          </w:tcPr>
          <w:p w14:paraId="5D03018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1134" w:type="dxa"/>
            <w:shd w:val="clear" w:color="auto" w:fill="C6EFCE"/>
            <w:noWrap/>
            <w:vAlign w:val="center"/>
          </w:tcPr>
          <w:p w14:paraId="575F949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1210" w:type="dxa"/>
            <w:shd w:val="clear" w:color="auto" w:fill="C6EFCE"/>
            <w:noWrap/>
            <w:vAlign w:val="center"/>
          </w:tcPr>
          <w:p w14:paraId="08D4C6F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10</w:t>
            </w:r>
          </w:p>
        </w:tc>
        <w:tc>
          <w:tcPr>
            <w:tcW w:w="992" w:type="dxa"/>
            <w:shd w:val="clear" w:color="auto" w:fill="C6EFCE"/>
            <w:noWrap/>
            <w:vAlign w:val="center"/>
          </w:tcPr>
          <w:p w14:paraId="65E2B91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756" w:type="dxa"/>
            <w:shd w:val="clear" w:color="auto" w:fill="C6EFCE"/>
            <w:noWrap/>
            <w:vAlign w:val="center"/>
          </w:tcPr>
          <w:p w14:paraId="45E397B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2793" w:type="dxa"/>
            <w:shd w:val="clear" w:color="auto" w:fill="C6EFCE"/>
            <w:noWrap/>
            <w:vAlign w:val="center"/>
          </w:tcPr>
          <w:p w14:paraId="474165E9"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Viia lõpule vähemalt 10 vesiniku tootmise projekti mahajäetud tööstuspiirkondades, mille keskmine võimsus on igaühe puhul vähemalt 1-5 MW.</w:t>
            </w:r>
          </w:p>
          <w:p w14:paraId="32EF6839"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Selle meetmega toetatakse elektrolüüsil põhinevat vesinikutootmist, kasutades direktiivis (EL) 2018/2001 (taastuvenergia direktiiv) määratletud taastuvaid energiaallikaid, või võrguelektri tootmist.</w:t>
            </w:r>
          </w:p>
        </w:tc>
      </w:tr>
      <w:tr w:rsidR="0084326C" w:rsidRPr="00D90835" w14:paraId="0023D6F9" w14:textId="77777777" w:rsidTr="00B62B71">
        <w:trPr>
          <w:trHeight w:val="309"/>
          <w:jc w:val="center"/>
        </w:trPr>
        <w:tc>
          <w:tcPr>
            <w:tcW w:w="992" w:type="dxa"/>
            <w:shd w:val="clear" w:color="auto" w:fill="C6EFCE"/>
            <w:noWrap/>
            <w:vAlign w:val="center"/>
          </w:tcPr>
          <w:p w14:paraId="7269209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M2C2-50</w:t>
            </w:r>
          </w:p>
        </w:tc>
        <w:tc>
          <w:tcPr>
            <w:tcW w:w="1831" w:type="dxa"/>
            <w:shd w:val="clear" w:color="auto" w:fill="C6EFCE"/>
            <w:noWrap/>
            <w:vAlign w:val="center"/>
          </w:tcPr>
          <w:p w14:paraId="4613F32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3.2. Vesiniku kasutamine raskesti amortiseeritavas tööstuses</w:t>
            </w:r>
          </w:p>
        </w:tc>
        <w:tc>
          <w:tcPr>
            <w:tcW w:w="900" w:type="dxa"/>
            <w:shd w:val="clear" w:color="auto" w:fill="C6EFCE"/>
            <w:noWrap/>
            <w:vAlign w:val="center"/>
          </w:tcPr>
          <w:p w14:paraId="066334B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2345" w:type="dxa"/>
            <w:shd w:val="clear" w:color="auto" w:fill="C6EFCE"/>
            <w:noWrap/>
            <w:vAlign w:val="center"/>
          </w:tcPr>
          <w:p w14:paraId="26E9663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Kokkulepe edendada üleminekut metaanilt keskkonnahoidlikule vesinikule</w:t>
            </w:r>
          </w:p>
        </w:tc>
        <w:tc>
          <w:tcPr>
            <w:tcW w:w="1876" w:type="dxa"/>
            <w:shd w:val="clear" w:color="auto" w:fill="C6EFCE"/>
            <w:noWrap/>
            <w:vAlign w:val="center"/>
          </w:tcPr>
          <w:p w14:paraId="6303CFE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Lepingu allkirjastamine</w:t>
            </w:r>
          </w:p>
        </w:tc>
        <w:tc>
          <w:tcPr>
            <w:tcW w:w="1417" w:type="dxa"/>
            <w:shd w:val="clear" w:color="auto" w:fill="C6EFCE"/>
            <w:noWrap/>
            <w:vAlign w:val="center"/>
          </w:tcPr>
          <w:p w14:paraId="244BD56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0C463C9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210" w:type="dxa"/>
            <w:shd w:val="clear" w:color="auto" w:fill="C6EFCE"/>
            <w:noWrap/>
            <w:vAlign w:val="center"/>
          </w:tcPr>
          <w:p w14:paraId="7D8E34F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992" w:type="dxa"/>
            <w:shd w:val="clear" w:color="auto" w:fill="C6EFCE"/>
            <w:noWrap/>
            <w:vAlign w:val="center"/>
          </w:tcPr>
          <w:p w14:paraId="539364C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 kv</w:t>
            </w:r>
          </w:p>
        </w:tc>
        <w:tc>
          <w:tcPr>
            <w:tcW w:w="756" w:type="dxa"/>
            <w:shd w:val="clear" w:color="auto" w:fill="C6EFCE"/>
            <w:noWrap/>
            <w:vAlign w:val="center"/>
          </w:tcPr>
          <w:p w14:paraId="588D761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2023</w:t>
            </w:r>
          </w:p>
        </w:tc>
        <w:tc>
          <w:tcPr>
            <w:tcW w:w="2793" w:type="dxa"/>
            <w:shd w:val="clear" w:color="auto" w:fill="C6EFCE"/>
            <w:noWrap/>
            <w:vAlign w:val="center"/>
          </w:tcPr>
          <w:p w14:paraId="45F9183E" w14:textId="290164E8" w:rsidR="0084326C" w:rsidRPr="005D68A0" w:rsidRDefault="0084326C">
            <w:pPr>
              <w:rPr>
                <w:rFonts w:ascii="Arial Narrow" w:hAnsi="Arial Narrow"/>
                <w:noProof/>
                <w:color w:val="006100"/>
                <w:sz w:val="20"/>
                <w:szCs w:val="20"/>
              </w:rPr>
            </w:pPr>
            <w:r>
              <w:rPr>
                <w:rFonts w:ascii="Arial Narrow" w:hAnsi="Arial Narrow"/>
                <w:noProof/>
                <w:color w:val="006100"/>
                <w:sz w:val="20"/>
              </w:rPr>
              <w:t>Valitud projektiomanikega lepingu allkirjastamine, et edendada üleminekut metaanilt keskkonnahoidlikule vesinikule. Projektid on osaliselt pühendatud arendus- ja arendustegevuse ning innovatsiooni protsessile ning osaliselt vesinikku kasutava tööstusliku prototüübi realiseerimisele ja katsetamisele.</w:t>
            </w:r>
            <w:r>
              <w:rPr>
                <w:rFonts w:ascii="Arial Narrow" w:hAnsi="Arial Narrow"/>
                <w:noProof/>
                <w:sz w:val="20"/>
              </w:rPr>
              <w:t xml:space="preserve"> </w:t>
            </w:r>
            <w:r>
              <w:rPr>
                <w:rFonts w:ascii="Arial Narrow" w:hAnsi="Arial Narrow"/>
                <w:noProof/>
                <w:color w:val="006100"/>
                <w:sz w:val="20"/>
              </w:rPr>
              <w:t>Selle meetmega toetatakse elektrolüüsil põhinevat vesinikutootmist, kasutades direktiivis (EL) 2018/2001 (taastuvenergia direktiiv) määratletud taastuvaid energiaallikaid, või võrguelektri tootmist.</w:t>
            </w:r>
          </w:p>
        </w:tc>
      </w:tr>
      <w:tr w:rsidR="0084326C" w:rsidRPr="00D90835" w14:paraId="5DD82AD3" w14:textId="77777777" w:rsidTr="00B62B71">
        <w:trPr>
          <w:trHeight w:val="309"/>
          <w:jc w:val="center"/>
        </w:trPr>
        <w:tc>
          <w:tcPr>
            <w:tcW w:w="992" w:type="dxa"/>
            <w:shd w:val="clear" w:color="auto" w:fill="C6EFCE"/>
            <w:noWrap/>
            <w:vAlign w:val="center"/>
          </w:tcPr>
          <w:p w14:paraId="79FAB6C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M2C2-51</w:t>
            </w:r>
          </w:p>
        </w:tc>
        <w:tc>
          <w:tcPr>
            <w:tcW w:w="1831" w:type="dxa"/>
            <w:shd w:val="clear" w:color="auto" w:fill="C6EFCE"/>
            <w:noWrap/>
            <w:vAlign w:val="center"/>
          </w:tcPr>
          <w:p w14:paraId="224272C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3.2. Vesiniku kasutamine raskesti amortiseeritavas tööstuses</w:t>
            </w:r>
          </w:p>
        </w:tc>
        <w:tc>
          <w:tcPr>
            <w:tcW w:w="900" w:type="dxa"/>
            <w:shd w:val="clear" w:color="auto" w:fill="C6EFCE"/>
            <w:noWrap/>
            <w:vAlign w:val="center"/>
          </w:tcPr>
          <w:p w14:paraId="6A39B14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2345" w:type="dxa"/>
            <w:shd w:val="clear" w:color="auto" w:fill="C6EFCE"/>
            <w:noWrap/>
            <w:vAlign w:val="center"/>
          </w:tcPr>
          <w:p w14:paraId="4252D61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Vesiniku kasutuselevõtmine tööstusprotsessides</w:t>
            </w:r>
          </w:p>
        </w:tc>
        <w:tc>
          <w:tcPr>
            <w:tcW w:w="1876" w:type="dxa"/>
            <w:shd w:val="clear" w:color="auto" w:fill="C6EFCE"/>
            <w:noWrap/>
            <w:vAlign w:val="center"/>
          </w:tcPr>
          <w:p w14:paraId="7EEC46B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417" w:type="dxa"/>
            <w:shd w:val="clear" w:color="auto" w:fill="C6EFCE"/>
            <w:noWrap/>
            <w:vAlign w:val="center"/>
          </w:tcPr>
          <w:p w14:paraId="4962895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Arv </w:t>
            </w:r>
          </w:p>
        </w:tc>
        <w:tc>
          <w:tcPr>
            <w:tcW w:w="1134" w:type="dxa"/>
            <w:shd w:val="clear" w:color="auto" w:fill="C6EFCE"/>
            <w:noWrap/>
            <w:vAlign w:val="center"/>
          </w:tcPr>
          <w:p w14:paraId="643BAFE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1210" w:type="dxa"/>
            <w:shd w:val="clear" w:color="auto" w:fill="C6EFCE"/>
            <w:noWrap/>
            <w:vAlign w:val="center"/>
          </w:tcPr>
          <w:p w14:paraId="60D9622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w:t>
            </w:r>
          </w:p>
        </w:tc>
        <w:tc>
          <w:tcPr>
            <w:tcW w:w="992" w:type="dxa"/>
            <w:shd w:val="clear" w:color="auto" w:fill="C6EFCE"/>
            <w:noWrap/>
            <w:vAlign w:val="center"/>
          </w:tcPr>
          <w:p w14:paraId="0E97557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756" w:type="dxa"/>
            <w:shd w:val="clear" w:color="auto" w:fill="C6EFCE"/>
            <w:noWrap/>
            <w:vAlign w:val="center"/>
          </w:tcPr>
          <w:p w14:paraId="5EB5EA1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2793" w:type="dxa"/>
            <w:shd w:val="clear" w:color="auto" w:fill="C6EFCE"/>
            <w:noWrap/>
            <w:vAlign w:val="center"/>
          </w:tcPr>
          <w:p w14:paraId="03E2D2AC" w14:textId="60A0CDBC"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Vesiniku lisamine vähemalt 1 tööstusettevõttesse, et vähendada süsinikdioksiidiheidet raskesti ligipääsetavates sektorites. Selle meetmega toetatakse elektrolüüsil põhinevat vesinikutootmist, kasutades direktiivis (EL)</w:t>
            </w:r>
            <w:r w:rsidR="0014554E">
              <w:rPr>
                <w:rFonts w:ascii="Arial Narrow" w:hAnsi="Arial Narrow"/>
                <w:noProof/>
                <w:color w:val="006100"/>
                <w:sz w:val="20"/>
              </w:rPr>
              <w:t> </w:t>
            </w:r>
            <w:r>
              <w:rPr>
                <w:rFonts w:ascii="Arial Narrow" w:hAnsi="Arial Narrow"/>
                <w:noProof/>
                <w:color w:val="006100"/>
                <w:sz w:val="20"/>
              </w:rPr>
              <w:t>2018/2001 (taastuvenergia direktiiv) määratletud taastuvaid energiaallikaid, või võrguelektri tootmist.</w:t>
            </w:r>
          </w:p>
          <w:p w14:paraId="2FB8C130" w14:textId="1C0C2A22"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Vähemalt 400 000 000 eurot toetatakse tööstuse arengut, mis asendab 90 % metaani ja fossiilkütuste kasutamisest tööstusprotsessis vesinikuga, mis põhineb elektrolüüsil, kasutades taastuvenergiaallikaid, nagu on määratletud direktiivis (EL)</w:t>
            </w:r>
            <w:r w:rsidR="0014554E">
              <w:rPr>
                <w:rFonts w:ascii="Arial Narrow" w:hAnsi="Arial Narrow"/>
                <w:noProof/>
                <w:color w:val="006100"/>
                <w:sz w:val="20"/>
              </w:rPr>
              <w:t> </w:t>
            </w:r>
            <w:r>
              <w:rPr>
                <w:rFonts w:ascii="Arial Narrow" w:hAnsi="Arial Narrow"/>
                <w:noProof/>
                <w:color w:val="006100"/>
                <w:sz w:val="20"/>
              </w:rPr>
              <w:t>2018/2001 (taastuvenergia direktiiv). või elektrivõrk</w:t>
            </w:r>
          </w:p>
        </w:tc>
      </w:tr>
      <w:tr w:rsidR="0084326C" w:rsidRPr="00D90835" w14:paraId="56CE93FD" w14:textId="77777777" w:rsidTr="00B62B71">
        <w:trPr>
          <w:trHeight w:val="309"/>
          <w:jc w:val="center"/>
        </w:trPr>
        <w:tc>
          <w:tcPr>
            <w:tcW w:w="992" w:type="dxa"/>
            <w:shd w:val="clear" w:color="auto" w:fill="C6EFCE"/>
            <w:noWrap/>
            <w:vAlign w:val="center"/>
          </w:tcPr>
          <w:p w14:paraId="48EFB91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M2C2-52</w:t>
            </w:r>
          </w:p>
        </w:tc>
        <w:tc>
          <w:tcPr>
            <w:tcW w:w="1831" w:type="dxa"/>
            <w:shd w:val="clear" w:color="auto" w:fill="C6EFCE"/>
            <w:noWrap/>
            <w:vAlign w:val="center"/>
          </w:tcPr>
          <w:p w14:paraId="2F9BA7E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5.2. Vesinik</w:t>
            </w:r>
          </w:p>
        </w:tc>
        <w:tc>
          <w:tcPr>
            <w:tcW w:w="900" w:type="dxa"/>
            <w:shd w:val="clear" w:color="auto" w:fill="C6EFCE"/>
            <w:noWrap/>
            <w:vAlign w:val="center"/>
          </w:tcPr>
          <w:p w14:paraId="018523E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2345" w:type="dxa"/>
            <w:shd w:val="clear" w:color="auto" w:fill="C6EFCE"/>
            <w:noWrap/>
            <w:vAlign w:val="center"/>
          </w:tcPr>
          <w:p w14:paraId="6BBE5C3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Elektrolüüserite tootmine</w:t>
            </w:r>
          </w:p>
        </w:tc>
        <w:tc>
          <w:tcPr>
            <w:tcW w:w="1876" w:type="dxa"/>
            <w:shd w:val="clear" w:color="auto" w:fill="C6EFCE"/>
            <w:noWrap/>
            <w:vAlign w:val="center"/>
          </w:tcPr>
          <w:p w14:paraId="00E4458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Kõigi riigihankelepingute avaldamisest teatamine</w:t>
            </w:r>
          </w:p>
        </w:tc>
        <w:tc>
          <w:tcPr>
            <w:tcW w:w="1417" w:type="dxa"/>
            <w:shd w:val="clear" w:color="auto" w:fill="C6EFCE"/>
            <w:noWrap/>
            <w:vAlign w:val="center"/>
          </w:tcPr>
          <w:p w14:paraId="504D37F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3D6907B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210" w:type="dxa"/>
            <w:shd w:val="clear" w:color="auto" w:fill="C6EFCE"/>
            <w:noWrap/>
            <w:vAlign w:val="center"/>
          </w:tcPr>
          <w:p w14:paraId="015944D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992" w:type="dxa"/>
            <w:shd w:val="clear" w:color="auto" w:fill="C6EFCE"/>
            <w:noWrap/>
            <w:vAlign w:val="center"/>
          </w:tcPr>
          <w:p w14:paraId="58B25AF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756" w:type="dxa"/>
            <w:shd w:val="clear" w:color="auto" w:fill="C6EFCE"/>
            <w:noWrap/>
            <w:vAlign w:val="center"/>
          </w:tcPr>
          <w:p w14:paraId="4D57DF4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2022</w:t>
            </w:r>
          </w:p>
        </w:tc>
        <w:tc>
          <w:tcPr>
            <w:tcW w:w="2793" w:type="dxa"/>
            <w:shd w:val="clear" w:color="auto" w:fill="C6EFCE"/>
            <w:noWrap/>
            <w:vAlign w:val="center"/>
          </w:tcPr>
          <w:p w14:paraId="3F1D017B" w14:textId="766490CC" w:rsidR="0084326C" w:rsidRPr="005D68A0" w:rsidRDefault="0084326C">
            <w:pPr>
              <w:rPr>
                <w:rFonts w:ascii="Arial Narrow" w:hAnsi="Arial Narrow"/>
                <w:noProof/>
                <w:sz w:val="20"/>
                <w:szCs w:val="20"/>
              </w:rPr>
            </w:pPr>
            <w:r>
              <w:rPr>
                <w:rFonts w:ascii="Arial Narrow" w:hAnsi="Arial Narrow"/>
                <w:noProof/>
                <w:color w:val="006100"/>
                <w:sz w:val="20"/>
              </w:rPr>
              <w:t xml:space="preserve">Elektrolüüserite tootmiseks vajaliku tööstusrajatise ehitamise lepingu sõlmimine. </w:t>
            </w:r>
          </w:p>
        </w:tc>
      </w:tr>
      <w:tr w:rsidR="0084326C" w:rsidRPr="00D90835" w14:paraId="4B50901B" w14:textId="77777777" w:rsidTr="00B62B71">
        <w:trPr>
          <w:trHeight w:val="309"/>
          <w:jc w:val="center"/>
        </w:trPr>
        <w:tc>
          <w:tcPr>
            <w:tcW w:w="992" w:type="dxa"/>
            <w:shd w:val="clear" w:color="auto" w:fill="C6EFCE"/>
            <w:noWrap/>
            <w:vAlign w:val="center"/>
          </w:tcPr>
          <w:p w14:paraId="4E10359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M2C2-53</w:t>
            </w:r>
          </w:p>
        </w:tc>
        <w:tc>
          <w:tcPr>
            <w:tcW w:w="1831" w:type="dxa"/>
            <w:shd w:val="clear" w:color="auto" w:fill="C6EFCE"/>
            <w:noWrap/>
            <w:vAlign w:val="center"/>
          </w:tcPr>
          <w:p w14:paraId="5EE5A6A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5.2. Vesinik</w:t>
            </w:r>
          </w:p>
        </w:tc>
        <w:tc>
          <w:tcPr>
            <w:tcW w:w="900" w:type="dxa"/>
            <w:shd w:val="clear" w:color="auto" w:fill="C6EFCE"/>
            <w:noWrap/>
            <w:vAlign w:val="center"/>
          </w:tcPr>
          <w:p w14:paraId="2B37D7C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2345" w:type="dxa"/>
            <w:shd w:val="clear" w:color="auto" w:fill="C6EFCE"/>
            <w:noWrap/>
            <w:vAlign w:val="center"/>
          </w:tcPr>
          <w:p w14:paraId="185D7EC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Elektrilüsaatorite tööstusliku sisseseade valmimise riigihankelepingute sõlmimine </w:t>
            </w:r>
          </w:p>
        </w:tc>
        <w:tc>
          <w:tcPr>
            <w:tcW w:w="1876" w:type="dxa"/>
            <w:shd w:val="clear" w:color="auto" w:fill="C6EFCE"/>
            <w:noWrap/>
            <w:vAlign w:val="center"/>
          </w:tcPr>
          <w:p w14:paraId="55D471F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417" w:type="dxa"/>
            <w:shd w:val="clear" w:color="auto" w:fill="C6EFCE"/>
            <w:noWrap/>
            <w:vAlign w:val="center"/>
          </w:tcPr>
          <w:p w14:paraId="52246E3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1134" w:type="dxa"/>
            <w:shd w:val="clear" w:color="auto" w:fill="C6EFCE"/>
            <w:noWrap/>
            <w:vAlign w:val="center"/>
          </w:tcPr>
          <w:p w14:paraId="5AA40B6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1210" w:type="dxa"/>
            <w:shd w:val="clear" w:color="auto" w:fill="C6EFCE"/>
            <w:noWrap/>
            <w:vAlign w:val="center"/>
          </w:tcPr>
          <w:p w14:paraId="6255E10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w:t>
            </w:r>
          </w:p>
        </w:tc>
        <w:tc>
          <w:tcPr>
            <w:tcW w:w="992" w:type="dxa"/>
            <w:shd w:val="clear" w:color="auto" w:fill="C6EFCE"/>
            <w:noWrap/>
            <w:vAlign w:val="center"/>
          </w:tcPr>
          <w:p w14:paraId="13A5CFD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756" w:type="dxa"/>
            <w:shd w:val="clear" w:color="auto" w:fill="C6EFCE"/>
            <w:noWrap/>
            <w:vAlign w:val="center"/>
          </w:tcPr>
          <w:p w14:paraId="5B24055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2793" w:type="dxa"/>
            <w:shd w:val="clear" w:color="auto" w:fill="C6EFCE"/>
            <w:noWrap/>
            <w:vAlign w:val="center"/>
          </w:tcPr>
          <w:p w14:paraId="0FEE7D7B" w14:textId="77777777" w:rsidR="0084326C" w:rsidRPr="005D68A0" w:rsidRDefault="0084326C">
            <w:pPr>
              <w:rPr>
                <w:rFonts w:ascii="Arial Narrow" w:hAnsi="Arial Narrow"/>
                <w:noProof/>
                <w:sz w:val="20"/>
                <w:szCs w:val="20"/>
              </w:rPr>
            </w:pPr>
            <w:r>
              <w:rPr>
                <w:rFonts w:ascii="Arial Narrow" w:hAnsi="Arial Narrow"/>
                <w:noProof/>
                <w:color w:val="006100"/>
                <w:sz w:val="20"/>
              </w:rPr>
              <w:t>Vähemalt ühe tootmisrajatise ehitamine elektrolüüsiseadmete tootmiseks, mille koguvõimsus on vähemalt 1 GW aastas.</w:t>
            </w:r>
          </w:p>
        </w:tc>
      </w:tr>
    </w:tbl>
    <w:p w14:paraId="6CB52D07" w14:textId="77777777" w:rsidR="0084326C" w:rsidRPr="00F33804" w:rsidRDefault="0084326C" w:rsidP="0084326C">
      <w:pPr>
        <w:tabs>
          <w:tab w:val="left" w:pos="1860"/>
        </w:tabs>
        <w:spacing w:before="120" w:after="120"/>
        <w:jc w:val="both"/>
        <w:rPr>
          <w:noProof/>
        </w:rPr>
      </w:pPr>
    </w:p>
    <w:p w14:paraId="7D8D61D8" w14:textId="77777777" w:rsidR="0084326C" w:rsidRPr="00F33804" w:rsidRDefault="0084326C" w:rsidP="0084326C">
      <w:pPr>
        <w:tabs>
          <w:tab w:val="left" w:pos="1860"/>
        </w:tabs>
        <w:spacing w:before="120" w:after="120"/>
        <w:jc w:val="both"/>
        <w:rPr>
          <w:noProof/>
        </w:rPr>
        <w:sectPr w:rsidR="0084326C" w:rsidRPr="00F33804">
          <w:headerReference w:type="even" r:id="rId158"/>
          <w:headerReference w:type="default" r:id="rId159"/>
          <w:footerReference w:type="even" r:id="rId160"/>
          <w:footerReference w:type="default" r:id="rId161"/>
          <w:headerReference w:type="first" r:id="rId162"/>
          <w:footerReference w:type="first" r:id="rId163"/>
          <w:pgSz w:w="16839" w:h="11907" w:orient="landscape"/>
          <w:pgMar w:top="1134" w:right="1134" w:bottom="1134" w:left="1134" w:header="567" w:footer="567" w:gutter="0"/>
          <w:cols w:space="720"/>
          <w:docGrid w:linePitch="360"/>
        </w:sectPr>
      </w:pPr>
    </w:p>
    <w:p w14:paraId="33EFA8DC" w14:textId="77777777" w:rsidR="0084326C" w:rsidRPr="005D68A0" w:rsidRDefault="0084326C" w:rsidP="0084326C">
      <w:pPr>
        <w:pStyle w:val="Heading2"/>
        <w:numPr>
          <w:ilvl w:val="0"/>
          <w:numId w:val="0"/>
        </w:numPr>
        <w:rPr>
          <w:noProof/>
        </w:rPr>
      </w:pPr>
      <w:r>
        <w:rPr>
          <w:noProof/>
        </w:rPr>
        <w:t>F. ÜLESANNE 2 KOMPONENT 3 - Hoonete energiatõhusus ja ümberkvalifitseerimine</w:t>
      </w:r>
    </w:p>
    <w:p w14:paraId="0C2DD079" w14:textId="77777777" w:rsidR="0084326C" w:rsidRPr="005D68A0" w:rsidRDefault="0084326C" w:rsidP="0084326C">
      <w:pPr>
        <w:spacing w:before="120" w:after="120"/>
        <w:jc w:val="both"/>
        <w:rPr>
          <w:noProof/>
        </w:rPr>
      </w:pPr>
      <w:r>
        <w:rPr>
          <w:noProof/>
        </w:rPr>
        <w:t xml:space="preserve">Energiatõhusus on selle kolme peamise samba alla kuuluva komponendi nurgakivi. </w:t>
      </w:r>
    </w:p>
    <w:p w14:paraId="54A36F8C" w14:textId="77777777" w:rsidR="0084326C" w:rsidRPr="005D68A0" w:rsidRDefault="0084326C" w:rsidP="0084326C">
      <w:pPr>
        <w:numPr>
          <w:ilvl w:val="0"/>
          <w:numId w:val="70"/>
        </w:numPr>
        <w:spacing w:before="120" w:after="120"/>
        <w:ind w:left="360"/>
        <w:contextualSpacing/>
        <w:jc w:val="both"/>
        <w:rPr>
          <w:noProof/>
        </w:rPr>
      </w:pPr>
      <w:r>
        <w:rPr>
          <w:noProof/>
        </w:rPr>
        <w:t xml:space="preserve">Esimene sammas on ajutise stiimuli kehtestamine eraomandisse kuuluva kinnisvara energia- ja maavärinavastaseks renoveerimiseks, vähendades sekkumistega seotud kulusid. Abikõlblikud on need meetmed, mis suurendavad eluaseme energiatõhusust vähemalt kahe energiasertifikaadi kategooria võrra, saavutades keskmiselt energiatarbimise suurenemise üle 30 %. </w:t>
      </w:r>
    </w:p>
    <w:p w14:paraId="1CFB338A" w14:textId="77777777" w:rsidR="0084326C" w:rsidRPr="005D68A0" w:rsidRDefault="0084326C" w:rsidP="0084326C">
      <w:pPr>
        <w:numPr>
          <w:ilvl w:val="0"/>
          <w:numId w:val="70"/>
        </w:numPr>
        <w:spacing w:before="120" w:after="120"/>
        <w:ind w:left="360"/>
        <w:contextualSpacing/>
        <w:jc w:val="both"/>
        <w:rPr>
          <w:noProof/>
        </w:rPr>
      </w:pPr>
      <w:r>
        <w:rPr>
          <w:noProof/>
        </w:rPr>
        <w:t>Selle komponendi teine sammas on riiklike koolide ja kohtuasutuste tõhususe ja turvalisuse parandamine.</w:t>
      </w:r>
    </w:p>
    <w:p w14:paraId="6BF4FB43" w14:textId="77777777" w:rsidR="0084326C" w:rsidRPr="005D68A0" w:rsidRDefault="0084326C" w:rsidP="0084326C">
      <w:pPr>
        <w:numPr>
          <w:ilvl w:val="0"/>
          <w:numId w:val="70"/>
        </w:numPr>
        <w:spacing w:before="120" w:after="120"/>
        <w:ind w:left="360"/>
        <w:contextualSpacing/>
        <w:jc w:val="both"/>
        <w:rPr>
          <w:noProof/>
        </w:rPr>
      </w:pPr>
      <w:r>
        <w:rPr>
          <w:noProof/>
        </w:rPr>
        <w:t xml:space="preserve">Kolmanda samba eesmärk on stimuleerida tõhusate kaugküttevõrkude ehitamist ja laiendamist linnapiirkondades. </w:t>
      </w:r>
    </w:p>
    <w:p w14:paraId="30583A25" w14:textId="77777777" w:rsidR="0084326C" w:rsidRPr="005D68A0" w:rsidRDefault="0084326C" w:rsidP="0084326C">
      <w:pPr>
        <w:spacing w:before="120" w:after="120"/>
        <w:jc w:val="both"/>
        <w:rPr>
          <w:noProof/>
        </w:rPr>
      </w:pPr>
      <w:r>
        <w:rPr>
          <w:noProof/>
        </w:rPr>
        <w:t xml:space="preserve">Lisaks on tehtud mitmeid reforme, et lihtsustada ja kiirendada hoonete energiatõhususe parandamisele suunatud projektide rakendamist. </w:t>
      </w:r>
    </w:p>
    <w:p w14:paraId="43BB5A35" w14:textId="77777777" w:rsidR="0084326C" w:rsidRPr="005D68A0" w:rsidRDefault="0084326C" w:rsidP="0084326C">
      <w:pPr>
        <w:spacing w:before="120" w:after="120"/>
        <w:jc w:val="both"/>
        <w:rPr>
          <w:noProof/>
        </w:rPr>
      </w:pPr>
      <w:r>
        <w:rPr>
          <w:noProof/>
        </w:rPr>
        <w:t xml:space="preserve">See komponent peaks aitama oluliselt kaasa Itaalia 2030. aasta kliima- ja energiaeesmärkide saavutamisele, kuna tsiviilsektor tarbib peaaegu poole kogu Itaalia energiatarbimisest. Enamik ehitisi ehitati enne energiasäästu kriteeriumide vastuvõtmist ja vastavate õigusaktide jõustumist ning seega on energiatõhususe ja maavärinaohuga kohanemisega seotud vajadused märkimisväärsed.  </w:t>
      </w:r>
    </w:p>
    <w:p w14:paraId="05808903" w14:textId="77777777" w:rsidR="0084326C" w:rsidRPr="005D68A0" w:rsidRDefault="0084326C" w:rsidP="0084326C">
      <w:pPr>
        <w:spacing w:before="120" w:after="120"/>
        <w:jc w:val="both"/>
        <w:rPr>
          <w:noProof/>
        </w:rPr>
      </w:pPr>
      <w:r>
        <w:rPr>
          <w:noProof/>
        </w:rPr>
        <w:t>See komponent käsitleb osa 2020. aasta riigipõhisest soovitusest nr 3, millega nõukogu soovitas Itaalial võtta meetmeid, et keskenduda investeeringutele keskkonnasäästlikule ja digitaalsele üleminekule, eriti veemajandusele […] ning tugevdatud digitaalsele infrastruktuurile, et tagada teenuse osutamine. põhiteenuste pakkumine ”. Samuti käsitletakse selles 2019. aasta riigipõhiseid soovitusi nr 3 („Fookusinvesteeringutega seotud majanduspoliitika taristu kvaliteedi kohta, võttes arvesse piirkondlikke erinevusi“). ning parandada avaliku halduse tulemuslikkust, [...] kiirendades digiteerimist ning parandades kohalike avalike teenuste tõhusust ja kvaliteeti“).</w:t>
      </w:r>
    </w:p>
    <w:p w14:paraId="2F14DED4" w14:textId="6F78FFF7" w:rsidR="0084326C" w:rsidRPr="005D68A0" w:rsidRDefault="0084326C" w:rsidP="0084326C">
      <w:pPr>
        <w:spacing w:before="120" w:after="120"/>
        <w:jc w:val="both"/>
        <w:rPr>
          <w:noProof/>
        </w:rPr>
      </w:pPr>
      <w:r>
        <w:rPr>
          <w:noProof/>
        </w:rPr>
        <w:t>Lähtudes meetmete kirjeldusest taaste- ja vastupidavuskavas ja võttes arvesse põhimõtte „Ei kahjusta oluliselt“ tehniliste suuniste (2021/C58/01) kohaseid leevendavaid samme, mis kavas on sätestatud, võib eeldada, et ükski selle komponendi meede ei kahjusta määruse (EL)</w:t>
      </w:r>
      <w:r w:rsidR="0014554E">
        <w:rPr>
          <w:noProof/>
        </w:rPr>
        <w:t> </w:t>
      </w:r>
      <w:r>
        <w:rPr>
          <w:noProof/>
        </w:rPr>
        <w:t xml:space="preserve">2020/852 artikli 17 tähenduses oluliselt keskkonnaeesmärke. </w:t>
      </w:r>
    </w:p>
    <w:p w14:paraId="4EB54155" w14:textId="77777777" w:rsidR="0084326C" w:rsidRPr="005D68A0" w:rsidRDefault="0084326C" w:rsidP="0084326C">
      <w:pPr>
        <w:pStyle w:val="Heading3"/>
        <w:numPr>
          <w:ilvl w:val="0"/>
          <w:numId w:val="0"/>
        </w:numPr>
        <w:ind w:left="850" w:hanging="850"/>
        <w:rPr>
          <w:b/>
          <w:bCs w:val="0"/>
          <w:i w:val="0"/>
          <w:iCs/>
          <w:noProof/>
          <w:color w:val="4472C4" w:themeColor="accent1"/>
          <w:u w:val="single"/>
        </w:rPr>
      </w:pPr>
      <w:r>
        <w:rPr>
          <w:b/>
          <w:i w:val="0"/>
          <w:noProof/>
          <w:u w:val="single"/>
        </w:rPr>
        <w:t xml:space="preserve">F.1. </w:t>
      </w:r>
      <w:r>
        <w:rPr>
          <w:noProof/>
        </w:rPr>
        <w:tab/>
      </w:r>
      <w:r>
        <w:rPr>
          <w:b/>
          <w:i w:val="0"/>
          <w:noProof/>
          <w:u w:val="single"/>
        </w:rPr>
        <w:t>Tagastamatu rahalise toetusega seotud reformide ja investeeringute kirjeldus</w:t>
      </w:r>
    </w:p>
    <w:p w14:paraId="1A983D50" w14:textId="77777777" w:rsidR="0084326C" w:rsidRPr="005D68A0" w:rsidRDefault="0084326C" w:rsidP="0084326C">
      <w:pPr>
        <w:spacing w:before="120" w:after="120" w:line="257" w:lineRule="auto"/>
        <w:jc w:val="both"/>
        <w:rPr>
          <w:b/>
          <w:bCs/>
          <w:noProof/>
        </w:rPr>
      </w:pPr>
      <w:r>
        <w:rPr>
          <w:b/>
          <w:noProof/>
        </w:rPr>
        <w:t>Investeering 2.1. Energiatõhususe ökoboonuse tugevdamine</w:t>
      </w:r>
    </w:p>
    <w:p w14:paraId="5D74DAF6" w14:textId="77777777" w:rsidR="0084326C" w:rsidRPr="005D68A0" w:rsidRDefault="0084326C" w:rsidP="0084326C">
      <w:pPr>
        <w:spacing w:before="120" w:after="120"/>
        <w:jc w:val="both"/>
        <w:rPr>
          <w:noProof/>
        </w:rPr>
      </w:pPr>
      <w:r>
        <w:rPr>
          <w:noProof/>
        </w:rPr>
        <w:t xml:space="preserve">Meetmega Superbonus rahastatakse eluhoonete, sealhulgas sotsiaaleluruumide energiatõhusamaks renoveerimist, nagu on sätestatud pandeemia negatiivse majandusliku ja sotsiaalse mõju leevendamiseks vastu võetud nn dekreedi artiklis 119. Sellel on kaks eesmärki: 1) anda oluline panus Itaalia lõimitud riiklikus energia- ja kliimakavas (PNIEC) 2030. aastaks seatud energiasäästu ja heitkoguste vähendamise eesmärkide saavutamisse ning 2) anda antitsüklilist toetust ehitussektorile ja erasektori nõudlusele, et leevendada majanduslanguse mõju. </w:t>
      </w:r>
    </w:p>
    <w:p w14:paraId="6700F258" w14:textId="77777777" w:rsidR="0084326C" w:rsidRPr="005D68A0" w:rsidRDefault="0084326C" w:rsidP="0084326C">
      <w:pPr>
        <w:spacing w:before="120" w:after="120"/>
        <w:jc w:val="both"/>
        <w:rPr>
          <w:noProof/>
        </w:rPr>
      </w:pPr>
      <w:r>
        <w:rPr>
          <w:noProof/>
        </w:rPr>
        <w:t xml:space="preserve">Toetust antakse maksuvähendusena viie aasta jooksul. Kuni 16. veebruarini 2023 nähakse ette, et maksusoodustuse asemel võivad toetusesaajad kasutada mahaarvamise otsese kasutamise asemel finantsinstrumente (nn kreeditkorraldus ja arve diskonteerimine), et lahendada suurte algsete investeerimiskulude probleemi. Nende alternatiivsete vahenditega nähakse ette, et toetusesaaja poolt kogunenud maksusoodustus tehakse võrdses summas järgmiselt: </w:t>
      </w:r>
    </w:p>
    <w:p w14:paraId="2A5E1826" w14:textId="77777777" w:rsidR="0084326C" w:rsidRPr="005D68A0" w:rsidRDefault="0084326C" w:rsidP="0084326C">
      <w:pPr>
        <w:spacing w:before="120" w:after="120"/>
        <w:jc w:val="both"/>
        <w:rPr>
          <w:noProof/>
        </w:rPr>
      </w:pPr>
      <w:r>
        <w:rPr>
          <w:noProof/>
        </w:rPr>
        <w:t xml:space="preserve">1. Tarnija (st ehitusettevõtjad, projekteerijad või üldisemalt peatöövõtja) ettemaksehinna vähendus, mis arvatakse arvel maha otse ja saadakse tagasi maksukrediidina, mis vähendab algse investeeringu maksumust; </w:t>
      </w:r>
    </w:p>
    <w:p w14:paraId="76D13F25" w14:textId="77777777" w:rsidR="0084326C" w:rsidRPr="005D68A0" w:rsidRDefault="0084326C" w:rsidP="0084326C">
      <w:pPr>
        <w:spacing w:before="120" w:after="120"/>
        <w:jc w:val="both"/>
        <w:rPr>
          <w:noProof/>
        </w:rPr>
      </w:pPr>
      <w:r>
        <w:rPr>
          <w:noProof/>
        </w:rPr>
        <w:t>2. Maksu ümberarvutus, mis antakse üle finantseerimisasutusele, kes maksab vajaliku kapitali ette. See mehhanism kompenseerib võimalikud negatiivsed stiimulid renoveerimisest loobumiseks, kuna algsed investeerimiskulud on suured. Peatöövõtja või finantseerimisasutuse valiku teeb toetusesaaja.</w:t>
      </w:r>
    </w:p>
    <w:p w14:paraId="54706A5F" w14:textId="77777777" w:rsidR="0084326C" w:rsidRPr="005D68A0" w:rsidRDefault="0084326C" w:rsidP="0084326C">
      <w:pPr>
        <w:spacing w:before="120" w:after="120"/>
        <w:jc w:val="both"/>
        <w:rPr>
          <w:noProof/>
        </w:rPr>
      </w:pPr>
      <w:r>
        <w:rPr>
          <w:noProof/>
        </w:rPr>
        <w:t xml:space="preserve">Sellest maksusoodustusest võivad kasu saada korterelamud, ühepereelamud, eraldamata elamuühistud, mittetulundusühendused ja vabatahtlikud ühendused, harrastusspordi ühendused ja klubid ning sotsiaaleluruumid. Tingimustele vastamiseks tuleb renoveerimine liigitada „põhjalikuks renoveerimiseks“ (st keskmiseks renoveerimiseks vastavalt komisjoni soovitusele (EL) 2019/786), millega kaasneb parendamine vähemalt kahe energiaklassi võrra (keskmiselt vastab primaarenergia säästmisele 40 % ulatuses). Selle meetmega hõlmatud rahastamiskõlblike sekkumiste ulatus on lai, hõlmates näiteks juhtimissekkumisi, veetavaid sekkumisi, läbipaistmatute pindade soojusisolatsiooni ja kliimaseadmetesse (kondensatsioonkatlad; soojuspumbad; ühendus tõhusate kaugküttevõrkudega eritingimustel; päikese soojusenergia; biomassikatlad eritingimustel), fotoelektrilised süsteemid koos asjaomaste salvestussüsteemidega või taristuga elektrisõidukite laadimiseks. Kahes ministri 6. augusti 2020. aasta käskkirjas on juba kindlaks määratud sekkumise tehnilised nõuded ning menetlused konkreetsetest maksimumnõuetest ja kuludest kinnipidamise tõendamiseks. </w:t>
      </w:r>
    </w:p>
    <w:p w14:paraId="77ADA922" w14:textId="77777777" w:rsidR="0084326C" w:rsidRPr="005D68A0" w:rsidRDefault="0084326C" w:rsidP="0084326C">
      <w:pPr>
        <w:spacing w:before="120" w:after="120"/>
        <w:jc w:val="both"/>
        <w:rPr>
          <w:noProof/>
        </w:rPr>
      </w:pPr>
      <w:r>
        <w:rPr>
          <w:noProof/>
        </w:rPr>
        <w:t xml:space="preserve">Superbonust on kasutatud juba alates 1. juulist 2020 ja see kehtib kuni 30. juunini 2022 (sotsiaalelamute puhul kuni 31. detsembrini 2022). Toetust võib nõuda veel kuue kuu jooksul korterelamute või sotsiaalelamutega seotud ehitustööde puhul, kui vähemalt 60 % töödest on tehtud enne eespool nimetatud kuupäevi. Andmaks keerukamatele sekkumistele rohkem aega, on kavas pikendada meetme kohaldamist korterelamute suhtes kuni 31. detsembrini 2022 ja sotsiaalelamute suhtes kuni 30. juunini 2023, olenemata sellest, kas vähemalt 60 % töödest on lõpule viidud. </w:t>
      </w:r>
    </w:p>
    <w:p w14:paraId="5C3E6966" w14:textId="77777777" w:rsidR="0084326C" w:rsidRPr="005D68A0" w:rsidRDefault="0084326C" w:rsidP="0084326C">
      <w:pPr>
        <w:spacing w:before="120" w:after="120"/>
        <w:jc w:val="both"/>
        <w:rPr>
          <w:noProof/>
        </w:rPr>
      </w:pPr>
      <w:r>
        <w:rPr>
          <w:noProof/>
        </w:rPr>
        <w:t>Eeldatakse, et kõnealune meede ei kahjusta oluliselt keskkonnaeesmärke määruse (EL) 2020/852 artikli 17 tähenduses, võttes arvesse meetme kirjeldust ning taaste- ja vastupidavuskavas kooskõlas põhimõtte „ei kahjusta oluliselt“ tehniliste suunistega (2021/C58/01) sätestatud leevendavaid samme. Eelkõige moodustavad gaasikondensatsioonikatelde paigaldamise kulud kõige rohkem 20 % renoveerimisprogrammi kogukuludest. Juhul kui olemasolevad ebatõhusad gaasi-, söe- ja õlikatlad asendatakse gaasikondensatsioonikateldega, peavad need olema A-klassi tõhususega. Lisaks sellele peab maagaasikatelde paigaldamine vastama DNSH tehnilises juhendis (2021/C58/01) sätestatud tingimustele.</w:t>
      </w:r>
    </w:p>
    <w:p w14:paraId="615E4532" w14:textId="77777777" w:rsidR="0084326C" w:rsidRPr="005D68A0" w:rsidRDefault="0084326C" w:rsidP="0084326C">
      <w:pPr>
        <w:spacing w:before="120" w:after="120" w:line="257" w:lineRule="auto"/>
        <w:jc w:val="both"/>
        <w:rPr>
          <w:b/>
          <w:bCs/>
          <w:noProof/>
        </w:rPr>
      </w:pPr>
      <w:r>
        <w:rPr>
          <w:b/>
          <w:noProof/>
        </w:rPr>
        <w:t>Reform 1.1. Energiatõhususe meetmete lihtsustamine ja kiirendamine</w:t>
      </w:r>
    </w:p>
    <w:p w14:paraId="78917284" w14:textId="77777777" w:rsidR="0084326C" w:rsidRPr="005D68A0" w:rsidRDefault="0084326C" w:rsidP="0084326C">
      <w:pPr>
        <w:spacing w:before="120" w:after="120"/>
        <w:jc w:val="both"/>
        <w:rPr>
          <w:noProof/>
        </w:rPr>
      </w:pPr>
      <w:r>
        <w:rPr>
          <w:noProof/>
        </w:rPr>
        <w:t>Reformi eesmärk on lihtsustada ja kiirendada energiatõhususega seotud sekkumismeetmete rakendamise menetlusi. See koosneb neljast peamisest meetmest:</w:t>
      </w:r>
    </w:p>
    <w:p w14:paraId="7EE32C9B" w14:textId="77777777" w:rsidR="0084326C" w:rsidRPr="005D68A0" w:rsidRDefault="0084326C" w:rsidP="0084326C">
      <w:pPr>
        <w:numPr>
          <w:ilvl w:val="0"/>
          <w:numId w:val="71"/>
        </w:numPr>
        <w:spacing w:before="120" w:after="120"/>
        <w:ind w:left="357" w:hanging="357"/>
        <w:contextualSpacing/>
        <w:jc w:val="both"/>
        <w:rPr>
          <w:noProof/>
        </w:rPr>
      </w:pPr>
      <w:r>
        <w:rPr>
          <w:b/>
          <w:noProof/>
        </w:rPr>
        <w:t xml:space="preserve">Hoonete energiatõhususe riikliku portaali käivitamine: </w:t>
      </w:r>
      <w:r>
        <w:rPr>
          <w:noProof/>
        </w:rPr>
        <w:t xml:space="preserve">Portaal toetab kodanikke ja ettevõtjaid energiatõhususe projektide juhtimisel ning on otsuste tegijatele lihtsaks allikaks teabele juurdepääsul. See sisaldab teavet riigi hoonefondi energiatõhususe kohta, mis peaks aitama ettevõtetel ja kodanikel teha otsuseid oma kinnisvara energiatõhususe parandamise kohta. Luuakse ühtne kontaktpunkt, et pakkuda kodanikele ja ettevõtjatele abi ja kogu kasulikku teavet seoses hoonete energia kaardistamise, valdkondlike eeskirjade järgimise, tõhususe potentsiaali hindamise ja tegevusprioriteetide valimisega, sealhulgas etapiviisilised ümberarendamiskavad, kõige asjakohasemate edendamisvahendite valik ning kutseoskuste koolitus. </w:t>
      </w:r>
    </w:p>
    <w:p w14:paraId="6C3343D9" w14:textId="0053BBB7" w:rsidR="0084326C" w:rsidRPr="005D68A0" w:rsidRDefault="0084326C" w:rsidP="0084326C">
      <w:pPr>
        <w:numPr>
          <w:ilvl w:val="0"/>
          <w:numId w:val="71"/>
        </w:numPr>
        <w:spacing w:before="120" w:after="120"/>
        <w:ind w:left="357" w:hanging="357"/>
        <w:contextualSpacing/>
        <w:jc w:val="both"/>
        <w:rPr>
          <w:b/>
          <w:noProof/>
        </w:rPr>
      </w:pPr>
      <w:r>
        <w:rPr>
          <w:b/>
          <w:noProof/>
        </w:rPr>
        <w:t>Tsiviilsektorile suunatud teabe- ja koolituskava meetmete tugevdamine</w:t>
      </w:r>
      <w:r w:rsidR="0014554E">
        <w:rPr>
          <w:b/>
          <w:noProof/>
        </w:rPr>
        <w:t>:</w:t>
      </w:r>
      <w:r>
        <w:rPr>
          <w:b/>
          <w:noProof/>
        </w:rPr>
        <w:t xml:space="preserve"> </w:t>
      </w:r>
      <w:r>
        <w:rPr>
          <w:noProof/>
        </w:rPr>
        <w:t>Teabe- ja koolituskavas võetakse arvesse vajadust töötada välja nii konkreetsed algatused, mille eesmärk on täita lõppkasutajate teabelüngad eluasemesektoris, kui ka asjakohane koolitus stiimulite ja kõige tõhusamate sekkumiste kohta ettevõtetele, kes pakuvad energiateenuseid, viivad ellu sekkumisi, ja kondomiiniumi administraatoritele. Kava väljatöötamisel võetakse arvesse Superbonuse meetmest tulenevaid vajadusi, et maksimeerida selle tulemuslikkust ja panna alus kestvale ehitustõhususe kultuurile.</w:t>
      </w:r>
      <w:r>
        <w:rPr>
          <w:b/>
          <w:noProof/>
        </w:rPr>
        <w:t xml:space="preserve"> </w:t>
      </w:r>
    </w:p>
    <w:p w14:paraId="05BEBA52" w14:textId="77777777" w:rsidR="0084326C" w:rsidRPr="005D68A0" w:rsidRDefault="0084326C" w:rsidP="0084326C">
      <w:pPr>
        <w:numPr>
          <w:ilvl w:val="0"/>
          <w:numId w:val="71"/>
        </w:numPr>
        <w:spacing w:before="120" w:after="120"/>
        <w:ind w:left="357" w:hanging="357"/>
        <w:contextualSpacing/>
        <w:jc w:val="both"/>
        <w:rPr>
          <w:noProof/>
        </w:rPr>
      </w:pPr>
      <w:r>
        <w:rPr>
          <w:b/>
          <w:noProof/>
        </w:rPr>
        <w:t xml:space="preserve">Riikliku energiatõhususe fondi ajakohastamine ja tugevdamine: </w:t>
      </w:r>
      <w:r>
        <w:rPr>
          <w:noProof/>
        </w:rPr>
        <w:t xml:space="preserve">Riikliku energiatõhususe fondi loomist ja haldamist käsitlevate määruste läbivaatamisega (seadusandliku dekreedi 102/2014 artikkel 15 ja 22. detsembri 2017. aasta ministeeriumidevaheline dekreet) jõustuvad muudatused, et edendada olemasolevate ressursside suurendamist ja ulatuslikumat kasutamist. </w:t>
      </w:r>
    </w:p>
    <w:p w14:paraId="00FE9138" w14:textId="77777777" w:rsidR="0084326C" w:rsidRPr="005D68A0" w:rsidRDefault="0084326C" w:rsidP="0084326C">
      <w:pPr>
        <w:numPr>
          <w:ilvl w:val="0"/>
          <w:numId w:val="71"/>
        </w:numPr>
        <w:spacing w:before="120" w:after="120"/>
        <w:ind w:left="357" w:hanging="357"/>
        <w:contextualSpacing/>
        <w:jc w:val="both"/>
        <w:rPr>
          <w:noProof/>
        </w:rPr>
      </w:pPr>
      <w:r>
        <w:rPr>
          <w:b/>
          <w:noProof/>
        </w:rPr>
        <w:t xml:space="preserve">Avaliku sektori tsentraalse rekonstrueerimisprogrammi EPAC raames rahastatavate projektide rakendusetapi kiirendamine: </w:t>
      </w:r>
      <w:r>
        <w:rPr>
          <w:noProof/>
        </w:rPr>
        <w:t>Viiakse läbi regulatiivne läbivaatamine, mille eesmärk on edendada spetsiaalselt avaliku halduse keskasutuse hoonete ümberkvalifitseerimise programmile (PREPAC) eraldatud vahendite tõhusamat haldamist.</w:t>
      </w:r>
    </w:p>
    <w:p w14:paraId="4115B203" w14:textId="77777777" w:rsidR="0084326C" w:rsidRPr="005D68A0" w:rsidRDefault="0084326C" w:rsidP="0084326C">
      <w:pPr>
        <w:pStyle w:val="Heading3"/>
        <w:numPr>
          <w:ilvl w:val="0"/>
          <w:numId w:val="0"/>
        </w:numPr>
        <w:ind w:left="850" w:hanging="850"/>
        <w:rPr>
          <w:b/>
          <w:bCs w:val="0"/>
          <w:i w:val="0"/>
          <w:iCs/>
          <w:noProof/>
          <w:u w:val="single"/>
        </w:rPr>
      </w:pPr>
      <w:r>
        <w:rPr>
          <w:b/>
          <w:i w:val="0"/>
          <w:noProof/>
          <w:u w:val="single"/>
        </w:rPr>
        <w:t xml:space="preserve">F.2. </w:t>
      </w:r>
      <w:r>
        <w:rPr>
          <w:noProof/>
        </w:rPr>
        <w:tab/>
      </w:r>
      <w:r>
        <w:rPr>
          <w:b/>
          <w:i w:val="0"/>
          <w:noProof/>
          <w:u w:val="single"/>
        </w:rPr>
        <w:t>Tagastamatu rahalise toetuse eesmärgid, sihid, näitajad ning seire ja rakendamise ajakava</w:t>
      </w:r>
    </w:p>
    <w:p w14:paraId="785AFE6B" w14:textId="77777777" w:rsidR="0084326C" w:rsidRPr="00F33804" w:rsidRDefault="0084326C" w:rsidP="0084326C">
      <w:pPr>
        <w:spacing w:before="120" w:after="120"/>
        <w:ind w:left="709"/>
        <w:jc w:val="both"/>
        <w:rPr>
          <w:noProof/>
        </w:rPr>
        <w:sectPr w:rsidR="0084326C" w:rsidRPr="00F33804">
          <w:headerReference w:type="even" r:id="rId164"/>
          <w:headerReference w:type="default" r:id="rId165"/>
          <w:footerReference w:type="even" r:id="rId166"/>
          <w:footerReference w:type="default" r:id="rId167"/>
          <w:headerReference w:type="first" r:id="rId168"/>
          <w:footerReference w:type="first" r:id="rId169"/>
          <w:pgSz w:w="11907" w:h="16839"/>
          <w:pgMar w:top="1440" w:right="1440" w:bottom="1440" w:left="1440" w:header="567" w:footer="567" w:gutter="0"/>
          <w:cols w:space="720"/>
          <w:docGrid w:linePitch="360"/>
        </w:sectPr>
      </w:pPr>
    </w:p>
    <w:tbl>
      <w:tblPr>
        <w:tblpPr w:leftFromText="180" w:rightFromText="180" w:horzAnchor="margin" w:tblpXSpec="center" w:tblpY="-720"/>
        <w:tblW w:w="5122" w:type="pct"/>
        <w:tblLook w:val="04A0" w:firstRow="1" w:lastRow="0" w:firstColumn="1" w:lastColumn="0" w:noHBand="0" w:noVBand="1"/>
      </w:tblPr>
      <w:tblGrid>
        <w:gridCol w:w="1611"/>
        <w:gridCol w:w="1559"/>
        <w:gridCol w:w="1134"/>
        <w:gridCol w:w="1559"/>
        <w:gridCol w:w="1609"/>
        <w:gridCol w:w="1084"/>
        <w:gridCol w:w="1276"/>
        <w:gridCol w:w="1219"/>
        <w:gridCol w:w="995"/>
        <w:gridCol w:w="704"/>
        <w:gridCol w:w="2647"/>
      </w:tblGrid>
      <w:tr w:rsidR="0084326C" w:rsidRPr="00D90835" w14:paraId="2F1DA03C" w14:textId="77777777">
        <w:trPr>
          <w:trHeight w:val="927"/>
          <w:tblHeader/>
        </w:trPr>
        <w:tc>
          <w:tcPr>
            <w:tcW w:w="113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5DF58AA" w14:textId="77777777" w:rsidR="0084326C" w:rsidRPr="005D68A0" w:rsidRDefault="0084326C">
            <w:pPr>
              <w:jc w:val="center"/>
              <w:rPr>
                <w:rFonts w:ascii="Arial Narrow" w:hAnsi="Arial Narrow"/>
                <w:b/>
                <w:noProof/>
                <w:sz w:val="20"/>
                <w:szCs w:val="20"/>
              </w:rPr>
            </w:pPr>
            <w:r>
              <w:rPr>
                <w:rFonts w:ascii="Arial Narrow" w:hAnsi="Arial Narrow"/>
                <w:b/>
                <w:noProof/>
                <w:sz w:val="20"/>
              </w:rPr>
              <w:t>Järjekorranumber</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4594D18" w14:textId="77777777" w:rsidR="0084326C" w:rsidRPr="005D68A0" w:rsidRDefault="0084326C">
            <w:pPr>
              <w:jc w:val="center"/>
              <w:rPr>
                <w:rFonts w:ascii="Arial Narrow" w:hAnsi="Arial Narrow"/>
                <w:b/>
                <w:noProof/>
                <w:sz w:val="20"/>
                <w:szCs w:val="20"/>
              </w:rPr>
            </w:pPr>
            <w:r>
              <w:rPr>
                <w:rFonts w:ascii="Arial Narrow" w:hAnsi="Arial Narrow"/>
                <w:b/>
                <w:noProof/>
                <w:sz w:val="20"/>
              </w:rPr>
              <w:t>Seotud meede (reform või investeering)</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0EF7BAB" w14:textId="77777777" w:rsidR="0084326C" w:rsidRPr="005D68A0" w:rsidRDefault="0084326C">
            <w:pPr>
              <w:jc w:val="center"/>
              <w:rPr>
                <w:rFonts w:ascii="Arial Narrow" w:hAnsi="Arial Narrow"/>
                <w:b/>
                <w:noProof/>
                <w:sz w:val="20"/>
                <w:szCs w:val="20"/>
              </w:rPr>
            </w:pPr>
            <w:r>
              <w:rPr>
                <w:rFonts w:ascii="Arial Narrow" w:hAnsi="Arial Narrow"/>
                <w:b/>
                <w:noProof/>
                <w:sz w:val="20"/>
              </w:rPr>
              <w:t>Eesmärk / siht</w:t>
            </w:r>
          </w:p>
        </w:tc>
        <w:tc>
          <w:tcPr>
            <w:tcW w:w="1559" w:type="dxa"/>
            <w:vMerge w:val="restart"/>
            <w:tcBorders>
              <w:top w:val="single" w:sz="4" w:space="0" w:color="auto"/>
              <w:left w:val="nil"/>
              <w:bottom w:val="single" w:sz="4" w:space="0" w:color="auto"/>
              <w:right w:val="single" w:sz="4" w:space="0" w:color="auto"/>
            </w:tcBorders>
            <w:shd w:val="clear" w:color="auto" w:fill="BDD7EE"/>
            <w:vAlign w:val="center"/>
            <w:hideMark/>
          </w:tcPr>
          <w:p w14:paraId="1E6822F8" w14:textId="77777777" w:rsidR="0084326C" w:rsidRPr="005D68A0" w:rsidRDefault="0084326C">
            <w:pPr>
              <w:jc w:val="center"/>
              <w:rPr>
                <w:rFonts w:ascii="Arial Narrow" w:hAnsi="Arial Narrow"/>
                <w:b/>
                <w:noProof/>
                <w:sz w:val="20"/>
                <w:szCs w:val="20"/>
              </w:rPr>
            </w:pPr>
            <w:r>
              <w:rPr>
                <w:rFonts w:ascii="Arial Narrow" w:hAnsi="Arial Narrow"/>
                <w:b/>
                <w:noProof/>
                <w:sz w:val="20"/>
              </w:rPr>
              <w:t>Nimi</w:t>
            </w:r>
          </w:p>
        </w:tc>
        <w:tc>
          <w:tcPr>
            <w:tcW w:w="160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C124163" w14:textId="77777777" w:rsidR="0084326C" w:rsidRPr="005D68A0" w:rsidRDefault="0084326C">
            <w:pPr>
              <w:jc w:val="center"/>
              <w:rPr>
                <w:rFonts w:ascii="Arial Narrow" w:hAnsi="Arial Narrow"/>
                <w:b/>
                <w:noProof/>
                <w:sz w:val="20"/>
                <w:szCs w:val="20"/>
              </w:rPr>
            </w:pPr>
            <w:r>
              <w:rPr>
                <w:rFonts w:ascii="Arial Narrow" w:hAnsi="Arial Narrow"/>
                <w:b/>
                <w:noProof/>
                <w:sz w:val="20"/>
              </w:rPr>
              <w:t>Kvalitatiivsed näitajad</w:t>
            </w:r>
            <w:r>
              <w:rPr>
                <w:noProof/>
              </w:rPr>
              <w:t xml:space="preserve"> </w:t>
            </w:r>
            <w:r>
              <w:rPr>
                <w:noProof/>
              </w:rPr>
              <w:br/>
            </w:r>
            <w:r>
              <w:rPr>
                <w:rFonts w:ascii="Arial Narrow" w:hAnsi="Arial Narrow"/>
                <w:b/>
                <w:noProof/>
                <w:sz w:val="20"/>
              </w:rPr>
              <w:t>(eesmärkide puhul)</w:t>
            </w:r>
          </w:p>
        </w:tc>
        <w:tc>
          <w:tcPr>
            <w:tcW w:w="3579" w:type="dxa"/>
            <w:gridSpan w:val="3"/>
            <w:tcBorders>
              <w:top w:val="single" w:sz="4" w:space="0" w:color="auto"/>
              <w:left w:val="nil"/>
              <w:bottom w:val="single" w:sz="4" w:space="0" w:color="auto"/>
              <w:right w:val="single" w:sz="4" w:space="0" w:color="auto"/>
            </w:tcBorders>
            <w:shd w:val="clear" w:color="auto" w:fill="BDD7EE"/>
            <w:vAlign w:val="center"/>
            <w:hideMark/>
          </w:tcPr>
          <w:p w14:paraId="03633CC6" w14:textId="77777777" w:rsidR="0084326C" w:rsidRPr="005D68A0" w:rsidRDefault="0084326C">
            <w:pPr>
              <w:jc w:val="center"/>
              <w:rPr>
                <w:rFonts w:ascii="Arial Narrow" w:hAnsi="Arial Narrow"/>
                <w:b/>
                <w:noProof/>
                <w:sz w:val="20"/>
                <w:szCs w:val="20"/>
              </w:rPr>
            </w:pPr>
            <w:r>
              <w:rPr>
                <w:rFonts w:ascii="Arial Narrow" w:hAnsi="Arial Narrow"/>
                <w:b/>
                <w:noProof/>
                <w:sz w:val="20"/>
              </w:rPr>
              <w:t xml:space="preserve">Kvantitatiivsed näitajad </w:t>
            </w:r>
            <w:r>
              <w:rPr>
                <w:noProof/>
              </w:rPr>
              <w:br/>
            </w:r>
            <w:r>
              <w:rPr>
                <w:rFonts w:ascii="Arial Narrow" w:hAnsi="Arial Narrow"/>
                <w:b/>
                <w:noProof/>
                <w:sz w:val="20"/>
              </w:rPr>
              <w:t>(sihtide puhul)</w:t>
            </w:r>
          </w:p>
        </w:tc>
        <w:tc>
          <w:tcPr>
            <w:tcW w:w="1699" w:type="dxa"/>
            <w:gridSpan w:val="2"/>
            <w:tcBorders>
              <w:top w:val="single" w:sz="4" w:space="0" w:color="auto"/>
              <w:left w:val="nil"/>
              <w:bottom w:val="single" w:sz="4" w:space="0" w:color="auto"/>
              <w:right w:val="single" w:sz="4" w:space="0" w:color="auto"/>
            </w:tcBorders>
            <w:shd w:val="clear" w:color="auto" w:fill="BDD7EE"/>
            <w:vAlign w:val="center"/>
            <w:hideMark/>
          </w:tcPr>
          <w:p w14:paraId="111F2830" w14:textId="77777777" w:rsidR="0084326C" w:rsidRPr="005D68A0" w:rsidRDefault="0084326C">
            <w:pPr>
              <w:jc w:val="center"/>
              <w:rPr>
                <w:rFonts w:ascii="Arial Narrow" w:hAnsi="Arial Narrow"/>
                <w:b/>
                <w:noProof/>
                <w:sz w:val="20"/>
                <w:szCs w:val="20"/>
              </w:rPr>
            </w:pPr>
            <w:r>
              <w:rPr>
                <w:rFonts w:ascii="Arial Narrow" w:hAnsi="Arial Narrow"/>
                <w:b/>
                <w:noProof/>
                <w:sz w:val="20"/>
              </w:rPr>
              <w:t xml:space="preserve">Lõpuleviimise soovituslik ajakava </w:t>
            </w:r>
          </w:p>
        </w:tc>
        <w:tc>
          <w:tcPr>
            <w:tcW w:w="264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3556C03" w14:textId="77777777" w:rsidR="0084326C" w:rsidRPr="005D68A0" w:rsidRDefault="0084326C">
            <w:pPr>
              <w:rPr>
                <w:rFonts w:ascii="Arial Narrow" w:hAnsi="Arial Narrow"/>
                <w:b/>
                <w:noProof/>
                <w:sz w:val="20"/>
                <w:szCs w:val="20"/>
              </w:rPr>
            </w:pPr>
            <w:r>
              <w:rPr>
                <w:rFonts w:ascii="Arial Narrow" w:hAnsi="Arial Narrow"/>
                <w:b/>
                <w:noProof/>
                <w:sz w:val="20"/>
              </w:rPr>
              <w:t>Iga eesmärgi ja sihi kirjeldus</w:t>
            </w:r>
          </w:p>
        </w:tc>
      </w:tr>
      <w:tr w:rsidR="0084326C" w:rsidRPr="005D68A0" w14:paraId="5467624F" w14:textId="77777777">
        <w:trPr>
          <w:trHeight w:val="751"/>
          <w:tblHeader/>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1E98DC11" w14:textId="77777777" w:rsidR="0084326C" w:rsidRPr="00F33804" w:rsidRDefault="0084326C">
            <w:pPr>
              <w:rPr>
                <w:rFonts w:ascii="Arial Narrow" w:hAnsi="Arial Narrow"/>
                <w:b/>
                <w:bCs/>
                <w:noProof/>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93F297A" w14:textId="77777777" w:rsidR="0084326C" w:rsidRPr="00F33804" w:rsidRDefault="0084326C">
            <w:pPr>
              <w:rPr>
                <w:rFonts w:ascii="Arial Narrow" w:hAnsi="Arial Narrow"/>
                <w:b/>
                <w:bCs/>
                <w:noProof/>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271B17" w14:textId="77777777" w:rsidR="0084326C" w:rsidRPr="00F33804" w:rsidRDefault="0084326C">
            <w:pPr>
              <w:rPr>
                <w:rFonts w:ascii="Arial Narrow" w:hAnsi="Arial Narrow"/>
                <w:b/>
                <w:bCs/>
                <w:noProof/>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2471F2A" w14:textId="77777777" w:rsidR="0084326C" w:rsidRPr="00F33804" w:rsidRDefault="0084326C">
            <w:pPr>
              <w:rPr>
                <w:rFonts w:ascii="Arial Narrow" w:hAnsi="Arial Narrow"/>
                <w:b/>
                <w:bCs/>
                <w:noProof/>
                <w:sz w:val="20"/>
                <w:szCs w:val="20"/>
              </w:rPr>
            </w:pPr>
          </w:p>
        </w:tc>
        <w:tc>
          <w:tcPr>
            <w:tcW w:w="1609" w:type="dxa"/>
            <w:vMerge/>
            <w:tcBorders>
              <w:top w:val="single" w:sz="4" w:space="0" w:color="auto"/>
              <w:left w:val="single" w:sz="4" w:space="0" w:color="auto"/>
              <w:bottom w:val="single" w:sz="4" w:space="0" w:color="auto"/>
            </w:tcBorders>
            <w:vAlign w:val="center"/>
            <w:hideMark/>
          </w:tcPr>
          <w:p w14:paraId="2D8377FC" w14:textId="77777777" w:rsidR="0084326C" w:rsidRPr="00F33804" w:rsidRDefault="0084326C">
            <w:pPr>
              <w:rPr>
                <w:rFonts w:ascii="Arial Narrow" w:hAnsi="Arial Narrow"/>
                <w:b/>
                <w:bCs/>
                <w:noProof/>
                <w:sz w:val="20"/>
                <w:szCs w:val="20"/>
              </w:rPr>
            </w:pPr>
          </w:p>
        </w:tc>
        <w:tc>
          <w:tcPr>
            <w:tcW w:w="1084" w:type="dxa"/>
            <w:tcBorders>
              <w:top w:val="nil"/>
              <w:left w:val="single" w:sz="4" w:space="0" w:color="auto"/>
              <w:bottom w:val="single" w:sz="4" w:space="0" w:color="auto"/>
              <w:right w:val="single" w:sz="4" w:space="0" w:color="auto"/>
            </w:tcBorders>
            <w:shd w:val="clear" w:color="auto" w:fill="BDD7EE"/>
            <w:vAlign w:val="center"/>
            <w:hideMark/>
          </w:tcPr>
          <w:p w14:paraId="279EBD6A" w14:textId="77777777" w:rsidR="0084326C" w:rsidRPr="005D68A0" w:rsidRDefault="0084326C">
            <w:pPr>
              <w:jc w:val="center"/>
              <w:rPr>
                <w:rFonts w:ascii="Arial Narrow" w:hAnsi="Arial Narrow"/>
                <w:b/>
                <w:noProof/>
                <w:sz w:val="20"/>
                <w:szCs w:val="20"/>
              </w:rPr>
            </w:pPr>
            <w:r>
              <w:rPr>
                <w:rFonts w:ascii="Arial Narrow" w:hAnsi="Arial Narrow"/>
                <w:b/>
                <w:noProof/>
                <w:sz w:val="20"/>
              </w:rPr>
              <w:t>Mõõtühik</w:t>
            </w:r>
          </w:p>
        </w:tc>
        <w:tc>
          <w:tcPr>
            <w:tcW w:w="1276" w:type="dxa"/>
            <w:tcBorders>
              <w:top w:val="nil"/>
              <w:left w:val="nil"/>
              <w:bottom w:val="single" w:sz="4" w:space="0" w:color="auto"/>
              <w:right w:val="single" w:sz="4" w:space="0" w:color="auto"/>
            </w:tcBorders>
            <w:shd w:val="clear" w:color="auto" w:fill="BDD7EE"/>
            <w:vAlign w:val="center"/>
            <w:hideMark/>
          </w:tcPr>
          <w:p w14:paraId="0FD54E32" w14:textId="77777777" w:rsidR="0084326C" w:rsidRPr="005D68A0" w:rsidRDefault="0084326C">
            <w:pPr>
              <w:jc w:val="center"/>
              <w:rPr>
                <w:rFonts w:ascii="Arial Narrow" w:hAnsi="Arial Narrow"/>
                <w:b/>
                <w:noProof/>
                <w:sz w:val="20"/>
                <w:szCs w:val="20"/>
              </w:rPr>
            </w:pPr>
            <w:r>
              <w:rPr>
                <w:rFonts w:ascii="Arial Narrow" w:hAnsi="Arial Narrow"/>
                <w:b/>
                <w:noProof/>
                <w:sz w:val="20"/>
              </w:rPr>
              <w:t xml:space="preserve">Lähtetase </w:t>
            </w:r>
          </w:p>
        </w:tc>
        <w:tc>
          <w:tcPr>
            <w:tcW w:w="1219" w:type="dxa"/>
            <w:tcBorders>
              <w:top w:val="nil"/>
              <w:left w:val="nil"/>
              <w:bottom w:val="single" w:sz="4" w:space="0" w:color="auto"/>
              <w:right w:val="single" w:sz="4" w:space="0" w:color="auto"/>
            </w:tcBorders>
            <w:shd w:val="clear" w:color="auto" w:fill="BDD7EE"/>
            <w:vAlign w:val="center"/>
            <w:hideMark/>
          </w:tcPr>
          <w:p w14:paraId="0525A0F8" w14:textId="77777777" w:rsidR="0084326C" w:rsidRPr="005D68A0" w:rsidRDefault="0084326C">
            <w:pPr>
              <w:jc w:val="center"/>
              <w:rPr>
                <w:rFonts w:ascii="Arial Narrow" w:hAnsi="Arial Narrow"/>
                <w:b/>
                <w:noProof/>
                <w:sz w:val="20"/>
                <w:szCs w:val="20"/>
              </w:rPr>
            </w:pPr>
            <w:r>
              <w:rPr>
                <w:rFonts w:ascii="Arial Narrow" w:hAnsi="Arial Narrow"/>
                <w:b/>
                <w:noProof/>
                <w:sz w:val="20"/>
              </w:rPr>
              <w:t xml:space="preserve">Eesmärk </w:t>
            </w:r>
          </w:p>
        </w:tc>
        <w:tc>
          <w:tcPr>
            <w:tcW w:w="995" w:type="dxa"/>
            <w:tcBorders>
              <w:top w:val="nil"/>
              <w:left w:val="nil"/>
              <w:bottom w:val="single" w:sz="4" w:space="0" w:color="auto"/>
              <w:right w:val="single" w:sz="4" w:space="0" w:color="auto"/>
            </w:tcBorders>
            <w:shd w:val="clear" w:color="auto" w:fill="BDD7EE"/>
            <w:vAlign w:val="center"/>
            <w:hideMark/>
          </w:tcPr>
          <w:p w14:paraId="0F9D048B" w14:textId="77777777" w:rsidR="0084326C" w:rsidRPr="005D68A0" w:rsidRDefault="0084326C">
            <w:pPr>
              <w:jc w:val="center"/>
              <w:rPr>
                <w:rFonts w:ascii="Arial Narrow" w:hAnsi="Arial Narrow"/>
                <w:b/>
                <w:noProof/>
                <w:sz w:val="20"/>
                <w:szCs w:val="20"/>
              </w:rPr>
            </w:pPr>
            <w:r>
              <w:rPr>
                <w:rFonts w:ascii="Arial Narrow" w:hAnsi="Arial Narrow"/>
                <w:b/>
                <w:noProof/>
                <w:sz w:val="20"/>
              </w:rPr>
              <w:t>Kvartal</w:t>
            </w:r>
          </w:p>
        </w:tc>
        <w:tc>
          <w:tcPr>
            <w:tcW w:w="704" w:type="dxa"/>
            <w:tcBorders>
              <w:top w:val="nil"/>
              <w:left w:val="nil"/>
              <w:bottom w:val="single" w:sz="4" w:space="0" w:color="auto"/>
              <w:right w:val="single" w:sz="4" w:space="0" w:color="auto"/>
            </w:tcBorders>
            <w:shd w:val="clear" w:color="auto" w:fill="BDD7EE"/>
            <w:vAlign w:val="center"/>
            <w:hideMark/>
          </w:tcPr>
          <w:p w14:paraId="15C3EFB0" w14:textId="77777777" w:rsidR="0084326C" w:rsidRPr="005D68A0" w:rsidRDefault="0084326C">
            <w:pPr>
              <w:jc w:val="center"/>
              <w:rPr>
                <w:rFonts w:ascii="Arial Narrow" w:hAnsi="Arial Narrow"/>
                <w:b/>
                <w:noProof/>
                <w:sz w:val="20"/>
                <w:szCs w:val="20"/>
              </w:rPr>
            </w:pPr>
            <w:r>
              <w:rPr>
                <w:rFonts w:ascii="Arial Narrow" w:hAnsi="Arial Narrow"/>
                <w:b/>
                <w:noProof/>
                <w:sz w:val="20"/>
              </w:rPr>
              <w:t>Aasta</w:t>
            </w:r>
          </w:p>
        </w:tc>
        <w:tc>
          <w:tcPr>
            <w:tcW w:w="2647" w:type="dxa"/>
            <w:vMerge/>
            <w:tcBorders>
              <w:top w:val="single" w:sz="4" w:space="0" w:color="auto"/>
              <w:bottom w:val="single" w:sz="4" w:space="0" w:color="auto"/>
              <w:right w:val="single" w:sz="4" w:space="0" w:color="auto"/>
            </w:tcBorders>
            <w:vAlign w:val="center"/>
            <w:hideMark/>
          </w:tcPr>
          <w:p w14:paraId="18CEE657" w14:textId="77777777" w:rsidR="0084326C" w:rsidRPr="005D68A0" w:rsidRDefault="0084326C">
            <w:pPr>
              <w:rPr>
                <w:rFonts w:ascii="Arial Narrow" w:hAnsi="Arial Narrow"/>
                <w:b/>
                <w:bCs/>
                <w:noProof/>
                <w:sz w:val="20"/>
                <w:szCs w:val="20"/>
                <w:lang w:val="en-GB"/>
              </w:rPr>
            </w:pPr>
          </w:p>
        </w:tc>
      </w:tr>
      <w:tr w:rsidR="0084326C" w:rsidRPr="005D68A0" w14:paraId="4F0491FF" w14:textId="77777777">
        <w:trPr>
          <w:trHeight w:val="309"/>
        </w:trPr>
        <w:tc>
          <w:tcPr>
            <w:tcW w:w="1130"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D334E3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M2C3-1</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544C3B7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 xml:space="preserve">Investeering 2.1. Energiatõhususe ökoboonuse tugevdamine </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0B9239D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03C2DA3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Superbonuse lepingu pikendamise jõustumine</w:t>
            </w:r>
          </w:p>
        </w:tc>
        <w:tc>
          <w:tcPr>
            <w:tcW w:w="1609" w:type="dxa"/>
            <w:tcBorders>
              <w:top w:val="single" w:sz="4" w:space="0" w:color="auto"/>
              <w:left w:val="nil"/>
              <w:bottom w:val="single" w:sz="4" w:space="0" w:color="auto"/>
              <w:right w:val="single" w:sz="4" w:space="0" w:color="auto"/>
            </w:tcBorders>
            <w:shd w:val="clear" w:color="auto" w:fill="C6EFCE"/>
            <w:noWrap/>
            <w:vAlign w:val="center"/>
          </w:tcPr>
          <w:p w14:paraId="653AE87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Õigusakti(de)s sisalduv(ad) säte(id), mis osutab (osutavad) jõustumisele</w:t>
            </w:r>
          </w:p>
        </w:tc>
        <w:tc>
          <w:tcPr>
            <w:tcW w:w="1084" w:type="dxa"/>
            <w:tcBorders>
              <w:top w:val="nil"/>
              <w:left w:val="nil"/>
              <w:bottom w:val="single" w:sz="4" w:space="0" w:color="auto"/>
              <w:right w:val="single" w:sz="4" w:space="0" w:color="auto"/>
            </w:tcBorders>
            <w:shd w:val="clear" w:color="auto" w:fill="C6EFCE"/>
            <w:noWrap/>
            <w:vAlign w:val="center"/>
          </w:tcPr>
          <w:p w14:paraId="1FF41D2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276" w:type="dxa"/>
            <w:tcBorders>
              <w:top w:val="nil"/>
              <w:left w:val="nil"/>
              <w:bottom w:val="single" w:sz="4" w:space="0" w:color="auto"/>
              <w:right w:val="single" w:sz="4" w:space="0" w:color="auto"/>
            </w:tcBorders>
            <w:shd w:val="clear" w:color="auto" w:fill="C6EFCE"/>
            <w:noWrap/>
            <w:vAlign w:val="center"/>
          </w:tcPr>
          <w:p w14:paraId="7310374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219" w:type="dxa"/>
            <w:tcBorders>
              <w:top w:val="nil"/>
              <w:left w:val="nil"/>
              <w:bottom w:val="single" w:sz="4" w:space="0" w:color="auto"/>
              <w:right w:val="single" w:sz="4" w:space="0" w:color="auto"/>
            </w:tcBorders>
            <w:shd w:val="clear" w:color="auto" w:fill="C6EFCE"/>
            <w:noWrap/>
            <w:vAlign w:val="center"/>
          </w:tcPr>
          <w:p w14:paraId="5025F9F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95" w:type="dxa"/>
            <w:tcBorders>
              <w:top w:val="nil"/>
              <w:left w:val="nil"/>
              <w:bottom w:val="single" w:sz="4" w:space="0" w:color="auto"/>
              <w:right w:val="single" w:sz="4" w:space="0" w:color="auto"/>
            </w:tcBorders>
            <w:shd w:val="clear" w:color="auto" w:fill="C6EFCE"/>
            <w:noWrap/>
            <w:vAlign w:val="center"/>
          </w:tcPr>
          <w:p w14:paraId="5BF3116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704" w:type="dxa"/>
            <w:tcBorders>
              <w:top w:val="nil"/>
              <w:left w:val="nil"/>
              <w:bottom w:val="single" w:sz="4" w:space="0" w:color="auto"/>
              <w:right w:val="single" w:sz="4" w:space="0" w:color="auto"/>
            </w:tcBorders>
            <w:shd w:val="clear" w:color="auto" w:fill="C6EFCE"/>
            <w:noWrap/>
            <w:vAlign w:val="center"/>
          </w:tcPr>
          <w:p w14:paraId="16EEAD3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2021</w:t>
            </w:r>
          </w:p>
        </w:tc>
        <w:tc>
          <w:tcPr>
            <w:tcW w:w="2647" w:type="dxa"/>
            <w:tcBorders>
              <w:top w:val="single" w:sz="4" w:space="0" w:color="auto"/>
              <w:left w:val="nil"/>
              <w:bottom w:val="single" w:sz="4" w:space="0" w:color="auto"/>
              <w:right w:val="single" w:sz="4" w:space="0" w:color="auto"/>
            </w:tcBorders>
            <w:shd w:val="clear" w:color="auto" w:fill="C6EFCE"/>
            <w:noWrap/>
            <w:vAlign w:val="center"/>
          </w:tcPr>
          <w:p w14:paraId="5D784EA1"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Õigusakt(id) peab (peavad) pikendada Ecobonuse ja sismabonuse toetusi kuni 31. detsembrini 2022 kondomiiniumitele ja sotsiaalvaldkonnale 30. juunil 2023 elamumajandus (IACP)</w:t>
            </w:r>
          </w:p>
          <w:p w14:paraId="6B6D580B" w14:textId="77777777" w:rsidR="0084326C" w:rsidRPr="005D68A0" w:rsidRDefault="0084326C">
            <w:pPr>
              <w:spacing w:line="276" w:lineRule="auto"/>
              <w:rPr>
                <w:rFonts w:ascii="Arial Narrow" w:hAnsi="Arial Narrow"/>
                <w:noProof/>
                <w:color w:val="006100"/>
                <w:sz w:val="20"/>
                <w:szCs w:val="20"/>
              </w:rPr>
            </w:pPr>
          </w:p>
          <w:p w14:paraId="5CD78ADE" w14:textId="77777777" w:rsidR="0084326C" w:rsidRPr="005D68A0" w:rsidRDefault="0084326C">
            <w:pPr>
              <w:spacing w:line="276" w:lineRule="auto"/>
              <w:rPr>
                <w:rFonts w:ascii="Arial Narrow" w:hAnsi="Arial Narrow"/>
                <w:noProof/>
                <w:color w:val="006100"/>
                <w:sz w:val="20"/>
                <w:szCs w:val="20"/>
              </w:rPr>
            </w:pPr>
          </w:p>
          <w:p w14:paraId="53F73DA4" w14:textId="77777777" w:rsidR="0084326C" w:rsidRPr="005D68A0" w:rsidRDefault="0084326C">
            <w:pPr>
              <w:spacing w:line="276" w:lineRule="auto"/>
              <w:rPr>
                <w:rFonts w:ascii="Arial Narrow" w:hAnsi="Arial Narrow"/>
                <w:noProof/>
                <w:color w:val="006100"/>
                <w:sz w:val="20"/>
                <w:szCs w:val="20"/>
              </w:rPr>
            </w:pPr>
          </w:p>
        </w:tc>
      </w:tr>
      <w:tr w:rsidR="0084326C" w:rsidRPr="00D90835" w14:paraId="3902AF6B" w14:textId="77777777">
        <w:trPr>
          <w:trHeight w:val="309"/>
        </w:trPr>
        <w:tc>
          <w:tcPr>
            <w:tcW w:w="1130" w:type="dxa"/>
            <w:tcBorders>
              <w:top w:val="nil"/>
              <w:left w:val="single" w:sz="4" w:space="0" w:color="auto"/>
              <w:bottom w:val="single" w:sz="4" w:space="0" w:color="auto"/>
              <w:right w:val="single" w:sz="4" w:space="0" w:color="auto"/>
            </w:tcBorders>
            <w:shd w:val="clear" w:color="auto" w:fill="C6EFCE"/>
            <w:noWrap/>
            <w:vAlign w:val="center"/>
          </w:tcPr>
          <w:p w14:paraId="7D61C02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M2C3-2</w:t>
            </w:r>
          </w:p>
        </w:tc>
        <w:tc>
          <w:tcPr>
            <w:tcW w:w="1559" w:type="dxa"/>
            <w:tcBorders>
              <w:top w:val="nil"/>
              <w:left w:val="nil"/>
              <w:bottom w:val="single" w:sz="4" w:space="0" w:color="auto"/>
              <w:right w:val="single" w:sz="4" w:space="0" w:color="auto"/>
            </w:tcBorders>
            <w:shd w:val="clear" w:color="auto" w:fill="C6EFCE"/>
            <w:noWrap/>
            <w:vAlign w:val="center"/>
          </w:tcPr>
          <w:p w14:paraId="2A163E5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2.1. Energiatõhususe ökoboonuse tugevdamine</w:t>
            </w:r>
          </w:p>
        </w:tc>
        <w:tc>
          <w:tcPr>
            <w:tcW w:w="1134" w:type="dxa"/>
            <w:tcBorders>
              <w:top w:val="nil"/>
              <w:left w:val="nil"/>
              <w:bottom w:val="single" w:sz="4" w:space="0" w:color="auto"/>
              <w:right w:val="single" w:sz="4" w:space="0" w:color="auto"/>
            </w:tcBorders>
            <w:shd w:val="clear" w:color="auto" w:fill="C6EFCE"/>
            <w:noWrap/>
            <w:vAlign w:val="center"/>
          </w:tcPr>
          <w:p w14:paraId="326247E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1559" w:type="dxa"/>
            <w:tcBorders>
              <w:top w:val="nil"/>
              <w:left w:val="nil"/>
              <w:bottom w:val="single" w:sz="4" w:space="0" w:color="auto"/>
              <w:right w:val="single" w:sz="4" w:space="0" w:color="auto"/>
            </w:tcBorders>
            <w:shd w:val="clear" w:color="auto" w:fill="C6EFCE"/>
            <w:noWrap/>
            <w:vAlign w:val="center"/>
          </w:tcPr>
          <w:p w14:paraId="7F6C460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Hoonete renoveerimine Superbonus T1</w:t>
            </w:r>
          </w:p>
        </w:tc>
        <w:tc>
          <w:tcPr>
            <w:tcW w:w="1609" w:type="dxa"/>
            <w:tcBorders>
              <w:top w:val="nil"/>
              <w:left w:val="nil"/>
              <w:bottom w:val="single" w:sz="4" w:space="0" w:color="auto"/>
              <w:right w:val="single" w:sz="4" w:space="0" w:color="auto"/>
            </w:tcBorders>
            <w:shd w:val="clear" w:color="auto" w:fill="C6EFCE"/>
            <w:noWrap/>
            <w:vAlign w:val="center"/>
          </w:tcPr>
          <w:p w14:paraId="77C7325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84" w:type="dxa"/>
            <w:tcBorders>
              <w:top w:val="nil"/>
              <w:left w:val="nil"/>
              <w:bottom w:val="single" w:sz="4" w:space="0" w:color="auto"/>
              <w:right w:val="single" w:sz="4" w:space="0" w:color="auto"/>
            </w:tcBorders>
            <w:shd w:val="clear" w:color="auto" w:fill="C6EFCE"/>
            <w:noWrap/>
            <w:vAlign w:val="center"/>
          </w:tcPr>
          <w:p w14:paraId="2FE4001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 xml:space="preserve">Arv </w:t>
            </w:r>
          </w:p>
        </w:tc>
        <w:tc>
          <w:tcPr>
            <w:tcW w:w="1276" w:type="dxa"/>
            <w:tcBorders>
              <w:top w:val="nil"/>
              <w:left w:val="nil"/>
              <w:bottom w:val="single" w:sz="4" w:space="0" w:color="auto"/>
              <w:right w:val="single" w:sz="4" w:space="0" w:color="auto"/>
            </w:tcBorders>
            <w:shd w:val="clear" w:color="auto" w:fill="C6EFCE"/>
            <w:noWrap/>
            <w:vAlign w:val="center"/>
          </w:tcPr>
          <w:p w14:paraId="58E33D6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0</w:t>
            </w:r>
          </w:p>
        </w:tc>
        <w:tc>
          <w:tcPr>
            <w:tcW w:w="1219" w:type="dxa"/>
            <w:tcBorders>
              <w:top w:val="nil"/>
              <w:left w:val="nil"/>
              <w:bottom w:val="single" w:sz="4" w:space="0" w:color="auto"/>
              <w:right w:val="single" w:sz="4" w:space="0" w:color="auto"/>
            </w:tcBorders>
            <w:shd w:val="clear" w:color="auto" w:fill="C6EFCE"/>
            <w:noWrap/>
            <w:vAlign w:val="center"/>
          </w:tcPr>
          <w:p w14:paraId="20B77F3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17 000 000</w:t>
            </w:r>
          </w:p>
        </w:tc>
        <w:tc>
          <w:tcPr>
            <w:tcW w:w="995" w:type="dxa"/>
            <w:tcBorders>
              <w:top w:val="nil"/>
              <w:left w:val="nil"/>
              <w:bottom w:val="single" w:sz="4" w:space="0" w:color="auto"/>
              <w:right w:val="single" w:sz="4" w:space="0" w:color="auto"/>
            </w:tcBorders>
            <w:shd w:val="clear" w:color="auto" w:fill="C6EFCE"/>
            <w:noWrap/>
            <w:vAlign w:val="center"/>
          </w:tcPr>
          <w:p w14:paraId="3A98694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 kv</w:t>
            </w:r>
          </w:p>
        </w:tc>
        <w:tc>
          <w:tcPr>
            <w:tcW w:w="704" w:type="dxa"/>
            <w:tcBorders>
              <w:top w:val="nil"/>
              <w:left w:val="nil"/>
              <w:bottom w:val="single" w:sz="4" w:space="0" w:color="auto"/>
              <w:right w:val="single" w:sz="4" w:space="0" w:color="auto"/>
            </w:tcBorders>
            <w:shd w:val="clear" w:color="auto" w:fill="C6EFCE"/>
            <w:noWrap/>
            <w:vAlign w:val="center"/>
          </w:tcPr>
          <w:p w14:paraId="040B8BC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2023</w:t>
            </w:r>
          </w:p>
        </w:tc>
        <w:tc>
          <w:tcPr>
            <w:tcW w:w="2647" w:type="dxa"/>
            <w:tcBorders>
              <w:top w:val="nil"/>
              <w:left w:val="nil"/>
              <w:bottom w:val="single" w:sz="4" w:space="0" w:color="auto"/>
              <w:right w:val="single" w:sz="4" w:space="0" w:color="auto"/>
            </w:tcBorders>
            <w:shd w:val="clear" w:color="auto" w:fill="C6EFCE"/>
            <w:noWrap/>
            <w:vAlign w:val="center"/>
          </w:tcPr>
          <w:p w14:paraId="49FE39F8" w14:textId="75C9845B"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Hoonete täielik renoveerimine vähemalt 17 000 000 ruutmeetri ulatuses, mis toob kaasa primaarenergia säästmise vähemalt 40 % ulatuses ja vähemalt kahe klassi võrra kõrgema energiatõhususklassi.</w:t>
            </w:r>
          </w:p>
        </w:tc>
      </w:tr>
      <w:tr w:rsidR="0084326C" w:rsidRPr="00D90835" w14:paraId="4E7DA9DC" w14:textId="77777777">
        <w:trPr>
          <w:trHeight w:val="309"/>
        </w:trPr>
        <w:tc>
          <w:tcPr>
            <w:tcW w:w="1130" w:type="dxa"/>
            <w:tcBorders>
              <w:top w:val="nil"/>
              <w:left w:val="single" w:sz="4" w:space="0" w:color="auto"/>
              <w:bottom w:val="single" w:sz="4" w:space="0" w:color="auto"/>
              <w:right w:val="single" w:sz="4" w:space="0" w:color="auto"/>
            </w:tcBorders>
            <w:shd w:val="clear" w:color="auto" w:fill="C6EFCE"/>
            <w:noWrap/>
            <w:vAlign w:val="center"/>
          </w:tcPr>
          <w:p w14:paraId="37106AE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M2C3-3</w:t>
            </w:r>
          </w:p>
        </w:tc>
        <w:tc>
          <w:tcPr>
            <w:tcW w:w="1559" w:type="dxa"/>
            <w:tcBorders>
              <w:top w:val="nil"/>
              <w:left w:val="nil"/>
              <w:bottom w:val="single" w:sz="4" w:space="0" w:color="auto"/>
              <w:right w:val="single" w:sz="4" w:space="0" w:color="auto"/>
            </w:tcBorders>
            <w:shd w:val="clear" w:color="auto" w:fill="C6EFCE"/>
            <w:noWrap/>
            <w:vAlign w:val="center"/>
          </w:tcPr>
          <w:p w14:paraId="0BE2AB6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2.1. Energiatõhususe ökoboonuse tugevdamine</w:t>
            </w:r>
          </w:p>
        </w:tc>
        <w:tc>
          <w:tcPr>
            <w:tcW w:w="1134" w:type="dxa"/>
            <w:tcBorders>
              <w:top w:val="nil"/>
              <w:left w:val="nil"/>
              <w:bottom w:val="single" w:sz="4" w:space="0" w:color="auto"/>
              <w:right w:val="single" w:sz="4" w:space="0" w:color="auto"/>
            </w:tcBorders>
            <w:shd w:val="clear" w:color="auto" w:fill="C6EFCE"/>
            <w:noWrap/>
            <w:vAlign w:val="center"/>
          </w:tcPr>
          <w:p w14:paraId="11D6C68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1559" w:type="dxa"/>
            <w:tcBorders>
              <w:top w:val="nil"/>
              <w:left w:val="nil"/>
              <w:bottom w:val="single" w:sz="4" w:space="0" w:color="auto"/>
              <w:right w:val="single" w:sz="4" w:space="0" w:color="auto"/>
            </w:tcBorders>
            <w:shd w:val="clear" w:color="auto" w:fill="C6EFCE"/>
            <w:noWrap/>
            <w:vAlign w:val="center"/>
          </w:tcPr>
          <w:p w14:paraId="778A9AF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Hoonete renoveerimine Superbonus T2</w:t>
            </w:r>
          </w:p>
        </w:tc>
        <w:tc>
          <w:tcPr>
            <w:tcW w:w="1609" w:type="dxa"/>
            <w:tcBorders>
              <w:top w:val="nil"/>
              <w:left w:val="nil"/>
              <w:bottom w:val="single" w:sz="4" w:space="0" w:color="auto"/>
              <w:right w:val="single" w:sz="4" w:space="0" w:color="auto"/>
            </w:tcBorders>
            <w:shd w:val="clear" w:color="auto" w:fill="C6EFCE"/>
            <w:noWrap/>
            <w:vAlign w:val="center"/>
          </w:tcPr>
          <w:p w14:paraId="1B677D2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84" w:type="dxa"/>
            <w:tcBorders>
              <w:top w:val="nil"/>
              <w:left w:val="nil"/>
              <w:bottom w:val="single" w:sz="4" w:space="0" w:color="auto"/>
              <w:right w:val="single" w:sz="4" w:space="0" w:color="auto"/>
            </w:tcBorders>
            <w:shd w:val="clear" w:color="auto" w:fill="C6EFCE"/>
            <w:noWrap/>
            <w:vAlign w:val="center"/>
          </w:tcPr>
          <w:p w14:paraId="6C38F40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 xml:space="preserve">Arv </w:t>
            </w:r>
          </w:p>
        </w:tc>
        <w:tc>
          <w:tcPr>
            <w:tcW w:w="1276" w:type="dxa"/>
            <w:tcBorders>
              <w:top w:val="nil"/>
              <w:left w:val="nil"/>
              <w:bottom w:val="single" w:sz="4" w:space="0" w:color="auto"/>
              <w:right w:val="single" w:sz="4" w:space="0" w:color="auto"/>
            </w:tcBorders>
            <w:shd w:val="clear" w:color="auto" w:fill="C6EFCE"/>
            <w:noWrap/>
            <w:vAlign w:val="center"/>
          </w:tcPr>
          <w:p w14:paraId="5FF730A5" w14:textId="5789221F"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17 000 000</w:t>
            </w:r>
          </w:p>
        </w:tc>
        <w:tc>
          <w:tcPr>
            <w:tcW w:w="1219" w:type="dxa"/>
            <w:tcBorders>
              <w:top w:val="nil"/>
              <w:left w:val="nil"/>
              <w:bottom w:val="single" w:sz="4" w:space="0" w:color="auto"/>
              <w:right w:val="single" w:sz="4" w:space="0" w:color="auto"/>
            </w:tcBorders>
            <w:shd w:val="clear" w:color="auto" w:fill="C6EFCE"/>
            <w:noWrap/>
            <w:vAlign w:val="center"/>
          </w:tcPr>
          <w:p w14:paraId="29122473" w14:textId="5B5E8F7C"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35 800 000</w:t>
            </w:r>
          </w:p>
        </w:tc>
        <w:tc>
          <w:tcPr>
            <w:tcW w:w="995" w:type="dxa"/>
            <w:tcBorders>
              <w:top w:val="nil"/>
              <w:left w:val="nil"/>
              <w:bottom w:val="single" w:sz="4" w:space="0" w:color="auto"/>
              <w:right w:val="single" w:sz="4" w:space="0" w:color="auto"/>
            </w:tcBorders>
            <w:shd w:val="clear" w:color="auto" w:fill="C6EFCE"/>
            <w:noWrap/>
            <w:vAlign w:val="center"/>
          </w:tcPr>
          <w:p w14:paraId="380D28F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704" w:type="dxa"/>
            <w:tcBorders>
              <w:top w:val="nil"/>
              <w:left w:val="nil"/>
              <w:bottom w:val="single" w:sz="4" w:space="0" w:color="auto"/>
              <w:right w:val="single" w:sz="4" w:space="0" w:color="auto"/>
            </w:tcBorders>
            <w:shd w:val="clear" w:color="auto" w:fill="C6EFCE"/>
            <w:noWrap/>
            <w:vAlign w:val="center"/>
          </w:tcPr>
          <w:p w14:paraId="6BE8853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2025</w:t>
            </w:r>
          </w:p>
        </w:tc>
        <w:tc>
          <w:tcPr>
            <w:tcW w:w="2647" w:type="dxa"/>
            <w:tcBorders>
              <w:top w:val="nil"/>
              <w:left w:val="nil"/>
              <w:bottom w:val="single" w:sz="4" w:space="0" w:color="auto"/>
              <w:right w:val="single" w:sz="4" w:space="0" w:color="auto"/>
            </w:tcBorders>
            <w:shd w:val="clear" w:color="auto" w:fill="C6EFCE"/>
            <w:noWrap/>
            <w:vAlign w:val="center"/>
          </w:tcPr>
          <w:p w14:paraId="524C26E9" w14:textId="76692C13"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Hoonete täielik renoveerimine vähemalt 35 800 000 ruutmeetri ulatuses, mis toob kaasa primaarenergia säästmise vähemalt 40 % ulatuses vähemalt kahe klassi võrra kõrgema energiatõhususklassi.</w:t>
            </w:r>
          </w:p>
        </w:tc>
      </w:tr>
      <w:tr w:rsidR="0084326C" w:rsidRPr="00D90835" w14:paraId="674EF8C3" w14:textId="77777777">
        <w:trPr>
          <w:trHeight w:val="309"/>
        </w:trPr>
        <w:tc>
          <w:tcPr>
            <w:tcW w:w="1130" w:type="dxa"/>
            <w:tcBorders>
              <w:top w:val="nil"/>
              <w:left w:val="single" w:sz="4" w:space="0" w:color="auto"/>
              <w:bottom w:val="single" w:sz="4" w:space="0" w:color="auto"/>
              <w:right w:val="single" w:sz="4" w:space="0" w:color="auto"/>
            </w:tcBorders>
            <w:shd w:val="clear" w:color="auto" w:fill="C6EFCE"/>
            <w:noWrap/>
            <w:vAlign w:val="center"/>
          </w:tcPr>
          <w:p w14:paraId="45EA485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M2C3-4</w:t>
            </w:r>
          </w:p>
        </w:tc>
        <w:tc>
          <w:tcPr>
            <w:tcW w:w="1559" w:type="dxa"/>
            <w:tcBorders>
              <w:top w:val="nil"/>
              <w:left w:val="nil"/>
              <w:bottom w:val="single" w:sz="4" w:space="0" w:color="auto"/>
              <w:right w:val="single" w:sz="4" w:space="0" w:color="auto"/>
            </w:tcBorders>
            <w:shd w:val="clear" w:color="auto" w:fill="C6EFCE"/>
            <w:noWrap/>
            <w:vAlign w:val="center"/>
          </w:tcPr>
          <w:p w14:paraId="47E72A1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Reform 1.1. Energiatõhususse sekkumise menetluste lihtsustamine ja kiirendamine</w:t>
            </w:r>
          </w:p>
        </w:tc>
        <w:tc>
          <w:tcPr>
            <w:tcW w:w="1134" w:type="dxa"/>
            <w:tcBorders>
              <w:top w:val="nil"/>
              <w:left w:val="nil"/>
              <w:bottom w:val="single" w:sz="4" w:space="0" w:color="auto"/>
              <w:right w:val="single" w:sz="4" w:space="0" w:color="auto"/>
            </w:tcBorders>
            <w:shd w:val="clear" w:color="auto" w:fill="C6EFCE"/>
            <w:noWrap/>
            <w:vAlign w:val="center"/>
          </w:tcPr>
          <w:p w14:paraId="0A47B74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1559" w:type="dxa"/>
            <w:tcBorders>
              <w:top w:val="nil"/>
              <w:left w:val="nil"/>
              <w:bottom w:val="single" w:sz="4" w:space="0" w:color="auto"/>
              <w:right w:val="single" w:sz="4" w:space="0" w:color="auto"/>
            </w:tcBorders>
            <w:shd w:val="clear" w:color="auto" w:fill="C6EFCE"/>
            <w:noWrap/>
            <w:vAlign w:val="center"/>
          </w:tcPr>
          <w:p w14:paraId="7C4F450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Energiatõhususse sekkumise menetluste lihtsustamine ja kiirendamine</w:t>
            </w:r>
          </w:p>
        </w:tc>
        <w:tc>
          <w:tcPr>
            <w:tcW w:w="1609" w:type="dxa"/>
            <w:tcBorders>
              <w:top w:val="nil"/>
              <w:left w:val="nil"/>
              <w:bottom w:val="single" w:sz="4" w:space="0" w:color="auto"/>
              <w:right w:val="single" w:sz="4" w:space="0" w:color="auto"/>
            </w:tcBorders>
            <w:shd w:val="clear" w:color="auto" w:fill="C6EFCE"/>
            <w:noWrap/>
            <w:vAlign w:val="center"/>
          </w:tcPr>
          <w:p w14:paraId="08192C9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 xml:space="preserve">Õigusakti(de)s sisalduv(ad) säte(id), mis osutab (osutavad) jõustumisele </w:t>
            </w:r>
          </w:p>
        </w:tc>
        <w:tc>
          <w:tcPr>
            <w:tcW w:w="1084" w:type="dxa"/>
            <w:tcBorders>
              <w:top w:val="nil"/>
              <w:left w:val="nil"/>
              <w:bottom w:val="single" w:sz="4" w:space="0" w:color="auto"/>
              <w:right w:val="single" w:sz="4" w:space="0" w:color="auto"/>
            </w:tcBorders>
            <w:shd w:val="clear" w:color="auto" w:fill="C6EFCE"/>
            <w:noWrap/>
            <w:vAlign w:val="center"/>
          </w:tcPr>
          <w:p w14:paraId="48D146B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276" w:type="dxa"/>
            <w:tcBorders>
              <w:top w:val="nil"/>
              <w:left w:val="nil"/>
              <w:bottom w:val="single" w:sz="4" w:space="0" w:color="auto"/>
              <w:right w:val="single" w:sz="4" w:space="0" w:color="auto"/>
            </w:tcBorders>
            <w:shd w:val="clear" w:color="auto" w:fill="C6EFCE"/>
            <w:noWrap/>
            <w:vAlign w:val="center"/>
          </w:tcPr>
          <w:p w14:paraId="1F91F55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219" w:type="dxa"/>
            <w:tcBorders>
              <w:top w:val="nil"/>
              <w:left w:val="nil"/>
              <w:bottom w:val="single" w:sz="4" w:space="0" w:color="auto"/>
              <w:right w:val="single" w:sz="4" w:space="0" w:color="auto"/>
            </w:tcBorders>
            <w:shd w:val="clear" w:color="auto" w:fill="C6EFCE"/>
            <w:noWrap/>
            <w:vAlign w:val="center"/>
          </w:tcPr>
          <w:p w14:paraId="3D7D691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95" w:type="dxa"/>
            <w:tcBorders>
              <w:top w:val="nil"/>
              <w:left w:val="nil"/>
              <w:bottom w:val="single" w:sz="4" w:space="0" w:color="auto"/>
              <w:right w:val="single" w:sz="4" w:space="0" w:color="auto"/>
            </w:tcBorders>
            <w:shd w:val="clear" w:color="auto" w:fill="C6EFCE"/>
            <w:noWrap/>
            <w:vAlign w:val="center"/>
          </w:tcPr>
          <w:p w14:paraId="0F364FF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 kv</w:t>
            </w:r>
          </w:p>
        </w:tc>
        <w:tc>
          <w:tcPr>
            <w:tcW w:w="704" w:type="dxa"/>
            <w:tcBorders>
              <w:top w:val="nil"/>
              <w:left w:val="nil"/>
              <w:bottom w:val="single" w:sz="4" w:space="0" w:color="auto"/>
              <w:right w:val="single" w:sz="4" w:space="0" w:color="auto"/>
            </w:tcBorders>
            <w:shd w:val="clear" w:color="auto" w:fill="C6EFCE"/>
            <w:noWrap/>
            <w:vAlign w:val="center"/>
          </w:tcPr>
          <w:p w14:paraId="31A63C5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2022</w:t>
            </w:r>
          </w:p>
        </w:tc>
        <w:tc>
          <w:tcPr>
            <w:tcW w:w="2647" w:type="dxa"/>
            <w:tcBorders>
              <w:top w:val="nil"/>
              <w:left w:val="nil"/>
              <w:bottom w:val="single" w:sz="4" w:space="0" w:color="auto"/>
              <w:right w:val="single" w:sz="4" w:space="0" w:color="auto"/>
            </w:tcBorders>
            <w:shd w:val="clear" w:color="auto" w:fill="C6EFCE"/>
            <w:noWrap/>
            <w:vAlign w:val="center"/>
          </w:tcPr>
          <w:p w14:paraId="51661413"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Õigusaktiga (õigusaktidega) lihtsustatakse ja kiirendatakse energiatõhususega seotud sekkumiste menetlusi järgmiselt:</w:t>
            </w:r>
          </w:p>
          <w:p w14:paraId="541CEC66" w14:textId="77777777" w:rsidR="0084326C" w:rsidRPr="005D68A0" w:rsidRDefault="0084326C">
            <w:pPr>
              <w:pStyle w:val="ListParagraph"/>
              <w:numPr>
                <w:ilvl w:val="0"/>
                <w:numId w:val="90"/>
              </w:numPr>
              <w:spacing w:line="276" w:lineRule="auto"/>
              <w:jc w:val="left"/>
              <w:rPr>
                <w:rFonts w:ascii="Arial Narrow" w:hAnsi="Arial Narrow"/>
                <w:noProof/>
                <w:color w:val="006100"/>
                <w:sz w:val="20"/>
                <w:szCs w:val="20"/>
              </w:rPr>
            </w:pPr>
            <w:r>
              <w:rPr>
                <w:rFonts w:ascii="Arial Narrow" w:hAnsi="Arial Narrow"/>
                <w:noProof/>
                <w:color w:val="006100"/>
                <w:sz w:val="20"/>
              </w:rPr>
              <w:t>Hoonete energiatõhususe riikliku portaali käivitamine:</w:t>
            </w:r>
          </w:p>
          <w:p w14:paraId="74A5FA8A" w14:textId="77777777" w:rsidR="0084326C" w:rsidRPr="005D68A0" w:rsidRDefault="0084326C">
            <w:pPr>
              <w:pStyle w:val="ListParagraph"/>
              <w:numPr>
                <w:ilvl w:val="0"/>
                <w:numId w:val="90"/>
              </w:numPr>
              <w:spacing w:line="276" w:lineRule="auto"/>
              <w:jc w:val="left"/>
              <w:rPr>
                <w:rFonts w:ascii="Arial Narrow" w:hAnsi="Arial Narrow"/>
                <w:noProof/>
                <w:color w:val="006100"/>
                <w:sz w:val="20"/>
                <w:szCs w:val="20"/>
              </w:rPr>
            </w:pPr>
            <w:r>
              <w:rPr>
                <w:rFonts w:ascii="Arial Narrow" w:hAnsi="Arial Narrow"/>
                <w:noProof/>
                <w:color w:val="006100"/>
                <w:sz w:val="20"/>
              </w:rPr>
              <w:t>Tsiviilsektorile suunatud teabe- ja koolituskava meetmete tugevdamine</w:t>
            </w:r>
          </w:p>
          <w:p w14:paraId="1E897925" w14:textId="77777777" w:rsidR="0084326C" w:rsidRPr="005D68A0" w:rsidRDefault="0084326C">
            <w:pPr>
              <w:pStyle w:val="ListParagraph"/>
              <w:numPr>
                <w:ilvl w:val="0"/>
                <w:numId w:val="90"/>
              </w:numPr>
              <w:spacing w:line="276" w:lineRule="auto"/>
              <w:jc w:val="left"/>
              <w:rPr>
                <w:rFonts w:ascii="Arial Narrow" w:hAnsi="Arial Narrow"/>
                <w:noProof/>
                <w:color w:val="006100"/>
                <w:sz w:val="20"/>
                <w:szCs w:val="20"/>
              </w:rPr>
            </w:pPr>
            <w:r>
              <w:rPr>
                <w:rFonts w:ascii="Arial Narrow" w:hAnsi="Arial Narrow"/>
                <w:noProof/>
                <w:color w:val="006100"/>
                <w:sz w:val="20"/>
              </w:rPr>
              <w:t>Riikliku energiatõhususe fondi ajakohastamine ja tugevdamine:</w:t>
            </w:r>
          </w:p>
          <w:p w14:paraId="1AF94168" w14:textId="77777777" w:rsidR="0084326C" w:rsidRPr="005D68A0" w:rsidRDefault="0084326C">
            <w:pPr>
              <w:pStyle w:val="ListParagraph"/>
              <w:numPr>
                <w:ilvl w:val="0"/>
                <w:numId w:val="90"/>
              </w:numPr>
              <w:spacing w:line="276" w:lineRule="auto"/>
              <w:jc w:val="left"/>
              <w:rPr>
                <w:rFonts w:ascii="Arial Narrow" w:hAnsi="Arial Narrow"/>
                <w:noProof/>
                <w:color w:val="006100"/>
                <w:sz w:val="20"/>
                <w:szCs w:val="20"/>
              </w:rPr>
            </w:pPr>
            <w:r>
              <w:rPr>
                <w:rFonts w:ascii="Arial Narrow" w:hAnsi="Arial Narrow"/>
                <w:noProof/>
                <w:color w:val="006100"/>
                <w:sz w:val="20"/>
              </w:rPr>
              <w:t>PREPACi programmist rahastatavate projektide rakendusetapi kiirendamine</w:t>
            </w:r>
          </w:p>
        </w:tc>
      </w:tr>
    </w:tbl>
    <w:p w14:paraId="5BAA43B4" w14:textId="77777777" w:rsidR="0084326C" w:rsidRPr="005D68A0" w:rsidRDefault="0084326C" w:rsidP="0084326C">
      <w:pPr>
        <w:spacing w:before="120" w:after="120"/>
        <w:ind w:left="709"/>
        <w:jc w:val="both"/>
        <w:rPr>
          <w:noProof/>
          <w:lang w:val="en-GB"/>
        </w:rPr>
        <w:sectPr w:rsidR="0084326C" w:rsidRPr="005D68A0">
          <w:headerReference w:type="even" r:id="rId170"/>
          <w:headerReference w:type="default" r:id="rId171"/>
          <w:footerReference w:type="even" r:id="rId172"/>
          <w:footerReference w:type="default" r:id="rId173"/>
          <w:headerReference w:type="first" r:id="rId174"/>
          <w:footerReference w:type="first" r:id="rId175"/>
          <w:pgSz w:w="16839" w:h="11907" w:orient="landscape"/>
          <w:pgMar w:top="1134" w:right="1134" w:bottom="1134" w:left="1134" w:header="567" w:footer="567" w:gutter="0"/>
          <w:cols w:space="720"/>
          <w:docGrid w:linePitch="360"/>
        </w:sectPr>
      </w:pPr>
    </w:p>
    <w:p w14:paraId="2DF43BB0" w14:textId="77777777" w:rsidR="0084326C" w:rsidRPr="005D68A0" w:rsidRDefault="0084326C" w:rsidP="0084326C">
      <w:pPr>
        <w:pStyle w:val="Heading3"/>
        <w:numPr>
          <w:ilvl w:val="0"/>
          <w:numId w:val="0"/>
        </w:numPr>
        <w:ind w:left="850" w:hanging="850"/>
        <w:rPr>
          <w:b/>
          <w:bCs w:val="0"/>
          <w:i w:val="0"/>
          <w:iCs/>
          <w:noProof/>
          <w:color w:val="4472C4" w:themeColor="accent1"/>
          <w:u w:val="single"/>
        </w:rPr>
      </w:pPr>
      <w:r>
        <w:rPr>
          <w:b/>
          <w:i w:val="0"/>
          <w:noProof/>
          <w:u w:val="single"/>
        </w:rPr>
        <w:t xml:space="preserve">F.3. </w:t>
      </w:r>
      <w:r>
        <w:rPr>
          <w:noProof/>
        </w:rPr>
        <w:tab/>
      </w:r>
      <w:r>
        <w:rPr>
          <w:b/>
          <w:i w:val="0"/>
          <w:noProof/>
          <w:u w:val="single"/>
        </w:rPr>
        <w:t xml:space="preserve">Laenuga seotud reformide ja investeeringute kirjeldus </w:t>
      </w:r>
    </w:p>
    <w:p w14:paraId="0DA2ACFA" w14:textId="77777777" w:rsidR="0084326C" w:rsidRPr="005D68A0" w:rsidRDefault="0084326C" w:rsidP="0084326C">
      <w:pPr>
        <w:spacing w:before="120" w:after="120"/>
        <w:jc w:val="both"/>
        <w:rPr>
          <w:rFonts w:eastAsia="Calibri"/>
          <w:noProof/>
          <w:color w:val="4472C4" w:themeColor="accent1"/>
        </w:rPr>
      </w:pPr>
      <w:r>
        <w:rPr>
          <w:b/>
          <w:noProof/>
          <w:color w:val="000000"/>
          <w:shd w:val="clear" w:color="auto" w:fill="FFFFFF"/>
        </w:rPr>
        <w:t xml:space="preserve">Investeering 1.1. Uute koolide ehitamine hoone asendamise teel </w:t>
      </w:r>
    </w:p>
    <w:p w14:paraId="34D2A4B9" w14:textId="77777777" w:rsidR="0084326C" w:rsidRPr="005D68A0" w:rsidRDefault="0084326C" w:rsidP="0084326C">
      <w:pPr>
        <w:spacing w:before="120" w:after="120"/>
        <w:jc w:val="both"/>
        <w:rPr>
          <w:noProof/>
        </w:rPr>
      </w:pPr>
      <w:r>
        <w:rPr>
          <w:noProof/>
        </w:rPr>
        <w:t>See meede keskendub riiklike koolide hoonefondi osade järkjärgulisele asendamisele eesmärgiga luua nüüdisaegsed ja jätkusuutlikud struktuurid.</w:t>
      </w:r>
    </w:p>
    <w:p w14:paraId="10062600" w14:textId="77777777" w:rsidR="0084326C" w:rsidRPr="005D68A0" w:rsidRDefault="0084326C" w:rsidP="0084326C">
      <w:pPr>
        <w:spacing w:before="120" w:after="120"/>
        <w:jc w:val="both"/>
        <w:rPr>
          <w:noProof/>
        </w:rPr>
      </w:pPr>
      <w:r>
        <w:rPr>
          <w:noProof/>
        </w:rPr>
        <w:t>Meetmete eesmärk on vähendada energiatarbimist, suurendada hoonete maavärinakindlust ja arendada rohealasid.</w:t>
      </w:r>
    </w:p>
    <w:p w14:paraId="56EC8AD7" w14:textId="77777777" w:rsidR="0084326C" w:rsidRPr="005D68A0" w:rsidRDefault="0084326C" w:rsidP="0084326C">
      <w:pPr>
        <w:spacing w:before="120" w:after="120"/>
        <w:jc w:val="both"/>
        <w:rPr>
          <w:noProof/>
        </w:rPr>
      </w:pPr>
      <w:r>
        <w:rPr>
          <w:noProof/>
        </w:rPr>
        <w:t xml:space="preserve">Kava peaks olema suunatud 166 koolihoonele, kokku 400 tuhat m². </w:t>
      </w:r>
    </w:p>
    <w:p w14:paraId="4B9746D3" w14:textId="77777777" w:rsidR="0084326C" w:rsidRPr="005D68A0" w:rsidRDefault="0084326C" w:rsidP="0084326C">
      <w:pPr>
        <w:spacing w:before="120" w:after="120"/>
        <w:jc w:val="both"/>
        <w:rPr>
          <w:rFonts w:eastAsia="Calibri"/>
          <w:b/>
          <w:noProof/>
        </w:rPr>
      </w:pPr>
      <w:r>
        <w:rPr>
          <w:b/>
          <w:noProof/>
        </w:rPr>
        <w:t>Investeering 1.2. Hoonete ehitamine, kinnisvara ümberkvalifitseerimine ja tugevdamine õigusemõistmise eesmärgil</w:t>
      </w:r>
    </w:p>
    <w:p w14:paraId="0584FC00" w14:textId="77777777" w:rsidR="0084326C" w:rsidRPr="005D68A0" w:rsidRDefault="0084326C" w:rsidP="0084326C">
      <w:pPr>
        <w:spacing w:before="120" w:after="120"/>
        <w:jc w:val="both"/>
        <w:rPr>
          <w:rFonts w:eastAsia="Calibri"/>
          <w:noProof/>
        </w:rPr>
      </w:pPr>
      <w:r>
        <w:rPr>
          <w:noProof/>
        </w:rPr>
        <w:t xml:space="preserve">Selle meetme eesmärk on renoveerida ja ümber kvalifitseerida ebapiisavad õigusemõistmise struktuurid. </w:t>
      </w:r>
    </w:p>
    <w:p w14:paraId="59C43C54" w14:textId="77777777" w:rsidR="0084326C" w:rsidRPr="005D68A0" w:rsidRDefault="0084326C" w:rsidP="0084326C">
      <w:pPr>
        <w:spacing w:before="120" w:after="120"/>
        <w:jc w:val="both"/>
        <w:rPr>
          <w:b/>
          <w:bCs/>
          <w:noProof/>
          <w:u w:val="single"/>
        </w:rPr>
      </w:pPr>
      <w:r>
        <w:rPr>
          <w:noProof/>
        </w:rPr>
        <w:t>Sekkumine keskendub olemasoleva vara säilitamisele, võimaldades kaitsta, väärtustada ja taastada ajaloopärandit, mis sageli iseloomustab Itaalia kohtusüsteemi haldusameteid. Lisaks energiatõhususele on programmi eesmärk tagada ka sekkumiste majanduslik, keskkonnaalane ja sotsiaalne jätkusuutlikkus, kasutades säästvaid materjale ja taastuvatest energiaallikatest isetoodetud elektrienergiat. Sekkumistega võidakse kohandada ka ehitisi, et vähendada hoonete seismilist haavatavust.</w:t>
      </w:r>
    </w:p>
    <w:p w14:paraId="584B426C" w14:textId="77777777" w:rsidR="0084326C" w:rsidRPr="005D68A0" w:rsidRDefault="0084326C" w:rsidP="0084326C">
      <w:pPr>
        <w:spacing w:before="120" w:after="120"/>
        <w:jc w:val="both"/>
        <w:rPr>
          <w:noProof/>
        </w:rPr>
      </w:pPr>
      <w:r>
        <w:rPr>
          <w:noProof/>
        </w:rPr>
        <w:t>Nende omavalitsuste soovituslik loetelu, kus sekkumine toimub, on järgmine: Bari, Bergamo, Bologna, Cagliari, Firenze, Genova, Latina, Messina, Milano, Monza, Napoli, Palermo, Perugia, Reggio Calabria, Rooma, Trani, Torino, Velletri ja Veneetsia.</w:t>
      </w:r>
    </w:p>
    <w:p w14:paraId="5A401641" w14:textId="77777777" w:rsidR="0084326C" w:rsidRPr="005D68A0" w:rsidRDefault="0084326C" w:rsidP="0084326C">
      <w:pPr>
        <w:spacing w:before="120" w:after="120"/>
        <w:jc w:val="both"/>
        <w:rPr>
          <w:noProof/>
        </w:rPr>
      </w:pPr>
      <w:r>
        <w:rPr>
          <w:noProof/>
        </w:rPr>
        <w:t>Sekkumine ei hõlma maagaasikatlaid.</w:t>
      </w:r>
    </w:p>
    <w:p w14:paraId="67A2A077" w14:textId="77777777" w:rsidR="0084326C" w:rsidRPr="005D68A0" w:rsidRDefault="0084326C" w:rsidP="0084326C">
      <w:pPr>
        <w:spacing w:before="120" w:after="120"/>
        <w:jc w:val="both"/>
        <w:rPr>
          <w:rFonts w:eastAsia="Calibri"/>
          <w:b/>
          <w:noProof/>
        </w:rPr>
      </w:pPr>
      <w:r>
        <w:rPr>
          <w:b/>
          <w:noProof/>
        </w:rPr>
        <w:t>Investeering 3.1. Tõhusa kaugkütte edendamine</w:t>
      </w:r>
    </w:p>
    <w:p w14:paraId="64F2E1CD" w14:textId="77777777" w:rsidR="0084326C" w:rsidRPr="005D68A0" w:rsidRDefault="0084326C" w:rsidP="0084326C">
      <w:pPr>
        <w:spacing w:before="120" w:after="120"/>
        <w:jc w:val="both"/>
        <w:rPr>
          <w:rFonts w:eastAsia="Calibri"/>
          <w:noProof/>
        </w:rPr>
      </w:pPr>
      <w:r>
        <w:rPr>
          <w:noProof/>
        </w:rPr>
        <w:t>Kaugküttel on kütte- ja jahutussektori keskkonnaeesmärkide saavutamisel oluline roll, eriti suurtes linnapiirkondades, kus probleem on veelgi teravam.</w:t>
      </w:r>
    </w:p>
    <w:p w14:paraId="54CD56E1" w14:textId="77777777" w:rsidR="0084326C" w:rsidRPr="005D68A0" w:rsidRDefault="0084326C" w:rsidP="0084326C">
      <w:pPr>
        <w:spacing w:before="120" w:after="120"/>
        <w:jc w:val="both"/>
        <w:rPr>
          <w:rFonts w:eastAsia="Calibri"/>
          <w:noProof/>
        </w:rPr>
      </w:pPr>
      <w:r>
        <w:rPr>
          <w:noProof/>
        </w:rPr>
        <w:t xml:space="preserve">Meetmega arendatakse tõhusat kaugkütet, mis põhineb taastuvatest energiaallikatest, heitsoojusest või koostootmisjaamades toodetud soojuse jaotamisel. Meetmega rahastatakse projekte, mis valitakse välja 2022. aastal algatatava hankemenetluse kaudu, mis on seotud uute võrkude ehitamise või olemasolevate kaugküttevõrkude laiendamisega. Järgmise hankemenetluse võib algatada 2023. aastal. Eelistatakse projekte, mis tagavad suurima säästu taastumatutest energiaallikatest saadavas primaarenergias. </w:t>
      </w:r>
    </w:p>
    <w:p w14:paraId="648AD4AC" w14:textId="77777777" w:rsidR="0084326C" w:rsidRPr="005D68A0" w:rsidRDefault="0084326C" w:rsidP="0084326C">
      <w:pPr>
        <w:spacing w:before="120" w:after="120"/>
        <w:jc w:val="both"/>
        <w:rPr>
          <w:rFonts w:eastAsia="Calibri"/>
          <w:noProof/>
        </w:rPr>
      </w:pPr>
      <w:r>
        <w:rPr>
          <w:noProof/>
        </w:rPr>
        <w:t>Eeldatakse, et igal aastal saavutatakse energia- ja keskkonnakasu, mis võrdub 20 ktoe fossiilse primaarenergiaga aastas ja 40 ktonn CO</w:t>
      </w:r>
      <w:r>
        <w:rPr>
          <w:noProof/>
          <w:vertAlign w:val="subscript"/>
        </w:rPr>
        <w:t>2</w:t>
      </w:r>
      <w:r>
        <w:rPr>
          <w:noProof/>
        </w:rPr>
        <w:t xml:space="preserve"> heitega, mida välditi HKSi mittekuuluvates sektorites. </w:t>
      </w:r>
    </w:p>
    <w:p w14:paraId="3D0DA9A5" w14:textId="77777777" w:rsidR="0084326C" w:rsidRPr="005D68A0" w:rsidRDefault="0084326C" w:rsidP="0084326C">
      <w:pPr>
        <w:spacing w:before="120" w:after="120"/>
        <w:jc w:val="both"/>
        <w:rPr>
          <w:rFonts w:eastAsia="Calibri"/>
          <w:noProof/>
        </w:rPr>
      </w:pPr>
      <w:r>
        <w:rPr>
          <w:noProof/>
        </w:rPr>
        <w:t>Eeldatakse, et kõnealune meede ei kahjusta oluliselt keskkonnaeesmärke määruse (EL) 2020/852 artikli 17 tähenduses, võttes arvesse meetme kirjeldust ning taaste- ja vastupidavuskavas kooskõlas põhimõtte „ei kahjusta oluliselt“ tehniliste suunistega (2021/C58/01) sätestatud leevendavaid samme. Eelkõige ei kasutata tõhusa kaugküttesüsteemi ehitamisel soojusallikana fossiilkütuseid, vaid kasutatakse üksnes soojust, mis on toodetud taastuvatest energiaallikatest, heitsoojusest või mis on toodetud koos suure jõudlusega elektrijaamades. Kaugkütte infrastruktuur peab vastama Euroopa Parlamendi ja nõukogu 25. oktoobri 2012. aasta direktiivile 2012/27 / EL energiatõhususe kohta, millega muudetakse direktiive 2009/125 / EÜ ja 2010/30 / EL ning tunnistatakse kehtetuks direktiivid 2004/8 / EÜ ja 2006/32 / EÜ (ELT L 315, 14.11.2012, lk 1) ja eeldatavasti tagavad selle vähenemise 0,04 MtCO2 aastas.</w:t>
      </w:r>
    </w:p>
    <w:p w14:paraId="5031ECA4" w14:textId="77777777" w:rsidR="0084326C" w:rsidRPr="005D68A0" w:rsidRDefault="0084326C" w:rsidP="0084326C">
      <w:pPr>
        <w:pStyle w:val="Heading3"/>
        <w:numPr>
          <w:ilvl w:val="0"/>
          <w:numId w:val="0"/>
        </w:numPr>
        <w:ind w:left="850" w:hanging="850"/>
        <w:rPr>
          <w:b/>
          <w:bCs w:val="0"/>
          <w:i w:val="0"/>
          <w:iCs/>
          <w:noProof/>
          <w:u w:val="single"/>
        </w:rPr>
      </w:pPr>
      <w:r>
        <w:rPr>
          <w:b/>
          <w:i w:val="0"/>
          <w:noProof/>
          <w:u w:val="single"/>
        </w:rPr>
        <w:t xml:space="preserve">F.4. </w:t>
      </w:r>
      <w:r>
        <w:rPr>
          <w:noProof/>
        </w:rPr>
        <w:tab/>
      </w:r>
      <w:r>
        <w:rPr>
          <w:b/>
          <w:i w:val="0"/>
          <w:noProof/>
          <w:u w:val="single"/>
        </w:rPr>
        <w:t xml:space="preserve">Laenu eesmärgid, sihid, näitajad ning seire ja rakendamise ajakava </w:t>
      </w:r>
    </w:p>
    <w:p w14:paraId="26503748" w14:textId="77777777" w:rsidR="0084326C" w:rsidRPr="00F33804" w:rsidRDefault="0084326C" w:rsidP="0084326C">
      <w:pPr>
        <w:spacing w:before="120" w:after="120"/>
        <w:ind w:left="709"/>
        <w:contextualSpacing/>
        <w:jc w:val="both"/>
        <w:rPr>
          <w:noProof/>
        </w:rPr>
        <w:sectPr w:rsidR="0084326C" w:rsidRPr="00F33804">
          <w:headerReference w:type="even" r:id="rId176"/>
          <w:headerReference w:type="default" r:id="rId177"/>
          <w:footerReference w:type="even" r:id="rId178"/>
          <w:footerReference w:type="default" r:id="rId179"/>
          <w:headerReference w:type="first" r:id="rId180"/>
          <w:footerReference w:type="first" r:id="rId181"/>
          <w:pgSz w:w="11907" w:h="16839"/>
          <w:pgMar w:top="1134" w:right="1134" w:bottom="1134" w:left="1134" w:header="567" w:footer="567" w:gutter="0"/>
          <w:cols w:space="720"/>
          <w:docGrid w:linePitch="360"/>
        </w:sectPr>
      </w:pPr>
    </w:p>
    <w:tbl>
      <w:tblPr>
        <w:tblpPr w:leftFromText="180" w:rightFromText="180" w:horzAnchor="margin" w:tblpXSpec="center" w:tblpY="-720"/>
        <w:tblW w:w="14789" w:type="dxa"/>
        <w:tblLook w:val="04A0" w:firstRow="1" w:lastRow="0" w:firstColumn="1" w:lastColumn="0" w:noHBand="0" w:noVBand="1"/>
      </w:tblPr>
      <w:tblGrid>
        <w:gridCol w:w="1611"/>
        <w:gridCol w:w="1848"/>
        <w:gridCol w:w="1134"/>
        <w:gridCol w:w="2003"/>
        <w:gridCol w:w="1701"/>
        <w:gridCol w:w="1276"/>
        <w:gridCol w:w="982"/>
        <w:gridCol w:w="1022"/>
        <w:gridCol w:w="809"/>
        <w:gridCol w:w="663"/>
        <w:gridCol w:w="2461"/>
      </w:tblGrid>
      <w:tr w:rsidR="0084326C" w:rsidRPr="00D90835" w14:paraId="06B35A30" w14:textId="77777777">
        <w:trPr>
          <w:trHeight w:val="939"/>
          <w:tblHeader/>
        </w:trPr>
        <w:tc>
          <w:tcPr>
            <w:tcW w:w="127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E65879D" w14:textId="77777777" w:rsidR="0084326C" w:rsidRPr="005D68A0" w:rsidRDefault="0084326C">
            <w:pPr>
              <w:jc w:val="center"/>
              <w:rPr>
                <w:rFonts w:ascii="Arial Narrow" w:hAnsi="Arial Narrow"/>
                <w:b/>
                <w:noProof/>
                <w:sz w:val="20"/>
                <w:szCs w:val="20"/>
              </w:rPr>
            </w:pPr>
            <w:r>
              <w:rPr>
                <w:rFonts w:ascii="Arial Narrow" w:hAnsi="Arial Narrow"/>
                <w:b/>
                <w:noProof/>
                <w:sz w:val="20"/>
              </w:rPr>
              <w:t>Järjekorranumber</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81096A8" w14:textId="77777777" w:rsidR="0084326C" w:rsidRPr="005D68A0" w:rsidRDefault="0084326C">
            <w:pPr>
              <w:jc w:val="center"/>
              <w:rPr>
                <w:rFonts w:ascii="Arial Narrow" w:hAnsi="Arial Narrow"/>
                <w:b/>
                <w:noProof/>
                <w:sz w:val="20"/>
                <w:szCs w:val="20"/>
              </w:rPr>
            </w:pPr>
            <w:r>
              <w:rPr>
                <w:rFonts w:ascii="Arial Narrow" w:hAnsi="Arial Narrow"/>
                <w:b/>
                <w:noProof/>
                <w:sz w:val="20"/>
              </w:rPr>
              <w:t>Seotud meede (reform või investeering)</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F70985A" w14:textId="77777777" w:rsidR="0084326C" w:rsidRPr="005D68A0" w:rsidRDefault="0084326C">
            <w:pPr>
              <w:jc w:val="center"/>
              <w:rPr>
                <w:rFonts w:ascii="Arial Narrow" w:hAnsi="Arial Narrow"/>
                <w:b/>
                <w:noProof/>
                <w:sz w:val="20"/>
                <w:szCs w:val="20"/>
              </w:rPr>
            </w:pPr>
            <w:r>
              <w:rPr>
                <w:rFonts w:ascii="Arial Narrow" w:hAnsi="Arial Narrow"/>
                <w:b/>
                <w:noProof/>
                <w:sz w:val="20"/>
              </w:rPr>
              <w:t>Eesmärk / siht</w:t>
            </w:r>
          </w:p>
        </w:tc>
        <w:tc>
          <w:tcPr>
            <w:tcW w:w="1985" w:type="dxa"/>
            <w:vMerge w:val="restart"/>
            <w:tcBorders>
              <w:top w:val="single" w:sz="4" w:space="0" w:color="auto"/>
              <w:left w:val="nil"/>
              <w:bottom w:val="single" w:sz="4" w:space="0" w:color="auto"/>
              <w:right w:val="single" w:sz="4" w:space="0" w:color="auto"/>
            </w:tcBorders>
            <w:shd w:val="clear" w:color="auto" w:fill="BDD7EE"/>
            <w:vAlign w:val="center"/>
            <w:hideMark/>
          </w:tcPr>
          <w:p w14:paraId="5D918F0F" w14:textId="77777777" w:rsidR="0084326C" w:rsidRPr="005D68A0" w:rsidRDefault="0084326C">
            <w:pPr>
              <w:jc w:val="center"/>
              <w:rPr>
                <w:rFonts w:ascii="Arial Narrow" w:hAnsi="Arial Narrow"/>
                <w:b/>
                <w:noProof/>
                <w:sz w:val="20"/>
                <w:szCs w:val="20"/>
              </w:rPr>
            </w:pPr>
            <w:r>
              <w:rPr>
                <w:rFonts w:ascii="Arial Narrow" w:hAnsi="Arial Narrow"/>
                <w:b/>
                <w:noProof/>
                <w:sz w:val="20"/>
              </w:rPr>
              <w:t>Nimi</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42A0E8A" w14:textId="77777777" w:rsidR="0084326C" w:rsidRPr="005D68A0" w:rsidRDefault="0084326C">
            <w:pPr>
              <w:jc w:val="center"/>
              <w:rPr>
                <w:rFonts w:ascii="Arial Narrow" w:hAnsi="Arial Narrow"/>
                <w:b/>
                <w:noProof/>
                <w:sz w:val="20"/>
                <w:szCs w:val="20"/>
              </w:rPr>
            </w:pPr>
            <w:r>
              <w:rPr>
                <w:rFonts w:ascii="Arial Narrow" w:hAnsi="Arial Narrow"/>
                <w:b/>
                <w:noProof/>
                <w:sz w:val="20"/>
              </w:rPr>
              <w:t>Kvalitatiivsed näitajad</w:t>
            </w:r>
            <w:r>
              <w:rPr>
                <w:noProof/>
              </w:rPr>
              <w:t xml:space="preserve"> </w:t>
            </w:r>
            <w:r>
              <w:rPr>
                <w:noProof/>
              </w:rPr>
              <w:br/>
            </w:r>
            <w:r>
              <w:rPr>
                <w:rFonts w:ascii="Arial Narrow" w:hAnsi="Arial Narrow"/>
                <w:b/>
                <w:noProof/>
                <w:sz w:val="20"/>
              </w:rPr>
              <w:t>(eesmärkide puhul)</w:t>
            </w:r>
          </w:p>
        </w:tc>
        <w:tc>
          <w:tcPr>
            <w:tcW w:w="3216" w:type="dxa"/>
            <w:gridSpan w:val="3"/>
            <w:tcBorders>
              <w:top w:val="single" w:sz="4" w:space="0" w:color="auto"/>
              <w:left w:val="nil"/>
              <w:bottom w:val="single" w:sz="4" w:space="0" w:color="auto"/>
              <w:right w:val="single" w:sz="4" w:space="0" w:color="auto"/>
            </w:tcBorders>
            <w:shd w:val="clear" w:color="auto" w:fill="BDD7EE"/>
            <w:vAlign w:val="center"/>
            <w:hideMark/>
          </w:tcPr>
          <w:p w14:paraId="4C7C80AD" w14:textId="77777777" w:rsidR="0084326C" w:rsidRPr="005D68A0" w:rsidRDefault="0084326C">
            <w:pPr>
              <w:jc w:val="center"/>
              <w:rPr>
                <w:rFonts w:ascii="Arial Narrow" w:hAnsi="Arial Narrow"/>
                <w:b/>
                <w:noProof/>
                <w:sz w:val="20"/>
                <w:szCs w:val="20"/>
              </w:rPr>
            </w:pPr>
            <w:r>
              <w:rPr>
                <w:rFonts w:ascii="Arial Narrow" w:hAnsi="Arial Narrow"/>
                <w:b/>
                <w:noProof/>
                <w:sz w:val="20"/>
              </w:rPr>
              <w:t xml:space="preserve">Kvantitatiivsed näitajad </w:t>
            </w:r>
            <w:r>
              <w:rPr>
                <w:noProof/>
              </w:rPr>
              <w:br/>
            </w:r>
            <w:r>
              <w:rPr>
                <w:rFonts w:ascii="Arial Narrow" w:hAnsi="Arial Narrow"/>
                <w:b/>
                <w:noProof/>
                <w:sz w:val="20"/>
              </w:rPr>
              <w:t>(sihtide puhul)</w:t>
            </w:r>
          </w:p>
        </w:tc>
        <w:tc>
          <w:tcPr>
            <w:tcW w:w="1462" w:type="dxa"/>
            <w:gridSpan w:val="2"/>
            <w:tcBorders>
              <w:top w:val="single" w:sz="4" w:space="0" w:color="auto"/>
              <w:left w:val="nil"/>
              <w:bottom w:val="single" w:sz="4" w:space="0" w:color="auto"/>
              <w:right w:val="single" w:sz="4" w:space="0" w:color="auto"/>
            </w:tcBorders>
            <w:shd w:val="clear" w:color="auto" w:fill="BDD7EE"/>
            <w:vAlign w:val="center"/>
            <w:hideMark/>
          </w:tcPr>
          <w:p w14:paraId="5F613DB2" w14:textId="77777777" w:rsidR="0084326C" w:rsidRPr="005D68A0" w:rsidRDefault="0084326C">
            <w:pPr>
              <w:jc w:val="center"/>
              <w:rPr>
                <w:rFonts w:ascii="Arial Narrow" w:hAnsi="Arial Narrow"/>
                <w:b/>
                <w:noProof/>
                <w:sz w:val="20"/>
                <w:szCs w:val="20"/>
              </w:rPr>
            </w:pPr>
            <w:r>
              <w:rPr>
                <w:rFonts w:ascii="Arial Narrow" w:hAnsi="Arial Narrow"/>
                <w:b/>
                <w:noProof/>
                <w:sz w:val="20"/>
              </w:rPr>
              <w:t xml:space="preserve">Lõpuleviimise soovituslik ajakava </w:t>
            </w:r>
          </w:p>
        </w:tc>
        <w:tc>
          <w:tcPr>
            <w:tcW w:w="246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088AF21" w14:textId="77777777" w:rsidR="0084326C" w:rsidRPr="005D68A0" w:rsidRDefault="0084326C">
            <w:pPr>
              <w:jc w:val="center"/>
              <w:rPr>
                <w:rFonts w:ascii="Arial Narrow" w:hAnsi="Arial Narrow"/>
                <w:b/>
                <w:noProof/>
                <w:sz w:val="20"/>
                <w:szCs w:val="20"/>
              </w:rPr>
            </w:pPr>
            <w:r>
              <w:rPr>
                <w:rFonts w:ascii="Arial Narrow" w:hAnsi="Arial Narrow"/>
                <w:b/>
                <w:noProof/>
                <w:sz w:val="20"/>
              </w:rPr>
              <w:t>Iga eesmärgi ja sihi kirjeldus</w:t>
            </w:r>
          </w:p>
        </w:tc>
      </w:tr>
      <w:tr w:rsidR="0084326C" w:rsidRPr="005D68A0" w14:paraId="5E197004" w14:textId="77777777">
        <w:trPr>
          <w:trHeight w:val="1027"/>
          <w:tblHead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299784B5" w14:textId="77777777" w:rsidR="0084326C" w:rsidRPr="00F33804" w:rsidRDefault="0084326C">
            <w:pPr>
              <w:rPr>
                <w:rFonts w:ascii="Arial Narrow" w:hAnsi="Arial Narrow"/>
                <w:b/>
                <w:bCs/>
                <w:noProof/>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4CAE01B" w14:textId="77777777" w:rsidR="0084326C" w:rsidRPr="00F33804" w:rsidRDefault="0084326C">
            <w:pPr>
              <w:rPr>
                <w:rFonts w:ascii="Arial Narrow" w:hAnsi="Arial Narrow"/>
                <w:b/>
                <w:bCs/>
                <w:noProof/>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04492B" w14:textId="77777777" w:rsidR="0084326C" w:rsidRPr="00F33804" w:rsidRDefault="0084326C">
            <w:pPr>
              <w:rPr>
                <w:rFonts w:ascii="Arial Narrow" w:hAnsi="Arial Narrow"/>
                <w:b/>
                <w:bCs/>
                <w:noProof/>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D77DCE6" w14:textId="77777777" w:rsidR="0084326C" w:rsidRPr="00F33804" w:rsidRDefault="0084326C">
            <w:pPr>
              <w:rPr>
                <w:rFonts w:ascii="Arial Narrow" w:hAnsi="Arial Narrow"/>
                <w:b/>
                <w:bCs/>
                <w:noProof/>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A623B13" w14:textId="77777777" w:rsidR="0084326C" w:rsidRPr="00F33804" w:rsidRDefault="0084326C">
            <w:pPr>
              <w:rPr>
                <w:rFonts w:ascii="Arial Narrow" w:hAnsi="Arial Narrow"/>
                <w:b/>
                <w:bCs/>
                <w:noProof/>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581015F" w14:textId="77777777" w:rsidR="0084326C" w:rsidRPr="005D68A0" w:rsidRDefault="0084326C">
            <w:pPr>
              <w:jc w:val="center"/>
              <w:rPr>
                <w:rFonts w:ascii="Arial Narrow" w:hAnsi="Arial Narrow"/>
                <w:b/>
                <w:noProof/>
                <w:sz w:val="20"/>
                <w:szCs w:val="20"/>
              </w:rPr>
            </w:pPr>
            <w:r>
              <w:rPr>
                <w:rFonts w:ascii="Arial Narrow" w:hAnsi="Arial Narrow"/>
                <w:b/>
                <w:noProof/>
                <w:sz w:val="20"/>
              </w:rPr>
              <w:t>Mõõtühik</w:t>
            </w:r>
          </w:p>
        </w:tc>
        <w:tc>
          <w:tcPr>
            <w:tcW w:w="918"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11E7F90" w14:textId="77777777" w:rsidR="0084326C" w:rsidRPr="005D68A0" w:rsidRDefault="0084326C">
            <w:pPr>
              <w:jc w:val="center"/>
              <w:rPr>
                <w:rFonts w:ascii="Arial Narrow" w:hAnsi="Arial Narrow"/>
                <w:b/>
                <w:noProof/>
                <w:sz w:val="20"/>
                <w:szCs w:val="20"/>
              </w:rPr>
            </w:pPr>
            <w:r>
              <w:rPr>
                <w:rFonts w:ascii="Arial Narrow" w:hAnsi="Arial Narrow"/>
                <w:b/>
                <w:noProof/>
                <w:sz w:val="20"/>
              </w:rPr>
              <w:t xml:space="preserve">Lähtetase </w:t>
            </w:r>
          </w:p>
        </w:tc>
        <w:tc>
          <w:tcPr>
            <w:tcW w:w="1022"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A10A070" w14:textId="77777777" w:rsidR="0084326C" w:rsidRPr="005D68A0" w:rsidRDefault="0084326C">
            <w:pPr>
              <w:jc w:val="center"/>
              <w:rPr>
                <w:rFonts w:ascii="Arial Narrow" w:hAnsi="Arial Narrow"/>
                <w:b/>
                <w:noProof/>
                <w:sz w:val="20"/>
                <w:szCs w:val="20"/>
              </w:rPr>
            </w:pPr>
            <w:r>
              <w:rPr>
                <w:rFonts w:ascii="Arial Narrow" w:hAnsi="Arial Narrow"/>
                <w:b/>
                <w:noProof/>
                <w:sz w:val="20"/>
              </w:rPr>
              <w:t xml:space="preserve">Eesmärk </w:t>
            </w:r>
          </w:p>
        </w:tc>
        <w:tc>
          <w:tcPr>
            <w:tcW w:w="809"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2AE7BC89" w14:textId="77777777" w:rsidR="0084326C" w:rsidRPr="005D68A0" w:rsidRDefault="0084326C">
            <w:pPr>
              <w:jc w:val="center"/>
              <w:rPr>
                <w:rFonts w:ascii="Arial Narrow" w:hAnsi="Arial Narrow"/>
                <w:b/>
                <w:noProof/>
                <w:sz w:val="20"/>
                <w:szCs w:val="20"/>
              </w:rPr>
            </w:pPr>
            <w:r>
              <w:rPr>
                <w:rFonts w:ascii="Arial Narrow" w:hAnsi="Arial Narrow"/>
                <w:b/>
                <w:noProof/>
                <w:sz w:val="20"/>
              </w:rPr>
              <w:t>Kvartal</w:t>
            </w:r>
          </w:p>
        </w:tc>
        <w:tc>
          <w:tcPr>
            <w:tcW w:w="653"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17389110" w14:textId="77777777" w:rsidR="0084326C" w:rsidRPr="005D68A0" w:rsidRDefault="0084326C">
            <w:pPr>
              <w:jc w:val="center"/>
              <w:rPr>
                <w:rFonts w:ascii="Arial Narrow" w:hAnsi="Arial Narrow"/>
                <w:b/>
                <w:noProof/>
                <w:sz w:val="20"/>
                <w:szCs w:val="20"/>
              </w:rPr>
            </w:pPr>
            <w:r>
              <w:rPr>
                <w:rFonts w:ascii="Arial Narrow" w:hAnsi="Arial Narrow"/>
                <w:b/>
                <w:noProof/>
                <w:sz w:val="20"/>
              </w:rPr>
              <w:t>Aasta</w:t>
            </w:r>
          </w:p>
        </w:tc>
        <w:tc>
          <w:tcPr>
            <w:tcW w:w="2461" w:type="dxa"/>
            <w:vMerge/>
            <w:tcBorders>
              <w:top w:val="single" w:sz="4" w:space="0" w:color="auto"/>
              <w:left w:val="single" w:sz="4" w:space="0" w:color="auto"/>
              <w:bottom w:val="single" w:sz="4" w:space="0" w:color="auto"/>
              <w:right w:val="single" w:sz="4" w:space="0" w:color="auto"/>
            </w:tcBorders>
            <w:vAlign w:val="center"/>
            <w:hideMark/>
          </w:tcPr>
          <w:p w14:paraId="7021DC9D" w14:textId="77777777" w:rsidR="0084326C" w:rsidRPr="005D68A0" w:rsidRDefault="0084326C">
            <w:pPr>
              <w:rPr>
                <w:rFonts w:ascii="Arial Narrow" w:hAnsi="Arial Narrow"/>
                <w:b/>
                <w:bCs/>
                <w:noProof/>
                <w:sz w:val="20"/>
                <w:szCs w:val="20"/>
                <w:lang w:val="en-GB"/>
              </w:rPr>
            </w:pPr>
          </w:p>
        </w:tc>
      </w:tr>
      <w:tr w:rsidR="0084326C" w:rsidRPr="00D90835" w14:paraId="32EA6846" w14:textId="77777777">
        <w:trPr>
          <w:trHeight w:val="313"/>
        </w:trPr>
        <w:tc>
          <w:tcPr>
            <w:tcW w:w="127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0EB226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M2C3-5</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2793477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 xml:space="preserve">Investeering 1.1. Uute koolide ehitamine hoone asendamise teel </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5829AB1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1985" w:type="dxa"/>
            <w:tcBorders>
              <w:top w:val="single" w:sz="4" w:space="0" w:color="auto"/>
              <w:left w:val="nil"/>
              <w:bottom w:val="single" w:sz="4" w:space="0" w:color="auto"/>
              <w:right w:val="single" w:sz="4" w:space="0" w:color="auto"/>
            </w:tcBorders>
            <w:shd w:val="clear" w:color="auto" w:fill="C6EFCE"/>
            <w:noWrap/>
            <w:vAlign w:val="center"/>
          </w:tcPr>
          <w:p w14:paraId="5194C1A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 xml:space="preserve">Kõigi riigihankelepingute sõlmimine uute koolide ehitamiseks hoone asendamise teel, et ajakohastada koolihoonete energiat, pärast avalikku hankemenetlust </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52D5338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Teade kõigi riigihankelepingute sõlmimise kohta pärast avalikku pakkumismenetlust</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5825928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18" w:type="dxa"/>
            <w:tcBorders>
              <w:top w:val="single" w:sz="4" w:space="0" w:color="auto"/>
              <w:left w:val="nil"/>
              <w:bottom w:val="single" w:sz="4" w:space="0" w:color="auto"/>
              <w:right w:val="single" w:sz="4" w:space="0" w:color="auto"/>
            </w:tcBorders>
            <w:shd w:val="clear" w:color="auto" w:fill="C6EFCE"/>
            <w:noWrap/>
            <w:vAlign w:val="center"/>
          </w:tcPr>
          <w:p w14:paraId="347468B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22" w:type="dxa"/>
            <w:tcBorders>
              <w:top w:val="single" w:sz="4" w:space="0" w:color="auto"/>
              <w:left w:val="nil"/>
              <w:bottom w:val="single" w:sz="4" w:space="0" w:color="auto"/>
              <w:right w:val="single" w:sz="4" w:space="0" w:color="auto"/>
            </w:tcBorders>
            <w:shd w:val="clear" w:color="auto" w:fill="C6EFCE"/>
            <w:noWrap/>
            <w:vAlign w:val="center"/>
          </w:tcPr>
          <w:p w14:paraId="70E21C7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809" w:type="dxa"/>
            <w:tcBorders>
              <w:top w:val="single" w:sz="4" w:space="0" w:color="auto"/>
              <w:left w:val="nil"/>
              <w:bottom w:val="single" w:sz="4" w:space="0" w:color="auto"/>
              <w:right w:val="single" w:sz="4" w:space="0" w:color="auto"/>
            </w:tcBorders>
            <w:shd w:val="clear" w:color="auto" w:fill="C6EFCE"/>
            <w:noWrap/>
            <w:vAlign w:val="center"/>
          </w:tcPr>
          <w:p w14:paraId="2D6B790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3. kv</w:t>
            </w:r>
          </w:p>
        </w:tc>
        <w:tc>
          <w:tcPr>
            <w:tcW w:w="653" w:type="dxa"/>
            <w:tcBorders>
              <w:top w:val="single" w:sz="4" w:space="0" w:color="auto"/>
              <w:left w:val="nil"/>
              <w:bottom w:val="single" w:sz="4" w:space="0" w:color="auto"/>
              <w:right w:val="single" w:sz="4" w:space="0" w:color="auto"/>
            </w:tcBorders>
            <w:shd w:val="clear" w:color="auto" w:fill="C6EFCE"/>
            <w:noWrap/>
            <w:vAlign w:val="center"/>
          </w:tcPr>
          <w:p w14:paraId="0F0E82A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2023</w:t>
            </w:r>
          </w:p>
        </w:tc>
        <w:tc>
          <w:tcPr>
            <w:tcW w:w="2461" w:type="dxa"/>
            <w:tcBorders>
              <w:top w:val="single" w:sz="4" w:space="0" w:color="auto"/>
              <w:left w:val="nil"/>
              <w:bottom w:val="single" w:sz="4" w:space="0" w:color="auto"/>
              <w:right w:val="single" w:sz="4" w:space="0" w:color="auto"/>
            </w:tcBorders>
            <w:shd w:val="clear" w:color="auto" w:fill="C6EFCE"/>
            <w:noWrap/>
            <w:vAlign w:val="center"/>
          </w:tcPr>
          <w:p w14:paraId="3AB7A965" w14:textId="56074B63"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Teade kõigi selliste riigihankelepingute sõlmimise kohta, mis on seotud uute koolide hoonete asendamisega, mis vastavad kohalike omavalitsuste ametlikule toetusele ja mille kogupindala on vähemalt 400 000 ruutmeetrit</w:t>
            </w:r>
          </w:p>
        </w:tc>
      </w:tr>
      <w:tr w:rsidR="0084326C" w:rsidRPr="00D90835" w14:paraId="02DD3217" w14:textId="77777777">
        <w:trPr>
          <w:trHeight w:val="313"/>
        </w:trPr>
        <w:tc>
          <w:tcPr>
            <w:tcW w:w="127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5AF247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M2C3-6</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0B15C2D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1.1. Uute koolide ehitamine hoone asendamise teel</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5CDF958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1985" w:type="dxa"/>
            <w:tcBorders>
              <w:top w:val="single" w:sz="4" w:space="0" w:color="auto"/>
              <w:left w:val="nil"/>
              <w:bottom w:val="single" w:sz="4" w:space="0" w:color="auto"/>
              <w:right w:val="single" w:sz="4" w:space="0" w:color="auto"/>
            </w:tcBorders>
            <w:shd w:val="clear" w:color="auto" w:fill="C6EFCE"/>
            <w:noWrap/>
            <w:vAlign w:val="center"/>
          </w:tcPr>
          <w:p w14:paraId="08775DF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Hoonete asendamise teel ehitatakse vähemalt 400 000 m² uusi koole.</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665BA57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64E89C6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Arv</w:t>
            </w:r>
          </w:p>
        </w:tc>
        <w:tc>
          <w:tcPr>
            <w:tcW w:w="918" w:type="dxa"/>
            <w:tcBorders>
              <w:top w:val="single" w:sz="4" w:space="0" w:color="auto"/>
              <w:left w:val="nil"/>
              <w:bottom w:val="single" w:sz="4" w:space="0" w:color="auto"/>
              <w:right w:val="single" w:sz="4" w:space="0" w:color="auto"/>
            </w:tcBorders>
            <w:shd w:val="clear" w:color="auto" w:fill="C6EFCE"/>
            <w:noWrap/>
            <w:vAlign w:val="center"/>
          </w:tcPr>
          <w:p w14:paraId="4AC5F0A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0</w:t>
            </w:r>
          </w:p>
        </w:tc>
        <w:tc>
          <w:tcPr>
            <w:tcW w:w="1022" w:type="dxa"/>
            <w:tcBorders>
              <w:top w:val="single" w:sz="4" w:space="0" w:color="auto"/>
              <w:left w:val="nil"/>
              <w:bottom w:val="single" w:sz="4" w:space="0" w:color="auto"/>
              <w:right w:val="single" w:sz="4" w:space="0" w:color="auto"/>
            </w:tcBorders>
            <w:shd w:val="clear" w:color="auto" w:fill="C6EFCE"/>
            <w:noWrap/>
            <w:vAlign w:val="center"/>
          </w:tcPr>
          <w:p w14:paraId="26ADA4C3" w14:textId="76B13F73"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400 000</w:t>
            </w:r>
          </w:p>
        </w:tc>
        <w:tc>
          <w:tcPr>
            <w:tcW w:w="809" w:type="dxa"/>
            <w:tcBorders>
              <w:top w:val="single" w:sz="4" w:space="0" w:color="auto"/>
              <w:left w:val="nil"/>
              <w:bottom w:val="single" w:sz="4" w:space="0" w:color="auto"/>
              <w:right w:val="single" w:sz="4" w:space="0" w:color="auto"/>
            </w:tcBorders>
            <w:shd w:val="clear" w:color="auto" w:fill="C6EFCE"/>
            <w:noWrap/>
            <w:vAlign w:val="center"/>
          </w:tcPr>
          <w:p w14:paraId="6E9696D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1. kv</w:t>
            </w:r>
          </w:p>
        </w:tc>
        <w:tc>
          <w:tcPr>
            <w:tcW w:w="653" w:type="dxa"/>
            <w:tcBorders>
              <w:top w:val="single" w:sz="4" w:space="0" w:color="auto"/>
              <w:left w:val="nil"/>
              <w:bottom w:val="single" w:sz="4" w:space="0" w:color="auto"/>
              <w:right w:val="single" w:sz="4" w:space="0" w:color="auto"/>
            </w:tcBorders>
            <w:shd w:val="clear" w:color="auto" w:fill="C6EFCE"/>
            <w:noWrap/>
            <w:vAlign w:val="center"/>
          </w:tcPr>
          <w:p w14:paraId="2226AE2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2026</w:t>
            </w:r>
          </w:p>
        </w:tc>
        <w:tc>
          <w:tcPr>
            <w:tcW w:w="2461" w:type="dxa"/>
            <w:tcBorders>
              <w:top w:val="single" w:sz="4" w:space="0" w:color="auto"/>
              <w:left w:val="nil"/>
              <w:bottom w:val="single" w:sz="4" w:space="0" w:color="auto"/>
              <w:right w:val="single" w:sz="4" w:space="0" w:color="auto"/>
            </w:tcBorders>
            <w:shd w:val="clear" w:color="auto" w:fill="C6EFCE"/>
            <w:noWrap/>
            <w:vAlign w:val="center"/>
          </w:tcPr>
          <w:p w14:paraId="40F49AA3" w14:textId="7D0272EE"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Vähemalt 400 000 ruutmeetri uute koolide ehitamise lõpuleviimine hoonete asendamise teel, mille tulemusel on primaarenergia tarbimine vähemalt 20 % väiksem kui liginullenergiahoonete nõue</w:t>
            </w:r>
          </w:p>
        </w:tc>
      </w:tr>
      <w:tr w:rsidR="0084326C" w:rsidRPr="00D90835" w14:paraId="34583781" w14:textId="77777777">
        <w:trPr>
          <w:trHeight w:val="313"/>
        </w:trPr>
        <w:tc>
          <w:tcPr>
            <w:tcW w:w="127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AD74BC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M2C3-7</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3083370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1.2. Hoonete ehitamine, kinnisvara ümberkvalifitseerimine ja tugevdamine õigusemõistmise eesmärgil</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34E33D1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1985" w:type="dxa"/>
            <w:tcBorders>
              <w:top w:val="single" w:sz="4" w:space="0" w:color="auto"/>
              <w:left w:val="nil"/>
              <w:bottom w:val="single" w:sz="4" w:space="0" w:color="auto"/>
              <w:right w:val="single" w:sz="4" w:space="0" w:color="auto"/>
            </w:tcBorders>
            <w:shd w:val="clear" w:color="auto" w:fill="C6EFCE"/>
            <w:noWrap/>
            <w:vAlign w:val="center"/>
          </w:tcPr>
          <w:p w14:paraId="0CAB9FF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Kõigi riigihankelepingute sõlmimine uute hoonete ehitamiseks, õigusemõistmise kinnisvara ümberkvalifitseerimiseks ja tugevdamiseks allkirjastab avaliku sektori hankija avaliku pakkumismenetluse teel.</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2F2526F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Teade kõigi riigihankelepingute sõlmimise kohta pärast avalikku pakkumismenetlust</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3F55AAB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18" w:type="dxa"/>
            <w:tcBorders>
              <w:top w:val="single" w:sz="4" w:space="0" w:color="auto"/>
              <w:left w:val="nil"/>
              <w:bottom w:val="single" w:sz="4" w:space="0" w:color="auto"/>
              <w:right w:val="single" w:sz="4" w:space="0" w:color="auto"/>
            </w:tcBorders>
            <w:shd w:val="clear" w:color="auto" w:fill="C6EFCE"/>
            <w:noWrap/>
            <w:vAlign w:val="center"/>
          </w:tcPr>
          <w:p w14:paraId="5482795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22" w:type="dxa"/>
            <w:tcBorders>
              <w:top w:val="single" w:sz="4" w:space="0" w:color="auto"/>
              <w:left w:val="nil"/>
              <w:bottom w:val="single" w:sz="4" w:space="0" w:color="auto"/>
              <w:right w:val="single" w:sz="4" w:space="0" w:color="auto"/>
            </w:tcBorders>
            <w:shd w:val="clear" w:color="auto" w:fill="C6EFCE"/>
            <w:noWrap/>
            <w:vAlign w:val="center"/>
          </w:tcPr>
          <w:p w14:paraId="2C767A3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809" w:type="dxa"/>
            <w:tcBorders>
              <w:top w:val="single" w:sz="4" w:space="0" w:color="auto"/>
              <w:left w:val="nil"/>
              <w:bottom w:val="single" w:sz="4" w:space="0" w:color="auto"/>
              <w:right w:val="single" w:sz="4" w:space="0" w:color="auto"/>
            </w:tcBorders>
            <w:shd w:val="clear" w:color="auto" w:fill="C6EFCE"/>
            <w:noWrap/>
            <w:vAlign w:val="center"/>
          </w:tcPr>
          <w:p w14:paraId="583B67D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653" w:type="dxa"/>
            <w:tcBorders>
              <w:top w:val="single" w:sz="4" w:space="0" w:color="auto"/>
              <w:left w:val="nil"/>
              <w:bottom w:val="single" w:sz="4" w:space="0" w:color="auto"/>
              <w:right w:val="single" w:sz="4" w:space="0" w:color="auto"/>
            </w:tcBorders>
            <w:shd w:val="clear" w:color="auto" w:fill="C6EFCE"/>
            <w:noWrap/>
            <w:vAlign w:val="center"/>
          </w:tcPr>
          <w:p w14:paraId="7A0CB25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2023</w:t>
            </w:r>
          </w:p>
        </w:tc>
        <w:tc>
          <w:tcPr>
            <w:tcW w:w="2461" w:type="dxa"/>
            <w:tcBorders>
              <w:top w:val="single" w:sz="4" w:space="0" w:color="auto"/>
              <w:left w:val="nil"/>
              <w:bottom w:val="single" w:sz="4" w:space="0" w:color="auto"/>
              <w:right w:val="single" w:sz="4" w:space="0" w:color="auto"/>
            </w:tcBorders>
            <w:shd w:val="clear" w:color="auto" w:fill="C6EFCE"/>
            <w:noWrap/>
            <w:vAlign w:val="center"/>
          </w:tcPr>
          <w:p w14:paraId="5421EB99"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Teade kõigi riigihankelepingute sõlmimise kohta, mis käsitlevad hoonete ehitamist, kinnisvara ümberkvalifitseerimist ja tugevdamist õigusemõistmise raames.</w:t>
            </w:r>
          </w:p>
        </w:tc>
      </w:tr>
      <w:tr w:rsidR="0084326C" w:rsidRPr="00D90835" w14:paraId="721D8705" w14:textId="77777777">
        <w:trPr>
          <w:trHeight w:val="313"/>
        </w:trPr>
        <w:tc>
          <w:tcPr>
            <w:tcW w:w="127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756316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M2C3-8</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00B2C2B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1.2. Hoonete ehitamine, kinnisvara ümberkvalifitseerimine ja tugevdamine õigusemõistmise eesmärgil</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64E5C9F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1985" w:type="dxa"/>
            <w:tcBorders>
              <w:top w:val="single" w:sz="4" w:space="0" w:color="auto"/>
              <w:left w:val="nil"/>
              <w:bottom w:val="single" w:sz="4" w:space="0" w:color="auto"/>
              <w:right w:val="single" w:sz="4" w:space="0" w:color="auto"/>
            </w:tcBorders>
            <w:shd w:val="clear" w:color="auto" w:fill="C6EFCE"/>
            <w:noWrap/>
            <w:vAlign w:val="center"/>
          </w:tcPr>
          <w:p w14:paraId="5E80F10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Hoonete ehitamine, kinnisvara ümberkvalifitseerimine ja tugevdamine õigusemõistmiseks</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13AA792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0DF5783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Arv</w:t>
            </w:r>
          </w:p>
        </w:tc>
        <w:tc>
          <w:tcPr>
            <w:tcW w:w="918" w:type="dxa"/>
            <w:tcBorders>
              <w:top w:val="single" w:sz="4" w:space="0" w:color="auto"/>
              <w:left w:val="nil"/>
              <w:bottom w:val="single" w:sz="4" w:space="0" w:color="auto"/>
              <w:right w:val="single" w:sz="4" w:space="0" w:color="auto"/>
            </w:tcBorders>
            <w:shd w:val="clear" w:color="auto" w:fill="C6EFCE"/>
            <w:noWrap/>
            <w:vAlign w:val="center"/>
          </w:tcPr>
          <w:p w14:paraId="1D11F40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0</w:t>
            </w:r>
          </w:p>
        </w:tc>
        <w:tc>
          <w:tcPr>
            <w:tcW w:w="1022" w:type="dxa"/>
            <w:tcBorders>
              <w:top w:val="single" w:sz="4" w:space="0" w:color="auto"/>
              <w:left w:val="nil"/>
              <w:bottom w:val="single" w:sz="4" w:space="0" w:color="auto"/>
              <w:right w:val="single" w:sz="4" w:space="0" w:color="auto"/>
            </w:tcBorders>
            <w:shd w:val="clear" w:color="auto" w:fill="C6EFCE"/>
            <w:noWrap/>
            <w:vAlign w:val="center"/>
          </w:tcPr>
          <w:p w14:paraId="54CAA746" w14:textId="38ACA981"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289 000</w:t>
            </w:r>
          </w:p>
        </w:tc>
        <w:tc>
          <w:tcPr>
            <w:tcW w:w="809" w:type="dxa"/>
            <w:tcBorders>
              <w:top w:val="single" w:sz="4" w:space="0" w:color="auto"/>
              <w:left w:val="nil"/>
              <w:bottom w:val="single" w:sz="4" w:space="0" w:color="auto"/>
              <w:right w:val="single" w:sz="4" w:space="0" w:color="auto"/>
            </w:tcBorders>
            <w:shd w:val="clear" w:color="auto" w:fill="C6EFCE"/>
            <w:noWrap/>
            <w:vAlign w:val="center"/>
          </w:tcPr>
          <w:p w14:paraId="7D800B4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1. kv</w:t>
            </w:r>
          </w:p>
        </w:tc>
        <w:tc>
          <w:tcPr>
            <w:tcW w:w="653" w:type="dxa"/>
            <w:tcBorders>
              <w:top w:val="single" w:sz="4" w:space="0" w:color="auto"/>
              <w:left w:val="nil"/>
              <w:bottom w:val="single" w:sz="4" w:space="0" w:color="auto"/>
              <w:right w:val="single" w:sz="4" w:space="0" w:color="auto"/>
            </w:tcBorders>
            <w:shd w:val="clear" w:color="auto" w:fill="C6EFCE"/>
            <w:noWrap/>
            <w:vAlign w:val="center"/>
          </w:tcPr>
          <w:p w14:paraId="343CD33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2026</w:t>
            </w:r>
          </w:p>
        </w:tc>
        <w:tc>
          <w:tcPr>
            <w:tcW w:w="2461" w:type="dxa"/>
            <w:tcBorders>
              <w:top w:val="single" w:sz="4" w:space="0" w:color="auto"/>
              <w:left w:val="nil"/>
              <w:bottom w:val="single" w:sz="4" w:space="0" w:color="auto"/>
              <w:right w:val="single" w:sz="4" w:space="0" w:color="auto"/>
            </w:tcBorders>
            <w:shd w:val="clear" w:color="auto" w:fill="C6EFCE"/>
            <w:noWrap/>
            <w:vAlign w:val="center"/>
          </w:tcPr>
          <w:p w14:paraId="1C7FE915"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Hoonete ehitamine, vähemalt 289 000 ruutmeetri suuruse kinnisvara ümberkvalifitseerimine ja tugevdamine õigusemõistmisel</w:t>
            </w:r>
          </w:p>
        </w:tc>
      </w:tr>
      <w:tr w:rsidR="0084326C" w:rsidRPr="00D90835" w14:paraId="74EB4515" w14:textId="77777777">
        <w:trPr>
          <w:trHeight w:val="313"/>
        </w:trPr>
        <w:tc>
          <w:tcPr>
            <w:tcW w:w="127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1D1B41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M2C3-9</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14F6B82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3.1. Tõhusa kaugkütte edendamine</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5802F23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1985" w:type="dxa"/>
            <w:tcBorders>
              <w:top w:val="single" w:sz="4" w:space="0" w:color="auto"/>
              <w:left w:val="nil"/>
              <w:bottom w:val="single" w:sz="4" w:space="0" w:color="auto"/>
              <w:right w:val="single" w:sz="4" w:space="0" w:color="auto"/>
            </w:tcBorders>
            <w:shd w:val="clear" w:color="auto" w:fill="C6EFCE"/>
            <w:noWrap/>
            <w:vAlign w:val="center"/>
          </w:tcPr>
          <w:p w14:paraId="0412866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Lepingud küttevõrkude täiustamiseks sõlmib ökoloogilise ülemineku ministeerium pärast avalikku hankemenetlust.</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55BB5BF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Teade kõigi riigihankelepingute sõlmimise kohta pärast avalikku pakkumismenetlust</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0FC3C2D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18" w:type="dxa"/>
            <w:tcBorders>
              <w:top w:val="single" w:sz="4" w:space="0" w:color="auto"/>
              <w:left w:val="nil"/>
              <w:bottom w:val="single" w:sz="4" w:space="0" w:color="auto"/>
              <w:right w:val="single" w:sz="4" w:space="0" w:color="auto"/>
            </w:tcBorders>
            <w:shd w:val="clear" w:color="auto" w:fill="C6EFCE"/>
            <w:noWrap/>
            <w:vAlign w:val="center"/>
          </w:tcPr>
          <w:p w14:paraId="641656B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22" w:type="dxa"/>
            <w:tcBorders>
              <w:top w:val="single" w:sz="4" w:space="0" w:color="auto"/>
              <w:left w:val="nil"/>
              <w:bottom w:val="single" w:sz="4" w:space="0" w:color="auto"/>
              <w:right w:val="single" w:sz="4" w:space="0" w:color="auto"/>
            </w:tcBorders>
            <w:shd w:val="clear" w:color="auto" w:fill="C6EFCE"/>
            <w:noWrap/>
            <w:vAlign w:val="center"/>
          </w:tcPr>
          <w:p w14:paraId="480AB06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809" w:type="dxa"/>
            <w:tcBorders>
              <w:top w:val="single" w:sz="4" w:space="0" w:color="auto"/>
              <w:left w:val="nil"/>
              <w:bottom w:val="single" w:sz="4" w:space="0" w:color="auto"/>
              <w:right w:val="single" w:sz="4" w:space="0" w:color="auto"/>
            </w:tcBorders>
            <w:shd w:val="clear" w:color="auto" w:fill="C6EFCE"/>
            <w:noWrap/>
            <w:vAlign w:val="center"/>
          </w:tcPr>
          <w:p w14:paraId="5D1E698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653" w:type="dxa"/>
            <w:tcBorders>
              <w:top w:val="single" w:sz="4" w:space="0" w:color="auto"/>
              <w:left w:val="nil"/>
              <w:bottom w:val="single" w:sz="4" w:space="0" w:color="auto"/>
              <w:right w:val="single" w:sz="4" w:space="0" w:color="auto"/>
            </w:tcBorders>
            <w:shd w:val="clear" w:color="auto" w:fill="C6EFCE"/>
            <w:noWrap/>
            <w:vAlign w:val="center"/>
          </w:tcPr>
          <w:p w14:paraId="72C2975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2022</w:t>
            </w:r>
          </w:p>
        </w:tc>
        <w:tc>
          <w:tcPr>
            <w:tcW w:w="2461" w:type="dxa"/>
            <w:tcBorders>
              <w:top w:val="single" w:sz="4" w:space="0" w:color="auto"/>
              <w:left w:val="nil"/>
              <w:bottom w:val="single" w:sz="4" w:space="0" w:color="auto"/>
              <w:right w:val="single" w:sz="4" w:space="0" w:color="auto"/>
            </w:tcBorders>
            <w:shd w:val="clear" w:color="auto" w:fill="C6EFCE"/>
            <w:noWrap/>
            <w:vAlign w:val="center"/>
          </w:tcPr>
          <w:p w14:paraId="2E359D48"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Kõigi riigihankelepingute sõlmimine uute kaugküttevõrkude ehitamiseks või olemasolevate kaugküttevõrkude laiendamiseks, mis peaks hõlmama energiatarbimise vähendamise nõuet.</w:t>
            </w:r>
          </w:p>
          <w:p w14:paraId="59DFAC8B" w14:textId="18C749BD"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Lepingute sõlmimine projektidega, mis on välja valitud konkursikutsete alusel kooskõlas tehnilise juhendiga „Mitte tekitada olulist kahju“ (2021/C58/01), kasutades kõrvalejätmise loetelu ning asjaomaste ELi ja riiklike keskkonnaalaste õigusaktide järgimise nõuet.</w:t>
            </w:r>
          </w:p>
        </w:tc>
      </w:tr>
      <w:tr w:rsidR="0084326C" w:rsidRPr="00D90835" w14:paraId="0E69C14D" w14:textId="77777777">
        <w:trPr>
          <w:trHeight w:val="313"/>
        </w:trPr>
        <w:tc>
          <w:tcPr>
            <w:tcW w:w="127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C628C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M2C3-10</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4D15F37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3.1. Tõhusa kaugkütte edendamine</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5E28F78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1985" w:type="dxa"/>
            <w:tcBorders>
              <w:top w:val="single" w:sz="4" w:space="0" w:color="auto"/>
              <w:left w:val="nil"/>
              <w:bottom w:val="single" w:sz="4" w:space="0" w:color="auto"/>
              <w:right w:val="single" w:sz="4" w:space="0" w:color="auto"/>
            </w:tcBorders>
            <w:shd w:val="clear" w:color="auto" w:fill="C6EFCE"/>
            <w:noWrap/>
            <w:vAlign w:val="center"/>
          </w:tcPr>
          <w:p w14:paraId="64AD44F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Kaugküttevõrkude ehitamine või laiendamine</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663CB8A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4284226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Arv</w:t>
            </w:r>
          </w:p>
        </w:tc>
        <w:tc>
          <w:tcPr>
            <w:tcW w:w="918" w:type="dxa"/>
            <w:tcBorders>
              <w:top w:val="single" w:sz="4" w:space="0" w:color="auto"/>
              <w:left w:val="nil"/>
              <w:bottom w:val="single" w:sz="4" w:space="0" w:color="auto"/>
              <w:right w:val="single" w:sz="4" w:space="0" w:color="auto"/>
            </w:tcBorders>
            <w:shd w:val="clear" w:color="auto" w:fill="C6EFCE"/>
            <w:noWrap/>
            <w:vAlign w:val="center"/>
          </w:tcPr>
          <w:p w14:paraId="622987F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0</w:t>
            </w:r>
          </w:p>
        </w:tc>
        <w:tc>
          <w:tcPr>
            <w:tcW w:w="1022" w:type="dxa"/>
            <w:tcBorders>
              <w:top w:val="single" w:sz="4" w:space="0" w:color="auto"/>
              <w:left w:val="nil"/>
              <w:bottom w:val="single" w:sz="4" w:space="0" w:color="auto"/>
              <w:right w:val="single" w:sz="4" w:space="0" w:color="auto"/>
            </w:tcBorders>
            <w:shd w:val="clear" w:color="auto" w:fill="C6EFCE"/>
            <w:noWrap/>
            <w:vAlign w:val="center"/>
          </w:tcPr>
          <w:p w14:paraId="6E50E1F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 xml:space="preserve">20 </w:t>
            </w:r>
          </w:p>
        </w:tc>
        <w:tc>
          <w:tcPr>
            <w:tcW w:w="809" w:type="dxa"/>
            <w:tcBorders>
              <w:top w:val="single" w:sz="4" w:space="0" w:color="auto"/>
              <w:left w:val="nil"/>
              <w:bottom w:val="single" w:sz="4" w:space="0" w:color="auto"/>
              <w:right w:val="single" w:sz="4" w:space="0" w:color="auto"/>
            </w:tcBorders>
            <w:shd w:val="clear" w:color="auto" w:fill="C6EFCE"/>
            <w:noWrap/>
            <w:vAlign w:val="center"/>
          </w:tcPr>
          <w:p w14:paraId="2FF8E00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1. kv</w:t>
            </w:r>
          </w:p>
        </w:tc>
        <w:tc>
          <w:tcPr>
            <w:tcW w:w="653" w:type="dxa"/>
            <w:tcBorders>
              <w:top w:val="single" w:sz="4" w:space="0" w:color="auto"/>
              <w:left w:val="nil"/>
              <w:bottom w:val="single" w:sz="4" w:space="0" w:color="auto"/>
              <w:right w:val="single" w:sz="4" w:space="0" w:color="auto"/>
            </w:tcBorders>
            <w:shd w:val="clear" w:color="auto" w:fill="C6EFCE"/>
            <w:noWrap/>
            <w:vAlign w:val="center"/>
          </w:tcPr>
          <w:p w14:paraId="79B626C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2026</w:t>
            </w:r>
          </w:p>
        </w:tc>
        <w:tc>
          <w:tcPr>
            <w:tcW w:w="2461" w:type="dxa"/>
            <w:tcBorders>
              <w:top w:val="single" w:sz="4" w:space="0" w:color="auto"/>
              <w:left w:val="nil"/>
              <w:bottom w:val="single" w:sz="4" w:space="0" w:color="auto"/>
              <w:right w:val="single" w:sz="4" w:space="0" w:color="auto"/>
            </w:tcBorders>
            <w:shd w:val="clear" w:color="auto" w:fill="C6EFCE"/>
            <w:noWrap/>
            <w:vAlign w:val="center"/>
          </w:tcPr>
          <w:p w14:paraId="5BFB9FA0"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Uute kaugküttevõrkude ehitamise lõpuleviimine või olemasolevate laiendamine, et vähendada energiatarbimist vähemalt 20 KTOE võrra aastas.</w:t>
            </w:r>
          </w:p>
          <w:p w14:paraId="5F27A174"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Investeering peab vastama taaste ja vastupidavuse rahastamisvahendit käsitleva määruse 241/2021/EL VI lisa joonealuses märkuses 9 sätestatud tingimustele.</w:t>
            </w:r>
          </w:p>
        </w:tc>
      </w:tr>
    </w:tbl>
    <w:p w14:paraId="0A295881" w14:textId="77777777" w:rsidR="0084326C" w:rsidRPr="00F33804" w:rsidRDefault="0084326C" w:rsidP="0084326C">
      <w:pPr>
        <w:keepNext/>
        <w:tabs>
          <w:tab w:val="left" w:pos="4252"/>
        </w:tabs>
        <w:spacing w:before="720"/>
        <w:jc w:val="both"/>
        <w:rPr>
          <w:i/>
          <w:noProof/>
        </w:rPr>
        <w:sectPr w:rsidR="0084326C" w:rsidRPr="00F33804">
          <w:headerReference w:type="even" r:id="rId182"/>
          <w:headerReference w:type="default" r:id="rId183"/>
          <w:footerReference w:type="even" r:id="rId184"/>
          <w:footerReference w:type="default" r:id="rId185"/>
          <w:headerReference w:type="first" r:id="rId186"/>
          <w:footerReference w:type="first" r:id="rId187"/>
          <w:pgSz w:w="16839" w:h="11907" w:orient="landscape"/>
          <w:pgMar w:top="1134" w:right="1134" w:bottom="1134" w:left="1134" w:header="567" w:footer="567" w:gutter="0"/>
          <w:cols w:space="720"/>
          <w:docGrid w:linePitch="360"/>
        </w:sectPr>
      </w:pPr>
    </w:p>
    <w:p w14:paraId="6F3502CF" w14:textId="77777777" w:rsidR="0084326C" w:rsidRPr="005D68A0" w:rsidRDefault="0084326C" w:rsidP="0084326C">
      <w:pPr>
        <w:pStyle w:val="Heading2"/>
        <w:numPr>
          <w:ilvl w:val="0"/>
          <w:numId w:val="0"/>
        </w:numPr>
        <w:ind w:left="850" w:hanging="850"/>
        <w:rPr>
          <w:noProof/>
        </w:rPr>
      </w:pPr>
      <w:r>
        <w:rPr>
          <w:noProof/>
        </w:rPr>
        <w:t>G. ÜLESANNE 2 KOMPONENT 4 - Territoriaalne planeerimine ja veevarud</w:t>
      </w:r>
    </w:p>
    <w:p w14:paraId="5FB9B702" w14:textId="77777777" w:rsidR="0084326C" w:rsidRPr="005D68A0" w:rsidRDefault="0084326C" w:rsidP="0084326C">
      <w:pPr>
        <w:spacing w:before="120" w:after="120"/>
        <w:jc w:val="both"/>
        <w:rPr>
          <w:noProof/>
        </w:rPr>
      </w:pPr>
      <w:r>
        <w:rPr>
          <w:noProof/>
        </w:rPr>
        <w:t>Itaalia taaste- ja vastupidavuskava selle osa eesmärk on tegeleda mitme pikaajalise puudusega, mis on seotud veevarude majandamise ja hüdrogeoloogiliste riskidega Itaalias, ning võtta vastu mitmeid meetmeid bioloogilise mitmekesisuse säilitamiseks. See tuleb saavutada reformide ja investeeringute märkimisväärse ja tasakaalustatud kombineerimisega nendes eri mõõtmetes.</w:t>
      </w:r>
    </w:p>
    <w:p w14:paraId="72AEB2A5" w14:textId="77777777" w:rsidR="0084326C" w:rsidRPr="005D68A0" w:rsidRDefault="0084326C" w:rsidP="0084326C">
      <w:pPr>
        <w:spacing w:before="120" w:after="120"/>
        <w:jc w:val="both"/>
        <w:rPr>
          <w:noProof/>
        </w:rPr>
      </w:pPr>
      <w:r>
        <w:rPr>
          <w:noProof/>
        </w:rPr>
        <w:t xml:space="preserve">Reformide osas pakub komponent välja rea meetmeid, mille peamine eesmärk on parandada veevarude majandamise tõhusust, vähendades sektori killustatust, kehtestades asjakohase hinnapoliitika ja mitmed stiimulid reovee käitlemisega seotud probleemide lahendamiseks. Selle komponendi reformid hõlmavad ka meetmeid veetaristu ning hüdroloogiliste riskide juhtimise ja vähendamisega seotud projektide kavandamise ja rakendamise lihtsustamiseks.  </w:t>
      </w:r>
    </w:p>
    <w:p w14:paraId="33086BDD" w14:textId="77777777" w:rsidR="0084326C" w:rsidRPr="005D68A0" w:rsidRDefault="0084326C" w:rsidP="0084326C">
      <w:pPr>
        <w:spacing w:before="120" w:after="120"/>
        <w:jc w:val="both"/>
        <w:rPr>
          <w:noProof/>
        </w:rPr>
      </w:pPr>
      <w:r>
        <w:rPr>
          <w:noProof/>
        </w:rPr>
        <w:t>Selle komponendiga seotud investeeringud aitavad leevendada ja paremini juhtida hüdrogeoloogilist riski Itaalias nii ennetamise kui ka kohanemise seisukohast ning nende eesmärk on muuta veega seotud taristu vastupidavamaks. Lisaks on nende eesmärk oluliselt parandada veevarude majandamist reovee parema käitlemise ja veelekete märkimisväärse vähendamise kaudu, sealhulgas põllumajandussektoris. Investeeringutega tugevdatakse nende sektorite digiteerimist ning muudetakse need energiatõhusamaks ja kliimamuutustele paremini vastavaks. See komponent hõlmab ka meetmeid, mille eesmärk on säilitada bioloogiline mitmekesisus ja haljasalad kooskõlas ELi 2030. aasta bioloogilise mitmekesisuse strateegiaga.</w:t>
      </w:r>
    </w:p>
    <w:p w14:paraId="651EC3F1" w14:textId="77777777" w:rsidR="0084326C" w:rsidRPr="005D68A0" w:rsidRDefault="0084326C" w:rsidP="0084326C">
      <w:pPr>
        <w:spacing w:before="120" w:after="120"/>
        <w:jc w:val="both"/>
        <w:rPr>
          <w:noProof/>
        </w:rPr>
      </w:pPr>
      <w:r>
        <w:rPr>
          <w:noProof/>
        </w:rPr>
        <w:t>See komponent käsitleb osa 2020. aasta riigipõhisest soovitusest nr 3, millega Euroopa Liidu nõukogu soovitas Itaalial võtta meetmeid, et keskenduda investeeringutele keskkonnasäästlikule ja digitaalsele üleminekule, eriti veemajandusele […] ning tugevdatud digitaalsele infrastruktuurile, et tagada teenuse osutamine. põhiteenuste pakkumine ”. Samuti käsitletakse selles 2019. aasta riigipõhist soovitust nr 3 („Fookusinvesteeringutega seotud majanduspoliitika taristu kvaliteedi kohta, võttes arvesse piirkondlikke erinevusi“). ning parandada avaliku halduse tulemuslikkust, [...] kiirendades digiteerimist ning parandades kohalike avalike teenuste tõhusust ja kvaliteeti“).</w:t>
      </w:r>
    </w:p>
    <w:p w14:paraId="684FD967" w14:textId="1D4E82F9" w:rsidR="0084326C" w:rsidRPr="005D68A0" w:rsidRDefault="0084326C" w:rsidP="0084326C">
      <w:pPr>
        <w:spacing w:before="120" w:after="120"/>
        <w:jc w:val="both"/>
        <w:rPr>
          <w:noProof/>
        </w:rPr>
      </w:pPr>
      <w:r>
        <w:rPr>
          <w:noProof/>
        </w:rPr>
        <w:t>Lähtudes meetmete kirjeldusest taaste- ja vastupidavuskavas ja võttes arvesse põhimõtte „Ei kahjusta oluliselt“ tehniliste suuniste (2021/C58/01) kohaseid leevendavaid samme, mis kavas on sätestatud, võib eeldada, et ükski selle komponendi meede ei kahjusta määruse (EL)</w:t>
      </w:r>
      <w:r w:rsidR="0014554E">
        <w:rPr>
          <w:noProof/>
        </w:rPr>
        <w:t> </w:t>
      </w:r>
      <w:r>
        <w:rPr>
          <w:noProof/>
        </w:rPr>
        <w:t>2020/852 artikli 17 tähenduses oluliselt keskkonnaeesmärke.</w:t>
      </w:r>
    </w:p>
    <w:p w14:paraId="5A5430FD" w14:textId="77777777" w:rsidR="0084326C" w:rsidRPr="005D68A0" w:rsidRDefault="0084326C" w:rsidP="0084326C">
      <w:pPr>
        <w:pStyle w:val="Heading3"/>
        <w:numPr>
          <w:ilvl w:val="0"/>
          <w:numId w:val="0"/>
        </w:numPr>
        <w:ind w:left="850" w:hanging="850"/>
        <w:rPr>
          <w:b/>
          <w:bCs w:val="0"/>
          <w:i w:val="0"/>
          <w:iCs/>
          <w:noProof/>
          <w:color w:val="4472C4" w:themeColor="accent1"/>
          <w:u w:val="single"/>
        </w:rPr>
      </w:pPr>
      <w:r>
        <w:rPr>
          <w:b/>
          <w:i w:val="0"/>
          <w:noProof/>
          <w:u w:val="single"/>
        </w:rPr>
        <w:t xml:space="preserve">G.1. </w:t>
      </w:r>
      <w:r>
        <w:rPr>
          <w:noProof/>
        </w:rPr>
        <w:tab/>
      </w:r>
      <w:r>
        <w:rPr>
          <w:b/>
          <w:i w:val="0"/>
          <w:noProof/>
          <w:u w:val="single"/>
        </w:rPr>
        <w:t>Tagastamatu rahalise toetusega seotud reformide ja investeeringute kirjeldus</w:t>
      </w:r>
    </w:p>
    <w:p w14:paraId="6AE83B51" w14:textId="77777777" w:rsidR="0084326C" w:rsidRPr="005D68A0" w:rsidRDefault="0084326C" w:rsidP="0084326C">
      <w:pPr>
        <w:spacing w:before="120" w:after="120" w:line="257" w:lineRule="auto"/>
        <w:jc w:val="both"/>
        <w:rPr>
          <w:b/>
          <w:bCs/>
          <w:noProof/>
        </w:rPr>
      </w:pPr>
      <w:r>
        <w:rPr>
          <w:b/>
          <w:noProof/>
        </w:rPr>
        <w:t xml:space="preserve">Reform 2.1. Hüdrogeoloogilise ebastabiilsuse vastaste meetmete rakendamise korra lihtsustamine ja kiirendamine </w:t>
      </w:r>
    </w:p>
    <w:p w14:paraId="6A38715C" w14:textId="77777777" w:rsidR="0084326C" w:rsidRPr="005D68A0" w:rsidRDefault="0084326C" w:rsidP="0084326C">
      <w:pPr>
        <w:spacing w:before="120" w:after="120"/>
        <w:jc w:val="both"/>
        <w:rPr>
          <w:noProof/>
        </w:rPr>
      </w:pPr>
      <w:r>
        <w:rPr>
          <w:noProof/>
        </w:rPr>
        <w:t>Selle reformi eesmärk on kõrvaldada hüdrogeoloogiliste riskide juhtimises esinevad puudused, millele juhtis tähelepanu Itaalia kontrollikoda. See hõlmab kõnealuse valdkonna projektide rakendamise menetluste lihtsustamist ja kiirendamist, sealhulgas iga etapi jaoks maksimumtähtaegade kehtestamist; prioriseerida sekkumisi kooskõlas riikliku riskihindamisega ning otsuse 1313/2013/EL artikliga 6, riskijuhtimissuutlikkuse hindamisega ja olulise kahju puudumise põhimõttega; kava koostamine nende projektide rakendamise eest vastutavate üksuste haldussuutlikkuse suurendamiseks ja asjaomaste valitsustasandite vahelise koordineerimise tugevdamiseks, sealhulgas teabevoogude sujuvamaks muutmise kaudu.</w:t>
      </w:r>
    </w:p>
    <w:p w14:paraId="1261B5A9" w14:textId="77777777" w:rsidR="0084326C" w:rsidRPr="005D68A0" w:rsidRDefault="0084326C" w:rsidP="0084326C">
      <w:pPr>
        <w:spacing w:before="120" w:after="120" w:line="257" w:lineRule="auto"/>
        <w:jc w:val="both"/>
        <w:rPr>
          <w:b/>
          <w:bCs/>
          <w:noProof/>
        </w:rPr>
      </w:pPr>
      <w:r>
        <w:rPr>
          <w:b/>
          <w:noProof/>
        </w:rPr>
        <w:t xml:space="preserve">Reform 2. Veevarude parema majandamise ja säästva kasutamise õigusraamistiku reform </w:t>
      </w:r>
    </w:p>
    <w:p w14:paraId="4982C2B3" w14:textId="77777777" w:rsidR="0084326C" w:rsidRPr="005D68A0" w:rsidRDefault="0084326C" w:rsidP="0084326C">
      <w:pPr>
        <w:spacing w:before="120" w:after="120"/>
        <w:jc w:val="both"/>
        <w:rPr>
          <w:noProof/>
        </w:rPr>
      </w:pPr>
      <w:r>
        <w:rPr>
          <w:noProof/>
        </w:rPr>
        <w:t xml:space="preserve">Selle reformi eesmärk on tegeleda Itaalia veesektori pikaajaliste probleemidega, mis kajastuvad paljudes käimasolevates rikkumismenetlustes seoses nõukogu direktiivi 91/271/EMÜ nõuete täitmata jätmisega, sektori liigses killustatuses ning asjakohaste stiimulite ja hinnapoliitika puudumises. Kavandatud meetmed peaksid märkimisväärselt vähendama sektori killustatust, vähendades ettevõtjate arvu ja soodustades mastaabisäästu, luues stiimuleid veelekete ja liigse veetarbimise vähendamiseks põllumajandussektoris ning kehtestades asjakohase hinnapoliitika vee säästvamaks tarbimiseks. </w:t>
      </w:r>
    </w:p>
    <w:p w14:paraId="3874309C" w14:textId="77777777" w:rsidR="0084326C" w:rsidRPr="005D68A0" w:rsidRDefault="0084326C" w:rsidP="0084326C">
      <w:pPr>
        <w:spacing w:before="120" w:after="120"/>
        <w:jc w:val="both"/>
        <w:rPr>
          <w:noProof/>
        </w:rPr>
      </w:pPr>
      <w:r>
        <w:rPr>
          <w:noProof/>
        </w:rPr>
        <w:t>Campania, Calabria, Molise ja Sitsiilia piirkondadega allkirjastatakse vastastikuse mõistmise memorandumid, et vähendada veevarustusteenuseid osutavate ettevõtjate killustatust. Vastastikuse mõistmise memorandumis seatakse eesmärgid seoses kohalike omavalitsuste organite loomisega, ettevõtjate arvu vähendamisega ja mastaabisäästu saavutamisega, et luua kahe aasta jooksul pärast vastastikuse mõistmise memorandumi allkirjastamist üksikettevõtjad vähemalt iga 40</w:t>
      </w:r>
      <w:r>
        <w:rPr>
          <w:noProof/>
          <w:color w:val="006100"/>
          <w:sz w:val="20"/>
        </w:rPr>
        <w:t> </w:t>
      </w:r>
      <w:r>
        <w:rPr>
          <w:noProof/>
        </w:rPr>
        <w:t xml:space="preserve">000 elaniku kohta.   </w:t>
      </w:r>
    </w:p>
    <w:p w14:paraId="5C799382" w14:textId="77777777" w:rsidR="0084326C" w:rsidRPr="005D68A0" w:rsidRDefault="0084326C" w:rsidP="0084326C">
      <w:pPr>
        <w:spacing w:before="120" w:after="120" w:line="257" w:lineRule="auto"/>
        <w:jc w:val="both"/>
        <w:rPr>
          <w:b/>
          <w:bCs/>
          <w:noProof/>
        </w:rPr>
      </w:pPr>
      <w:r>
        <w:rPr>
          <w:b/>
          <w:noProof/>
        </w:rPr>
        <w:t>Reform 4.2. Meetmed integreeritud veevarustusteenuste täieliku juhtimissuutlikkuse tagamiseks</w:t>
      </w:r>
    </w:p>
    <w:p w14:paraId="3F1CBCF7" w14:textId="77777777" w:rsidR="0084326C" w:rsidRPr="005D68A0" w:rsidRDefault="0084326C" w:rsidP="0084326C">
      <w:pPr>
        <w:spacing w:before="120" w:after="120"/>
        <w:jc w:val="both"/>
        <w:rPr>
          <w:bCs/>
          <w:noProof/>
        </w:rPr>
      </w:pPr>
      <w:r>
        <w:rPr>
          <w:noProof/>
        </w:rPr>
        <w:t xml:space="preserve">Reformi eesmärk on lahendada veevarude majandamisega seotud suured probleemid ja muuta süsteem tõhusamaks. </w:t>
      </w:r>
    </w:p>
    <w:p w14:paraId="4C8A284C" w14:textId="77777777" w:rsidR="0084326C" w:rsidRPr="005D68A0" w:rsidRDefault="0084326C" w:rsidP="0084326C">
      <w:pPr>
        <w:spacing w:before="120" w:after="120"/>
        <w:jc w:val="both"/>
        <w:rPr>
          <w:bCs/>
          <w:noProof/>
        </w:rPr>
      </w:pPr>
      <w:r>
        <w:rPr>
          <w:noProof/>
        </w:rPr>
        <w:t>Süsteem peaks vähendama käitajate arvu praegust killustatust, mis praegu takistab veevarude tõhusat kasutamist mõnes riigi osas. Samuti eeldatakse, et reformiga luuakse õiged stiimulid veevarude paremaks kasutamiseks põllumajandussektoris, võetakse kasutusele karistuste süsteem vee ebaseadusliku kaevandamise eest ning võetakse kasutusele hinnasüsteem, mis kajastab paremini ja on paremini kooskõlas põhimõttega, et saastaja maksab, vältides samal ajal olemasolevate niisutussüsteemide laiendamist. Meetmed võetakse vastu koostöös piirkondadega, kus veevarude majandamine on praegu problemaatilisem.</w:t>
      </w:r>
    </w:p>
    <w:p w14:paraId="6B38B9E8" w14:textId="77777777" w:rsidR="0084326C" w:rsidRPr="005D68A0" w:rsidRDefault="0084326C" w:rsidP="0084326C">
      <w:pPr>
        <w:spacing w:before="120" w:after="120" w:line="257" w:lineRule="auto"/>
        <w:jc w:val="both"/>
        <w:rPr>
          <w:b/>
          <w:bCs/>
          <w:noProof/>
        </w:rPr>
      </w:pPr>
      <w:r>
        <w:rPr>
          <w:b/>
          <w:noProof/>
        </w:rPr>
        <w:t>Investeering 3.2. Rahvusparkide ja merekaitsealade digitaliseerimine</w:t>
      </w:r>
    </w:p>
    <w:p w14:paraId="7A40F25D" w14:textId="77777777" w:rsidR="0084326C" w:rsidRPr="005D68A0" w:rsidRDefault="0084326C" w:rsidP="0084326C">
      <w:pPr>
        <w:spacing w:before="120" w:after="120"/>
        <w:jc w:val="both"/>
        <w:rPr>
          <w:noProof/>
        </w:rPr>
      </w:pPr>
      <w:r>
        <w:rPr>
          <w:noProof/>
        </w:rPr>
        <w:t>Selle meetmega kehtestatakse standarditud ja digiteeritud menetlused kaitsealade ajakohastamiseks, tõhususeks ja tõhusaks toimimiseks erinevates mõõtmetes, nagu looduskaitse, menetluste ja teenuste halduslik lihtsustamine rahvusparkide ja merekaitsealade külastajatele. Pärast sekkumist on loodusvarade seire eeldatavasti paranenud, et võtta vajaduse korral bioloogilise mitmekesisuse kaitseks vajalikke ennetus- ja parandusmeetmeid. Samuti peaks see parandama rahvusparkide ja merekaitsealade külastajate teenuseid ja teadlikkust bioloogilisest mitmekesisusest, et muuta turism säästvamaks ja loodusvarasid vastutustundlikumalt kasutada.</w:t>
      </w:r>
    </w:p>
    <w:p w14:paraId="289EC802" w14:textId="77777777" w:rsidR="0084326C" w:rsidRPr="005D68A0" w:rsidRDefault="0084326C" w:rsidP="0084326C">
      <w:pPr>
        <w:pStyle w:val="Heading3"/>
        <w:numPr>
          <w:ilvl w:val="0"/>
          <w:numId w:val="0"/>
        </w:numPr>
        <w:ind w:left="850" w:hanging="850"/>
        <w:rPr>
          <w:b/>
          <w:bCs w:val="0"/>
          <w:i w:val="0"/>
          <w:iCs/>
          <w:noProof/>
          <w:u w:val="single"/>
        </w:rPr>
      </w:pPr>
      <w:r>
        <w:rPr>
          <w:b/>
          <w:i w:val="0"/>
          <w:noProof/>
          <w:u w:val="single"/>
        </w:rPr>
        <w:t xml:space="preserve">G.2. </w:t>
      </w:r>
      <w:r>
        <w:rPr>
          <w:noProof/>
        </w:rPr>
        <w:tab/>
      </w:r>
      <w:r>
        <w:rPr>
          <w:b/>
          <w:i w:val="0"/>
          <w:noProof/>
          <w:u w:val="single"/>
        </w:rPr>
        <w:t>Tagastamatu rahalise toetuse eesmärgid, sihid, näitajad ning seire ja rakendamise ajakava</w:t>
      </w:r>
    </w:p>
    <w:p w14:paraId="6E6BAFB1" w14:textId="77777777" w:rsidR="0084326C" w:rsidRPr="00F33804" w:rsidRDefault="0084326C" w:rsidP="0084326C">
      <w:pPr>
        <w:spacing w:before="120" w:after="120"/>
        <w:ind w:left="709"/>
        <w:jc w:val="both"/>
        <w:rPr>
          <w:noProof/>
        </w:rPr>
        <w:sectPr w:rsidR="0084326C" w:rsidRPr="00F33804">
          <w:headerReference w:type="even" r:id="rId188"/>
          <w:headerReference w:type="default" r:id="rId189"/>
          <w:footerReference w:type="even" r:id="rId190"/>
          <w:footerReference w:type="default" r:id="rId191"/>
          <w:headerReference w:type="first" r:id="rId192"/>
          <w:footerReference w:type="first" r:id="rId193"/>
          <w:pgSz w:w="11907" w:h="16839"/>
          <w:pgMar w:top="1440" w:right="1440" w:bottom="1440" w:left="1440" w:header="567" w:footer="567" w:gutter="0"/>
          <w:cols w:space="720"/>
          <w:docGrid w:linePitch="360"/>
        </w:sectPr>
      </w:pPr>
    </w:p>
    <w:tbl>
      <w:tblPr>
        <w:tblW w:w="14560" w:type="dxa"/>
        <w:jc w:val="center"/>
        <w:tblLook w:val="04A0" w:firstRow="1" w:lastRow="0" w:firstColumn="1" w:lastColumn="0" w:noHBand="0" w:noVBand="1"/>
      </w:tblPr>
      <w:tblGrid>
        <w:gridCol w:w="1507"/>
        <w:gridCol w:w="1618"/>
        <w:gridCol w:w="1188"/>
        <w:gridCol w:w="1618"/>
        <w:gridCol w:w="1325"/>
        <w:gridCol w:w="1321"/>
        <w:gridCol w:w="985"/>
        <w:gridCol w:w="875"/>
        <w:gridCol w:w="765"/>
        <w:gridCol w:w="751"/>
        <w:gridCol w:w="2607"/>
      </w:tblGrid>
      <w:tr w:rsidR="0084326C" w:rsidRPr="00D90835" w14:paraId="186666D3" w14:textId="77777777">
        <w:trPr>
          <w:trHeight w:val="927"/>
          <w:tblHeader/>
          <w:jc w:val="center"/>
        </w:trPr>
        <w:tc>
          <w:tcPr>
            <w:tcW w:w="134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44017A2" w14:textId="77777777" w:rsidR="0084326C" w:rsidRPr="005D68A0" w:rsidRDefault="0084326C">
            <w:pPr>
              <w:jc w:val="center"/>
              <w:rPr>
                <w:rFonts w:ascii="Arial Narrow" w:hAnsi="Arial Narrow"/>
                <w:b/>
                <w:noProof/>
                <w:sz w:val="20"/>
                <w:szCs w:val="20"/>
              </w:rPr>
            </w:pPr>
            <w:r>
              <w:rPr>
                <w:rFonts w:ascii="Arial Narrow" w:hAnsi="Arial Narrow"/>
                <w:b/>
                <w:noProof/>
                <w:sz w:val="20"/>
              </w:rPr>
              <w:t>Järjekorranumber</w:t>
            </w:r>
          </w:p>
        </w:tc>
        <w:tc>
          <w:tcPr>
            <w:tcW w:w="149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9D75EEC" w14:textId="77777777" w:rsidR="0084326C" w:rsidRPr="005D68A0" w:rsidRDefault="0084326C">
            <w:pPr>
              <w:jc w:val="center"/>
              <w:rPr>
                <w:rFonts w:ascii="Arial Narrow" w:hAnsi="Arial Narrow"/>
                <w:b/>
                <w:noProof/>
                <w:sz w:val="20"/>
                <w:szCs w:val="20"/>
              </w:rPr>
            </w:pPr>
            <w:r>
              <w:rPr>
                <w:rFonts w:ascii="Arial Narrow" w:hAnsi="Arial Narrow"/>
                <w:b/>
                <w:noProof/>
                <w:sz w:val="20"/>
              </w:rPr>
              <w:t>Seotud meede (reform või investeering)</w:t>
            </w:r>
          </w:p>
        </w:tc>
        <w:tc>
          <w:tcPr>
            <w:tcW w:w="126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66138A1" w14:textId="77777777" w:rsidR="0084326C" w:rsidRPr="005D68A0" w:rsidRDefault="0084326C">
            <w:pPr>
              <w:jc w:val="center"/>
              <w:rPr>
                <w:rFonts w:ascii="Arial Narrow" w:hAnsi="Arial Narrow"/>
                <w:b/>
                <w:noProof/>
                <w:sz w:val="20"/>
                <w:szCs w:val="20"/>
              </w:rPr>
            </w:pPr>
            <w:r>
              <w:rPr>
                <w:rFonts w:ascii="Arial Narrow" w:hAnsi="Arial Narrow"/>
                <w:b/>
                <w:noProof/>
                <w:sz w:val="20"/>
              </w:rPr>
              <w:t>Eesmärk / siht</w:t>
            </w:r>
          </w:p>
        </w:tc>
        <w:tc>
          <w:tcPr>
            <w:tcW w:w="1460" w:type="dxa"/>
            <w:vMerge w:val="restart"/>
            <w:tcBorders>
              <w:top w:val="single" w:sz="4" w:space="0" w:color="auto"/>
              <w:left w:val="nil"/>
              <w:bottom w:val="single" w:sz="4" w:space="0" w:color="auto"/>
              <w:right w:val="single" w:sz="4" w:space="0" w:color="auto"/>
            </w:tcBorders>
            <w:shd w:val="clear" w:color="auto" w:fill="BDD7EE"/>
            <w:vAlign w:val="center"/>
            <w:hideMark/>
          </w:tcPr>
          <w:p w14:paraId="0AC681D6" w14:textId="77777777" w:rsidR="0084326C" w:rsidRPr="005D68A0" w:rsidRDefault="0084326C">
            <w:pPr>
              <w:jc w:val="center"/>
              <w:rPr>
                <w:rFonts w:ascii="Arial Narrow" w:hAnsi="Arial Narrow"/>
                <w:b/>
                <w:noProof/>
                <w:sz w:val="20"/>
                <w:szCs w:val="20"/>
              </w:rPr>
            </w:pPr>
            <w:r>
              <w:rPr>
                <w:rFonts w:ascii="Arial Narrow" w:hAnsi="Arial Narrow"/>
                <w:b/>
                <w:noProof/>
                <w:sz w:val="20"/>
              </w:rPr>
              <w:t>Nimi</w:t>
            </w:r>
          </w:p>
        </w:tc>
        <w:tc>
          <w:tcPr>
            <w:tcW w:w="141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C6FA044" w14:textId="77777777" w:rsidR="0084326C" w:rsidRPr="005D68A0" w:rsidRDefault="0084326C">
            <w:pPr>
              <w:jc w:val="center"/>
              <w:rPr>
                <w:rFonts w:ascii="Arial Narrow" w:hAnsi="Arial Narrow"/>
                <w:b/>
                <w:noProof/>
                <w:sz w:val="20"/>
                <w:szCs w:val="20"/>
              </w:rPr>
            </w:pPr>
            <w:r>
              <w:rPr>
                <w:rFonts w:ascii="Arial Narrow" w:hAnsi="Arial Narrow"/>
                <w:b/>
                <w:noProof/>
                <w:sz w:val="20"/>
              </w:rPr>
              <w:t>Kvalitatiivsed näitajad</w:t>
            </w:r>
            <w:r>
              <w:rPr>
                <w:noProof/>
              </w:rPr>
              <w:t xml:space="preserve"> </w:t>
            </w:r>
            <w:r>
              <w:rPr>
                <w:noProof/>
              </w:rPr>
              <w:br/>
            </w:r>
            <w:r>
              <w:rPr>
                <w:rFonts w:ascii="Arial Narrow" w:hAnsi="Arial Narrow"/>
                <w:b/>
                <w:noProof/>
                <w:sz w:val="20"/>
              </w:rPr>
              <w:t>(eesmärkide puhul)</w:t>
            </w:r>
          </w:p>
        </w:tc>
        <w:tc>
          <w:tcPr>
            <w:tcW w:w="3176" w:type="dxa"/>
            <w:gridSpan w:val="3"/>
            <w:tcBorders>
              <w:top w:val="single" w:sz="4" w:space="0" w:color="auto"/>
              <w:left w:val="nil"/>
              <w:bottom w:val="single" w:sz="4" w:space="0" w:color="auto"/>
              <w:right w:val="single" w:sz="4" w:space="0" w:color="auto"/>
            </w:tcBorders>
            <w:shd w:val="clear" w:color="auto" w:fill="BDD7EE"/>
            <w:vAlign w:val="center"/>
            <w:hideMark/>
          </w:tcPr>
          <w:p w14:paraId="61645360" w14:textId="77777777" w:rsidR="0084326C" w:rsidRPr="005D68A0" w:rsidRDefault="0084326C">
            <w:pPr>
              <w:jc w:val="center"/>
              <w:rPr>
                <w:rFonts w:ascii="Arial Narrow" w:hAnsi="Arial Narrow"/>
                <w:b/>
                <w:noProof/>
                <w:sz w:val="20"/>
                <w:szCs w:val="20"/>
              </w:rPr>
            </w:pPr>
            <w:r>
              <w:rPr>
                <w:rFonts w:ascii="Arial Narrow" w:hAnsi="Arial Narrow"/>
                <w:b/>
                <w:noProof/>
                <w:sz w:val="20"/>
              </w:rPr>
              <w:t xml:space="preserve">Kvantitatiivsed näitajad </w:t>
            </w:r>
            <w:r>
              <w:rPr>
                <w:noProof/>
              </w:rPr>
              <w:br/>
            </w:r>
            <w:r>
              <w:rPr>
                <w:rFonts w:ascii="Arial Narrow" w:hAnsi="Arial Narrow"/>
                <w:b/>
                <w:noProof/>
                <w:sz w:val="20"/>
              </w:rPr>
              <w:t>(sihtide puhul)</w:t>
            </w:r>
          </w:p>
        </w:tc>
        <w:tc>
          <w:tcPr>
            <w:tcW w:w="1603" w:type="dxa"/>
            <w:gridSpan w:val="2"/>
            <w:tcBorders>
              <w:top w:val="single" w:sz="4" w:space="0" w:color="auto"/>
              <w:left w:val="nil"/>
              <w:bottom w:val="single" w:sz="4" w:space="0" w:color="auto"/>
              <w:right w:val="single" w:sz="4" w:space="0" w:color="auto"/>
            </w:tcBorders>
            <w:shd w:val="clear" w:color="auto" w:fill="BDD7EE"/>
            <w:vAlign w:val="center"/>
            <w:hideMark/>
          </w:tcPr>
          <w:p w14:paraId="60DF81AF" w14:textId="77777777" w:rsidR="0084326C" w:rsidRPr="005D68A0" w:rsidRDefault="0084326C">
            <w:pPr>
              <w:jc w:val="center"/>
              <w:rPr>
                <w:rFonts w:ascii="Arial Narrow" w:hAnsi="Arial Narrow"/>
                <w:b/>
                <w:noProof/>
                <w:sz w:val="20"/>
                <w:szCs w:val="20"/>
              </w:rPr>
            </w:pPr>
            <w:r>
              <w:rPr>
                <w:rFonts w:ascii="Arial Narrow" w:hAnsi="Arial Narrow"/>
                <w:b/>
                <w:noProof/>
                <w:sz w:val="20"/>
              </w:rPr>
              <w:t>Lõpuleviimise soovituslik ajakava</w:t>
            </w:r>
          </w:p>
        </w:tc>
        <w:tc>
          <w:tcPr>
            <w:tcW w:w="279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97F016B" w14:textId="77777777" w:rsidR="0084326C" w:rsidRPr="005D68A0" w:rsidRDefault="0084326C">
            <w:pPr>
              <w:jc w:val="center"/>
              <w:rPr>
                <w:rFonts w:ascii="Arial Narrow" w:hAnsi="Arial Narrow"/>
                <w:b/>
                <w:noProof/>
                <w:sz w:val="20"/>
                <w:szCs w:val="20"/>
              </w:rPr>
            </w:pPr>
            <w:r>
              <w:rPr>
                <w:rFonts w:ascii="Arial Narrow" w:hAnsi="Arial Narrow"/>
                <w:b/>
                <w:noProof/>
                <w:sz w:val="20"/>
              </w:rPr>
              <w:t>Iga eesmärgi ja sihi kirjeldus</w:t>
            </w:r>
          </w:p>
        </w:tc>
      </w:tr>
      <w:tr w:rsidR="0084326C" w:rsidRPr="005D68A0" w14:paraId="60814979" w14:textId="77777777">
        <w:trPr>
          <w:trHeight w:val="1013"/>
          <w:tblHeader/>
          <w:jc w:val="center"/>
        </w:trPr>
        <w:tc>
          <w:tcPr>
            <w:tcW w:w="1347" w:type="dxa"/>
            <w:vMerge/>
            <w:tcBorders>
              <w:top w:val="single" w:sz="4" w:space="0" w:color="auto"/>
              <w:left w:val="single" w:sz="4" w:space="0" w:color="auto"/>
              <w:bottom w:val="single" w:sz="4" w:space="0" w:color="auto"/>
              <w:right w:val="single" w:sz="4" w:space="0" w:color="auto"/>
            </w:tcBorders>
            <w:vAlign w:val="center"/>
            <w:hideMark/>
          </w:tcPr>
          <w:p w14:paraId="2B83775C" w14:textId="77777777" w:rsidR="0084326C" w:rsidRPr="00F33804" w:rsidRDefault="0084326C">
            <w:pPr>
              <w:jc w:val="center"/>
              <w:rPr>
                <w:rFonts w:ascii="Arial Narrow" w:hAnsi="Arial Narrow"/>
                <w:b/>
                <w:bCs/>
                <w:noProof/>
                <w:sz w:val="20"/>
                <w:szCs w:val="20"/>
              </w:rPr>
            </w:pPr>
          </w:p>
        </w:tc>
        <w:tc>
          <w:tcPr>
            <w:tcW w:w="1495" w:type="dxa"/>
            <w:vMerge/>
            <w:tcBorders>
              <w:left w:val="single" w:sz="4" w:space="0" w:color="auto"/>
              <w:right w:val="single" w:sz="4" w:space="0" w:color="auto"/>
            </w:tcBorders>
            <w:vAlign w:val="center"/>
            <w:hideMark/>
          </w:tcPr>
          <w:p w14:paraId="6D86BB91" w14:textId="77777777" w:rsidR="0084326C" w:rsidRPr="00F33804" w:rsidRDefault="0084326C">
            <w:pPr>
              <w:jc w:val="center"/>
              <w:rPr>
                <w:rFonts w:ascii="Arial Narrow" w:hAnsi="Arial Narrow"/>
                <w:b/>
                <w:bCs/>
                <w:noProof/>
                <w:sz w:val="20"/>
                <w:szCs w:val="20"/>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14:paraId="64D69DE3" w14:textId="77777777" w:rsidR="0084326C" w:rsidRPr="00F33804" w:rsidRDefault="0084326C">
            <w:pPr>
              <w:jc w:val="center"/>
              <w:rPr>
                <w:rFonts w:ascii="Arial Narrow" w:hAnsi="Arial Narrow"/>
                <w:b/>
                <w:bCs/>
                <w:noProof/>
                <w:sz w:val="20"/>
                <w:szCs w:val="20"/>
              </w:rPr>
            </w:pPr>
          </w:p>
        </w:tc>
        <w:tc>
          <w:tcPr>
            <w:tcW w:w="1460" w:type="dxa"/>
            <w:vMerge/>
            <w:tcBorders>
              <w:left w:val="single" w:sz="4" w:space="0" w:color="auto"/>
              <w:right w:val="single" w:sz="4" w:space="0" w:color="auto"/>
            </w:tcBorders>
            <w:vAlign w:val="center"/>
            <w:hideMark/>
          </w:tcPr>
          <w:p w14:paraId="1874032E" w14:textId="77777777" w:rsidR="0084326C" w:rsidRPr="00F33804" w:rsidRDefault="0084326C">
            <w:pPr>
              <w:jc w:val="center"/>
              <w:rPr>
                <w:rFonts w:ascii="Arial Narrow" w:hAnsi="Arial Narrow"/>
                <w:b/>
                <w:bCs/>
                <w:noProof/>
                <w:sz w:val="20"/>
                <w:szCs w:val="20"/>
              </w:rPr>
            </w:pPr>
          </w:p>
        </w:tc>
        <w:tc>
          <w:tcPr>
            <w:tcW w:w="1414" w:type="dxa"/>
            <w:vMerge/>
            <w:tcBorders>
              <w:top w:val="single" w:sz="4" w:space="0" w:color="auto"/>
              <w:left w:val="single" w:sz="4" w:space="0" w:color="auto"/>
              <w:bottom w:val="single" w:sz="4" w:space="0" w:color="auto"/>
            </w:tcBorders>
            <w:vAlign w:val="center"/>
            <w:hideMark/>
          </w:tcPr>
          <w:p w14:paraId="35AABCE6" w14:textId="77777777" w:rsidR="0084326C" w:rsidRPr="00F33804" w:rsidRDefault="0084326C">
            <w:pPr>
              <w:jc w:val="center"/>
              <w:rPr>
                <w:rFonts w:ascii="Arial Narrow" w:hAnsi="Arial Narrow"/>
                <w:b/>
                <w:bCs/>
                <w:noProof/>
                <w:sz w:val="20"/>
                <w:szCs w:val="20"/>
              </w:rPr>
            </w:pPr>
          </w:p>
        </w:tc>
        <w:tc>
          <w:tcPr>
            <w:tcW w:w="1410" w:type="dxa"/>
            <w:tcBorders>
              <w:top w:val="nil"/>
              <w:left w:val="single" w:sz="4" w:space="0" w:color="auto"/>
              <w:bottom w:val="single" w:sz="4" w:space="0" w:color="auto"/>
              <w:right w:val="single" w:sz="4" w:space="0" w:color="auto"/>
            </w:tcBorders>
            <w:shd w:val="clear" w:color="auto" w:fill="BDD7EE"/>
            <w:vAlign w:val="center"/>
            <w:hideMark/>
          </w:tcPr>
          <w:p w14:paraId="721D9E71" w14:textId="77777777" w:rsidR="0084326C" w:rsidRPr="005D68A0" w:rsidRDefault="0084326C">
            <w:pPr>
              <w:jc w:val="center"/>
              <w:rPr>
                <w:rFonts w:ascii="Arial Narrow" w:hAnsi="Arial Narrow"/>
                <w:b/>
                <w:noProof/>
                <w:sz w:val="20"/>
                <w:szCs w:val="20"/>
              </w:rPr>
            </w:pPr>
            <w:r>
              <w:rPr>
                <w:rFonts w:ascii="Arial Narrow" w:hAnsi="Arial Narrow"/>
                <w:b/>
                <w:noProof/>
                <w:sz w:val="20"/>
              </w:rPr>
              <w:t>Mõõtühik</w:t>
            </w:r>
          </w:p>
        </w:tc>
        <w:tc>
          <w:tcPr>
            <w:tcW w:w="1047" w:type="dxa"/>
            <w:tcBorders>
              <w:top w:val="nil"/>
              <w:left w:val="nil"/>
              <w:bottom w:val="single" w:sz="4" w:space="0" w:color="auto"/>
              <w:right w:val="single" w:sz="4" w:space="0" w:color="auto"/>
            </w:tcBorders>
            <w:shd w:val="clear" w:color="auto" w:fill="BDD7EE"/>
            <w:vAlign w:val="center"/>
            <w:hideMark/>
          </w:tcPr>
          <w:p w14:paraId="75543B8D" w14:textId="77777777" w:rsidR="0084326C" w:rsidRPr="005D68A0" w:rsidRDefault="0084326C">
            <w:pPr>
              <w:jc w:val="center"/>
              <w:rPr>
                <w:rFonts w:ascii="Arial Narrow" w:hAnsi="Arial Narrow"/>
                <w:b/>
                <w:noProof/>
                <w:sz w:val="20"/>
                <w:szCs w:val="20"/>
              </w:rPr>
            </w:pPr>
            <w:r>
              <w:rPr>
                <w:rFonts w:ascii="Arial Narrow" w:hAnsi="Arial Narrow"/>
                <w:b/>
                <w:noProof/>
                <w:sz w:val="20"/>
              </w:rPr>
              <w:t>Lähtetase</w:t>
            </w:r>
          </w:p>
        </w:tc>
        <w:tc>
          <w:tcPr>
            <w:tcW w:w="719" w:type="dxa"/>
            <w:tcBorders>
              <w:top w:val="nil"/>
              <w:left w:val="nil"/>
              <w:bottom w:val="single" w:sz="4" w:space="0" w:color="auto"/>
              <w:right w:val="single" w:sz="4" w:space="0" w:color="auto"/>
            </w:tcBorders>
            <w:shd w:val="clear" w:color="auto" w:fill="BDD7EE"/>
            <w:vAlign w:val="center"/>
            <w:hideMark/>
          </w:tcPr>
          <w:p w14:paraId="3B7D7CA5" w14:textId="77777777" w:rsidR="0084326C" w:rsidRPr="005D68A0" w:rsidRDefault="0084326C">
            <w:pPr>
              <w:jc w:val="center"/>
              <w:rPr>
                <w:rFonts w:ascii="Arial Narrow" w:hAnsi="Arial Narrow"/>
                <w:b/>
                <w:noProof/>
                <w:sz w:val="20"/>
                <w:szCs w:val="20"/>
              </w:rPr>
            </w:pPr>
            <w:r>
              <w:rPr>
                <w:rFonts w:ascii="Arial Narrow" w:hAnsi="Arial Narrow"/>
                <w:b/>
                <w:noProof/>
                <w:sz w:val="20"/>
              </w:rPr>
              <w:t>Eesmärk</w:t>
            </w:r>
          </w:p>
        </w:tc>
        <w:tc>
          <w:tcPr>
            <w:tcW w:w="809" w:type="dxa"/>
            <w:tcBorders>
              <w:top w:val="nil"/>
              <w:left w:val="nil"/>
              <w:bottom w:val="single" w:sz="4" w:space="0" w:color="auto"/>
              <w:right w:val="single" w:sz="4" w:space="0" w:color="auto"/>
            </w:tcBorders>
            <w:shd w:val="clear" w:color="auto" w:fill="BDD7EE"/>
            <w:vAlign w:val="center"/>
            <w:hideMark/>
          </w:tcPr>
          <w:p w14:paraId="5823997C" w14:textId="77777777" w:rsidR="0084326C" w:rsidRPr="005D68A0" w:rsidRDefault="0084326C">
            <w:pPr>
              <w:jc w:val="center"/>
              <w:rPr>
                <w:rFonts w:ascii="Arial Narrow" w:hAnsi="Arial Narrow"/>
                <w:b/>
                <w:noProof/>
                <w:sz w:val="20"/>
                <w:szCs w:val="20"/>
              </w:rPr>
            </w:pPr>
            <w:r>
              <w:rPr>
                <w:rFonts w:ascii="Arial Narrow" w:hAnsi="Arial Narrow"/>
                <w:b/>
                <w:noProof/>
                <w:sz w:val="20"/>
              </w:rPr>
              <w:t>Kvartal</w:t>
            </w:r>
          </w:p>
        </w:tc>
        <w:tc>
          <w:tcPr>
            <w:tcW w:w="794" w:type="dxa"/>
            <w:tcBorders>
              <w:top w:val="nil"/>
              <w:left w:val="nil"/>
              <w:bottom w:val="single" w:sz="4" w:space="0" w:color="auto"/>
              <w:right w:val="single" w:sz="4" w:space="0" w:color="auto"/>
            </w:tcBorders>
            <w:shd w:val="clear" w:color="auto" w:fill="BDD7EE"/>
            <w:vAlign w:val="center"/>
            <w:hideMark/>
          </w:tcPr>
          <w:p w14:paraId="68C41830" w14:textId="77777777" w:rsidR="0084326C" w:rsidRPr="005D68A0" w:rsidRDefault="0084326C">
            <w:pPr>
              <w:jc w:val="center"/>
              <w:rPr>
                <w:rFonts w:ascii="Arial Narrow" w:hAnsi="Arial Narrow"/>
                <w:b/>
                <w:noProof/>
                <w:sz w:val="20"/>
                <w:szCs w:val="20"/>
              </w:rPr>
            </w:pPr>
            <w:r>
              <w:rPr>
                <w:rFonts w:ascii="Arial Narrow" w:hAnsi="Arial Narrow"/>
                <w:b/>
                <w:noProof/>
                <w:sz w:val="20"/>
              </w:rPr>
              <w:t>Aasta</w:t>
            </w:r>
          </w:p>
        </w:tc>
        <w:tc>
          <w:tcPr>
            <w:tcW w:w="2799" w:type="dxa"/>
            <w:vMerge/>
            <w:tcBorders>
              <w:top w:val="single" w:sz="4" w:space="0" w:color="auto"/>
              <w:bottom w:val="single" w:sz="4" w:space="0" w:color="auto"/>
              <w:right w:val="single" w:sz="4" w:space="0" w:color="auto"/>
            </w:tcBorders>
            <w:vAlign w:val="center"/>
            <w:hideMark/>
          </w:tcPr>
          <w:p w14:paraId="45E0EA17" w14:textId="77777777" w:rsidR="0084326C" w:rsidRPr="005D68A0" w:rsidRDefault="0084326C">
            <w:pPr>
              <w:rPr>
                <w:rFonts w:ascii="Arial Narrow" w:hAnsi="Arial Narrow"/>
                <w:b/>
                <w:bCs/>
                <w:noProof/>
                <w:sz w:val="20"/>
                <w:szCs w:val="20"/>
                <w:lang w:val="en-GB"/>
              </w:rPr>
            </w:pPr>
          </w:p>
        </w:tc>
      </w:tr>
      <w:tr w:rsidR="0084326C" w:rsidRPr="00D90835" w14:paraId="1D1EF03D" w14:textId="77777777">
        <w:trPr>
          <w:trHeight w:val="170"/>
          <w:jc w:val="center"/>
        </w:trPr>
        <w:tc>
          <w:tcPr>
            <w:tcW w:w="1347"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AEC8DF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M2C4-1</w:t>
            </w:r>
          </w:p>
        </w:tc>
        <w:tc>
          <w:tcPr>
            <w:tcW w:w="1495" w:type="dxa"/>
            <w:tcBorders>
              <w:top w:val="single" w:sz="4" w:space="0" w:color="auto"/>
              <w:left w:val="nil"/>
              <w:bottom w:val="single" w:sz="4" w:space="0" w:color="auto"/>
              <w:right w:val="single" w:sz="4" w:space="0" w:color="auto"/>
            </w:tcBorders>
            <w:shd w:val="clear" w:color="auto" w:fill="C6EFCE"/>
            <w:noWrap/>
            <w:vAlign w:val="center"/>
            <w:hideMark/>
          </w:tcPr>
          <w:p w14:paraId="400FCD0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Reform 2.1. Hüdrogeoloogilise ebastabiilsuse vastaste meetmete rakendamise menetluste lihtsustamine ja kiirendamine</w:t>
            </w:r>
          </w:p>
        </w:tc>
        <w:tc>
          <w:tcPr>
            <w:tcW w:w="1266" w:type="dxa"/>
            <w:tcBorders>
              <w:top w:val="single" w:sz="4" w:space="0" w:color="auto"/>
              <w:left w:val="nil"/>
              <w:bottom w:val="single" w:sz="4" w:space="0" w:color="auto"/>
              <w:right w:val="single" w:sz="4" w:space="0" w:color="auto"/>
            </w:tcBorders>
            <w:shd w:val="clear" w:color="auto" w:fill="C6EFCE"/>
            <w:noWrap/>
            <w:vAlign w:val="center"/>
            <w:hideMark/>
          </w:tcPr>
          <w:p w14:paraId="393915C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1460" w:type="dxa"/>
            <w:tcBorders>
              <w:top w:val="single" w:sz="4" w:space="0" w:color="auto"/>
              <w:left w:val="nil"/>
              <w:bottom w:val="single" w:sz="4" w:space="0" w:color="auto"/>
              <w:right w:val="single" w:sz="4" w:space="0" w:color="auto"/>
            </w:tcBorders>
            <w:shd w:val="clear" w:color="auto" w:fill="C6EFCE"/>
            <w:noWrap/>
            <w:vAlign w:val="center"/>
            <w:hideMark/>
          </w:tcPr>
          <w:p w14:paraId="5E06434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Hüdroloogiliste riskide parema juhtimise õigusraamistiku lihtsustamise jõustumine</w:t>
            </w:r>
          </w:p>
        </w:tc>
        <w:tc>
          <w:tcPr>
            <w:tcW w:w="1414" w:type="dxa"/>
            <w:tcBorders>
              <w:top w:val="single" w:sz="4" w:space="0" w:color="auto"/>
              <w:left w:val="nil"/>
              <w:bottom w:val="single" w:sz="4" w:space="0" w:color="auto"/>
              <w:right w:val="single" w:sz="4" w:space="0" w:color="auto"/>
            </w:tcBorders>
            <w:shd w:val="clear" w:color="auto" w:fill="C6EFCE"/>
            <w:noWrap/>
            <w:vAlign w:val="center"/>
            <w:hideMark/>
          </w:tcPr>
          <w:p w14:paraId="314F9A3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Asjaomas(t)e õigusakti(de) säte, mis osutab jõustumisele</w:t>
            </w:r>
          </w:p>
        </w:tc>
        <w:tc>
          <w:tcPr>
            <w:tcW w:w="1410" w:type="dxa"/>
            <w:tcBorders>
              <w:top w:val="nil"/>
              <w:left w:val="nil"/>
              <w:bottom w:val="single" w:sz="4" w:space="0" w:color="auto"/>
              <w:right w:val="single" w:sz="4" w:space="0" w:color="auto"/>
            </w:tcBorders>
            <w:shd w:val="clear" w:color="auto" w:fill="C6EFCE"/>
            <w:noWrap/>
            <w:vAlign w:val="center"/>
            <w:hideMark/>
          </w:tcPr>
          <w:p w14:paraId="55DB016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47" w:type="dxa"/>
            <w:tcBorders>
              <w:top w:val="nil"/>
              <w:left w:val="nil"/>
              <w:bottom w:val="single" w:sz="4" w:space="0" w:color="auto"/>
              <w:right w:val="single" w:sz="4" w:space="0" w:color="auto"/>
            </w:tcBorders>
            <w:shd w:val="clear" w:color="auto" w:fill="C6EFCE"/>
            <w:noWrap/>
            <w:vAlign w:val="center"/>
            <w:hideMark/>
          </w:tcPr>
          <w:p w14:paraId="4DD1775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719" w:type="dxa"/>
            <w:tcBorders>
              <w:top w:val="nil"/>
              <w:left w:val="nil"/>
              <w:bottom w:val="single" w:sz="4" w:space="0" w:color="auto"/>
              <w:right w:val="single" w:sz="4" w:space="0" w:color="auto"/>
            </w:tcBorders>
            <w:shd w:val="clear" w:color="auto" w:fill="C6EFCE"/>
            <w:noWrap/>
            <w:vAlign w:val="center"/>
            <w:hideMark/>
          </w:tcPr>
          <w:p w14:paraId="77DC949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809" w:type="dxa"/>
            <w:tcBorders>
              <w:top w:val="nil"/>
              <w:left w:val="nil"/>
              <w:bottom w:val="single" w:sz="4" w:space="0" w:color="auto"/>
              <w:right w:val="single" w:sz="4" w:space="0" w:color="auto"/>
            </w:tcBorders>
            <w:shd w:val="clear" w:color="auto" w:fill="C6EFCE"/>
            <w:noWrap/>
            <w:vAlign w:val="center"/>
            <w:hideMark/>
          </w:tcPr>
          <w:p w14:paraId="643DE12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 kv</w:t>
            </w:r>
          </w:p>
        </w:tc>
        <w:tc>
          <w:tcPr>
            <w:tcW w:w="794" w:type="dxa"/>
            <w:tcBorders>
              <w:top w:val="nil"/>
              <w:left w:val="nil"/>
              <w:bottom w:val="single" w:sz="4" w:space="0" w:color="auto"/>
              <w:right w:val="single" w:sz="4" w:space="0" w:color="auto"/>
            </w:tcBorders>
            <w:shd w:val="clear" w:color="auto" w:fill="C6EFCE"/>
            <w:noWrap/>
            <w:vAlign w:val="center"/>
            <w:hideMark/>
          </w:tcPr>
          <w:p w14:paraId="34F2EC0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2022</w:t>
            </w:r>
          </w:p>
        </w:tc>
        <w:tc>
          <w:tcPr>
            <w:tcW w:w="2799" w:type="dxa"/>
            <w:tcBorders>
              <w:top w:val="single" w:sz="4" w:space="0" w:color="auto"/>
              <w:left w:val="nil"/>
              <w:bottom w:val="single" w:sz="4" w:space="0" w:color="auto"/>
              <w:right w:val="single" w:sz="4" w:space="0" w:color="auto"/>
            </w:tcBorders>
            <w:shd w:val="clear" w:color="auto" w:fill="C6EFCE"/>
            <w:noWrap/>
            <w:vAlign w:val="center"/>
          </w:tcPr>
          <w:p w14:paraId="6655D375" w14:textId="0553C324" w:rsidR="0084326C" w:rsidRPr="00D90835" w:rsidRDefault="0084326C">
            <w:pPr>
              <w:spacing w:line="276" w:lineRule="auto"/>
              <w:rPr>
                <w:rFonts w:ascii="Arial Narrow" w:hAnsi="Arial Narrow"/>
                <w:noProof/>
                <w:color w:val="006100"/>
                <w:sz w:val="20"/>
                <w:szCs w:val="20"/>
              </w:rPr>
            </w:pPr>
            <w:r>
              <w:rPr>
                <w:rFonts w:ascii="Arial Narrow" w:hAnsi="Arial Narrow"/>
                <w:noProof/>
                <w:color w:val="006100"/>
                <w:sz w:val="20"/>
              </w:rPr>
              <w:t>Uue õigusraamistiku eesmärk on vähemalt:</w:t>
            </w:r>
          </w:p>
          <w:p w14:paraId="1F3A5435" w14:textId="77777777" w:rsidR="0084326C" w:rsidRPr="00D90835" w:rsidRDefault="0084326C" w:rsidP="00D90835">
            <w:pPr>
              <w:pStyle w:val="ListParagraph"/>
              <w:numPr>
                <w:ilvl w:val="0"/>
                <w:numId w:val="69"/>
              </w:numPr>
              <w:tabs>
                <w:tab w:val="left" w:pos="321"/>
              </w:tabs>
              <w:spacing w:after="0" w:line="276" w:lineRule="auto"/>
              <w:ind w:left="0" w:firstLine="37"/>
              <w:jc w:val="left"/>
              <w:rPr>
                <w:rFonts w:ascii="Arial Narrow" w:hAnsi="Arial Narrow"/>
                <w:noProof/>
                <w:color w:val="006100"/>
                <w:sz w:val="20"/>
                <w:szCs w:val="20"/>
              </w:rPr>
            </w:pPr>
            <w:r>
              <w:rPr>
                <w:rFonts w:ascii="Arial Narrow" w:hAnsi="Arial Narrow"/>
                <w:noProof/>
                <w:color w:val="006100"/>
                <w:sz w:val="20"/>
              </w:rPr>
              <w:t>Prioriseerida ennetusmeetmeid kooskõlas riikliku riskihindamisega ning otsuse 1313/2013/EL artikliga 6, riskijuhtimissuutlikkuse hindamisega ja olulise kahju puudumise põhimõttega;</w:t>
            </w:r>
          </w:p>
          <w:p w14:paraId="435A5966" w14:textId="77777777" w:rsidR="0084326C" w:rsidRPr="005D68A0" w:rsidRDefault="0084326C" w:rsidP="003B2D1E">
            <w:pPr>
              <w:pStyle w:val="ListParagraph"/>
              <w:numPr>
                <w:ilvl w:val="0"/>
                <w:numId w:val="69"/>
              </w:numPr>
              <w:tabs>
                <w:tab w:val="left" w:pos="321"/>
              </w:tabs>
              <w:spacing w:after="0" w:line="276" w:lineRule="auto"/>
              <w:ind w:left="0" w:firstLine="37"/>
              <w:jc w:val="left"/>
              <w:rPr>
                <w:rFonts w:ascii="Arial Narrow" w:hAnsi="Arial Narrow"/>
                <w:noProof/>
                <w:color w:val="006100"/>
                <w:sz w:val="20"/>
                <w:szCs w:val="20"/>
              </w:rPr>
            </w:pPr>
            <w:r>
              <w:rPr>
                <w:rFonts w:ascii="Arial Narrow" w:hAnsi="Arial Narrow"/>
                <w:noProof/>
                <w:color w:val="006100"/>
                <w:sz w:val="20"/>
              </w:rPr>
              <w:t>Kiirendada projektide kavandamise menetlusi ja kehtestada üldpõhimõtted, et lihtsustada projektide rakendamist ja rahastamist ning hüdroloogilisi riske käsitlevaid projekte;</w:t>
            </w:r>
          </w:p>
          <w:p w14:paraId="1D2128FD" w14:textId="77777777" w:rsidR="0084326C" w:rsidRPr="003B2D1E" w:rsidRDefault="0084326C" w:rsidP="003B2D1E">
            <w:pPr>
              <w:pStyle w:val="ListParagraph"/>
              <w:numPr>
                <w:ilvl w:val="0"/>
                <w:numId w:val="69"/>
              </w:numPr>
              <w:tabs>
                <w:tab w:val="left" w:pos="321"/>
              </w:tabs>
              <w:spacing w:after="0" w:line="276" w:lineRule="auto"/>
              <w:ind w:left="0" w:firstLine="37"/>
              <w:jc w:val="left"/>
              <w:rPr>
                <w:rFonts w:ascii="Arial Narrow" w:hAnsi="Arial Narrow"/>
                <w:noProof/>
                <w:color w:val="006100"/>
                <w:sz w:val="20"/>
              </w:rPr>
            </w:pPr>
            <w:r>
              <w:rPr>
                <w:rFonts w:ascii="Arial Narrow" w:hAnsi="Arial Narrow"/>
                <w:noProof/>
                <w:color w:val="006100"/>
                <w:sz w:val="20"/>
              </w:rPr>
              <w:t>Ühtlustada ja ühtlustada teabevooge, et vähendada liiasust aruandluses riigi erinevate infosüsteemide vahel, ning töötada välja näitajate süsteem hüdroloogiliste riskide paremaks tuvastamiseks kooskõlas Itaalia kontrollikoja soovitustega;</w:t>
            </w:r>
          </w:p>
          <w:p w14:paraId="1C2E2E15" w14:textId="77777777" w:rsidR="0084326C" w:rsidRPr="003B2D1E" w:rsidRDefault="0084326C" w:rsidP="003B2D1E">
            <w:pPr>
              <w:pStyle w:val="ListParagraph"/>
              <w:numPr>
                <w:ilvl w:val="0"/>
                <w:numId w:val="69"/>
              </w:numPr>
              <w:tabs>
                <w:tab w:val="left" w:pos="321"/>
              </w:tabs>
              <w:spacing w:after="0" w:line="276" w:lineRule="auto"/>
              <w:ind w:left="0" w:firstLine="37"/>
              <w:jc w:val="left"/>
              <w:rPr>
                <w:rFonts w:ascii="Arial Narrow" w:hAnsi="Arial Narrow"/>
                <w:noProof/>
                <w:color w:val="006100"/>
                <w:sz w:val="20"/>
              </w:rPr>
            </w:pPr>
            <w:r>
              <w:rPr>
                <w:rFonts w:ascii="Arial Narrow" w:hAnsi="Arial Narrow"/>
                <w:noProof/>
                <w:color w:val="006100"/>
                <w:sz w:val="20"/>
              </w:rPr>
              <w:t>Tugevdada sekkumiste koordineerimist eri valitsustasandite vahel kooskõlas Itaalia kontrollikoja soovitustega;</w:t>
            </w:r>
          </w:p>
          <w:p w14:paraId="536EF9EC" w14:textId="77777777" w:rsidR="0084326C" w:rsidRPr="003B2D1E" w:rsidRDefault="0084326C" w:rsidP="003B2D1E">
            <w:pPr>
              <w:pStyle w:val="ListParagraph"/>
              <w:numPr>
                <w:ilvl w:val="0"/>
                <w:numId w:val="69"/>
              </w:numPr>
              <w:tabs>
                <w:tab w:val="left" w:pos="321"/>
              </w:tabs>
              <w:spacing w:after="0" w:line="276" w:lineRule="auto"/>
              <w:ind w:left="0" w:firstLine="37"/>
              <w:jc w:val="left"/>
              <w:rPr>
                <w:rFonts w:ascii="Arial Narrow" w:hAnsi="Arial Narrow"/>
                <w:noProof/>
                <w:color w:val="006100"/>
                <w:sz w:val="20"/>
              </w:rPr>
            </w:pPr>
            <w:r>
              <w:rPr>
                <w:rFonts w:ascii="Arial Narrow" w:hAnsi="Arial Narrow"/>
                <w:noProof/>
                <w:color w:val="006100"/>
                <w:sz w:val="20"/>
              </w:rPr>
              <w:t>Luua kooskõlas Itaalia kontrollikoja soovitustega ühised andmebaasid vahejuhtumite kohta („dissesto“);</w:t>
            </w:r>
          </w:p>
          <w:p w14:paraId="59CD4053" w14:textId="77777777" w:rsidR="0084326C" w:rsidRPr="003B2D1E" w:rsidRDefault="0084326C" w:rsidP="003B2D1E">
            <w:pPr>
              <w:pStyle w:val="ListParagraph"/>
              <w:numPr>
                <w:ilvl w:val="0"/>
                <w:numId w:val="69"/>
              </w:numPr>
              <w:tabs>
                <w:tab w:val="left" w:pos="321"/>
              </w:tabs>
              <w:spacing w:after="0" w:line="276" w:lineRule="auto"/>
              <w:ind w:left="0" w:firstLine="37"/>
              <w:jc w:val="left"/>
              <w:rPr>
                <w:rFonts w:ascii="Arial Narrow" w:hAnsi="Arial Narrow"/>
                <w:noProof/>
                <w:color w:val="006100"/>
                <w:sz w:val="20"/>
              </w:rPr>
            </w:pPr>
            <w:r>
              <w:rPr>
                <w:rFonts w:ascii="Arial Narrow" w:hAnsi="Arial Narrow"/>
                <w:noProof/>
                <w:color w:val="006100"/>
                <w:sz w:val="20"/>
              </w:rPr>
              <w:t>Iga etapi jaoks maksimaalsete tähtaegade kehtestamine.</w:t>
            </w:r>
          </w:p>
          <w:p w14:paraId="008B30D6" w14:textId="77777777" w:rsidR="0084326C" w:rsidRPr="003B2D1E" w:rsidRDefault="0084326C" w:rsidP="003B2D1E">
            <w:pPr>
              <w:pStyle w:val="ListParagraph"/>
              <w:numPr>
                <w:ilvl w:val="0"/>
                <w:numId w:val="69"/>
              </w:numPr>
              <w:tabs>
                <w:tab w:val="left" w:pos="321"/>
              </w:tabs>
              <w:spacing w:after="0" w:line="276" w:lineRule="auto"/>
              <w:ind w:left="0" w:firstLine="37"/>
              <w:jc w:val="left"/>
              <w:rPr>
                <w:rFonts w:ascii="Arial Narrow" w:hAnsi="Arial Narrow"/>
                <w:noProof/>
                <w:color w:val="006100"/>
                <w:sz w:val="20"/>
              </w:rPr>
            </w:pPr>
            <w:r>
              <w:rPr>
                <w:rFonts w:ascii="Arial Narrow" w:hAnsi="Arial Narrow"/>
                <w:noProof/>
                <w:color w:val="006100"/>
                <w:sz w:val="20"/>
              </w:rPr>
              <w:t>Koostada kava asjaomaste üksuste suutlikkuse suurendamiseks.</w:t>
            </w:r>
          </w:p>
          <w:p w14:paraId="76DD269B" w14:textId="77777777" w:rsidR="0084326C" w:rsidRPr="00F33804" w:rsidRDefault="0084326C">
            <w:pPr>
              <w:spacing w:line="276" w:lineRule="auto"/>
              <w:rPr>
                <w:rFonts w:ascii="Arial Narrow" w:hAnsi="Arial Narrow"/>
                <w:noProof/>
                <w:color w:val="006100"/>
                <w:sz w:val="20"/>
                <w:szCs w:val="20"/>
              </w:rPr>
            </w:pPr>
          </w:p>
        </w:tc>
      </w:tr>
      <w:tr w:rsidR="0084326C" w:rsidRPr="00D90835" w14:paraId="565BD01D" w14:textId="77777777">
        <w:trPr>
          <w:trHeight w:val="309"/>
          <w:jc w:val="center"/>
        </w:trPr>
        <w:tc>
          <w:tcPr>
            <w:tcW w:w="1347" w:type="dxa"/>
            <w:tcBorders>
              <w:top w:val="nil"/>
              <w:left w:val="single" w:sz="4" w:space="0" w:color="auto"/>
              <w:bottom w:val="single" w:sz="4" w:space="0" w:color="auto"/>
              <w:right w:val="single" w:sz="4" w:space="0" w:color="auto"/>
            </w:tcBorders>
            <w:shd w:val="clear" w:color="auto" w:fill="C6EFCE"/>
            <w:noWrap/>
            <w:vAlign w:val="center"/>
            <w:hideMark/>
          </w:tcPr>
          <w:p w14:paraId="46F310C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M2C4-2</w:t>
            </w:r>
          </w:p>
        </w:tc>
        <w:tc>
          <w:tcPr>
            <w:tcW w:w="1495" w:type="dxa"/>
            <w:tcBorders>
              <w:top w:val="single" w:sz="4" w:space="0" w:color="auto"/>
              <w:left w:val="nil"/>
              <w:bottom w:val="single" w:sz="4" w:space="0" w:color="auto"/>
              <w:right w:val="single" w:sz="4" w:space="0" w:color="auto"/>
            </w:tcBorders>
            <w:shd w:val="clear" w:color="auto" w:fill="C6EFCE"/>
            <w:noWrap/>
            <w:vAlign w:val="center"/>
            <w:hideMark/>
          </w:tcPr>
          <w:p w14:paraId="75D77A1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Reform 4.2. Meetmed integreeritud veevarustusteenuste täieliku juhtimissuutlikkuse tagamiseks</w:t>
            </w:r>
          </w:p>
        </w:tc>
        <w:tc>
          <w:tcPr>
            <w:tcW w:w="1266" w:type="dxa"/>
            <w:tcBorders>
              <w:top w:val="nil"/>
              <w:left w:val="nil"/>
              <w:bottom w:val="single" w:sz="4" w:space="0" w:color="auto"/>
              <w:right w:val="single" w:sz="4" w:space="0" w:color="auto"/>
            </w:tcBorders>
            <w:shd w:val="clear" w:color="auto" w:fill="C6EFCE"/>
            <w:noWrap/>
            <w:vAlign w:val="center"/>
            <w:hideMark/>
          </w:tcPr>
          <w:p w14:paraId="6674598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1460" w:type="dxa"/>
            <w:tcBorders>
              <w:top w:val="single" w:sz="4" w:space="0" w:color="auto"/>
              <w:left w:val="nil"/>
              <w:bottom w:val="single" w:sz="4" w:space="0" w:color="auto"/>
              <w:right w:val="single" w:sz="4" w:space="0" w:color="auto"/>
            </w:tcBorders>
            <w:shd w:val="clear" w:color="auto" w:fill="C6EFCE"/>
            <w:noWrap/>
            <w:vAlign w:val="center"/>
            <w:hideMark/>
          </w:tcPr>
          <w:p w14:paraId="189AF29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Integreeritud veevarustusteenuste täieliku juhtimissuutlikkuse tagamise reformi jõustumine</w:t>
            </w:r>
          </w:p>
        </w:tc>
        <w:tc>
          <w:tcPr>
            <w:tcW w:w="1414" w:type="dxa"/>
            <w:tcBorders>
              <w:top w:val="nil"/>
              <w:left w:val="nil"/>
              <w:bottom w:val="single" w:sz="4" w:space="0" w:color="auto"/>
              <w:right w:val="single" w:sz="4" w:space="0" w:color="auto"/>
            </w:tcBorders>
            <w:shd w:val="clear" w:color="auto" w:fill="C6EFCE"/>
            <w:noWrap/>
            <w:vAlign w:val="center"/>
            <w:hideMark/>
          </w:tcPr>
          <w:p w14:paraId="0B59A2A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Asjaomas(t)e õigusakti(de) säte, mis osutab jõustumisele</w:t>
            </w:r>
          </w:p>
        </w:tc>
        <w:tc>
          <w:tcPr>
            <w:tcW w:w="1410" w:type="dxa"/>
            <w:tcBorders>
              <w:top w:val="nil"/>
              <w:left w:val="nil"/>
              <w:bottom w:val="single" w:sz="4" w:space="0" w:color="auto"/>
              <w:right w:val="single" w:sz="4" w:space="0" w:color="auto"/>
            </w:tcBorders>
            <w:shd w:val="clear" w:color="auto" w:fill="C6EFCE"/>
            <w:noWrap/>
            <w:vAlign w:val="center"/>
            <w:hideMark/>
          </w:tcPr>
          <w:p w14:paraId="08C2076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47" w:type="dxa"/>
            <w:tcBorders>
              <w:top w:val="nil"/>
              <w:left w:val="nil"/>
              <w:bottom w:val="single" w:sz="4" w:space="0" w:color="auto"/>
              <w:right w:val="single" w:sz="4" w:space="0" w:color="auto"/>
            </w:tcBorders>
            <w:shd w:val="clear" w:color="auto" w:fill="C6EFCE"/>
            <w:noWrap/>
            <w:vAlign w:val="center"/>
            <w:hideMark/>
          </w:tcPr>
          <w:p w14:paraId="16A21A3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719" w:type="dxa"/>
            <w:tcBorders>
              <w:top w:val="nil"/>
              <w:left w:val="nil"/>
              <w:bottom w:val="single" w:sz="4" w:space="0" w:color="auto"/>
              <w:right w:val="single" w:sz="4" w:space="0" w:color="auto"/>
            </w:tcBorders>
            <w:shd w:val="clear" w:color="auto" w:fill="C6EFCE"/>
            <w:noWrap/>
            <w:vAlign w:val="center"/>
            <w:hideMark/>
          </w:tcPr>
          <w:p w14:paraId="63D45AC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809" w:type="dxa"/>
            <w:tcBorders>
              <w:top w:val="nil"/>
              <w:left w:val="nil"/>
              <w:bottom w:val="single" w:sz="4" w:space="0" w:color="auto"/>
              <w:right w:val="single" w:sz="4" w:space="0" w:color="auto"/>
            </w:tcBorders>
            <w:shd w:val="clear" w:color="auto" w:fill="C6EFCE"/>
            <w:noWrap/>
            <w:vAlign w:val="center"/>
            <w:hideMark/>
          </w:tcPr>
          <w:p w14:paraId="64AAE02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3. kv</w:t>
            </w:r>
          </w:p>
        </w:tc>
        <w:tc>
          <w:tcPr>
            <w:tcW w:w="794" w:type="dxa"/>
            <w:tcBorders>
              <w:top w:val="nil"/>
              <w:left w:val="nil"/>
              <w:bottom w:val="single" w:sz="4" w:space="0" w:color="auto"/>
              <w:right w:val="single" w:sz="4" w:space="0" w:color="auto"/>
            </w:tcBorders>
            <w:shd w:val="clear" w:color="auto" w:fill="C6EFCE"/>
            <w:noWrap/>
            <w:vAlign w:val="center"/>
            <w:hideMark/>
          </w:tcPr>
          <w:p w14:paraId="0A67096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2022</w:t>
            </w:r>
          </w:p>
        </w:tc>
        <w:tc>
          <w:tcPr>
            <w:tcW w:w="2799" w:type="dxa"/>
            <w:tcBorders>
              <w:top w:val="nil"/>
              <w:left w:val="nil"/>
              <w:bottom w:val="single" w:sz="4" w:space="0" w:color="auto"/>
              <w:right w:val="single" w:sz="4" w:space="0" w:color="auto"/>
            </w:tcBorders>
            <w:shd w:val="clear" w:color="auto" w:fill="C6EFCE"/>
            <w:noWrap/>
            <w:vAlign w:val="center"/>
            <w:hideMark/>
          </w:tcPr>
          <w:p w14:paraId="2DE13D5E"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Üldine seadus / määrused veeteenuste säästva kasutamise kohta ja stimuleerivad investeeringuid veetaristusse, mis vähemalt:</w:t>
            </w:r>
          </w:p>
          <w:p w14:paraId="4235A32D" w14:textId="77777777" w:rsidR="0084326C" w:rsidRPr="003B2D1E" w:rsidRDefault="0084326C" w:rsidP="003B2D1E">
            <w:pPr>
              <w:pStyle w:val="ListParagraph"/>
              <w:numPr>
                <w:ilvl w:val="0"/>
                <w:numId w:val="69"/>
              </w:numPr>
              <w:tabs>
                <w:tab w:val="left" w:pos="321"/>
              </w:tabs>
              <w:spacing w:after="0" w:line="276" w:lineRule="auto"/>
              <w:ind w:left="0" w:firstLine="37"/>
              <w:jc w:val="left"/>
              <w:rPr>
                <w:rFonts w:ascii="Arial Narrow" w:hAnsi="Arial Narrow"/>
                <w:noProof/>
                <w:color w:val="006100"/>
                <w:sz w:val="20"/>
              </w:rPr>
            </w:pPr>
            <w:r>
              <w:rPr>
                <w:rFonts w:ascii="Arial Narrow" w:hAnsi="Arial Narrow"/>
                <w:noProof/>
                <w:color w:val="006100"/>
                <w:sz w:val="20"/>
              </w:rPr>
              <w:t>Vähendada üksuste killustatust eeskirjade ja koondamismehhanismide abil, et stimuleerida praegu autonoomseid käitajaid integreerima kogu Ambito Territoriale Ottimale ainuomasse käitajasse;</w:t>
            </w:r>
          </w:p>
          <w:p w14:paraId="097315ED" w14:textId="77777777" w:rsidR="0084326C" w:rsidRPr="003B2D1E" w:rsidRDefault="0084326C" w:rsidP="003B2D1E">
            <w:pPr>
              <w:pStyle w:val="ListParagraph"/>
              <w:numPr>
                <w:ilvl w:val="0"/>
                <w:numId w:val="69"/>
              </w:numPr>
              <w:tabs>
                <w:tab w:val="left" w:pos="321"/>
              </w:tabs>
              <w:spacing w:after="0" w:line="276" w:lineRule="auto"/>
              <w:ind w:left="0" w:firstLine="37"/>
              <w:jc w:val="left"/>
              <w:rPr>
                <w:rFonts w:ascii="Arial Narrow" w:hAnsi="Arial Narrow"/>
                <w:noProof/>
                <w:color w:val="006100"/>
                <w:sz w:val="20"/>
              </w:rPr>
            </w:pPr>
            <w:r>
              <w:rPr>
                <w:rFonts w:ascii="Arial Narrow" w:hAnsi="Arial Narrow"/>
                <w:noProof/>
                <w:color w:val="006100"/>
                <w:sz w:val="20"/>
              </w:rPr>
              <w:t>Nähakse ette stiimulid vee säästvaks kasutamiseks põllumajanduses, eelkõige selleks, et toetada ühise veekasutuse seiresüsteemi (SIGRIAN) kasutamist kollektiivseks ja isevarustamiseks;</w:t>
            </w:r>
          </w:p>
          <w:p w14:paraId="330EB5A9" w14:textId="77777777" w:rsidR="0084326C" w:rsidRPr="005D68A0" w:rsidRDefault="0084326C" w:rsidP="003B2D1E">
            <w:pPr>
              <w:pStyle w:val="ListParagraph"/>
              <w:numPr>
                <w:ilvl w:val="0"/>
                <w:numId w:val="69"/>
              </w:numPr>
              <w:tabs>
                <w:tab w:val="left" w:pos="321"/>
              </w:tabs>
              <w:spacing w:after="0" w:line="276" w:lineRule="auto"/>
              <w:ind w:left="0" w:firstLine="37"/>
              <w:jc w:val="left"/>
              <w:rPr>
                <w:rFonts w:ascii="Arial Narrow" w:hAnsi="Arial Narrow"/>
                <w:noProof/>
                <w:color w:val="006100"/>
                <w:sz w:val="20"/>
                <w:szCs w:val="20"/>
              </w:rPr>
            </w:pPr>
            <w:r>
              <w:rPr>
                <w:rFonts w:ascii="Arial Narrow" w:hAnsi="Arial Narrow"/>
                <w:noProof/>
                <w:color w:val="006100"/>
                <w:sz w:val="20"/>
              </w:rPr>
              <w:t>Kehtestada reguleeritud hindade süsteem, milles võetakse nõuetekohaselt arvesse keskkonnaressursside kasutamist ja saastet kooskõlas põhimõttega „saastaja maksab“.</w:t>
            </w:r>
          </w:p>
        </w:tc>
      </w:tr>
      <w:tr w:rsidR="0084326C" w:rsidRPr="00D90835" w14:paraId="10767E79" w14:textId="77777777">
        <w:trPr>
          <w:trHeight w:val="309"/>
          <w:jc w:val="center"/>
        </w:trPr>
        <w:tc>
          <w:tcPr>
            <w:tcW w:w="1347" w:type="dxa"/>
            <w:tcBorders>
              <w:top w:val="nil"/>
              <w:left w:val="single" w:sz="4" w:space="0" w:color="auto"/>
              <w:bottom w:val="single" w:sz="4" w:space="0" w:color="auto"/>
              <w:right w:val="single" w:sz="4" w:space="0" w:color="auto"/>
            </w:tcBorders>
            <w:shd w:val="clear" w:color="auto" w:fill="C6EFCE"/>
            <w:noWrap/>
            <w:vAlign w:val="center"/>
            <w:hideMark/>
          </w:tcPr>
          <w:p w14:paraId="1B4BB97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M2C4-3</w:t>
            </w:r>
          </w:p>
        </w:tc>
        <w:tc>
          <w:tcPr>
            <w:tcW w:w="1495" w:type="dxa"/>
            <w:tcBorders>
              <w:top w:val="single" w:sz="4" w:space="0" w:color="auto"/>
              <w:left w:val="nil"/>
              <w:bottom w:val="single" w:sz="4" w:space="0" w:color="auto"/>
              <w:right w:val="single" w:sz="4" w:space="0" w:color="auto"/>
            </w:tcBorders>
            <w:shd w:val="clear" w:color="auto" w:fill="C6EFCE"/>
            <w:noWrap/>
            <w:vAlign w:val="center"/>
            <w:hideMark/>
          </w:tcPr>
          <w:p w14:paraId="43169DF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Reform 4.2. Meetmed integreeritud veevarustusteenuste täieliku juhtimissuutlikkuse tagamiseks</w:t>
            </w:r>
          </w:p>
        </w:tc>
        <w:tc>
          <w:tcPr>
            <w:tcW w:w="1266" w:type="dxa"/>
            <w:tcBorders>
              <w:top w:val="nil"/>
              <w:left w:val="nil"/>
              <w:bottom w:val="single" w:sz="4" w:space="0" w:color="auto"/>
              <w:right w:val="single" w:sz="4" w:space="0" w:color="auto"/>
            </w:tcBorders>
            <w:shd w:val="clear" w:color="auto" w:fill="C6EFCE"/>
            <w:noWrap/>
            <w:vAlign w:val="center"/>
            <w:hideMark/>
          </w:tcPr>
          <w:p w14:paraId="55B5D14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1460" w:type="dxa"/>
            <w:tcBorders>
              <w:top w:val="single" w:sz="4" w:space="0" w:color="auto"/>
              <w:left w:val="nil"/>
              <w:bottom w:val="single" w:sz="4" w:space="0" w:color="auto"/>
              <w:right w:val="single" w:sz="4" w:space="0" w:color="auto"/>
            </w:tcBorders>
            <w:shd w:val="clear" w:color="auto" w:fill="C6EFCE"/>
            <w:noWrap/>
            <w:vAlign w:val="center"/>
            <w:hideMark/>
          </w:tcPr>
          <w:p w14:paraId="3B29BF5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Õigusraamistiku reform vee paremaks majandamiseks ja säästvaks kasutamiseks</w:t>
            </w:r>
          </w:p>
        </w:tc>
        <w:tc>
          <w:tcPr>
            <w:tcW w:w="1414" w:type="dxa"/>
            <w:tcBorders>
              <w:top w:val="nil"/>
              <w:left w:val="nil"/>
              <w:bottom w:val="single" w:sz="4" w:space="0" w:color="auto"/>
              <w:right w:val="single" w:sz="4" w:space="0" w:color="auto"/>
            </w:tcBorders>
            <w:shd w:val="clear" w:color="auto" w:fill="C6EFCE"/>
            <w:noWrap/>
            <w:vAlign w:val="center"/>
            <w:hideMark/>
          </w:tcPr>
          <w:p w14:paraId="4B9E822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Vastastikuse mõistmise memorandumi jõustumine</w:t>
            </w:r>
          </w:p>
        </w:tc>
        <w:tc>
          <w:tcPr>
            <w:tcW w:w="1410" w:type="dxa"/>
            <w:tcBorders>
              <w:top w:val="nil"/>
              <w:left w:val="nil"/>
              <w:bottom w:val="single" w:sz="4" w:space="0" w:color="auto"/>
              <w:right w:val="single" w:sz="4" w:space="0" w:color="auto"/>
            </w:tcBorders>
            <w:shd w:val="clear" w:color="auto" w:fill="C6EFCE"/>
            <w:noWrap/>
            <w:vAlign w:val="center"/>
            <w:hideMark/>
          </w:tcPr>
          <w:p w14:paraId="1AF44E0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47" w:type="dxa"/>
            <w:tcBorders>
              <w:top w:val="nil"/>
              <w:left w:val="nil"/>
              <w:bottom w:val="single" w:sz="4" w:space="0" w:color="auto"/>
              <w:right w:val="single" w:sz="4" w:space="0" w:color="auto"/>
            </w:tcBorders>
            <w:shd w:val="clear" w:color="auto" w:fill="C6EFCE"/>
            <w:noWrap/>
            <w:vAlign w:val="center"/>
            <w:hideMark/>
          </w:tcPr>
          <w:p w14:paraId="2961B13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719" w:type="dxa"/>
            <w:tcBorders>
              <w:top w:val="nil"/>
              <w:left w:val="nil"/>
              <w:bottom w:val="single" w:sz="4" w:space="0" w:color="auto"/>
              <w:right w:val="single" w:sz="4" w:space="0" w:color="auto"/>
            </w:tcBorders>
            <w:shd w:val="clear" w:color="auto" w:fill="C6EFCE"/>
            <w:noWrap/>
            <w:vAlign w:val="center"/>
            <w:hideMark/>
          </w:tcPr>
          <w:p w14:paraId="23D95D6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809" w:type="dxa"/>
            <w:tcBorders>
              <w:top w:val="nil"/>
              <w:left w:val="nil"/>
              <w:bottom w:val="single" w:sz="4" w:space="0" w:color="auto"/>
              <w:right w:val="single" w:sz="4" w:space="0" w:color="auto"/>
            </w:tcBorders>
            <w:shd w:val="clear" w:color="auto" w:fill="C6EFCE"/>
            <w:noWrap/>
            <w:vAlign w:val="center"/>
            <w:hideMark/>
          </w:tcPr>
          <w:p w14:paraId="64E230D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794" w:type="dxa"/>
            <w:tcBorders>
              <w:top w:val="nil"/>
              <w:left w:val="nil"/>
              <w:bottom w:val="single" w:sz="4" w:space="0" w:color="auto"/>
              <w:right w:val="single" w:sz="4" w:space="0" w:color="auto"/>
            </w:tcBorders>
            <w:shd w:val="clear" w:color="auto" w:fill="C6EFCE"/>
            <w:noWrap/>
            <w:vAlign w:val="center"/>
            <w:hideMark/>
          </w:tcPr>
          <w:p w14:paraId="547930F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2021</w:t>
            </w:r>
          </w:p>
        </w:tc>
        <w:tc>
          <w:tcPr>
            <w:tcW w:w="2799" w:type="dxa"/>
            <w:tcBorders>
              <w:top w:val="nil"/>
              <w:left w:val="nil"/>
              <w:bottom w:val="single" w:sz="4" w:space="0" w:color="auto"/>
              <w:right w:val="single" w:sz="4" w:space="0" w:color="auto"/>
            </w:tcBorders>
            <w:shd w:val="clear" w:color="auto" w:fill="C6EFCE"/>
            <w:noWrap/>
            <w:vAlign w:val="center"/>
            <w:hideMark/>
          </w:tcPr>
          <w:p w14:paraId="4858C47B"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Ökoloogilise ülemineku ministeeriumi allakirjutamine alusdokumentidele Campania, Calabria, Molise ja Sitsiilia maakonnaga, et vähendada veevarustusteenuseid osutavate ettevõtjate killustatust. Vastastikuse mõistmise memorandumis tuleks seada eesmärgid seoses kohalike omavalitsuste organite loomisega, ettevõtjate arvu vähendamisega ja mastaabisäästu saavutamisega, et luua üksikettevõtjad vähemalt iga 40 000 elaniku jaoks.</w:t>
            </w:r>
          </w:p>
        </w:tc>
      </w:tr>
      <w:tr w:rsidR="0084326C" w:rsidRPr="00D90835" w14:paraId="78ACEB4C" w14:textId="77777777">
        <w:trPr>
          <w:trHeight w:val="309"/>
          <w:jc w:val="center"/>
        </w:trPr>
        <w:tc>
          <w:tcPr>
            <w:tcW w:w="1347" w:type="dxa"/>
            <w:tcBorders>
              <w:top w:val="nil"/>
              <w:left w:val="single" w:sz="4" w:space="0" w:color="auto"/>
              <w:bottom w:val="single" w:sz="4" w:space="0" w:color="auto"/>
              <w:right w:val="single" w:sz="4" w:space="0" w:color="auto"/>
            </w:tcBorders>
            <w:shd w:val="clear" w:color="auto" w:fill="C6EFCE"/>
            <w:noWrap/>
            <w:vAlign w:val="center"/>
            <w:hideMark/>
          </w:tcPr>
          <w:p w14:paraId="2CDEAEF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M2C4-4</w:t>
            </w:r>
          </w:p>
        </w:tc>
        <w:tc>
          <w:tcPr>
            <w:tcW w:w="1495" w:type="dxa"/>
            <w:tcBorders>
              <w:top w:val="single" w:sz="4" w:space="0" w:color="auto"/>
              <w:left w:val="nil"/>
              <w:bottom w:val="single" w:sz="4" w:space="0" w:color="auto"/>
              <w:right w:val="single" w:sz="4" w:space="0" w:color="auto"/>
            </w:tcBorders>
            <w:shd w:val="clear" w:color="auto" w:fill="C6EFCE"/>
            <w:noWrap/>
            <w:vAlign w:val="center"/>
            <w:hideMark/>
          </w:tcPr>
          <w:p w14:paraId="75EC013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Reform 4.2. Meetmed integreeritud veevarustusteenuste täieliku juhtimissuutlikkuse tagamiseks</w:t>
            </w:r>
          </w:p>
        </w:tc>
        <w:tc>
          <w:tcPr>
            <w:tcW w:w="1266" w:type="dxa"/>
            <w:tcBorders>
              <w:top w:val="nil"/>
              <w:left w:val="nil"/>
              <w:bottom w:val="single" w:sz="4" w:space="0" w:color="auto"/>
              <w:right w:val="single" w:sz="4" w:space="0" w:color="auto"/>
            </w:tcBorders>
            <w:shd w:val="clear" w:color="auto" w:fill="C6EFCE"/>
            <w:noWrap/>
            <w:vAlign w:val="center"/>
            <w:hideMark/>
          </w:tcPr>
          <w:p w14:paraId="79F87F7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1460" w:type="dxa"/>
            <w:tcBorders>
              <w:top w:val="single" w:sz="4" w:space="0" w:color="auto"/>
              <w:left w:val="nil"/>
              <w:bottom w:val="single" w:sz="4" w:space="0" w:color="auto"/>
              <w:right w:val="single" w:sz="4" w:space="0" w:color="auto"/>
            </w:tcBorders>
            <w:shd w:val="clear" w:color="auto" w:fill="C6EFCE"/>
            <w:noWrap/>
            <w:vAlign w:val="center"/>
            <w:hideMark/>
          </w:tcPr>
          <w:p w14:paraId="4D3FC1D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Niisutuse eesmärke käsitleva uue õigusraamistiku jõustumine</w:t>
            </w:r>
          </w:p>
        </w:tc>
        <w:tc>
          <w:tcPr>
            <w:tcW w:w="1414" w:type="dxa"/>
            <w:tcBorders>
              <w:top w:val="nil"/>
              <w:left w:val="nil"/>
              <w:bottom w:val="single" w:sz="4" w:space="0" w:color="auto"/>
              <w:right w:val="single" w:sz="4" w:space="0" w:color="auto"/>
            </w:tcBorders>
            <w:shd w:val="clear" w:color="auto" w:fill="C6EFCE"/>
            <w:noWrap/>
            <w:vAlign w:val="center"/>
            <w:hideMark/>
          </w:tcPr>
          <w:p w14:paraId="21FC307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Asjaomase õigusakti jõustumisele viitav säte</w:t>
            </w:r>
          </w:p>
        </w:tc>
        <w:tc>
          <w:tcPr>
            <w:tcW w:w="1410" w:type="dxa"/>
            <w:tcBorders>
              <w:top w:val="nil"/>
              <w:left w:val="nil"/>
              <w:bottom w:val="single" w:sz="4" w:space="0" w:color="auto"/>
              <w:right w:val="single" w:sz="4" w:space="0" w:color="auto"/>
            </w:tcBorders>
            <w:shd w:val="clear" w:color="auto" w:fill="C6EFCE"/>
            <w:noWrap/>
            <w:vAlign w:val="center"/>
            <w:hideMark/>
          </w:tcPr>
          <w:p w14:paraId="62DB48F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47" w:type="dxa"/>
            <w:tcBorders>
              <w:top w:val="nil"/>
              <w:left w:val="nil"/>
              <w:bottom w:val="single" w:sz="4" w:space="0" w:color="auto"/>
              <w:right w:val="single" w:sz="4" w:space="0" w:color="auto"/>
            </w:tcBorders>
            <w:shd w:val="clear" w:color="auto" w:fill="C6EFCE"/>
            <w:noWrap/>
            <w:vAlign w:val="center"/>
            <w:hideMark/>
          </w:tcPr>
          <w:p w14:paraId="118C58B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719" w:type="dxa"/>
            <w:tcBorders>
              <w:top w:val="nil"/>
              <w:left w:val="nil"/>
              <w:bottom w:val="single" w:sz="4" w:space="0" w:color="auto"/>
              <w:right w:val="single" w:sz="4" w:space="0" w:color="auto"/>
            </w:tcBorders>
            <w:shd w:val="clear" w:color="auto" w:fill="C6EFCE"/>
            <w:noWrap/>
            <w:vAlign w:val="center"/>
            <w:hideMark/>
          </w:tcPr>
          <w:p w14:paraId="50337A6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809" w:type="dxa"/>
            <w:tcBorders>
              <w:top w:val="nil"/>
              <w:left w:val="nil"/>
              <w:bottom w:val="single" w:sz="4" w:space="0" w:color="auto"/>
              <w:right w:val="single" w:sz="4" w:space="0" w:color="auto"/>
            </w:tcBorders>
            <w:shd w:val="clear" w:color="auto" w:fill="C6EFCE"/>
            <w:noWrap/>
            <w:vAlign w:val="center"/>
            <w:hideMark/>
          </w:tcPr>
          <w:p w14:paraId="61EAD3A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 kv</w:t>
            </w:r>
          </w:p>
        </w:tc>
        <w:tc>
          <w:tcPr>
            <w:tcW w:w="794" w:type="dxa"/>
            <w:tcBorders>
              <w:top w:val="nil"/>
              <w:left w:val="nil"/>
              <w:bottom w:val="single" w:sz="4" w:space="0" w:color="auto"/>
              <w:right w:val="single" w:sz="4" w:space="0" w:color="auto"/>
            </w:tcBorders>
            <w:shd w:val="clear" w:color="auto" w:fill="C6EFCE"/>
            <w:noWrap/>
            <w:vAlign w:val="center"/>
            <w:hideMark/>
          </w:tcPr>
          <w:p w14:paraId="08C65D2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2022</w:t>
            </w:r>
          </w:p>
        </w:tc>
        <w:tc>
          <w:tcPr>
            <w:tcW w:w="2799" w:type="dxa"/>
            <w:tcBorders>
              <w:top w:val="nil"/>
              <w:left w:val="nil"/>
              <w:bottom w:val="single" w:sz="4" w:space="0" w:color="auto"/>
              <w:right w:val="single" w:sz="4" w:space="0" w:color="auto"/>
            </w:tcBorders>
            <w:shd w:val="clear" w:color="auto" w:fill="C6EFCE"/>
            <w:noWrap/>
            <w:vAlign w:val="center"/>
            <w:hideMark/>
          </w:tcPr>
          <w:p w14:paraId="3CF140F8"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Muudetud õigusraamistik sisaldab vähemalt järgmist:</w:t>
            </w:r>
          </w:p>
          <w:p w14:paraId="0E5637B9" w14:textId="77777777" w:rsidR="0084326C" w:rsidRPr="00F33804" w:rsidRDefault="0084326C">
            <w:pPr>
              <w:spacing w:line="276" w:lineRule="auto"/>
              <w:rPr>
                <w:rFonts w:ascii="Arial Narrow" w:hAnsi="Arial Narrow"/>
                <w:noProof/>
                <w:color w:val="006100"/>
                <w:sz w:val="20"/>
                <w:szCs w:val="20"/>
              </w:rPr>
            </w:pPr>
          </w:p>
          <w:p w14:paraId="1CA46E94"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 Luua karistuste süsteem vee ebaseadusliku ammutamise eest</w:t>
            </w:r>
          </w:p>
          <w:p w14:paraId="6B32EA59" w14:textId="634E5EBF"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Nõuda mõjuhinnangut, nagu on sätestatud veepoliitika raamdirektiivi artikli 4 lõikes 7, et hinnata (võimalikku kumulatiivset) mõju kõigile potentsiaalselt mõjutatud veekogudele.</w:t>
            </w:r>
          </w:p>
          <w:p w14:paraId="3F74A363" w14:textId="680357DB" w:rsidR="0084326C" w:rsidRPr="005D68A0" w:rsidRDefault="0084326C" w:rsidP="003B2D1E">
            <w:pPr>
              <w:spacing w:line="276" w:lineRule="auto"/>
              <w:rPr>
                <w:rFonts w:ascii="Arial Narrow" w:hAnsi="Arial Narrow"/>
                <w:noProof/>
                <w:color w:val="006100"/>
                <w:sz w:val="20"/>
                <w:szCs w:val="20"/>
              </w:rPr>
            </w:pPr>
            <w:r>
              <w:rPr>
                <w:rFonts w:ascii="Arial Narrow" w:hAnsi="Arial Narrow"/>
                <w:noProof/>
                <w:color w:val="006100"/>
                <w:sz w:val="20"/>
              </w:rPr>
              <w:t>- Tagada, et olemasoleva niisutussüsteemi laiendamist (sealhulgas vee suurenenud kasutamise, st mitte ainult füüsilise laiendamise kaudu) välditakse isegi tõhusamate meetodite abil, kui asjaomased veekogud (pinna- või põhjaveed) on või prognooside kohaselt (kliimamuutuste süvenemise kontekstis) vähem heas seisundis või potentsiaalselt heas seisundis.</w:t>
            </w:r>
          </w:p>
        </w:tc>
      </w:tr>
      <w:tr w:rsidR="0084326C" w:rsidRPr="00D90835" w14:paraId="4507133D" w14:textId="77777777">
        <w:trPr>
          <w:trHeight w:val="309"/>
          <w:jc w:val="center"/>
        </w:trPr>
        <w:tc>
          <w:tcPr>
            <w:tcW w:w="1347" w:type="dxa"/>
            <w:tcBorders>
              <w:top w:val="nil"/>
              <w:left w:val="single" w:sz="4" w:space="0" w:color="auto"/>
              <w:bottom w:val="single" w:sz="4" w:space="0" w:color="auto"/>
              <w:right w:val="single" w:sz="4" w:space="0" w:color="auto"/>
            </w:tcBorders>
            <w:shd w:val="clear" w:color="auto" w:fill="C6EFCE"/>
            <w:noWrap/>
            <w:vAlign w:val="center"/>
            <w:hideMark/>
          </w:tcPr>
          <w:p w14:paraId="1CCBB6C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M2C4-5</w:t>
            </w:r>
          </w:p>
        </w:tc>
        <w:tc>
          <w:tcPr>
            <w:tcW w:w="1495" w:type="dxa"/>
            <w:tcBorders>
              <w:top w:val="single" w:sz="4" w:space="0" w:color="auto"/>
              <w:left w:val="nil"/>
              <w:bottom w:val="single" w:sz="4" w:space="0" w:color="auto"/>
              <w:right w:val="single" w:sz="4" w:space="0" w:color="auto"/>
            </w:tcBorders>
            <w:shd w:val="clear" w:color="auto" w:fill="C6EFCE"/>
            <w:noWrap/>
            <w:vAlign w:val="center"/>
            <w:hideMark/>
          </w:tcPr>
          <w:p w14:paraId="4E2EAC3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3.2. Rahvusparkide digiteerimine</w:t>
            </w:r>
          </w:p>
        </w:tc>
        <w:tc>
          <w:tcPr>
            <w:tcW w:w="1266" w:type="dxa"/>
            <w:tcBorders>
              <w:top w:val="nil"/>
              <w:left w:val="nil"/>
              <w:bottom w:val="single" w:sz="4" w:space="0" w:color="auto"/>
              <w:right w:val="single" w:sz="4" w:space="0" w:color="auto"/>
            </w:tcBorders>
            <w:shd w:val="clear" w:color="auto" w:fill="C6EFCE"/>
            <w:noWrap/>
            <w:vAlign w:val="center"/>
            <w:hideMark/>
          </w:tcPr>
          <w:p w14:paraId="6F91398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1460" w:type="dxa"/>
            <w:tcBorders>
              <w:top w:val="single" w:sz="4" w:space="0" w:color="auto"/>
              <w:left w:val="nil"/>
              <w:bottom w:val="single" w:sz="4" w:space="0" w:color="auto"/>
              <w:right w:val="single" w:sz="4" w:space="0" w:color="auto"/>
            </w:tcBorders>
            <w:shd w:val="clear" w:color="auto" w:fill="C6EFCE"/>
            <w:noWrap/>
            <w:vAlign w:val="center"/>
            <w:hideMark/>
          </w:tcPr>
          <w:p w14:paraId="3158ECC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Rahvusparkide ja merekaitsealade külastajatele pakutavate digitaalsete teenuste haldusliku lihtsustamise ja arendamise jõustumine</w:t>
            </w:r>
          </w:p>
        </w:tc>
        <w:tc>
          <w:tcPr>
            <w:tcW w:w="1414" w:type="dxa"/>
            <w:tcBorders>
              <w:top w:val="nil"/>
              <w:left w:val="nil"/>
              <w:bottom w:val="single" w:sz="4" w:space="0" w:color="auto"/>
              <w:right w:val="single" w:sz="4" w:space="0" w:color="auto"/>
            </w:tcBorders>
            <w:shd w:val="clear" w:color="auto" w:fill="C6EFCE"/>
            <w:noWrap/>
            <w:vAlign w:val="center"/>
            <w:hideMark/>
          </w:tcPr>
          <w:p w14:paraId="3B81389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Ministri määruse (jõustumise kohta) säte</w:t>
            </w:r>
          </w:p>
        </w:tc>
        <w:tc>
          <w:tcPr>
            <w:tcW w:w="1410" w:type="dxa"/>
            <w:tcBorders>
              <w:top w:val="nil"/>
              <w:left w:val="nil"/>
              <w:bottom w:val="single" w:sz="4" w:space="0" w:color="auto"/>
              <w:right w:val="single" w:sz="4" w:space="0" w:color="auto"/>
            </w:tcBorders>
            <w:shd w:val="clear" w:color="auto" w:fill="C6EFCE"/>
            <w:noWrap/>
            <w:vAlign w:val="center"/>
            <w:hideMark/>
          </w:tcPr>
          <w:p w14:paraId="67648A3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47" w:type="dxa"/>
            <w:tcBorders>
              <w:top w:val="nil"/>
              <w:left w:val="nil"/>
              <w:bottom w:val="single" w:sz="4" w:space="0" w:color="auto"/>
              <w:right w:val="single" w:sz="4" w:space="0" w:color="auto"/>
            </w:tcBorders>
            <w:shd w:val="clear" w:color="auto" w:fill="C6EFCE"/>
            <w:noWrap/>
            <w:vAlign w:val="center"/>
            <w:hideMark/>
          </w:tcPr>
          <w:p w14:paraId="1718256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719" w:type="dxa"/>
            <w:tcBorders>
              <w:top w:val="nil"/>
              <w:left w:val="nil"/>
              <w:bottom w:val="single" w:sz="4" w:space="0" w:color="auto"/>
              <w:right w:val="single" w:sz="4" w:space="0" w:color="auto"/>
            </w:tcBorders>
            <w:shd w:val="clear" w:color="auto" w:fill="C6EFCE"/>
            <w:noWrap/>
            <w:vAlign w:val="center"/>
            <w:hideMark/>
          </w:tcPr>
          <w:p w14:paraId="145F685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809" w:type="dxa"/>
            <w:tcBorders>
              <w:top w:val="nil"/>
              <w:left w:val="nil"/>
              <w:bottom w:val="single" w:sz="4" w:space="0" w:color="auto"/>
              <w:right w:val="single" w:sz="4" w:space="0" w:color="auto"/>
            </w:tcBorders>
            <w:shd w:val="clear" w:color="auto" w:fill="C6EFCE"/>
            <w:noWrap/>
            <w:vAlign w:val="center"/>
            <w:hideMark/>
          </w:tcPr>
          <w:p w14:paraId="2B33750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1. kv</w:t>
            </w:r>
          </w:p>
        </w:tc>
        <w:tc>
          <w:tcPr>
            <w:tcW w:w="794" w:type="dxa"/>
            <w:tcBorders>
              <w:top w:val="nil"/>
              <w:left w:val="nil"/>
              <w:bottom w:val="single" w:sz="4" w:space="0" w:color="auto"/>
              <w:right w:val="single" w:sz="4" w:space="0" w:color="auto"/>
            </w:tcBorders>
            <w:shd w:val="clear" w:color="auto" w:fill="C6EFCE"/>
            <w:noWrap/>
            <w:vAlign w:val="center"/>
            <w:hideMark/>
          </w:tcPr>
          <w:p w14:paraId="701C6A3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2022</w:t>
            </w:r>
          </w:p>
        </w:tc>
        <w:tc>
          <w:tcPr>
            <w:tcW w:w="2799" w:type="dxa"/>
            <w:tcBorders>
              <w:top w:val="nil"/>
              <w:left w:val="nil"/>
              <w:bottom w:val="single" w:sz="4" w:space="0" w:color="auto"/>
              <w:right w:val="single" w:sz="4" w:space="0" w:color="auto"/>
            </w:tcBorders>
            <w:shd w:val="clear" w:color="auto" w:fill="C6EFCE"/>
            <w:noWrap/>
            <w:vAlign w:val="center"/>
            <w:hideMark/>
          </w:tcPr>
          <w:p w14:paraId="0D230145"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Ministri käskkirjaga nähakse ette digitaalteenuste arendamine rahvusparkide ja merekaitsealade külastajatele.</w:t>
            </w:r>
          </w:p>
          <w:p w14:paraId="12F46659" w14:textId="77777777" w:rsidR="0084326C" w:rsidRPr="00F33804" w:rsidRDefault="0084326C">
            <w:pPr>
              <w:spacing w:line="276" w:lineRule="auto"/>
              <w:rPr>
                <w:rFonts w:ascii="Arial Narrow" w:hAnsi="Arial Narrow"/>
                <w:noProof/>
                <w:color w:val="006100"/>
                <w:sz w:val="20"/>
                <w:szCs w:val="20"/>
              </w:rPr>
            </w:pPr>
          </w:p>
        </w:tc>
      </w:tr>
    </w:tbl>
    <w:p w14:paraId="3B79D9C3" w14:textId="77777777" w:rsidR="0084326C" w:rsidRPr="00F33804" w:rsidRDefault="0084326C" w:rsidP="0084326C">
      <w:pPr>
        <w:spacing w:before="120" w:after="120"/>
        <w:ind w:left="709"/>
        <w:jc w:val="both"/>
        <w:rPr>
          <w:noProof/>
        </w:rPr>
      </w:pPr>
    </w:p>
    <w:p w14:paraId="4CA3D612" w14:textId="77777777" w:rsidR="0084326C" w:rsidRPr="00F33804" w:rsidRDefault="0084326C" w:rsidP="0084326C">
      <w:pPr>
        <w:spacing w:before="120" w:after="120"/>
        <w:ind w:left="709"/>
        <w:jc w:val="both"/>
        <w:rPr>
          <w:noProof/>
        </w:rPr>
        <w:sectPr w:rsidR="0084326C" w:rsidRPr="00F33804">
          <w:headerReference w:type="even" r:id="rId194"/>
          <w:headerReference w:type="default" r:id="rId195"/>
          <w:footerReference w:type="even" r:id="rId196"/>
          <w:footerReference w:type="default" r:id="rId197"/>
          <w:headerReference w:type="first" r:id="rId198"/>
          <w:footerReference w:type="first" r:id="rId199"/>
          <w:pgSz w:w="16838" w:h="11906" w:orient="landscape" w:code="9"/>
          <w:pgMar w:top="1134" w:right="1134" w:bottom="1134" w:left="1134" w:header="567" w:footer="567" w:gutter="0"/>
          <w:cols w:space="720"/>
          <w:docGrid w:linePitch="360"/>
        </w:sectPr>
      </w:pPr>
    </w:p>
    <w:p w14:paraId="44584E46" w14:textId="77777777" w:rsidR="0084326C" w:rsidRPr="005D68A0" w:rsidRDefault="0084326C" w:rsidP="0084326C">
      <w:pPr>
        <w:pStyle w:val="Heading3"/>
        <w:numPr>
          <w:ilvl w:val="0"/>
          <w:numId w:val="0"/>
        </w:numPr>
        <w:ind w:left="850" w:hanging="850"/>
        <w:rPr>
          <w:b/>
          <w:bCs w:val="0"/>
          <w:i w:val="0"/>
          <w:iCs/>
          <w:noProof/>
          <w:color w:val="4472C4" w:themeColor="accent1"/>
          <w:u w:val="single"/>
        </w:rPr>
      </w:pPr>
      <w:r>
        <w:rPr>
          <w:b/>
          <w:i w:val="0"/>
          <w:noProof/>
          <w:u w:val="single"/>
        </w:rPr>
        <w:t xml:space="preserve">G.3. </w:t>
      </w:r>
      <w:r>
        <w:rPr>
          <w:noProof/>
        </w:rPr>
        <w:tab/>
      </w:r>
      <w:r>
        <w:rPr>
          <w:b/>
          <w:i w:val="0"/>
          <w:noProof/>
          <w:u w:val="single"/>
        </w:rPr>
        <w:t xml:space="preserve">Laenuga seotud reformide ja investeeringute kirjeldus </w:t>
      </w:r>
    </w:p>
    <w:p w14:paraId="0ABFB630" w14:textId="77777777" w:rsidR="0084326C" w:rsidRPr="005D68A0" w:rsidRDefault="0084326C" w:rsidP="0084326C">
      <w:pPr>
        <w:spacing w:before="120" w:after="120" w:line="257" w:lineRule="auto"/>
        <w:jc w:val="both"/>
        <w:rPr>
          <w:b/>
          <w:noProof/>
        </w:rPr>
      </w:pPr>
      <w:r>
        <w:rPr>
          <w:b/>
          <w:noProof/>
        </w:rPr>
        <w:t xml:space="preserve">Reform 3.1. Siseriiklike õhusaaste kontrolli programmide vastuvõtmine </w:t>
      </w:r>
    </w:p>
    <w:p w14:paraId="77BD1258" w14:textId="77777777" w:rsidR="0084326C" w:rsidRPr="005D68A0" w:rsidRDefault="0084326C" w:rsidP="0084326C">
      <w:pPr>
        <w:spacing w:before="120" w:after="120"/>
        <w:jc w:val="both"/>
        <w:rPr>
          <w:noProof/>
        </w:rPr>
      </w:pPr>
      <w:r>
        <w:rPr>
          <w:noProof/>
        </w:rPr>
        <w:t>Reformi eesmärk on viia vastavusse riiklikud ja piirkondlikud õigusaktid ning kehtestada seotud meetmed õhusaasteainete heitkoguste vähendamiseks (kooskõlas direktiivis 2016/2284 (heitkoguste siseriiklike ülemmäärade ja kliimagaaside muutmise kohta) sätestatud eesmärkidega).</w:t>
      </w:r>
    </w:p>
    <w:p w14:paraId="2B75C20A" w14:textId="77777777" w:rsidR="0084326C" w:rsidRPr="005D68A0" w:rsidRDefault="0084326C" w:rsidP="0084326C">
      <w:pPr>
        <w:spacing w:before="120" w:after="120" w:line="257" w:lineRule="auto"/>
        <w:jc w:val="both"/>
        <w:rPr>
          <w:b/>
          <w:bCs/>
          <w:noProof/>
        </w:rPr>
      </w:pPr>
      <w:r>
        <w:rPr>
          <w:b/>
          <w:noProof/>
        </w:rPr>
        <w:t>Investeering 1.1. Täiustatud ja integreeritud seire- ja prognoosisüsteemi rakendamine</w:t>
      </w:r>
    </w:p>
    <w:p w14:paraId="5FA1CE13" w14:textId="77777777" w:rsidR="0084326C" w:rsidRPr="005D68A0" w:rsidRDefault="0084326C" w:rsidP="0084326C">
      <w:pPr>
        <w:spacing w:before="120" w:after="120"/>
        <w:jc w:val="both"/>
        <w:rPr>
          <w:noProof/>
        </w:rPr>
      </w:pPr>
      <w:r>
        <w:rPr>
          <w:noProof/>
        </w:rPr>
        <w:t>Investeeringuga töötatakse välja seiresüsteem kliimamuutustest ja ebapiisavast ruumilisest planeerimisest tulenevate riskide kindlakstegemiseks ja prognoosimiseks, kasutades selleks kõrgtehnoloogiat. Need tehnoloogiad võimaldavad kaugjuhtimist suurtel territoriaalsetel aladel, pannes aluse riskiennetuskavade väljatöötamisele, sealhulgas olemasoleva infrastruktuuri tugevdamisele, ning jäätmete ebaseadusliku kõrvaldamise kindlakstegemisele. Nende eesmärkide saavutamiseks välja töötatavad peamised vahendid on ruumiandmete kogumine satelliitseiresüsteemide, mehitamata õhusõidukite, kaugandurite ja infosüsteemide integreerimise abil; kõige arenenumate turvanõuetega telekommunikatsioonivõrgud; kesk- ja piirkondlike kontrolliruumide loomine, et saada juurdepääs kohapeal kogutud teabele; ning küberturbesüsteemid ja -teenused, mis kaitsevad küberrünnakute eest. Sekkumised toimuvad peamiselt kaheksas lõunapoolses piirkonnas.</w:t>
      </w:r>
    </w:p>
    <w:p w14:paraId="5D6BA3F0" w14:textId="77777777" w:rsidR="0084326C" w:rsidRPr="005D68A0" w:rsidRDefault="0084326C" w:rsidP="0084326C">
      <w:pPr>
        <w:spacing w:before="120" w:after="120" w:line="257" w:lineRule="auto"/>
        <w:jc w:val="both"/>
        <w:rPr>
          <w:b/>
          <w:bCs/>
          <w:noProof/>
        </w:rPr>
      </w:pPr>
      <w:r>
        <w:rPr>
          <w:b/>
          <w:noProof/>
        </w:rPr>
        <w:t>Investeering 2.1. Üleujutus- ja hüdrogeoloogilise ohu vähendamise meetmed</w:t>
      </w:r>
    </w:p>
    <w:p w14:paraId="057D23C1" w14:textId="77777777" w:rsidR="0084326C" w:rsidRPr="005D68A0" w:rsidRDefault="0084326C" w:rsidP="0084326C">
      <w:pPr>
        <w:spacing w:after="120"/>
        <w:jc w:val="both"/>
        <w:rPr>
          <w:noProof/>
        </w:rPr>
      </w:pPr>
      <w:r>
        <w:rPr>
          <w:noProof/>
        </w:rPr>
        <w:t>Itaalia territooriumi iseloomustab märkimisväärne hüdrogeoloogiline ebastabiilsus, mida on süvendanud kliimamuutuste mõju. Sellel riskil on kahjulik mõju mitte ainult elukvaliteedile, vaid ka kõige enam ohustatud piirkondade majandustegevusele.</w:t>
      </w:r>
    </w:p>
    <w:p w14:paraId="2CD1565E" w14:textId="77777777" w:rsidR="0084326C" w:rsidRPr="005D68A0" w:rsidRDefault="0084326C" w:rsidP="0084326C">
      <w:pPr>
        <w:spacing w:after="120"/>
        <w:jc w:val="both"/>
        <w:rPr>
          <w:noProof/>
        </w:rPr>
      </w:pPr>
      <w:r>
        <w:rPr>
          <w:noProof/>
        </w:rPr>
        <w:t>See meede on jagatud kaheks tegevussuunaks: 2023. aasta mai üleujutustest mõjutatud Emilia Romagna, Toscana ja Marche territooriumide ülesehitamise erivolinik (</w:t>
      </w:r>
      <w:r>
        <w:rPr>
          <w:i/>
          <w:noProof/>
        </w:rPr>
        <w:t>Commissario per la ricostruzione nel territorio della regione Emilia Romagna, Toscana e Marche</w:t>
      </w:r>
      <w:r>
        <w:rPr>
          <w:noProof/>
        </w:rPr>
        <w:t xml:space="preserve">) on vastavalt vastutav ametiasutus. </w:t>
      </w:r>
    </w:p>
    <w:p w14:paraId="75EB10EA" w14:textId="77777777" w:rsidR="0084326C" w:rsidRPr="005D68A0" w:rsidRDefault="0084326C" w:rsidP="0084326C">
      <w:pPr>
        <w:spacing w:after="120"/>
        <w:jc w:val="both"/>
        <w:rPr>
          <w:noProof/>
        </w:rPr>
      </w:pPr>
      <w:r>
        <w:rPr>
          <w:noProof/>
        </w:rPr>
        <w:t>Seoses esimese tegevussuunaga võetakse ulatuslikke ja ulatuslikke sekkumisi, et taastada kahjustatud riiklikud struktuurid ja taristud (E-tüüpi sekkumised) ning vähendada sündmusega rangelt seotud jääkriski, mille peamine eesmärk on kaitsta avalikku ja eraohutust (D-tüüpi sekkumised).</w:t>
      </w:r>
    </w:p>
    <w:p w14:paraId="55F4C6C2" w14:textId="77777777" w:rsidR="0084326C" w:rsidRPr="005D68A0" w:rsidRDefault="0084326C" w:rsidP="0084326C">
      <w:pPr>
        <w:spacing w:after="120"/>
        <w:jc w:val="both"/>
        <w:rPr>
          <w:noProof/>
        </w:rPr>
      </w:pPr>
      <w:r>
        <w:rPr>
          <w:noProof/>
        </w:rPr>
        <w:t xml:space="preserve">Teine tegevussuund hõlmab hädaolukorra voliniku määratletud sekkumisi, eelkõige Ascoli Piceno, Bologna, Ferrara, Fermo, Firenze, Forli-Cesena, Modena, Pesaro-Urbino, Ravenna, Reggio-Emilia, Rimini provintsi. </w:t>
      </w:r>
    </w:p>
    <w:p w14:paraId="2A79F418" w14:textId="77777777" w:rsidR="0084326C" w:rsidRPr="005D68A0" w:rsidRDefault="0084326C" w:rsidP="0084326C">
      <w:pPr>
        <w:spacing w:after="120"/>
        <w:jc w:val="both"/>
        <w:rPr>
          <w:noProof/>
        </w:rPr>
      </w:pPr>
      <w:r>
        <w:rPr>
          <w:noProof/>
        </w:rPr>
        <w:t>Sekkumised hõlmavad järgmist:</w:t>
      </w:r>
    </w:p>
    <w:p w14:paraId="2395FA9D" w14:textId="75C2CEF5" w:rsidR="0084326C" w:rsidRPr="005D68A0" w:rsidRDefault="0084326C" w:rsidP="0084326C">
      <w:pPr>
        <w:pStyle w:val="ListParagraph"/>
        <w:numPr>
          <w:ilvl w:val="0"/>
          <w:numId w:val="96"/>
        </w:numPr>
        <w:spacing w:before="0"/>
        <w:rPr>
          <w:noProof/>
        </w:rPr>
      </w:pPr>
      <w:r>
        <w:rPr>
          <w:noProof/>
        </w:rPr>
        <w:t>Meetmed veeteede taastamiseks ning kaitse suurendamiseks üleujutuste ja maalihete eest. Sekkumised hõlmavad nii palju kui võimalik looduspõhiseid lahendusi ja võivad ette näha üleujutuse teel veetavate materjalide korduskasutamise. Sekkumised peaksid võimalikult suures ulatuses edendama ka kestlike mulla- ja maamajandamistavade kasutuselevõttu, et toetada mulla pikaajalist vastupanuvõimet, peatada mulla degradeerumine ja leevendada kliimamuutuste mõju;</w:t>
      </w:r>
    </w:p>
    <w:p w14:paraId="4BBC0DDC" w14:textId="4B94FFF8" w:rsidR="0084326C" w:rsidRPr="005D68A0" w:rsidRDefault="0084326C" w:rsidP="0084326C">
      <w:pPr>
        <w:pStyle w:val="ListParagraph"/>
        <w:numPr>
          <w:ilvl w:val="0"/>
          <w:numId w:val="96"/>
        </w:numPr>
        <w:spacing w:before="0"/>
        <w:contextualSpacing w:val="0"/>
        <w:rPr>
          <w:noProof/>
        </w:rPr>
      </w:pPr>
      <w:r>
        <w:rPr>
          <w:noProof/>
        </w:rPr>
        <w:t>Transpordivõrgu rehabilitatsioonimeetmed. Sekkumised võivad hõlmata täiendavaid taristuid (sealhulgas sildu), mis on kannatanud kahju ja vajavad parandamist;</w:t>
      </w:r>
    </w:p>
    <w:p w14:paraId="086C8CF0" w14:textId="77777777" w:rsidR="0084326C" w:rsidRPr="005D68A0" w:rsidRDefault="0084326C" w:rsidP="0084326C">
      <w:pPr>
        <w:pStyle w:val="ListParagraph"/>
        <w:numPr>
          <w:ilvl w:val="0"/>
          <w:numId w:val="96"/>
        </w:numPr>
        <w:spacing w:before="0"/>
        <w:rPr>
          <w:noProof/>
        </w:rPr>
      </w:pPr>
      <w:r>
        <w:rPr>
          <w:noProof/>
        </w:rPr>
        <w:t>Meetmed üldkasutatavate hoonete, sealhulgas riigimajade ja tervisekeskuste taastamiseks.</w:t>
      </w:r>
    </w:p>
    <w:p w14:paraId="476788C3" w14:textId="77777777" w:rsidR="0084326C" w:rsidRPr="005D68A0" w:rsidRDefault="0084326C" w:rsidP="0084326C">
      <w:pPr>
        <w:spacing w:after="120"/>
        <w:jc w:val="both"/>
        <w:rPr>
          <w:noProof/>
        </w:rPr>
      </w:pPr>
      <w:r>
        <w:rPr>
          <w:noProof/>
        </w:rPr>
        <w:t>Eeldatakse, et ükski selle komponendi meede ei kahjusta märkimisväärselt keskkonnaeesmärke määruse (EL) 2020/852 artikli 17 tähenduses, võttes arvesse taaste- ja vastupidavuskavas sätestatud meetmete kirjeldust ja leevendavaid meetmeid kooskõlas tehniliste suunistega põhimõtte „ei kahjusta oluliselt“ kohaldamise kohta (2021/C58/01). Investeeringuga ei nähta ette gaasikatelde paigaldamist või asendamist ega sõidukite ostmist.</w:t>
      </w:r>
    </w:p>
    <w:p w14:paraId="69F675CE" w14:textId="77777777" w:rsidR="0084326C" w:rsidRPr="005D68A0" w:rsidRDefault="0084326C" w:rsidP="0084326C">
      <w:pPr>
        <w:spacing w:before="120" w:after="120" w:line="257" w:lineRule="auto"/>
        <w:jc w:val="both"/>
        <w:rPr>
          <w:b/>
          <w:bCs/>
          <w:noProof/>
        </w:rPr>
      </w:pPr>
      <w:r>
        <w:rPr>
          <w:b/>
          <w:noProof/>
        </w:rPr>
        <w:t xml:space="preserve">Investeering 3.1. Linna- ja linnalähedaste metsade kaitse ja edendamine </w:t>
      </w:r>
    </w:p>
    <w:p w14:paraId="2F125F4A" w14:textId="17A208D9" w:rsidR="0084326C" w:rsidRPr="005D68A0" w:rsidRDefault="0084326C" w:rsidP="0084326C">
      <w:pPr>
        <w:spacing w:before="120" w:after="120"/>
        <w:jc w:val="both"/>
        <w:rPr>
          <w:noProof/>
        </w:rPr>
      </w:pPr>
      <w:r>
        <w:rPr>
          <w:noProof/>
        </w:rPr>
        <w:t>Selle meetme eesmärk on kaitsta haljasalasid ja suurendada nende arvu, et säilitada ja suurendada bioloogilist mitmekesisust ning parandada nende piirkondade elanike elukvaliteeti. Meetmed keskenduvad Itaalia 14 suurlinnale, mis on kõige enam mõjutatud sellistest keskkonnaprobleemidest nagu õhusaaste, bioloogilise mitmekesisuse vähenemine või kliimamuutuste mõju. Kultiveerimismaterjal (seemned või taimed) istutatakse kõnealustele aladele vähemalt 4 500 000 puule ja põõsastele (4 500 hektaril) ning vähemalt 3,5 miljonit puud tuleb nende lõppsihtkohas ümber istutada.</w:t>
      </w:r>
    </w:p>
    <w:p w14:paraId="6EDE7298" w14:textId="77777777" w:rsidR="0084326C" w:rsidRPr="005D68A0" w:rsidRDefault="0084326C" w:rsidP="0084326C">
      <w:pPr>
        <w:spacing w:before="120" w:after="120"/>
        <w:jc w:val="both"/>
        <w:rPr>
          <w:noProof/>
        </w:rPr>
      </w:pPr>
      <w:r>
        <w:rPr>
          <w:noProof/>
        </w:rPr>
        <w:t xml:space="preserve">Sekkumised järgnevad linnametsanduse kava vastuvõtmisele, mille eesmärk on säilitada ja suurendada bioloogilist mitmekesisust kooskõlas Euroopa bioloogilise mitmekesisuse strateegiaga, vähendada õhusaastet suurlinnapiirkondades, vähendades õhukvaliteeti käsitlevate rikkumismenetluste arvu. </w:t>
      </w:r>
    </w:p>
    <w:p w14:paraId="66DF33D1" w14:textId="77777777" w:rsidR="0084326C" w:rsidRPr="005D68A0" w:rsidRDefault="0084326C" w:rsidP="0084326C">
      <w:pPr>
        <w:spacing w:before="120" w:after="120" w:line="257" w:lineRule="auto"/>
        <w:jc w:val="both"/>
        <w:rPr>
          <w:b/>
          <w:bCs/>
          <w:noProof/>
        </w:rPr>
      </w:pPr>
      <w:r>
        <w:rPr>
          <w:b/>
          <w:noProof/>
        </w:rPr>
        <w:t>Investeering 3.3. Po piirkonna ümberkorraldamine</w:t>
      </w:r>
    </w:p>
    <w:p w14:paraId="1BD3C9D8" w14:textId="77777777" w:rsidR="0084326C" w:rsidRPr="005D68A0" w:rsidRDefault="0084326C" w:rsidP="0084326C">
      <w:pPr>
        <w:spacing w:before="120" w:after="120"/>
        <w:jc w:val="both"/>
        <w:rPr>
          <w:noProof/>
        </w:rPr>
      </w:pPr>
      <w:r>
        <w:rPr>
          <w:noProof/>
        </w:rPr>
        <w:t>Po piirkonnale on alates 1970. aastast iseloomulik ülemäärane veereostus, pinnase tarbimine ja väljakaevamised jõepõhjas. Kõik need probleemid on kahjustanud mõningaid tema looduslikke elupaiku ja suurendanud hüdrogeoloogilist riski.</w:t>
      </w:r>
    </w:p>
    <w:p w14:paraId="26F3330B" w14:textId="77777777" w:rsidR="0084326C" w:rsidRPr="005D68A0" w:rsidRDefault="0084326C" w:rsidP="0084326C">
      <w:pPr>
        <w:spacing w:before="120" w:after="120"/>
        <w:jc w:val="both"/>
        <w:rPr>
          <w:noProof/>
        </w:rPr>
      </w:pPr>
      <w:r>
        <w:rPr>
          <w:noProof/>
        </w:rPr>
        <w:t xml:space="preserve">Selle meetme eesmärk on taastada looduslikud protsessid ja soodustada bioloogilise mitmekesisuse taastumist. See tagaks jõe taastamise ning veevarude tõhusama ja säästvama kasutamise.  </w:t>
      </w:r>
    </w:p>
    <w:p w14:paraId="5AFA0316" w14:textId="77777777" w:rsidR="0084326C" w:rsidRPr="005D68A0" w:rsidRDefault="0084326C" w:rsidP="0084326C">
      <w:pPr>
        <w:spacing w:before="120" w:after="120" w:line="257" w:lineRule="auto"/>
        <w:jc w:val="both"/>
        <w:rPr>
          <w:b/>
          <w:bCs/>
          <w:noProof/>
        </w:rPr>
      </w:pPr>
      <w:r>
        <w:rPr>
          <w:b/>
          <w:noProof/>
        </w:rPr>
        <w:t>Investeering 3.4. Omanikuta mälestiste tervendamine</w:t>
      </w:r>
    </w:p>
    <w:p w14:paraId="445557E1" w14:textId="77777777" w:rsidR="0084326C" w:rsidRPr="005D68A0" w:rsidRDefault="0084326C" w:rsidP="0084326C">
      <w:pPr>
        <w:spacing w:before="120" w:after="120"/>
        <w:jc w:val="both"/>
        <w:rPr>
          <w:noProof/>
        </w:rPr>
      </w:pPr>
      <w:r>
        <w:rPr>
          <w:noProof/>
        </w:rPr>
        <w:t xml:space="preserve">Tööstussaaste on loonud palju nn harvikalasid, mis kujutavad endast märkimisväärset ohtu tervisele, avaldades tõsist mõju asjaomase elanikkonna elukvaliteedile. </w:t>
      </w:r>
    </w:p>
    <w:p w14:paraId="19193A5E" w14:textId="77777777" w:rsidR="0084326C" w:rsidRPr="005D68A0" w:rsidRDefault="0084326C" w:rsidP="0084326C">
      <w:pPr>
        <w:spacing w:before="120" w:after="120"/>
        <w:jc w:val="both"/>
        <w:rPr>
          <w:noProof/>
        </w:rPr>
      </w:pPr>
      <w:r>
        <w:rPr>
          <w:noProof/>
        </w:rPr>
        <w:t>Selle sekkumise eesmärk on taastada need maa-alad, vähendades keskkonnamõju ja edendades ringmajandust. Projektis kasutatakse parimaid olemasolevaid innovatiivseid uurimistehnoloogiaid, et teha kindlaks tegelikud vajadused tervendamise järele ja võimaldada nende piirkondade arengut, sealhulgas eluasemete osas.</w:t>
      </w:r>
    </w:p>
    <w:p w14:paraId="77E0E3A3" w14:textId="77777777" w:rsidR="0084326C" w:rsidRPr="005D68A0" w:rsidRDefault="0084326C" w:rsidP="0084326C">
      <w:pPr>
        <w:spacing w:before="120" w:after="120"/>
        <w:jc w:val="both"/>
        <w:rPr>
          <w:noProof/>
        </w:rPr>
      </w:pPr>
      <w:r>
        <w:rPr>
          <w:noProof/>
        </w:rPr>
        <w:t>See meede seisneb kõigepealt tegevuskava vastuvõtmises omanikuta alade taaselustamiseks, et vähendada maa hõivamist ja edendada linnade taaselustamist. Kavas määratakse kindlaks orbteosed kõigis 21 piirkonnas ja autonoomses provintsis ning konkreetsed võetavad meetmed.</w:t>
      </w:r>
    </w:p>
    <w:p w14:paraId="0989ECF6" w14:textId="77777777" w:rsidR="0084326C" w:rsidRPr="005D68A0" w:rsidRDefault="0084326C" w:rsidP="0084326C">
      <w:pPr>
        <w:spacing w:before="120" w:after="120" w:line="257" w:lineRule="auto"/>
        <w:jc w:val="both"/>
        <w:rPr>
          <w:b/>
          <w:bCs/>
          <w:noProof/>
        </w:rPr>
      </w:pPr>
      <w:r>
        <w:rPr>
          <w:b/>
          <w:noProof/>
        </w:rPr>
        <w:t>Investeering 3.5. Merepõhja ja mereelupaikade taastamine ja kaitse</w:t>
      </w:r>
    </w:p>
    <w:p w14:paraId="0B545FE1" w14:textId="77777777" w:rsidR="0084326C" w:rsidRPr="005D68A0" w:rsidRDefault="0084326C" w:rsidP="0084326C">
      <w:pPr>
        <w:spacing w:before="120" w:after="120"/>
        <w:jc w:val="both"/>
        <w:rPr>
          <w:noProof/>
        </w:rPr>
      </w:pPr>
      <w:r>
        <w:rPr>
          <w:noProof/>
        </w:rPr>
        <w:t xml:space="preserve">See meede hõlmab ulatuslikke meetmeid merepõhja ja mereelupaikade taastamiseks ja kaitsmiseks, mille eesmärk on pöörata ümber nende ökosüsteemide jätkuv halvenemine. </w:t>
      </w:r>
    </w:p>
    <w:p w14:paraId="3EEEEB4B" w14:textId="77777777" w:rsidR="0084326C" w:rsidRPr="005D68A0" w:rsidRDefault="0084326C" w:rsidP="0084326C">
      <w:pPr>
        <w:spacing w:before="120" w:after="120"/>
        <w:jc w:val="both"/>
        <w:rPr>
          <w:noProof/>
        </w:rPr>
      </w:pPr>
      <w:r>
        <w:rPr>
          <w:noProof/>
        </w:rPr>
        <w:t xml:space="preserve">Rakendatavad erimeetmed hõlmavad merepõhja elupaikade asjakohase kaardistamise väljatöötamist ja keskkonnaseiret. Suuremahuliste taastamis- ja kaitsemeetmete asjakohase kavandamise ja rakendamise tagamiseks tugevdatakse mere- ja rannikuökosüsteemide riiklikku teadus- ja vaatlussüsteemi. Lisaks tõhustatakse merevaatlusplatvorme, et suurendada tehnilist ja teaduslikku suutlikkust jälgida merekeskkonda ning eelkõige hinnata kaitse- ja majandamismeetmete tõhusust kliimamuutuste stsenaariumi raames. Sellised investeeringud võimaldavad seejärel süstemaatiliselt ja põhjalikult kaardistada tundlikke elupaiku Itaalia mereakvatooriumis, rakendada keskkonna taastamist ja kaitsealade määramist kooskõlas ELi 2013. aasta bioloogilise mitmekesisuse strateegia ja merestrateegia raamdirektiiviga. </w:t>
      </w:r>
    </w:p>
    <w:p w14:paraId="6EC56AB2" w14:textId="77777777" w:rsidR="0084326C" w:rsidRPr="005D68A0" w:rsidRDefault="0084326C" w:rsidP="0084326C">
      <w:pPr>
        <w:spacing w:before="120" w:after="120"/>
        <w:jc w:val="both"/>
        <w:rPr>
          <w:noProof/>
        </w:rPr>
      </w:pPr>
      <w:r>
        <w:rPr>
          <w:noProof/>
        </w:rPr>
        <w:t>Eeldatakse, et kõnealune meede ei kahjusta oluliselt keskkonnaeesmärke määruse (EL) 2020/852 artikli 17 tähenduses, võttes arvesse meetme kirjeldust ning taaste- ja vastupidavuskavas kooskõlas põhimõtte „ei kahjusta oluliselt“ tehniliste suunistega (2021/C58/01) sätestatud leevendavaid samme. Mereökosüsteeme käsitlevate teadusuuringute läbiviimisega võib meede hõlmata teadusseadmete ja/või laevade ostmist. Eelkõige kasutavad uued laevad kõige uuemaid olemasolevaid tehnoloogiaid, tagades võimalikult suures ulatuses reostuse vältimise ja kontrolli.</w:t>
      </w:r>
    </w:p>
    <w:p w14:paraId="269B0F53" w14:textId="77777777" w:rsidR="0084326C" w:rsidRPr="005D68A0" w:rsidRDefault="0084326C" w:rsidP="0084326C">
      <w:pPr>
        <w:spacing w:before="120" w:after="120" w:line="257" w:lineRule="auto"/>
        <w:jc w:val="both"/>
        <w:rPr>
          <w:rFonts w:eastAsia="Calibri"/>
          <w:b/>
          <w:noProof/>
        </w:rPr>
      </w:pPr>
      <w:r>
        <w:rPr>
          <w:b/>
          <w:noProof/>
        </w:rPr>
        <w:t>Reform 4.1. Õigusaktide lihtsustamine ja juhtimise tugevdamine veevarustuse infrastruktuuri tehtavate investeeringute rakendamiseks</w:t>
      </w:r>
    </w:p>
    <w:p w14:paraId="25A7A2EB" w14:textId="77777777" w:rsidR="0084326C" w:rsidRPr="005D68A0" w:rsidRDefault="0084326C" w:rsidP="0084326C">
      <w:pPr>
        <w:pStyle w:val="Paragrafoelenco1"/>
        <w:spacing w:after="120" w:line="240" w:lineRule="auto"/>
        <w:ind w:left="0"/>
        <w:jc w:val="both"/>
        <w:rPr>
          <w:iCs/>
          <w:noProof/>
          <w:color w:val="auto"/>
          <w:sz w:val="24"/>
          <w:szCs w:val="24"/>
        </w:rPr>
      </w:pPr>
      <w:r>
        <w:rPr>
          <w:noProof/>
          <w:color w:val="auto"/>
          <w:sz w:val="24"/>
        </w:rPr>
        <w:t xml:space="preserve">Praegune õigusraamistik ja juhtimise praegune killustatus mõjutavad negatiivselt veevarustuse infrastruktuuri tehtavate investeeringute kavandamise ja rakendamise suutlikkust. </w:t>
      </w:r>
    </w:p>
    <w:p w14:paraId="2B21DAF4" w14:textId="77777777" w:rsidR="0084326C" w:rsidRPr="005D68A0" w:rsidRDefault="0084326C" w:rsidP="0084326C">
      <w:pPr>
        <w:suppressAutoHyphens/>
        <w:jc w:val="both"/>
        <w:rPr>
          <w:noProof/>
        </w:rPr>
      </w:pPr>
      <w:r>
        <w:rPr>
          <w:noProof/>
        </w:rPr>
        <w:t>Reformi eesmärk on lihtsustada ja tõhustada õigusraamistikku ning pakkuda vajaduse korral abi rakendusasutustele, kellel ei ole piisavalt suutlikkust teha ja viia kõnealused investeeringud lõpule algselt kindlaksmääratud tähtaja jooksul.</w:t>
      </w:r>
    </w:p>
    <w:p w14:paraId="4CD9845A" w14:textId="77777777" w:rsidR="0084326C" w:rsidRPr="00F33804" w:rsidRDefault="0084326C" w:rsidP="0084326C">
      <w:pPr>
        <w:pStyle w:val="Paragrafoelenco1"/>
        <w:spacing w:after="120" w:line="240" w:lineRule="auto"/>
        <w:ind w:left="0"/>
        <w:jc w:val="both"/>
        <w:rPr>
          <w:iCs/>
          <w:noProof/>
          <w:color w:val="auto"/>
          <w:sz w:val="24"/>
          <w:szCs w:val="24"/>
        </w:rPr>
      </w:pPr>
    </w:p>
    <w:p w14:paraId="4FB755FF" w14:textId="77777777" w:rsidR="0084326C" w:rsidRPr="005D68A0" w:rsidRDefault="0084326C" w:rsidP="0084326C">
      <w:pPr>
        <w:pStyle w:val="Paragrafoelenco1"/>
        <w:spacing w:after="120" w:line="240" w:lineRule="auto"/>
        <w:ind w:left="0"/>
        <w:jc w:val="both"/>
        <w:rPr>
          <w:iCs/>
          <w:noProof/>
          <w:color w:val="auto"/>
          <w:sz w:val="24"/>
          <w:szCs w:val="24"/>
        </w:rPr>
      </w:pPr>
      <w:r>
        <w:rPr>
          <w:noProof/>
          <w:color w:val="auto"/>
          <w:sz w:val="24"/>
        </w:rPr>
        <w:t>Nende eesmärkide saavutamiseks kavandatud peamised meetmed on peamiselt i) keskse avaliku sektori rahastamisvahendi loomine investeeringuteks veesektorisse, mis ühtlustab ressursse, mis on praegu üsna hajutatud; ii) rahastatavate investeeringute aruandluse ja järelevalve korra lihtsustamine, iii) reguleeriva asutuse täiendav kaasamine tehtavate investeeringute kavandamisse ja kava võimalikesse läbivaatamistesse.</w:t>
      </w:r>
    </w:p>
    <w:p w14:paraId="476B07A8" w14:textId="77777777" w:rsidR="0084326C" w:rsidRPr="005D68A0" w:rsidRDefault="0084326C" w:rsidP="0084326C">
      <w:pPr>
        <w:pStyle w:val="Paragrafoelenco1"/>
        <w:spacing w:after="120" w:line="240" w:lineRule="auto"/>
        <w:ind w:left="0"/>
        <w:jc w:val="both"/>
        <w:rPr>
          <w:rFonts w:eastAsia="SimSun"/>
          <w:i/>
          <w:iCs/>
          <w:noProof/>
          <w:sz w:val="24"/>
          <w:szCs w:val="24"/>
          <w:u w:val="single"/>
        </w:rPr>
      </w:pPr>
      <w:r>
        <w:rPr>
          <w:noProof/>
          <w:color w:val="auto"/>
          <w:sz w:val="24"/>
        </w:rPr>
        <w:t xml:space="preserve">Infrastruktuuri- ja transpordiministeerium esitab veevarustussektorit käsitleva reformiettepaneku. </w:t>
      </w:r>
    </w:p>
    <w:p w14:paraId="701180B6" w14:textId="77777777" w:rsidR="0084326C" w:rsidRPr="005D68A0" w:rsidRDefault="0084326C" w:rsidP="0084326C">
      <w:pPr>
        <w:spacing w:before="120" w:after="120" w:line="257" w:lineRule="auto"/>
        <w:jc w:val="both"/>
        <w:rPr>
          <w:b/>
          <w:bCs/>
          <w:noProof/>
        </w:rPr>
      </w:pPr>
      <w:r>
        <w:rPr>
          <w:b/>
          <w:noProof/>
        </w:rPr>
        <w:t>Investeering 4.1. Esmane veetaristu veevarustuse kindluse tagamiseks</w:t>
      </w:r>
    </w:p>
    <w:p w14:paraId="6A83A74C" w14:textId="77777777" w:rsidR="0084326C" w:rsidRPr="005D68A0" w:rsidRDefault="0084326C" w:rsidP="0084326C">
      <w:pPr>
        <w:spacing w:before="120" w:after="120"/>
        <w:jc w:val="both"/>
        <w:rPr>
          <w:noProof/>
        </w:rPr>
      </w:pPr>
      <w:r>
        <w:rPr>
          <w:noProof/>
        </w:rPr>
        <w:t>Selle meetme eesmärk on tagada veevarustuse kindlus olulistes linnapiirkondades ja suurtes niisutatavates piirkondades, suurendada võrgu ohutust ja vastupidavust ning parandada veetranspordi suutlikkust. Meetmed hõlmavad kogu riigi territooriumi, pöörates erilist tähelepanu suurematele rajatistele riigi lõunaosas.</w:t>
      </w:r>
    </w:p>
    <w:p w14:paraId="57B5FF13" w14:textId="77777777" w:rsidR="0084326C" w:rsidRPr="005D68A0" w:rsidRDefault="0084326C" w:rsidP="0084326C">
      <w:pPr>
        <w:spacing w:before="120" w:after="120"/>
        <w:jc w:val="both"/>
        <w:rPr>
          <w:noProof/>
        </w:rPr>
      </w:pPr>
      <w:r>
        <w:rPr>
          <w:noProof/>
        </w:rPr>
        <w:t>Eeldatakse, et ükski selle komponendi meede ei kahjusta märkimisväärselt keskkonnaeesmärke määruse (EL) 2020/852 artikli 17 tähenduses, võttes arvesse taaste- ja vastupidavuskavas sätestatud meetmete kirjeldust ja leevendavaid meetmeid kooskõlas tehniliste suunistega põhimõtte „ei kahjusta oluliselt“ kohaldamise kohta (2021/C58/01). Iga alainvesteeringu puhul tagatakse täielik vastavus ELi õigusele, sh veepoliitika raamdirektiivi nõuetele enne ja pärast ehitustöid ja nende ajal. Lisaks kohaldatakse alameetmete suhtes vajaduse korral keskkonnamõju hindamist vastavalt direktiivile 2011/92/EL ning asjakohaseid hindamisi direktiivide 2000/60/EÜ ja 92/43/EMÜ kontekstis, sealhulgas nõutavate leevendusmeetmete rakendamist. Meede ei hõlma uute tammide ehitamist, vaid üksnes olemasolevate tammide parandamist; kavandatud sekkumiste mõjul olemasolevatele töödele võetakse arvesse stsenaariume, mille puhul asjaomane jõgi jääb oma loomulikus seisundis, mida on tööde teostamise ajal muudetud. Kõik kavandatud alasekkumised, sealhulgas need, mis on seotud olemasolevate tammidega, peavad olema kooskõlas siseriikliku ja liidu õigusega nõutava keskkonnaloa andmise menetlusega.</w:t>
      </w:r>
    </w:p>
    <w:p w14:paraId="7C076E64" w14:textId="77777777" w:rsidR="0084326C" w:rsidRPr="005D68A0" w:rsidRDefault="0084326C" w:rsidP="0084326C">
      <w:pPr>
        <w:spacing w:before="120" w:after="120" w:line="257" w:lineRule="auto"/>
        <w:jc w:val="both"/>
        <w:rPr>
          <w:b/>
          <w:bCs/>
          <w:noProof/>
        </w:rPr>
      </w:pPr>
      <w:r>
        <w:rPr>
          <w:b/>
          <w:noProof/>
        </w:rPr>
        <w:t>Investeering 4.2. Veejaotusvõrkude kadude vähendamine, sealhulgas võrkude digiteerimine ja seire</w:t>
      </w:r>
    </w:p>
    <w:p w14:paraId="4422E126" w14:textId="77777777" w:rsidR="0084326C" w:rsidRPr="005D68A0" w:rsidRDefault="0084326C" w:rsidP="0084326C">
      <w:pPr>
        <w:spacing w:before="120" w:after="120"/>
        <w:jc w:val="both"/>
        <w:rPr>
          <w:noProof/>
        </w:rPr>
      </w:pPr>
      <w:r>
        <w:rPr>
          <w:noProof/>
        </w:rPr>
        <w:t>Veevarude killustatud ja ebatõhus majandamine on põhjustanud märkimisväärseid veelekkeid, mille keskmine kadu on riigi lõunaosas üle 40 % ja üle 50 %. Projekti eesmärk on oluliselt vähendada joogivee kadusid, ajakohastades ja moderniseerides veejaotusvõrke täiustatud kontrollisüsteemide abil, mis võimaldavad jälgida peamisi sõlmpunkte ja võrgu kõige tundlikumaid punkte.</w:t>
      </w:r>
    </w:p>
    <w:p w14:paraId="09243B29" w14:textId="77777777" w:rsidR="0084326C" w:rsidRPr="005D68A0" w:rsidRDefault="0084326C" w:rsidP="0084326C">
      <w:pPr>
        <w:spacing w:before="120" w:after="120" w:line="257" w:lineRule="auto"/>
        <w:jc w:val="both"/>
        <w:rPr>
          <w:b/>
          <w:bCs/>
          <w:noProof/>
        </w:rPr>
      </w:pPr>
      <w:r>
        <w:rPr>
          <w:b/>
          <w:noProof/>
        </w:rPr>
        <w:t xml:space="preserve">Investeering 4.3. Investeeringud niisutuspõllumajandussüsteemi vastupanuvõimesse veevarude paremaks majandamiseks </w:t>
      </w:r>
    </w:p>
    <w:p w14:paraId="4DFE4AE4" w14:textId="77777777" w:rsidR="0084326C" w:rsidRPr="005D68A0" w:rsidRDefault="0084326C" w:rsidP="0084326C">
      <w:pPr>
        <w:spacing w:before="120" w:after="120" w:line="257" w:lineRule="auto"/>
        <w:jc w:val="both"/>
        <w:rPr>
          <w:noProof/>
        </w:rPr>
      </w:pPr>
      <w:r>
        <w:rPr>
          <w:noProof/>
        </w:rPr>
        <w:t>Selle meetme eesmärk on suurendada niisutussüsteemide tõhusust, arendades innovatiivset ja digiteeritud taristut, et muuta põllumajandussektor säästvamaks ja kliimamuutustele paremini vastavaks. Investeering seisneb peamiselt niisutussüsteemide muutmises tõhusamateks süsteemideks; jaotusvõrkude kohandamine, et vähendada kahjusid; tehnoloogiate paigaldamine veeressursside tõhusaks kasutamiseks, näiteks arvestid ja kaugjuhtimine. Toetatud investeeringu osana võetakse kasutusele veemõõtmine, mis võimaldab mõõta vett.</w:t>
      </w:r>
    </w:p>
    <w:p w14:paraId="2F8BF31B" w14:textId="77777777" w:rsidR="0084326C" w:rsidRPr="005D68A0" w:rsidRDefault="0084326C" w:rsidP="0084326C">
      <w:pPr>
        <w:spacing w:before="120" w:after="120" w:line="257" w:lineRule="auto"/>
        <w:jc w:val="both"/>
        <w:rPr>
          <w:noProof/>
        </w:rPr>
      </w:pPr>
      <w:r>
        <w:rPr>
          <w:noProof/>
        </w:rPr>
        <w:t>Eeldatakse, et ükski selle komponendi meede ei kahjusta märkimisväärselt keskkonnaeesmärke määruse (EL) 2020/852 artikli 17 tähenduses, võttes arvesse taaste- ja vastupidavuskavas sätestatud meetmete kirjeldust ja leevendavaid meetmeid kooskõlas tehniliste suunistega põhimõtte „ei kahjusta oluliselt“ kohaldamise kohta (2021/C58/01). Iga alainvesteeringu puhul tagatakse täielik vastavus ELi õigusele, sh veepoliitika raamdirektiivi nõuetele enne ja pärast ehitustöid ja nende ajal. Lisaks tuleb projektide suhtes, kui see on siseriikliku õiguse kohaselt kohaldatav, läbi viia direktiivi 2011/92/EL kohane keskkonnamõju hindamine ning direktiivi 2000/60/EÜ ja direktiivi 92/43/EMÜ kohane asjakohane hindamine, sealhulgas nõutavate leevendusmeetmete rakendamine.</w:t>
      </w:r>
    </w:p>
    <w:p w14:paraId="26FA2A54" w14:textId="77777777" w:rsidR="0084326C" w:rsidRPr="00F33804" w:rsidRDefault="0084326C" w:rsidP="0084326C">
      <w:pPr>
        <w:spacing w:before="120" w:after="120" w:line="257" w:lineRule="auto"/>
        <w:jc w:val="both"/>
        <w:rPr>
          <w:b/>
          <w:bCs/>
          <w:noProof/>
        </w:rPr>
      </w:pPr>
    </w:p>
    <w:p w14:paraId="663691FC" w14:textId="77777777" w:rsidR="0084326C" w:rsidRPr="005D68A0" w:rsidRDefault="0084326C" w:rsidP="0084326C">
      <w:pPr>
        <w:spacing w:before="120" w:after="120" w:line="257" w:lineRule="auto"/>
        <w:jc w:val="both"/>
        <w:rPr>
          <w:b/>
          <w:bCs/>
          <w:noProof/>
        </w:rPr>
      </w:pPr>
      <w:r>
        <w:rPr>
          <w:b/>
          <w:noProof/>
        </w:rPr>
        <w:t>Investeering 4.4. Kanalisatsioon ja puhastamine</w:t>
      </w:r>
    </w:p>
    <w:p w14:paraId="568B5699" w14:textId="77777777" w:rsidR="0084326C" w:rsidRPr="005D68A0" w:rsidRDefault="0084326C" w:rsidP="0084326C">
      <w:pPr>
        <w:spacing w:before="120" w:after="120"/>
        <w:jc w:val="both"/>
        <w:rPr>
          <w:noProof/>
        </w:rPr>
      </w:pPr>
      <w:r>
        <w:rPr>
          <w:noProof/>
        </w:rPr>
        <w:t xml:space="preserve">Veesüsteemides on kanalisatsiooni- ja puhastussüsteemides suuri nõrkusi, mis väljendub paljudes riigi aglomeraatides rikkumismenetluste arvus liidu õiguse rikkumise korral. </w:t>
      </w:r>
    </w:p>
    <w:p w14:paraId="3A86148F" w14:textId="77777777" w:rsidR="0084326C" w:rsidRPr="005D68A0" w:rsidRDefault="0084326C" w:rsidP="0084326C">
      <w:pPr>
        <w:tabs>
          <w:tab w:val="left" w:pos="720"/>
        </w:tabs>
        <w:spacing w:before="120" w:after="120"/>
        <w:jc w:val="both"/>
        <w:rPr>
          <w:noProof/>
        </w:rPr>
      </w:pPr>
      <w:r>
        <w:rPr>
          <w:noProof/>
        </w:rPr>
        <w:t>Selle meetme eesmärk on teha investeeringuid, mis muudavad mere- ja siseveekogudesse juhitud reovee puhastamise tõhusamaks ning muudavad puhastustehased võimaluse korral „rohelisteks tehasteks“, et puhastatud reovett niisutamiseks ja tööstuslikuks otstarbeks taaskasutada. Need investeeringud peaksid aitama vähendada nõrkade kanalisatsiooni- ja puhastussüsteemidega linnastute arvu.</w:t>
      </w:r>
    </w:p>
    <w:p w14:paraId="44CF77C8" w14:textId="77777777" w:rsidR="0084326C" w:rsidRPr="00F33804" w:rsidRDefault="0084326C" w:rsidP="0084326C">
      <w:pPr>
        <w:tabs>
          <w:tab w:val="left" w:pos="720"/>
        </w:tabs>
        <w:spacing w:before="120" w:after="120"/>
        <w:jc w:val="both"/>
        <w:rPr>
          <w:noProof/>
        </w:rPr>
      </w:pPr>
    </w:p>
    <w:p w14:paraId="66331895" w14:textId="77777777" w:rsidR="0084326C" w:rsidRPr="005D68A0" w:rsidRDefault="0084326C" w:rsidP="0084326C">
      <w:pPr>
        <w:pStyle w:val="Heading3"/>
        <w:numPr>
          <w:ilvl w:val="0"/>
          <w:numId w:val="0"/>
        </w:numPr>
        <w:ind w:left="850" w:hanging="850"/>
        <w:rPr>
          <w:rStyle w:val="SubtleEmphasis"/>
          <w:b/>
          <w:bCs w:val="0"/>
          <w:i/>
          <w:iCs w:val="0"/>
          <w:noProof/>
          <w:u w:val="single"/>
        </w:rPr>
      </w:pPr>
      <w:r>
        <w:rPr>
          <w:rStyle w:val="SubtleEmphasis"/>
          <w:b/>
          <w:noProof/>
          <w:u w:val="single"/>
        </w:rPr>
        <w:t xml:space="preserve">G.4. </w:t>
      </w:r>
      <w:r>
        <w:rPr>
          <w:noProof/>
        </w:rPr>
        <w:tab/>
      </w:r>
      <w:r>
        <w:rPr>
          <w:rStyle w:val="SubtleEmphasis"/>
          <w:b/>
          <w:noProof/>
          <w:u w:val="single"/>
        </w:rPr>
        <w:t xml:space="preserve">Laenu eesmärgid, sihid, näitajad ning seire ja rakendamise ajakava </w:t>
      </w:r>
    </w:p>
    <w:p w14:paraId="5142FFAB" w14:textId="77777777" w:rsidR="0084326C" w:rsidRPr="00F33804" w:rsidRDefault="0084326C" w:rsidP="0084326C">
      <w:pPr>
        <w:spacing w:before="120" w:after="120"/>
        <w:ind w:left="709"/>
        <w:contextualSpacing/>
        <w:jc w:val="both"/>
        <w:rPr>
          <w:noProof/>
        </w:rPr>
        <w:sectPr w:rsidR="0084326C" w:rsidRPr="00F33804">
          <w:headerReference w:type="even" r:id="rId200"/>
          <w:headerReference w:type="default" r:id="rId201"/>
          <w:footerReference w:type="even" r:id="rId202"/>
          <w:footerReference w:type="default" r:id="rId203"/>
          <w:headerReference w:type="first" r:id="rId204"/>
          <w:footerReference w:type="first" r:id="rId205"/>
          <w:pgSz w:w="11907" w:h="16839"/>
          <w:pgMar w:top="1134" w:right="1134" w:bottom="1134" w:left="1134" w:header="567" w:footer="567" w:gutter="0"/>
          <w:cols w:space="720"/>
          <w:docGrid w:linePitch="360"/>
        </w:sectPr>
      </w:pPr>
    </w:p>
    <w:tbl>
      <w:tblPr>
        <w:tblW w:w="5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2487"/>
        <w:gridCol w:w="900"/>
        <w:gridCol w:w="2487"/>
        <w:gridCol w:w="1684"/>
        <w:gridCol w:w="1094"/>
        <w:gridCol w:w="982"/>
        <w:gridCol w:w="1046"/>
        <w:gridCol w:w="772"/>
        <w:gridCol w:w="663"/>
        <w:gridCol w:w="3401"/>
      </w:tblGrid>
      <w:tr w:rsidR="0084326C" w:rsidRPr="00D90835" w14:paraId="353861DE" w14:textId="77777777" w:rsidTr="004775AA">
        <w:trPr>
          <w:trHeight w:val="591"/>
          <w:tblHeader/>
          <w:jc w:val="center"/>
        </w:trPr>
        <w:tc>
          <w:tcPr>
            <w:tcW w:w="1064" w:type="dxa"/>
            <w:vMerge w:val="restart"/>
            <w:shd w:val="clear" w:color="auto" w:fill="B4C6E7" w:themeFill="accent1" w:themeFillTint="66"/>
            <w:noWrap/>
            <w:vAlign w:val="center"/>
          </w:tcPr>
          <w:p w14:paraId="12572069" w14:textId="7ACA39F2" w:rsidR="0084326C" w:rsidRPr="005D68A0" w:rsidRDefault="0084326C">
            <w:pPr>
              <w:jc w:val="center"/>
              <w:rPr>
                <w:rFonts w:ascii="Arial Narrow" w:hAnsi="Arial Narrow"/>
                <w:b/>
                <w:noProof/>
                <w:sz w:val="20"/>
                <w:szCs w:val="20"/>
              </w:rPr>
            </w:pPr>
            <w:r>
              <w:rPr>
                <w:rFonts w:ascii="Arial Narrow" w:hAnsi="Arial Narrow"/>
                <w:b/>
                <w:noProof/>
                <w:sz w:val="20"/>
              </w:rPr>
              <w:t>Järjekorra</w:t>
            </w:r>
            <w:r w:rsidR="004775AA">
              <w:rPr>
                <w:rFonts w:ascii="Arial Narrow" w:hAnsi="Arial Narrow"/>
                <w:b/>
                <w:noProof/>
                <w:sz w:val="20"/>
              </w:rPr>
              <w:t>-</w:t>
            </w:r>
            <w:r>
              <w:rPr>
                <w:rFonts w:ascii="Arial Narrow" w:hAnsi="Arial Narrow"/>
                <w:b/>
                <w:noProof/>
                <w:sz w:val="20"/>
              </w:rPr>
              <w:t>number</w:t>
            </w:r>
          </w:p>
        </w:tc>
        <w:tc>
          <w:tcPr>
            <w:tcW w:w="2487" w:type="dxa"/>
            <w:vMerge w:val="restart"/>
            <w:shd w:val="clear" w:color="auto" w:fill="B4C6E7" w:themeFill="accent1" w:themeFillTint="66"/>
            <w:noWrap/>
            <w:vAlign w:val="center"/>
          </w:tcPr>
          <w:p w14:paraId="33831517" w14:textId="77777777" w:rsidR="0084326C" w:rsidRPr="005D68A0" w:rsidRDefault="0084326C">
            <w:pPr>
              <w:jc w:val="center"/>
              <w:rPr>
                <w:rFonts w:ascii="Arial Narrow" w:hAnsi="Arial Narrow"/>
                <w:b/>
                <w:noProof/>
                <w:sz w:val="20"/>
                <w:szCs w:val="20"/>
              </w:rPr>
            </w:pPr>
            <w:r>
              <w:rPr>
                <w:rFonts w:ascii="Arial Narrow" w:hAnsi="Arial Narrow"/>
                <w:b/>
                <w:noProof/>
                <w:sz w:val="20"/>
              </w:rPr>
              <w:t>Seotud meede (reform või investeering)</w:t>
            </w:r>
          </w:p>
        </w:tc>
        <w:tc>
          <w:tcPr>
            <w:tcW w:w="900" w:type="dxa"/>
            <w:vMerge w:val="restart"/>
            <w:shd w:val="clear" w:color="auto" w:fill="B4C6E7" w:themeFill="accent1" w:themeFillTint="66"/>
            <w:noWrap/>
            <w:vAlign w:val="center"/>
          </w:tcPr>
          <w:p w14:paraId="46CCEEFE" w14:textId="77777777" w:rsidR="0084326C" w:rsidRPr="005D68A0" w:rsidRDefault="0084326C">
            <w:pPr>
              <w:jc w:val="center"/>
              <w:rPr>
                <w:rFonts w:ascii="Arial Narrow" w:hAnsi="Arial Narrow"/>
                <w:b/>
                <w:noProof/>
                <w:sz w:val="20"/>
                <w:szCs w:val="20"/>
              </w:rPr>
            </w:pPr>
            <w:r>
              <w:rPr>
                <w:rFonts w:ascii="Arial Narrow" w:hAnsi="Arial Narrow"/>
                <w:b/>
                <w:noProof/>
                <w:sz w:val="20"/>
              </w:rPr>
              <w:t>Eesmärk / siht</w:t>
            </w:r>
          </w:p>
        </w:tc>
        <w:tc>
          <w:tcPr>
            <w:tcW w:w="2487" w:type="dxa"/>
            <w:vMerge w:val="restart"/>
            <w:shd w:val="clear" w:color="auto" w:fill="B4C6E7" w:themeFill="accent1" w:themeFillTint="66"/>
            <w:noWrap/>
            <w:vAlign w:val="center"/>
          </w:tcPr>
          <w:p w14:paraId="3EF965BC" w14:textId="77777777" w:rsidR="0084326C" w:rsidRPr="005D68A0" w:rsidRDefault="0084326C">
            <w:pPr>
              <w:jc w:val="center"/>
              <w:rPr>
                <w:rFonts w:ascii="Arial Narrow" w:hAnsi="Arial Narrow"/>
                <w:noProof/>
                <w:sz w:val="20"/>
                <w:szCs w:val="20"/>
              </w:rPr>
            </w:pPr>
            <w:r>
              <w:rPr>
                <w:rFonts w:ascii="Arial Narrow" w:hAnsi="Arial Narrow"/>
                <w:b/>
                <w:noProof/>
                <w:sz w:val="20"/>
              </w:rPr>
              <w:t>Nimi</w:t>
            </w:r>
          </w:p>
        </w:tc>
        <w:tc>
          <w:tcPr>
            <w:tcW w:w="1684" w:type="dxa"/>
            <w:vMerge w:val="restart"/>
            <w:shd w:val="clear" w:color="auto" w:fill="B4C6E7" w:themeFill="accent1" w:themeFillTint="66"/>
            <w:noWrap/>
            <w:vAlign w:val="center"/>
          </w:tcPr>
          <w:p w14:paraId="00C0A083" w14:textId="77777777" w:rsidR="0084326C" w:rsidRPr="005D68A0" w:rsidRDefault="0084326C">
            <w:pPr>
              <w:jc w:val="center"/>
              <w:rPr>
                <w:rFonts w:ascii="Arial Narrow" w:hAnsi="Arial Narrow"/>
                <w:b/>
                <w:noProof/>
                <w:sz w:val="20"/>
                <w:szCs w:val="20"/>
              </w:rPr>
            </w:pPr>
            <w:r>
              <w:rPr>
                <w:rFonts w:ascii="Arial Narrow" w:hAnsi="Arial Narrow"/>
                <w:b/>
                <w:noProof/>
                <w:sz w:val="20"/>
              </w:rPr>
              <w:t>Kvalitatiivsed näitajad</w:t>
            </w:r>
            <w:r>
              <w:rPr>
                <w:noProof/>
              </w:rPr>
              <w:t xml:space="preserve"> </w:t>
            </w:r>
            <w:r>
              <w:rPr>
                <w:noProof/>
              </w:rPr>
              <w:br/>
            </w:r>
            <w:r>
              <w:rPr>
                <w:rFonts w:ascii="Arial Narrow" w:hAnsi="Arial Narrow"/>
                <w:b/>
                <w:noProof/>
                <w:sz w:val="20"/>
              </w:rPr>
              <w:t>(eesmärkide puhul)</w:t>
            </w:r>
          </w:p>
        </w:tc>
        <w:tc>
          <w:tcPr>
            <w:tcW w:w="3122" w:type="dxa"/>
            <w:gridSpan w:val="3"/>
            <w:shd w:val="clear" w:color="auto" w:fill="B4C6E7" w:themeFill="accent1" w:themeFillTint="66"/>
            <w:noWrap/>
            <w:vAlign w:val="center"/>
          </w:tcPr>
          <w:p w14:paraId="78DA7271" w14:textId="77777777" w:rsidR="0084326C" w:rsidRPr="005D68A0" w:rsidRDefault="0084326C">
            <w:pPr>
              <w:jc w:val="center"/>
              <w:rPr>
                <w:rFonts w:ascii="Arial Narrow" w:hAnsi="Arial Narrow"/>
                <w:noProof/>
                <w:sz w:val="20"/>
                <w:szCs w:val="20"/>
              </w:rPr>
            </w:pPr>
            <w:r>
              <w:rPr>
                <w:rFonts w:ascii="Arial Narrow" w:hAnsi="Arial Narrow"/>
                <w:b/>
                <w:noProof/>
                <w:sz w:val="20"/>
              </w:rPr>
              <w:t xml:space="preserve">Kvantitatiivsed näitajad </w:t>
            </w:r>
            <w:r>
              <w:rPr>
                <w:noProof/>
              </w:rPr>
              <w:br/>
            </w:r>
            <w:r>
              <w:rPr>
                <w:rFonts w:ascii="Arial Narrow" w:hAnsi="Arial Narrow"/>
                <w:b/>
                <w:noProof/>
                <w:sz w:val="20"/>
              </w:rPr>
              <w:t>(sihtide puhul)</w:t>
            </w:r>
          </w:p>
        </w:tc>
        <w:tc>
          <w:tcPr>
            <w:tcW w:w="1435" w:type="dxa"/>
            <w:gridSpan w:val="2"/>
            <w:shd w:val="clear" w:color="auto" w:fill="B4C6E7" w:themeFill="accent1" w:themeFillTint="66"/>
            <w:noWrap/>
            <w:vAlign w:val="center"/>
          </w:tcPr>
          <w:p w14:paraId="6F65435F" w14:textId="77777777" w:rsidR="0084326C" w:rsidRPr="005D68A0" w:rsidRDefault="0084326C">
            <w:pPr>
              <w:jc w:val="center"/>
              <w:rPr>
                <w:rFonts w:ascii="Arial Narrow" w:hAnsi="Arial Narrow"/>
                <w:b/>
                <w:noProof/>
                <w:sz w:val="20"/>
                <w:szCs w:val="20"/>
              </w:rPr>
            </w:pPr>
            <w:r>
              <w:rPr>
                <w:rFonts w:ascii="Arial Narrow" w:hAnsi="Arial Narrow"/>
                <w:b/>
                <w:noProof/>
                <w:sz w:val="20"/>
              </w:rPr>
              <w:t>Lõpuleviimise soovituslik ajakava</w:t>
            </w:r>
          </w:p>
        </w:tc>
        <w:tc>
          <w:tcPr>
            <w:tcW w:w="3401" w:type="dxa"/>
            <w:vMerge w:val="restart"/>
            <w:shd w:val="clear" w:color="auto" w:fill="B4C6E7" w:themeFill="accent1" w:themeFillTint="66"/>
            <w:noWrap/>
            <w:vAlign w:val="center"/>
          </w:tcPr>
          <w:p w14:paraId="1AD695AA" w14:textId="77777777" w:rsidR="0084326C" w:rsidRPr="005D68A0" w:rsidRDefault="0084326C">
            <w:pPr>
              <w:jc w:val="center"/>
              <w:rPr>
                <w:rFonts w:ascii="Arial Narrow" w:hAnsi="Arial Narrow"/>
                <w:b/>
                <w:noProof/>
                <w:sz w:val="20"/>
                <w:szCs w:val="20"/>
              </w:rPr>
            </w:pPr>
            <w:r>
              <w:rPr>
                <w:rFonts w:ascii="Arial Narrow" w:hAnsi="Arial Narrow"/>
                <w:b/>
                <w:noProof/>
                <w:sz w:val="20"/>
              </w:rPr>
              <w:t>Iga eesmärgi ja sihi kirjeldus</w:t>
            </w:r>
          </w:p>
        </w:tc>
      </w:tr>
      <w:tr w:rsidR="0084326C" w:rsidRPr="005D68A0" w14:paraId="15FDB21E" w14:textId="77777777" w:rsidTr="004775AA">
        <w:trPr>
          <w:trHeight w:val="591"/>
          <w:tblHeader/>
          <w:jc w:val="center"/>
        </w:trPr>
        <w:tc>
          <w:tcPr>
            <w:tcW w:w="1064" w:type="dxa"/>
            <w:vMerge/>
            <w:noWrap/>
            <w:vAlign w:val="center"/>
          </w:tcPr>
          <w:p w14:paraId="4F0F4396" w14:textId="77777777" w:rsidR="0084326C" w:rsidRPr="00F33804" w:rsidRDefault="0084326C">
            <w:pPr>
              <w:jc w:val="center"/>
              <w:rPr>
                <w:rFonts w:ascii="Arial Narrow" w:hAnsi="Arial Narrow"/>
                <w:b/>
                <w:bCs/>
                <w:noProof/>
                <w:sz w:val="20"/>
                <w:szCs w:val="20"/>
              </w:rPr>
            </w:pPr>
          </w:p>
        </w:tc>
        <w:tc>
          <w:tcPr>
            <w:tcW w:w="2487" w:type="dxa"/>
            <w:vMerge/>
            <w:noWrap/>
            <w:vAlign w:val="center"/>
          </w:tcPr>
          <w:p w14:paraId="17A0A557" w14:textId="77777777" w:rsidR="0084326C" w:rsidRPr="00F33804" w:rsidRDefault="0084326C">
            <w:pPr>
              <w:jc w:val="center"/>
              <w:rPr>
                <w:rFonts w:ascii="Arial Narrow" w:hAnsi="Arial Narrow"/>
                <w:b/>
                <w:bCs/>
                <w:noProof/>
                <w:sz w:val="20"/>
                <w:szCs w:val="20"/>
              </w:rPr>
            </w:pPr>
          </w:p>
        </w:tc>
        <w:tc>
          <w:tcPr>
            <w:tcW w:w="900" w:type="dxa"/>
            <w:vMerge/>
            <w:noWrap/>
            <w:vAlign w:val="center"/>
          </w:tcPr>
          <w:p w14:paraId="08F3B7E7" w14:textId="77777777" w:rsidR="0084326C" w:rsidRPr="00F33804" w:rsidRDefault="0084326C">
            <w:pPr>
              <w:jc w:val="center"/>
              <w:rPr>
                <w:rFonts w:ascii="Arial Narrow" w:hAnsi="Arial Narrow"/>
                <w:b/>
                <w:bCs/>
                <w:noProof/>
                <w:sz w:val="20"/>
                <w:szCs w:val="20"/>
              </w:rPr>
            </w:pPr>
          </w:p>
        </w:tc>
        <w:tc>
          <w:tcPr>
            <w:tcW w:w="2487" w:type="dxa"/>
            <w:vMerge/>
            <w:noWrap/>
            <w:vAlign w:val="center"/>
          </w:tcPr>
          <w:p w14:paraId="08E2BC5D" w14:textId="77777777" w:rsidR="0084326C" w:rsidRPr="00F33804" w:rsidRDefault="0084326C">
            <w:pPr>
              <w:jc w:val="center"/>
              <w:rPr>
                <w:rFonts w:ascii="Arial Narrow" w:hAnsi="Arial Narrow"/>
                <w:b/>
                <w:bCs/>
                <w:noProof/>
                <w:sz w:val="20"/>
                <w:szCs w:val="20"/>
              </w:rPr>
            </w:pPr>
          </w:p>
        </w:tc>
        <w:tc>
          <w:tcPr>
            <w:tcW w:w="1684" w:type="dxa"/>
            <w:vMerge/>
            <w:noWrap/>
            <w:vAlign w:val="center"/>
          </w:tcPr>
          <w:p w14:paraId="7D60EC09" w14:textId="77777777" w:rsidR="0084326C" w:rsidRPr="00F33804" w:rsidRDefault="0084326C">
            <w:pPr>
              <w:jc w:val="center"/>
              <w:rPr>
                <w:rFonts w:ascii="Arial Narrow" w:hAnsi="Arial Narrow"/>
                <w:b/>
                <w:bCs/>
                <w:noProof/>
                <w:sz w:val="20"/>
                <w:szCs w:val="20"/>
              </w:rPr>
            </w:pPr>
          </w:p>
        </w:tc>
        <w:tc>
          <w:tcPr>
            <w:tcW w:w="1094" w:type="dxa"/>
            <w:shd w:val="clear" w:color="auto" w:fill="B4C6E7" w:themeFill="accent1" w:themeFillTint="66"/>
            <w:noWrap/>
            <w:vAlign w:val="center"/>
          </w:tcPr>
          <w:p w14:paraId="0A4C1494" w14:textId="77777777" w:rsidR="0084326C" w:rsidRPr="005D68A0" w:rsidRDefault="0084326C">
            <w:pPr>
              <w:jc w:val="center"/>
              <w:rPr>
                <w:rFonts w:ascii="Arial Narrow" w:hAnsi="Arial Narrow"/>
                <w:b/>
                <w:bCs/>
                <w:noProof/>
                <w:sz w:val="20"/>
                <w:szCs w:val="20"/>
              </w:rPr>
            </w:pPr>
            <w:r>
              <w:rPr>
                <w:rFonts w:ascii="Arial Narrow" w:hAnsi="Arial Narrow"/>
                <w:b/>
                <w:noProof/>
                <w:sz w:val="20"/>
              </w:rPr>
              <w:t>Mõõtühik</w:t>
            </w:r>
          </w:p>
        </w:tc>
        <w:tc>
          <w:tcPr>
            <w:tcW w:w="982" w:type="dxa"/>
            <w:shd w:val="clear" w:color="auto" w:fill="B4C6E7" w:themeFill="accent1" w:themeFillTint="66"/>
            <w:vAlign w:val="center"/>
          </w:tcPr>
          <w:p w14:paraId="23BE1642" w14:textId="77777777" w:rsidR="0084326C" w:rsidRPr="005D68A0" w:rsidRDefault="0084326C">
            <w:pPr>
              <w:jc w:val="center"/>
              <w:rPr>
                <w:rFonts w:ascii="Arial Narrow" w:hAnsi="Arial Narrow"/>
                <w:b/>
                <w:bCs/>
                <w:noProof/>
                <w:sz w:val="20"/>
                <w:szCs w:val="20"/>
              </w:rPr>
            </w:pPr>
            <w:r>
              <w:rPr>
                <w:rFonts w:ascii="Arial Narrow" w:hAnsi="Arial Narrow"/>
                <w:b/>
                <w:noProof/>
                <w:sz w:val="20"/>
              </w:rPr>
              <w:t>Lähtetase</w:t>
            </w:r>
          </w:p>
        </w:tc>
        <w:tc>
          <w:tcPr>
            <w:tcW w:w="1046" w:type="dxa"/>
            <w:shd w:val="clear" w:color="auto" w:fill="B4C6E7" w:themeFill="accent1" w:themeFillTint="66"/>
            <w:vAlign w:val="center"/>
          </w:tcPr>
          <w:p w14:paraId="4E68A70F" w14:textId="77777777" w:rsidR="0084326C" w:rsidRPr="005D68A0" w:rsidRDefault="0084326C">
            <w:pPr>
              <w:jc w:val="center"/>
              <w:rPr>
                <w:rFonts w:ascii="Arial Narrow" w:hAnsi="Arial Narrow"/>
                <w:b/>
                <w:bCs/>
                <w:noProof/>
                <w:sz w:val="20"/>
                <w:szCs w:val="20"/>
              </w:rPr>
            </w:pPr>
            <w:r>
              <w:rPr>
                <w:rFonts w:ascii="Arial Narrow" w:hAnsi="Arial Narrow"/>
                <w:b/>
                <w:noProof/>
                <w:sz w:val="20"/>
              </w:rPr>
              <w:t>Eesmärk</w:t>
            </w:r>
          </w:p>
        </w:tc>
        <w:tc>
          <w:tcPr>
            <w:tcW w:w="772" w:type="dxa"/>
            <w:shd w:val="clear" w:color="auto" w:fill="B4C6E7" w:themeFill="accent1" w:themeFillTint="66"/>
            <w:noWrap/>
            <w:vAlign w:val="center"/>
          </w:tcPr>
          <w:p w14:paraId="1FDDD66C" w14:textId="77777777" w:rsidR="0084326C" w:rsidRPr="005D68A0" w:rsidRDefault="0084326C">
            <w:pPr>
              <w:jc w:val="center"/>
              <w:rPr>
                <w:rFonts w:ascii="Arial Narrow" w:hAnsi="Arial Narrow"/>
                <w:noProof/>
                <w:sz w:val="20"/>
                <w:szCs w:val="20"/>
              </w:rPr>
            </w:pPr>
            <w:r>
              <w:rPr>
                <w:rFonts w:ascii="Arial Narrow" w:hAnsi="Arial Narrow"/>
                <w:b/>
                <w:noProof/>
                <w:sz w:val="20"/>
              </w:rPr>
              <w:t>Kvartal</w:t>
            </w:r>
          </w:p>
        </w:tc>
        <w:tc>
          <w:tcPr>
            <w:tcW w:w="663" w:type="dxa"/>
            <w:shd w:val="clear" w:color="auto" w:fill="B4C6E7" w:themeFill="accent1" w:themeFillTint="66"/>
            <w:vAlign w:val="center"/>
          </w:tcPr>
          <w:p w14:paraId="1C77BD43" w14:textId="77777777" w:rsidR="0084326C" w:rsidRPr="005D68A0" w:rsidRDefault="0084326C">
            <w:pPr>
              <w:jc w:val="center"/>
              <w:rPr>
                <w:rFonts w:ascii="Arial Narrow" w:hAnsi="Arial Narrow"/>
                <w:noProof/>
                <w:sz w:val="20"/>
                <w:szCs w:val="20"/>
              </w:rPr>
            </w:pPr>
            <w:r>
              <w:rPr>
                <w:rFonts w:ascii="Arial Narrow" w:hAnsi="Arial Narrow"/>
                <w:b/>
                <w:noProof/>
                <w:sz w:val="20"/>
              </w:rPr>
              <w:t>Aasta</w:t>
            </w:r>
          </w:p>
        </w:tc>
        <w:tc>
          <w:tcPr>
            <w:tcW w:w="3401" w:type="dxa"/>
            <w:vMerge/>
            <w:noWrap/>
            <w:vAlign w:val="center"/>
          </w:tcPr>
          <w:p w14:paraId="38A46684" w14:textId="77777777" w:rsidR="0084326C" w:rsidRPr="005D68A0" w:rsidRDefault="0084326C">
            <w:pPr>
              <w:rPr>
                <w:rFonts w:ascii="Arial Narrow" w:hAnsi="Arial Narrow"/>
                <w:noProof/>
                <w:sz w:val="20"/>
                <w:szCs w:val="20"/>
                <w:lang w:val="en-GB"/>
              </w:rPr>
            </w:pPr>
          </w:p>
        </w:tc>
      </w:tr>
      <w:tr w:rsidR="004775AA" w:rsidRPr="00D90835" w14:paraId="605BB874" w14:textId="77777777" w:rsidTr="004775AA">
        <w:trPr>
          <w:trHeight w:val="313"/>
          <w:jc w:val="center"/>
        </w:trPr>
        <w:tc>
          <w:tcPr>
            <w:tcW w:w="1064" w:type="dxa"/>
            <w:shd w:val="clear" w:color="auto" w:fill="C6EFCE"/>
            <w:noWrap/>
            <w:vAlign w:val="center"/>
          </w:tcPr>
          <w:p w14:paraId="40A6EC69" w14:textId="77777777" w:rsidR="0084326C" w:rsidRPr="005D68A0" w:rsidRDefault="0084326C">
            <w:pPr>
              <w:spacing w:line="276" w:lineRule="auto"/>
              <w:jc w:val="center"/>
              <w:rPr>
                <w:rFonts w:ascii="Arial Narrow" w:hAnsi="Arial Narrow"/>
                <w:noProof/>
                <w:color w:val="006100"/>
                <w:sz w:val="20"/>
              </w:rPr>
            </w:pPr>
            <w:r>
              <w:rPr>
                <w:rFonts w:ascii="Arial Narrow" w:hAnsi="Arial Narrow"/>
                <w:noProof/>
                <w:color w:val="006100"/>
                <w:sz w:val="20"/>
              </w:rPr>
              <w:t>M2C4-6</w:t>
            </w:r>
          </w:p>
        </w:tc>
        <w:tc>
          <w:tcPr>
            <w:tcW w:w="2487" w:type="dxa"/>
            <w:shd w:val="clear" w:color="auto" w:fill="C6EFCE"/>
            <w:noWrap/>
            <w:vAlign w:val="center"/>
          </w:tcPr>
          <w:p w14:paraId="5EC844DF" w14:textId="77777777" w:rsidR="0084326C" w:rsidRPr="005D68A0" w:rsidRDefault="0084326C">
            <w:pPr>
              <w:spacing w:line="276" w:lineRule="auto"/>
              <w:jc w:val="center"/>
              <w:rPr>
                <w:rFonts w:ascii="Arial Narrow" w:hAnsi="Arial Narrow"/>
                <w:noProof/>
                <w:color w:val="006100"/>
                <w:sz w:val="20"/>
              </w:rPr>
            </w:pPr>
            <w:r>
              <w:rPr>
                <w:rFonts w:ascii="Arial Narrow" w:hAnsi="Arial Narrow"/>
                <w:noProof/>
                <w:color w:val="006100"/>
                <w:sz w:val="20"/>
              </w:rPr>
              <w:t>Investeering 3.2. Rahvusparkide digiteerimine</w:t>
            </w:r>
          </w:p>
        </w:tc>
        <w:tc>
          <w:tcPr>
            <w:tcW w:w="900" w:type="dxa"/>
            <w:shd w:val="clear" w:color="auto" w:fill="C6EFCE"/>
            <w:noWrap/>
            <w:vAlign w:val="center"/>
          </w:tcPr>
          <w:p w14:paraId="4406F8DA" w14:textId="77777777" w:rsidR="0084326C" w:rsidRPr="005D68A0" w:rsidRDefault="0084326C">
            <w:pPr>
              <w:spacing w:line="276" w:lineRule="auto"/>
              <w:jc w:val="center"/>
              <w:rPr>
                <w:rFonts w:ascii="Arial Narrow" w:hAnsi="Arial Narrow"/>
                <w:noProof/>
                <w:color w:val="006100"/>
                <w:sz w:val="20"/>
              </w:rPr>
            </w:pPr>
            <w:r>
              <w:rPr>
                <w:rFonts w:ascii="Arial Narrow" w:hAnsi="Arial Narrow"/>
                <w:noProof/>
                <w:color w:val="006100"/>
                <w:sz w:val="20"/>
              </w:rPr>
              <w:t>Siht</w:t>
            </w:r>
          </w:p>
        </w:tc>
        <w:tc>
          <w:tcPr>
            <w:tcW w:w="2487" w:type="dxa"/>
            <w:shd w:val="clear" w:color="auto" w:fill="C6EFCE"/>
            <w:noWrap/>
            <w:vAlign w:val="center"/>
          </w:tcPr>
          <w:p w14:paraId="5A8594DE" w14:textId="77777777" w:rsidR="0084326C" w:rsidRPr="005D68A0" w:rsidRDefault="0084326C">
            <w:pPr>
              <w:spacing w:line="276" w:lineRule="auto"/>
              <w:jc w:val="center"/>
              <w:rPr>
                <w:rFonts w:ascii="Arial Narrow" w:hAnsi="Arial Narrow"/>
                <w:noProof/>
                <w:color w:val="006100"/>
                <w:sz w:val="20"/>
              </w:rPr>
            </w:pPr>
            <w:r>
              <w:rPr>
                <w:rFonts w:ascii="Arial Narrow" w:hAnsi="Arial Narrow"/>
                <w:noProof/>
                <w:color w:val="006100"/>
                <w:sz w:val="20"/>
              </w:rPr>
              <w:t>Rahvusparkide ja merekaitsealade külastajatele pakutavate digitaalsete teenuste haldamise lihtsustamine ja arendamine</w:t>
            </w:r>
          </w:p>
        </w:tc>
        <w:tc>
          <w:tcPr>
            <w:tcW w:w="1684" w:type="dxa"/>
            <w:shd w:val="clear" w:color="auto" w:fill="C6EFCE"/>
            <w:noWrap/>
            <w:vAlign w:val="center"/>
          </w:tcPr>
          <w:p w14:paraId="51ACE20A" w14:textId="77777777" w:rsidR="0084326C" w:rsidRPr="005D68A0" w:rsidRDefault="0084326C">
            <w:pPr>
              <w:spacing w:line="276" w:lineRule="auto"/>
              <w:jc w:val="center"/>
              <w:rPr>
                <w:rFonts w:ascii="Arial Narrow" w:hAnsi="Arial Narrow"/>
                <w:noProof/>
                <w:color w:val="006100"/>
                <w:sz w:val="20"/>
              </w:rPr>
            </w:pPr>
            <w:r>
              <w:rPr>
                <w:rFonts w:ascii="Arial Narrow" w:hAnsi="Arial Narrow"/>
                <w:noProof/>
                <w:color w:val="006100"/>
                <w:sz w:val="20"/>
              </w:rPr>
              <w:t>Ei kohaldata</w:t>
            </w:r>
          </w:p>
        </w:tc>
        <w:tc>
          <w:tcPr>
            <w:tcW w:w="1094" w:type="dxa"/>
            <w:shd w:val="clear" w:color="auto" w:fill="C6EFCE"/>
            <w:noWrap/>
            <w:vAlign w:val="center"/>
          </w:tcPr>
          <w:p w14:paraId="706867DB" w14:textId="77777777" w:rsidR="0084326C" w:rsidRPr="005D68A0" w:rsidRDefault="0084326C">
            <w:pPr>
              <w:spacing w:line="276" w:lineRule="auto"/>
              <w:jc w:val="center"/>
              <w:rPr>
                <w:rFonts w:ascii="Arial Narrow" w:hAnsi="Arial Narrow"/>
                <w:noProof/>
                <w:color w:val="006100"/>
                <w:sz w:val="20"/>
              </w:rPr>
            </w:pPr>
            <w:r>
              <w:rPr>
                <w:rFonts w:ascii="Arial Narrow" w:hAnsi="Arial Narrow"/>
                <w:noProof/>
                <w:color w:val="006100"/>
                <w:sz w:val="20"/>
              </w:rPr>
              <w:t>Protsent</w:t>
            </w:r>
          </w:p>
        </w:tc>
        <w:tc>
          <w:tcPr>
            <w:tcW w:w="982" w:type="dxa"/>
            <w:shd w:val="clear" w:color="auto" w:fill="C6EFCE"/>
            <w:noWrap/>
            <w:vAlign w:val="center"/>
          </w:tcPr>
          <w:p w14:paraId="70652EAC" w14:textId="77777777" w:rsidR="0084326C" w:rsidRPr="005D68A0" w:rsidRDefault="0084326C">
            <w:pPr>
              <w:spacing w:line="276" w:lineRule="auto"/>
              <w:jc w:val="center"/>
              <w:rPr>
                <w:rFonts w:ascii="Arial Narrow" w:hAnsi="Arial Narrow"/>
                <w:noProof/>
                <w:color w:val="006100"/>
                <w:sz w:val="20"/>
              </w:rPr>
            </w:pPr>
            <w:r>
              <w:rPr>
                <w:rFonts w:ascii="Arial Narrow" w:hAnsi="Arial Narrow"/>
                <w:noProof/>
                <w:color w:val="006100"/>
                <w:sz w:val="20"/>
              </w:rPr>
              <w:t>0</w:t>
            </w:r>
          </w:p>
        </w:tc>
        <w:tc>
          <w:tcPr>
            <w:tcW w:w="1046" w:type="dxa"/>
            <w:shd w:val="clear" w:color="auto" w:fill="C6EFCE"/>
            <w:noWrap/>
            <w:vAlign w:val="center"/>
          </w:tcPr>
          <w:p w14:paraId="74BC6EE6" w14:textId="77777777" w:rsidR="0084326C" w:rsidRPr="005D68A0" w:rsidRDefault="0084326C">
            <w:pPr>
              <w:spacing w:line="276" w:lineRule="auto"/>
              <w:jc w:val="center"/>
              <w:rPr>
                <w:rFonts w:ascii="Arial Narrow" w:hAnsi="Arial Narrow"/>
                <w:noProof/>
                <w:color w:val="006100"/>
                <w:sz w:val="20"/>
              </w:rPr>
            </w:pPr>
            <w:r>
              <w:rPr>
                <w:rFonts w:ascii="Arial Narrow" w:hAnsi="Arial Narrow"/>
                <w:noProof/>
                <w:color w:val="006100"/>
                <w:sz w:val="20"/>
              </w:rPr>
              <w:t>70</w:t>
            </w:r>
          </w:p>
        </w:tc>
        <w:tc>
          <w:tcPr>
            <w:tcW w:w="772" w:type="dxa"/>
            <w:shd w:val="clear" w:color="auto" w:fill="C6EFCE"/>
            <w:noWrap/>
            <w:vAlign w:val="center"/>
          </w:tcPr>
          <w:p w14:paraId="7BF7557A" w14:textId="77777777" w:rsidR="0084326C" w:rsidRPr="005D68A0" w:rsidRDefault="0084326C">
            <w:pPr>
              <w:spacing w:line="276" w:lineRule="auto"/>
              <w:jc w:val="center"/>
              <w:rPr>
                <w:rFonts w:ascii="Arial Narrow" w:hAnsi="Arial Narrow"/>
                <w:noProof/>
                <w:color w:val="006100"/>
                <w:sz w:val="20"/>
              </w:rPr>
            </w:pPr>
            <w:r>
              <w:rPr>
                <w:rFonts w:ascii="Arial Narrow" w:hAnsi="Arial Narrow"/>
                <w:noProof/>
                <w:color w:val="006100"/>
                <w:sz w:val="20"/>
              </w:rPr>
              <w:t>2. kv</w:t>
            </w:r>
          </w:p>
        </w:tc>
        <w:tc>
          <w:tcPr>
            <w:tcW w:w="663" w:type="dxa"/>
            <w:shd w:val="clear" w:color="auto" w:fill="C6EFCE"/>
            <w:noWrap/>
            <w:vAlign w:val="center"/>
          </w:tcPr>
          <w:p w14:paraId="5A972720" w14:textId="77777777" w:rsidR="0084326C" w:rsidRPr="005D68A0" w:rsidRDefault="0084326C">
            <w:pPr>
              <w:spacing w:line="276" w:lineRule="auto"/>
              <w:jc w:val="center"/>
              <w:rPr>
                <w:rFonts w:ascii="Arial Narrow" w:hAnsi="Arial Narrow"/>
                <w:noProof/>
                <w:color w:val="006100"/>
                <w:sz w:val="20"/>
              </w:rPr>
            </w:pPr>
            <w:r>
              <w:rPr>
                <w:rFonts w:ascii="Arial Narrow" w:hAnsi="Arial Narrow"/>
                <w:noProof/>
                <w:color w:val="006100"/>
                <w:sz w:val="20"/>
              </w:rPr>
              <w:t>2024</w:t>
            </w:r>
          </w:p>
        </w:tc>
        <w:tc>
          <w:tcPr>
            <w:tcW w:w="3401" w:type="dxa"/>
            <w:shd w:val="clear" w:color="auto" w:fill="C6EFCE"/>
            <w:noWrap/>
            <w:vAlign w:val="center"/>
          </w:tcPr>
          <w:p w14:paraId="73C4CF90" w14:textId="77777777" w:rsidR="0084326C" w:rsidRPr="005D68A0" w:rsidRDefault="0084326C">
            <w:pPr>
              <w:spacing w:line="276" w:lineRule="auto"/>
              <w:rPr>
                <w:rFonts w:ascii="Arial Narrow" w:hAnsi="Arial Narrow"/>
                <w:noProof/>
                <w:color w:val="006100"/>
                <w:sz w:val="20"/>
              </w:rPr>
            </w:pPr>
            <w:r>
              <w:rPr>
                <w:rFonts w:ascii="Arial Narrow" w:hAnsi="Arial Narrow"/>
                <w:noProof/>
                <w:color w:val="006100"/>
                <w:sz w:val="20"/>
              </w:rPr>
              <w:t>Vähemalt 70 % rahvusparkidest ja merekaitsealadest on välja töötanud digitaalteenused rahvusparkide ja merekaitsealade külastajatele (vähemalt kaks neist: ühendus portaaliga Naturitalia.IT; haldusmenetluste taotlus või säästva liikuvuse rakendus).</w:t>
            </w:r>
          </w:p>
        </w:tc>
      </w:tr>
      <w:tr w:rsidR="004775AA" w:rsidRPr="00D90835" w14:paraId="2A5785F5" w14:textId="77777777" w:rsidTr="004775AA">
        <w:trPr>
          <w:trHeight w:val="313"/>
          <w:jc w:val="center"/>
        </w:trPr>
        <w:tc>
          <w:tcPr>
            <w:tcW w:w="1064" w:type="dxa"/>
            <w:shd w:val="clear" w:color="auto" w:fill="C6EFCE"/>
            <w:noWrap/>
            <w:vAlign w:val="center"/>
            <w:hideMark/>
          </w:tcPr>
          <w:p w14:paraId="39C01EC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M2C4-7</w:t>
            </w:r>
          </w:p>
        </w:tc>
        <w:tc>
          <w:tcPr>
            <w:tcW w:w="2487" w:type="dxa"/>
            <w:shd w:val="clear" w:color="auto" w:fill="C6EFCE"/>
            <w:noWrap/>
            <w:vAlign w:val="center"/>
          </w:tcPr>
          <w:p w14:paraId="1A69433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Reform 3.1. Siseriiklike õhusaaste kontrolli programmide vastuvõtmine</w:t>
            </w:r>
          </w:p>
        </w:tc>
        <w:tc>
          <w:tcPr>
            <w:tcW w:w="900" w:type="dxa"/>
            <w:shd w:val="clear" w:color="auto" w:fill="C6EFCE"/>
            <w:noWrap/>
            <w:vAlign w:val="center"/>
            <w:hideMark/>
          </w:tcPr>
          <w:p w14:paraId="53451C3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2487" w:type="dxa"/>
            <w:shd w:val="clear" w:color="auto" w:fill="C6EFCE"/>
            <w:noWrap/>
            <w:vAlign w:val="center"/>
          </w:tcPr>
          <w:p w14:paraId="1D57D4B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Riikliku õhusaaste kontrolli programmi jõustumine</w:t>
            </w:r>
          </w:p>
        </w:tc>
        <w:tc>
          <w:tcPr>
            <w:tcW w:w="1684" w:type="dxa"/>
            <w:shd w:val="clear" w:color="auto" w:fill="C6EFCE"/>
            <w:noWrap/>
            <w:vAlign w:val="center"/>
            <w:hideMark/>
          </w:tcPr>
          <w:p w14:paraId="4D87C0C0" w14:textId="3B06C59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 xml:space="preserve">Määruse jõustumisele viitav säte </w:t>
            </w:r>
          </w:p>
        </w:tc>
        <w:tc>
          <w:tcPr>
            <w:tcW w:w="1094" w:type="dxa"/>
            <w:shd w:val="clear" w:color="auto" w:fill="C6EFCE"/>
            <w:noWrap/>
            <w:vAlign w:val="center"/>
            <w:hideMark/>
          </w:tcPr>
          <w:p w14:paraId="6BFA6AE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82" w:type="dxa"/>
            <w:shd w:val="clear" w:color="auto" w:fill="C6EFCE"/>
            <w:noWrap/>
            <w:vAlign w:val="center"/>
          </w:tcPr>
          <w:p w14:paraId="00E40201" w14:textId="085DC07A" w:rsidR="0084326C" w:rsidRPr="005D68A0" w:rsidRDefault="004775AA">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46" w:type="dxa"/>
            <w:shd w:val="clear" w:color="auto" w:fill="C6EFCE"/>
            <w:noWrap/>
            <w:vAlign w:val="center"/>
          </w:tcPr>
          <w:p w14:paraId="462D8AF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772" w:type="dxa"/>
            <w:shd w:val="clear" w:color="auto" w:fill="C6EFCE"/>
            <w:noWrap/>
            <w:vAlign w:val="center"/>
            <w:hideMark/>
          </w:tcPr>
          <w:p w14:paraId="5C3A400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663" w:type="dxa"/>
            <w:shd w:val="clear" w:color="auto" w:fill="C6EFCE"/>
            <w:noWrap/>
            <w:vAlign w:val="center"/>
            <w:hideMark/>
          </w:tcPr>
          <w:p w14:paraId="41B7980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2021</w:t>
            </w:r>
          </w:p>
        </w:tc>
        <w:tc>
          <w:tcPr>
            <w:tcW w:w="3401" w:type="dxa"/>
            <w:shd w:val="clear" w:color="auto" w:fill="C6EFCE"/>
            <w:noWrap/>
            <w:vAlign w:val="center"/>
            <w:hideMark/>
          </w:tcPr>
          <w:p w14:paraId="3B50EB16"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Ministri dekreediga kehtestatakse riiklik õhusaaste kontrolli programm, millega kehtestatakse asjakohased meetmed õhusaaste vähendamiseks kooskõlas ELi direktiiviga 2016/2284 ja 30. mai 2018. aasta seadusandliku dekreediga nr 81, millega võetakse kõnealune direktiiv üle.</w:t>
            </w:r>
          </w:p>
        </w:tc>
      </w:tr>
      <w:tr w:rsidR="004775AA" w:rsidRPr="00D90835" w14:paraId="4D5EE277" w14:textId="77777777" w:rsidTr="004775AA">
        <w:trPr>
          <w:trHeight w:val="313"/>
          <w:jc w:val="center"/>
        </w:trPr>
        <w:tc>
          <w:tcPr>
            <w:tcW w:w="1064" w:type="dxa"/>
            <w:shd w:val="clear" w:color="auto" w:fill="C6EFCE"/>
            <w:noWrap/>
            <w:vAlign w:val="center"/>
            <w:hideMark/>
          </w:tcPr>
          <w:p w14:paraId="7ABACF1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M2C4-8</w:t>
            </w:r>
          </w:p>
        </w:tc>
        <w:tc>
          <w:tcPr>
            <w:tcW w:w="2487" w:type="dxa"/>
            <w:shd w:val="clear" w:color="auto" w:fill="C6EFCE"/>
            <w:noWrap/>
            <w:vAlign w:val="center"/>
          </w:tcPr>
          <w:p w14:paraId="6BA84D7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1.1. Täiustatud ja integreeritud seire- ja prognoosisüsteemi rakendamine</w:t>
            </w:r>
          </w:p>
        </w:tc>
        <w:tc>
          <w:tcPr>
            <w:tcW w:w="900" w:type="dxa"/>
            <w:shd w:val="clear" w:color="auto" w:fill="C6EFCE"/>
            <w:noWrap/>
            <w:vAlign w:val="center"/>
            <w:hideMark/>
          </w:tcPr>
          <w:p w14:paraId="32B0EEC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2487" w:type="dxa"/>
            <w:shd w:val="clear" w:color="auto" w:fill="C6EFCE"/>
            <w:noWrap/>
            <w:vAlign w:val="center"/>
          </w:tcPr>
          <w:p w14:paraId="48C6123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Täiustatud ja integreeritud seire- ja prognoosisüsteemi tegevuskava hüdroloogiliste riskide kindlakstegemiseks</w:t>
            </w:r>
          </w:p>
        </w:tc>
        <w:tc>
          <w:tcPr>
            <w:tcW w:w="1684" w:type="dxa"/>
            <w:shd w:val="clear" w:color="auto" w:fill="C6EFCE"/>
            <w:noWrap/>
            <w:vAlign w:val="center"/>
            <w:hideMark/>
          </w:tcPr>
          <w:p w14:paraId="71B525A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Ministri määruse jõustumisele viitav säte</w:t>
            </w:r>
          </w:p>
        </w:tc>
        <w:tc>
          <w:tcPr>
            <w:tcW w:w="1094" w:type="dxa"/>
            <w:shd w:val="clear" w:color="auto" w:fill="C6EFCE"/>
            <w:noWrap/>
            <w:vAlign w:val="center"/>
            <w:hideMark/>
          </w:tcPr>
          <w:p w14:paraId="4D72BD4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82" w:type="dxa"/>
            <w:shd w:val="clear" w:color="auto" w:fill="C6EFCE"/>
            <w:noWrap/>
            <w:vAlign w:val="center"/>
          </w:tcPr>
          <w:p w14:paraId="45D3400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46" w:type="dxa"/>
            <w:shd w:val="clear" w:color="auto" w:fill="C6EFCE"/>
            <w:noWrap/>
            <w:vAlign w:val="center"/>
          </w:tcPr>
          <w:p w14:paraId="544B349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772" w:type="dxa"/>
            <w:shd w:val="clear" w:color="auto" w:fill="C6EFCE"/>
            <w:noWrap/>
            <w:vAlign w:val="center"/>
            <w:hideMark/>
          </w:tcPr>
          <w:p w14:paraId="642D509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3. kv</w:t>
            </w:r>
          </w:p>
        </w:tc>
        <w:tc>
          <w:tcPr>
            <w:tcW w:w="663" w:type="dxa"/>
            <w:shd w:val="clear" w:color="auto" w:fill="C6EFCE"/>
            <w:noWrap/>
            <w:vAlign w:val="center"/>
            <w:hideMark/>
          </w:tcPr>
          <w:p w14:paraId="397A3CA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2021</w:t>
            </w:r>
          </w:p>
        </w:tc>
        <w:tc>
          <w:tcPr>
            <w:tcW w:w="3401" w:type="dxa"/>
            <w:shd w:val="clear" w:color="auto" w:fill="C6EFCE"/>
            <w:noWrap/>
            <w:vAlign w:val="center"/>
            <w:hideMark/>
          </w:tcPr>
          <w:p w14:paraId="21758D30"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Ministri käskkirjaga kiidetakse heaks tegevuskava täiustatud ja integreeritud seire- ja prognoosimissüsteemi rakendamiseks, et teha kindlaks hüdroloogilised riskid. See peab sisaldama vähemalt järgmist:</w:t>
            </w:r>
          </w:p>
          <w:p w14:paraId="35B63EF5" w14:textId="77777777" w:rsidR="0084326C" w:rsidRPr="005D68A0" w:rsidRDefault="0084326C">
            <w:pPr>
              <w:pStyle w:val="ListParagraph"/>
              <w:numPr>
                <w:ilvl w:val="0"/>
                <w:numId w:val="69"/>
              </w:numPr>
              <w:spacing w:line="276" w:lineRule="auto"/>
              <w:ind w:left="424"/>
              <w:rPr>
                <w:rFonts w:ascii="Arial Narrow" w:hAnsi="Arial Narrow"/>
                <w:noProof/>
                <w:color w:val="006100"/>
                <w:sz w:val="20"/>
                <w:szCs w:val="20"/>
              </w:rPr>
            </w:pPr>
            <w:r>
              <w:rPr>
                <w:rFonts w:ascii="Arial Narrow" w:hAnsi="Arial Narrow"/>
                <w:noProof/>
                <w:color w:val="006100"/>
                <w:sz w:val="20"/>
              </w:rPr>
              <w:t>Kavandada kaugseirerakendusi ja andmevälja andureid;</w:t>
            </w:r>
          </w:p>
          <w:p w14:paraId="2B9A12A6" w14:textId="77777777" w:rsidR="0084326C" w:rsidRPr="005D68A0" w:rsidRDefault="0084326C">
            <w:pPr>
              <w:pStyle w:val="ListParagraph"/>
              <w:numPr>
                <w:ilvl w:val="0"/>
                <w:numId w:val="69"/>
              </w:numPr>
              <w:spacing w:line="276" w:lineRule="auto"/>
              <w:ind w:left="424"/>
              <w:rPr>
                <w:rFonts w:ascii="Arial Narrow" w:hAnsi="Arial Narrow"/>
                <w:noProof/>
                <w:color w:val="006100"/>
                <w:sz w:val="20"/>
                <w:szCs w:val="20"/>
              </w:rPr>
            </w:pPr>
            <w:r>
              <w:rPr>
                <w:rFonts w:ascii="Arial Narrow" w:hAnsi="Arial Narrow"/>
                <w:noProof/>
                <w:color w:val="006100"/>
                <w:sz w:val="20"/>
              </w:rPr>
              <w:t>Töötada välja sidesüsteem, mis võimaldab kontrolliruumide eri operaatorite vahelist koordineeritust ja koostalitlusvõimet.</w:t>
            </w:r>
          </w:p>
          <w:p w14:paraId="50CA3562" w14:textId="77777777" w:rsidR="0084326C" w:rsidRPr="005D68A0" w:rsidRDefault="0084326C">
            <w:pPr>
              <w:pStyle w:val="ListParagraph"/>
              <w:numPr>
                <w:ilvl w:val="0"/>
                <w:numId w:val="69"/>
              </w:numPr>
              <w:spacing w:line="276" w:lineRule="auto"/>
              <w:ind w:left="424"/>
              <w:rPr>
                <w:rFonts w:ascii="Arial Narrow" w:hAnsi="Arial Narrow"/>
                <w:noProof/>
                <w:color w:val="006100"/>
                <w:sz w:val="20"/>
                <w:szCs w:val="20"/>
              </w:rPr>
            </w:pPr>
            <w:r>
              <w:rPr>
                <w:rFonts w:ascii="Arial Narrow" w:hAnsi="Arial Narrow"/>
                <w:noProof/>
                <w:color w:val="006100"/>
                <w:sz w:val="20"/>
              </w:rPr>
              <w:t>Luua kesk- ja piirkondlikud kontrolliruumid</w:t>
            </w:r>
          </w:p>
          <w:p w14:paraId="786ECA96" w14:textId="77777777" w:rsidR="0084326C" w:rsidRPr="005D68A0" w:rsidRDefault="0084326C">
            <w:pPr>
              <w:pStyle w:val="ListParagraph"/>
              <w:numPr>
                <w:ilvl w:val="0"/>
                <w:numId w:val="69"/>
              </w:numPr>
              <w:spacing w:line="276" w:lineRule="auto"/>
              <w:ind w:left="424"/>
              <w:rPr>
                <w:rFonts w:ascii="Arial Narrow" w:hAnsi="Arial Narrow"/>
                <w:noProof/>
                <w:color w:val="006100"/>
                <w:sz w:val="20"/>
                <w:szCs w:val="20"/>
              </w:rPr>
            </w:pPr>
            <w:r>
              <w:rPr>
                <w:rFonts w:ascii="Arial Narrow" w:hAnsi="Arial Narrow"/>
                <w:noProof/>
                <w:color w:val="006100"/>
                <w:sz w:val="20"/>
              </w:rPr>
              <w:t>Küberjulgeoleku süsteemide ja teenuste arendamine</w:t>
            </w:r>
          </w:p>
        </w:tc>
      </w:tr>
      <w:tr w:rsidR="004775AA" w:rsidRPr="00D90835" w14:paraId="6AA47626" w14:textId="77777777" w:rsidTr="004775AA">
        <w:trPr>
          <w:trHeight w:val="313"/>
          <w:jc w:val="center"/>
        </w:trPr>
        <w:tc>
          <w:tcPr>
            <w:tcW w:w="1064" w:type="dxa"/>
            <w:shd w:val="clear" w:color="auto" w:fill="C6EFCE"/>
            <w:noWrap/>
            <w:vAlign w:val="center"/>
            <w:hideMark/>
          </w:tcPr>
          <w:p w14:paraId="4C22C06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M2C4-9</w:t>
            </w:r>
          </w:p>
        </w:tc>
        <w:tc>
          <w:tcPr>
            <w:tcW w:w="2487" w:type="dxa"/>
            <w:shd w:val="clear" w:color="auto" w:fill="C6EFCE"/>
            <w:noWrap/>
            <w:vAlign w:val="center"/>
          </w:tcPr>
          <w:p w14:paraId="6C3B183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1.1. Täiustatud ja integreeritud seire- ja prognoosisüsteemi rakendamine</w:t>
            </w:r>
          </w:p>
        </w:tc>
        <w:tc>
          <w:tcPr>
            <w:tcW w:w="900" w:type="dxa"/>
            <w:shd w:val="clear" w:color="auto" w:fill="C6EFCE"/>
            <w:noWrap/>
            <w:vAlign w:val="center"/>
            <w:hideMark/>
          </w:tcPr>
          <w:p w14:paraId="321CBAB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2487" w:type="dxa"/>
            <w:shd w:val="clear" w:color="auto" w:fill="C6EFCE"/>
            <w:noWrap/>
            <w:vAlign w:val="center"/>
          </w:tcPr>
          <w:p w14:paraId="1332E18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Täiustatud ja integreeritud seire- ja prognoosisüsteemi kasutuselevõtt hüdroloogiliste riskide kindlakstegemiseks</w:t>
            </w:r>
          </w:p>
        </w:tc>
        <w:tc>
          <w:tcPr>
            <w:tcW w:w="1684" w:type="dxa"/>
            <w:shd w:val="clear" w:color="auto" w:fill="C6EFCE"/>
            <w:noWrap/>
            <w:vAlign w:val="center"/>
            <w:hideMark/>
          </w:tcPr>
          <w:p w14:paraId="2201FD7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94" w:type="dxa"/>
            <w:shd w:val="clear" w:color="auto" w:fill="C6EFCE"/>
            <w:noWrap/>
            <w:vAlign w:val="center"/>
            <w:hideMark/>
          </w:tcPr>
          <w:p w14:paraId="41656B6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Protsent</w:t>
            </w:r>
          </w:p>
        </w:tc>
        <w:tc>
          <w:tcPr>
            <w:tcW w:w="982" w:type="dxa"/>
            <w:shd w:val="clear" w:color="auto" w:fill="C6EFCE"/>
            <w:noWrap/>
            <w:vAlign w:val="center"/>
          </w:tcPr>
          <w:p w14:paraId="6AD6894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0</w:t>
            </w:r>
          </w:p>
        </w:tc>
        <w:tc>
          <w:tcPr>
            <w:tcW w:w="1046" w:type="dxa"/>
            <w:shd w:val="clear" w:color="auto" w:fill="C6EFCE"/>
            <w:noWrap/>
            <w:vAlign w:val="center"/>
          </w:tcPr>
          <w:p w14:paraId="435DB62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90</w:t>
            </w:r>
          </w:p>
        </w:tc>
        <w:tc>
          <w:tcPr>
            <w:tcW w:w="772" w:type="dxa"/>
            <w:shd w:val="clear" w:color="auto" w:fill="C6EFCE"/>
            <w:noWrap/>
            <w:vAlign w:val="center"/>
            <w:hideMark/>
          </w:tcPr>
          <w:p w14:paraId="7D228B2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 kv</w:t>
            </w:r>
          </w:p>
        </w:tc>
        <w:tc>
          <w:tcPr>
            <w:tcW w:w="663" w:type="dxa"/>
            <w:shd w:val="clear" w:color="auto" w:fill="C6EFCE"/>
            <w:noWrap/>
            <w:vAlign w:val="center"/>
            <w:hideMark/>
          </w:tcPr>
          <w:p w14:paraId="31422B5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2025</w:t>
            </w:r>
          </w:p>
        </w:tc>
        <w:tc>
          <w:tcPr>
            <w:tcW w:w="3401" w:type="dxa"/>
            <w:shd w:val="clear" w:color="auto" w:fill="C6EFCE"/>
            <w:noWrap/>
            <w:vAlign w:val="center"/>
            <w:hideMark/>
          </w:tcPr>
          <w:p w14:paraId="52859B52"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90 % lõunapoolsete piirkondade pindalast peab olema kaetud täiustatud ja integreeritud seire- ja prognoosimissüsteemiga, et teha kindlaks hüdroloogilised riskid.</w:t>
            </w:r>
          </w:p>
        </w:tc>
      </w:tr>
      <w:tr w:rsidR="004775AA" w:rsidRPr="00D90835" w14:paraId="007641DE" w14:textId="77777777" w:rsidTr="004775AA">
        <w:trPr>
          <w:trHeight w:val="313"/>
          <w:jc w:val="center"/>
        </w:trPr>
        <w:tc>
          <w:tcPr>
            <w:tcW w:w="1064" w:type="dxa"/>
            <w:shd w:val="clear" w:color="auto" w:fill="C6EFCE"/>
            <w:noWrap/>
            <w:vAlign w:val="center"/>
          </w:tcPr>
          <w:p w14:paraId="4255761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M2C4-11</w:t>
            </w:r>
          </w:p>
        </w:tc>
        <w:tc>
          <w:tcPr>
            <w:tcW w:w="2487" w:type="dxa"/>
            <w:shd w:val="clear" w:color="auto" w:fill="C6EFCE"/>
            <w:noWrap/>
            <w:vAlign w:val="center"/>
          </w:tcPr>
          <w:p w14:paraId="639FDB2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2.1.a. Üleujutus- ja hüdrogeoloogilise ohu vähendamise meetmed – sekkumised Emilia Romagnas, Toscanas ja Marches</w:t>
            </w:r>
          </w:p>
        </w:tc>
        <w:tc>
          <w:tcPr>
            <w:tcW w:w="900" w:type="dxa"/>
            <w:shd w:val="clear" w:color="auto" w:fill="C6EFCE"/>
            <w:noWrap/>
            <w:vAlign w:val="center"/>
          </w:tcPr>
          <w:p w14:paraId="06A6FA4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2487" w:type="dxa"/>
            <w:shd w:val="clear" w:color="auto" w:fill="C6EFCE"/>
            <w:noWrap/>
            <w:vAlign w:val="center"/>
          </w:tcPr>
          <w:p w14:paraId="4EDC357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Sekkumise kindlaksmääramine hädaolukorra voliniku määruse(te)ga</w:t>
            </w:r>
          </w:p>
        </w:tc>
        <w:tc>
          <w:tcPr>
            <w:tcW w:w="1684" w:type="dxa"/>
            <w:shd w:val="clear" w:color="auto" w:fill="C6EFCE"/>
            <w:noWrap/>
            <w:vAlign w:val="center"/>
          </w:tcPr>
          <w:p w14:paraId="70FC98A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Erivoliniku määrus (määrused)</w:t>
            </w:r>
          </w:p>
        </w:tc>
        <w:tc>
          <w:tcPr>
            <w:tcW w:w="1094" w:type="dxa"/>
            <w:shd w:val="clear" w:color="auto" w:fill="C6EFCE"/>
            <w:noWrap/>
            <w:vAlign w:val="center"/>
          </w:tcPr>
          <w:p w14:paraId="2579513B" w14:textId="77777777" w:rsidR="0084326C" w:rsidRPr="005D68A0" w:rsidRDefault="0084326C">
            <w:pPr>
              <w:spacing w:line="276" w:lineRule="auto"/>
              <w:jc w:val="center"/>
              <w:rPr>
                <w:rFonts w:ascii="Arial Narrow" w:hAnsi="Arial Narrow"/>
                <w:noProof/>
                <w:color w:val="006100"/>
                <w:sz w:val="20"/>
                <w:szCs w:val="20"/>
                <w:lang w:val="en-GB"/>
              </w:rPr>
            </w:pPr>
          </w:p>
        </w:tc>
        <w:tc>
          <w:tcPr>
            <w:tcW w:w="982" w:type="dxa"/>
            <w:shd w:val="clear" w:color="auto" w:fill="C6EFCE"/>
            <w:noWrap/>
            <w:vAlign w:val="center"/>
          </w:tcPr>
          <w:p w14:paraId="3A2E0300" w14:textId="77777777" w:rsidR="0084326C" w:rsidRPr="005D68A0" w:rsidRDefault="0084326C">
            <w:pPr>
              <w:spacing w:line="276" w:lineRule="auto"/>
              <w:jc w:val="center"/>
              <w:rPr>
                <w:rFonts w:ascii="Arial Narrow" w:hAnsi="Arial Narrow"/>
                <w:noProof/>
                <w:color w:val="006100"/>
                <w:sz w:val="20"/>
                <w:szCs w:val="20"/>
                <w:lang w:val="en-GB"/>
              </w:rPr>
            </w:pPr>
          </w:p>
        </w:tc>
        <w:tc>
          <w:tcPr>
            <w:tcW w:w="1046" w:type="dxa"/>
            <w:shd w:val="clear" w:color="auto" w:fill="C6EFCE"/>
            <w:noWrap/>
            <w:vAlign w:val="center"/>
          </w:tcPr>
          <w:p w14:paraId="1235E42E" w14:textId="77777777" w:rsidR="0084326C" w:rsidRPr="005D68A0" w:rsidRDefault="0084326C">
            <w:pPr>
              <w:spacing w:line="276" w:lineRule="auto"/>
              <w:jc w:val="center"/>
              <w:rPr>
                <w:rFonts w:ascii="Arial Narrow" w:hAnsi="Arial Narrow"/>
                <w:noProof/>
                <w:color w:val="006100"/>
                <w:sz w:val="20"/>
                <w:szCs w:val="20"/>
                <w:lang w:val="en-GB"/>
              </w:rPr>
            </w:pPr>
          </w:p>
        </w:tc>
        <w:tc>
          <w:tcPr>
            <w:tcW w:w="772" w:type="dxa"/>
            <w:shd w:val="clear" w:color="auto" w:fill="C6EFCE"/>
            <w:noWrap/>
            <w:vAlign w:val="center"/>
          </w:tcPr>
          <w:p w14:paraId="387F6FA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3. kv</w:t>
            </w:r>
          </w:p>
        </w:tc>
        <w:tc>
          <w:tcPr>
            <w:tcW w:w="663" w:type="dxa"/>
            <w:shd w:val="clear" w:color="auto" w:fill="C6EFCE"/>
            <w:noWrap/>
            <w:vAlign w:val="center"/>
          </w:tcPr>
          <w:p w14:paraId="0BEA792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2024</w:t>
            </w:r>
          </w:p>
        </w:tc>
        <w:tc>
          <w:tcPr>
            <w:tcW w:w="3401" w:type="dxa"/>
            <w:shd w:val="clear" w:color="auto" w:fill="C6EFCE"/>
            <w:noWrap/>
            <w:vAlign w:val="center"/>
          </w:tcPr>
          <w:p w14:paraId="3D36F588" w14:textId="2E2C9853" w:rsidR="0084326C" w:rsidRPr="005D68A0" w:rsidRDefault="0084326C" w:rsidP="00AA3FE3">
            <w:pPr>
              <w:rPr>
                <w:rFonts w:ascii="Arial Narrow" w:hAnsi="Arial Narrow"/>
                <w:noProof/>
                <w:color w:val="006100"/>
                <w:sz w:val="20"/>
                <w:szCs w:val="20"/>
              </w:rPr>
            </w:pPr>
            <w:r>
              <w:rPr>
                <w:rFonts w:ascii="Arial Narrow" w:hAnsi="Arial Narrow"/>
                <w:noProof/>
                <w:color w:val="006100"/>
                <w:sz w:val="20"/>
              </w:rPr>
              <w:t>Ühes või mitmes hädaolukorra voliniku määruses määratakse kindlaks veeteede taastamiseks ja kaitse suurendamiseks üleujutuste ja maalihete eest võetavate meetmete täpne loetelu, üldkasutatavate hoonete, sealhulgas elamute ja tervisekeskuste taastamiseks võetavad meetmed ning taastatava transpordivõrgu kilomeetrite koguarv. Sekkumiste koguväärtus on vähemalt 1,2 miljardit eurot.</w:t>
            </w:r>
          </w:p>
        </w:tc>
      </w:tr>
      <w:tr w:rsidR="004775AA" w:rsidRPr="00D90835" w14:paraId="614ADE11" w14:textId="77777777" w:rsidTr="004775AA">
        <w:trPr>
          <w:trHeight w:val="313"/>
          <w:jc w:val="center"/>
        </w:trPr>
        <w:tc>
          <w:tcPr>
            <w:tcW w:w="1064" w:type="dxa"/>
            <w:shd w:val="clear" w:color="auto" w:fill="C6EFCE"/>
            <w:noWrap/>
            <w:vAlign w:val="center"/>
          </w:tcPr>
          <w:p w14:paraId="53C9A4D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M2C4-11bis</w:t>
            </w:r>
          </w:p>
        </w:tc>
        <w:tc>
          <w:tcPr>
            <w:tcW w:w="2487" w:type="dxa"/>
            <w:shd w:val="clear" w:color="auto" w:fill="C6EFCE"/>
            <w:noWrap/>
            <w:vAlign w:val="center"/>
          </w:tcPr>
          <w:p w14:paraId="79C6632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2.1.a. Üleujutus- ja hüdrogeoloogilise ohu vähendamise meetmed – sekkumised Emilia Romagnas, Toscanas ja Marches</w:t>
            </w:r>
          </w:p>
        </w:tc>
        <w:tc>
          <w:tcPr>
            <w:tcW w:w="900" w:type="dxa"/>
            <w:shd w:val="clear" w:color="auto" w:fill="C6EFCE"/>
            <w:noWrap/>
            <w:vAlign w:val="center"/>
          </w:tcPr>
          <w:p w14:paraId="4AD62B8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2487" w:type="dxa"/>
            <w:shd w:val="clear" w:color="auto" w:fill="C6EFCE"/>
            <w:noWrap/>
            <w:vAlign w:val="center"/>
          </w:tcPr>
          <w:p w14:paraId="154FBC0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Kõigi riigihankelepingute sõlmimine sekkumiseks Emilia-Romagnas, Toscanas ja Marches</w:t>
            </w:r>
          </w:p>
        </w:tc>
        <w:tc>
          <w:tcPr>
            <w:tcW w:w="1684" w:type="dxa"/>
            <w:shd w:val="clear" w:color="auto" w:fill="C6EFCE"/>
            <w:noWrap/>
            <w:vAlign w:val="center"/>
          </w:tcPr>
          <w:p w14:paraId="2EECE29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Kõikide riigihankelepingute sõlmimisest teatamine.</w:t>
            </w:r>
          </w:p>
        </w:tc>
        <w:tc>
          <w:tcPr>
            <w:tcW w:w="1094" w:type="dxa"/>
            <w:shd w:val="clear" w:color="auto" w:fill="C6EFCE"/>
            <w:noWrap/>
            <w:vAlign w:val="center"/>
          </w:tcPr>
          <w:p w14:paraId="50BD550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982" w:type="dxa"/>
            <w:shd w:val="clear" w:color="auto" w:fill="C6EFCE"/>
            <w:noWrap/>
            <w:vAlign w:val="center"/>
          </w:tcPr>
          <w:p w14:paraId="0A72F04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046" w:type="dxa"/>
            <w:shd w:val="clear" w:color="auto" w:fill="C6EFCE"/>
            <w:noWrap/>
            <w:vAlign w:val="center"/>
          </w:tcPr>
          <w:p w14:paraId="76781F9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772" w:type="dxa"/>
            <w:shd w:val="clear" w:color="auto" w:fill="C6EFCE"/>
            <w:noWrap/>
            <w:vAlign w:val="center"/>
          </w:tcPr>
          <w:p w14:paraId="795FE6B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663" w:type="dxa"/>
            <w:shd w:val="clear" w:color="auto" w:fill="C6EFCE"/>
            <w:noWrap/>
            <w:vAlign w:val="center"/>
          </w:tcPr>
          <w:p w14:paraId="6F233A8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2025</w:t>
            </w:r>
          </w:p>
        </w:tc>
        <w:tc>
          <w:tcPr>
            <w:tcW w:w="3401" w:type="dxa"/>
            <w:shd w:val="clear" w:color="auto" w:fill="C6EFCE"/>
            <w:noWrap/>
            <w:vAlign w:val="center"/>
          </w:tcPr>
          <w:p w14:paraId="3588EF23"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Kõigi riigihankelepingute sõlmimisest teatamine, et sekkuda riskijuhtimisse ja hüdrogeoloogiliste riskide vähendamisse. Konkursikutsete koguväärtus on vähemalt 1,2 miljardit eurot.</w:t>
            </w:r>
          </w:p>
        </w:tc>
      </w:tr>
      <w:tr w:rsidR="004775AA" w:rsidRPr="00D90835" w14:paraId="40DE6CC4" w14:textId="77777777" w:rsidTr="004775AA">
        <w:trPr>
          <w:trHeight w:val="313"/>
          <w:jc w:val="center"/>
        </w:trPr>
        <w:tc>
          <w:tcPr>
            <w:tcW w:w="1064" w:type="dxa"/>
            <w:shd w:val="clear" w:color="auto" w:fill="C6EFCE"/>
            <w:noWrap/>
            <w:vAlign w:val="center"/>
          </w:tcPr>
          <w:p w14:paraId="10360F8A"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M2C4-11ter</w:t>
            </w:r>
          </w:p>
        </w:tc>
        <w:tc>
          <w:tcPr>
            <w:tcW w:w="2487" w:type="dxa"/>
            <w:shd w:val="clear" w:color="auto" w:fill="C6EFCE"/>
            <w:noWrap/>
            <w:vAlign w:val="center"/>
          </w:tcPr>
          <w:p w14:paraId="04FEE10D" w14:textId="77777777" w:rsidR="0084326C" w:rsidRPr="005D68A0" w:rsidRDefault="0084326C">
            <w:pPr>
              <w:spacing w:after="120"/>
              <w:jc w:val="center"/>
              <w:rPr>
                <w:rFonts w:ascii="Arial Narrow" w:hAnsi="Arial Narrow"/>
                <w:noProof/>
                <w:color w:val="006100"/>
                <w:sz w:val="20"/>
                <w:szCs w:val="20"/>
              </w:rPr>
            </w:pPr>
            <w:bookmarkStart w:id="10" w:name="_Hlk160472904"/>
            <w:r>
              <w:rPr>
                <w:rFonts w:ascii="Arial Narrow" w:hAnsi="Arial Narrow"/>
                <w:noProof/>
                <w:color w:val="006100"/>
                <w:sz w:val="20"/>
              </w:rPr>
              <w:t>Investeering 2.1.a. Üleujutus- ja hüdrogeoloogilise ohu vähendamise meetmed – sekkumised Emilia Romagnas, Toscanas ja Marches</w:t>
            </w:r>
            <w:bookmarkEnd w:id="10"/>
          </w:p>
        </w:tc>
        <w:tc>
          <w:tcPr>
            <w:tcW w:w="900" w:type="dxa"/>
            <w:shd w:val="clear" w:color="auto" w:fill="C6EFCE"/>
            <w:noWrap/>
            <w:vAlign w:val="center"/>
          </w:tcPr>
          <w:p w14:paraId="410C60E0"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Eesmärk</w:t>
            </w:r>
          </w:p>
        </w:tc>
        <w:tc>
          <w:tcPr>
            <w:tcW w:w="2487" w:type="dxa"/>
            <w:shd w:val="clear" w:color="auto" w:fill="C6EFCE"/>
            <w:noWrap/>
            <w:vAlign w:val="center"/>
          </w:tcPr>
          <w:p w14:paraId="12ED5136"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Projektide lõpuleviimine</w:t>
            </w:r>
          </w:p>
        </w:tc>
        <w:tc>
          <w:tcPr>
            <w:tcW w:w="1684" w:type="dxa"/>
            <w:shd w:val="clear" w:color="auto" w:fill="C6EFCE"/>
            <w:noWrap/>
            <w:vAlign w:val="center"/>
          </w:tcPr>
          <w:p w14:paraId="3551444F"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Projektide lõpuleviimise sertifitseerimine</w:t>
            </w:r>
          </w:p>
        </w:tc>
        <w:tc>
          <w:tcPr>
            <w:tcW w:w="1094" w:type="dxa"/>
            <w:shd w:val="clear" w:color="auto" w:fill="C6EFCE"/>
            <w:noWrap/>
            <w:vAlign w:val="center"/>
          </w:tcPr>
          <w:p w14:paraId="09B64D50" w14:textId="77777777" w:rsidR="0084326C" w:rsidRPr="005D68A0" w:rsidRDefault="0084326C">
            <w:pPr>
              <w:spacing w:after="120"/>
              <w:jc w:val="center"/>
              <w:rPr>
                <w:rFonts w:ascii="Arial Narrow" w:hAnsi="Arial Narrow"/>
                <w:noProof/>
                <w:color w:val="006100"/>
                <w:sz w:val="20"/>
                <w:szCs w:val="20"/>
                <w:lang w:val="en-GB"/>
              </w:rPr>
            </w:pPr>
          </w:p>
        </w:tc>
        <w:tc>
          <w:tcPr>
            <w:tcW w:w="982" w:type="dxa"/>
            <w:shd w:val="clear" w:color="auto" w:fill="C6EFCE"/>
            <w:noWrap/>
            <w:vAlign w:val="center"/>
          </w:tcPr>
          <w:p w14:paraId="31C0BBE6" w14:textId="77777777" w:rsidR="0084326C" w:rsidRPr="005D68A0" w:rsidRDefault="0084326C">
            <w:pPr>
              <w:spacing w:after="120"/>
              <w:jc w:val="center"/>
              <w:rPr>
                <w:rFonts w:ascii="Arial Narrow" w:hAnsi="Arial Narrow"/>
                <w:noProof/>
                <w:color w:val="006100"/>
                <w:sz w:val="20"/>
                <w:szCs w:val="20"/>
                <w:lang w:val="en-GB"/>
              </w:rPr>
            </w:pPr>
          </w:p>
        </w:tc>
        <w:tc>
          <w:tcPr>
            <w:tcW w:w="1046" w:type="dxa"/>
            <w:shd w:val="clear" w:color="auto" w:fill="C6EFCE"/>
            <w:noWrap/>
            <w:vAlign w:val="center"/>
          </w:tcPr>
          <w:p w14:paraId="49F5251F" w14:textId="77777777" w:rsidR="0084326C" w:rsidRPr="005D68A0" w:rsidDel="00826877" w:rsidRDefault="0084326C">
            <w:pPr>
              <w:spacing w:after="120"/>
              <w:jc w:val="center"/>
              <w:rPr>
                <w:rFonts w:ascii="Arial Narrow" w:hAnsi="Arial Narrow"/>
                <w:noProof/>
                <w:color w:val="006100"/>
                <w:sz w:val="20"/>
                <w:szCs w:val="20"/>
                <w:lang w:val="en-GB"/>
              </w:rPr>
            </w:pPr>
          </w:p>
        </w:tc>
        <w:tc>
          <w:tcPr>
            <w:tcW w:w="772" w:type="dxa"/>
            <w:shd w:val="clear" w:color="auto" w:fill="C6EFCE"/>
            <w:noWrap/>
            <w:vAlign w:val="center"/>
          </w:tcPr>
          <w:p w14:paraId="5C9DE370"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 kv</w:t>
            </w:r>
          </w:p>
        </w:tc>
        <w:tc>
          <w:tcPr>
            <w:tcW w:w="663" w:type="dxa"/>
            <w:shd w:val="clear" w:color="auto" w:fill="C6EFCE"/>
            <w:noWrap/>
            <w:vAlign w:val="center"/>
          </w:tcPr>
          <w:p w14:paraId="302B1CF9"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2026</w:t>
            </w:r>
          </w:p>
        </w:tc>
        <w:tc>
          <w:tcPr>
            <w:tcW w:w="3401" w:type="dxa"/>
            <w:shd w:val="clear" w:color="auto" w:fill="C6EFCE"/>
            <w:noWrap/>
            <w:vAlign w:val="center"/>
          </w:tcPr>
          <w:p w14:paraId="01035BC5"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Järgmiste toimingute lõpuleviimine:</w:t>
            </w:r>
          </w:p>
          <w:p w14:paraId="78E449D6" w14:textId="77777777" w:rsidR="0084326C" w:rsidRPr="005D68A0" w:rsidRDefault="0084326C">
            <w:pPr>
              <w:pStyle w:val="ListParagraph"/>
              <w:numPr>
                <w:ilvl w:val="0"/>
                <w:numId w:val="97"/>
              </w:numPr>
              <w:spacing w:before="0"/>
              <w:contextualSpacing w:val="0"/>
              <w:jc w:val="left"/>
              <w:rPr>
                <w:rFonts w:ascii="Arial Narrow" w:hAnsi="Arial Narrow"/>
                <w:noProof/>
                <w:color w:val="006100"/>
                <w:sz w:val="20"/>
                <w:szCs w:val="20"/>
              </w:rPr>
            </w:pPr>
            <w:r>
              <w:rPr>
                <w:rFonts w:ascii="Arial Narrow" w:hAnsi="Arial Narrow"/>
                <w:noProof/>
                <w:color w:val="006100"/>
                <w:sz w:val="20"/>
              </w:rPr>
              <w:t>vähemalt 90 % sekkumistest veeteede taastamiseks ning kaitse suurendamiseks üleujutuste ja maalihete eest, nagu on kindlaks määratud hädaolukorra voliniku määrustes;</w:t>
            </w:r>
          </w:p>
          <w:p w14:paraId="68F19C90" w14:textId="7FDC69B6" w:rsidR="0084326C" w:rsidRPr="005D68A0" w:rsidRDefault="0084326C">
            <w:pPr>
              <w:pStyle w:val="ListParagraph"/>
              <w:numPr>
                <w:ilvl w:val="0"/>
                <w:numId w:val="97"/>
              </w:numPr>
              <w:spacing w:before="0"/>
              <w:contextualSpacing w:val="0"/>
              <w:jc w:val="left"/>
              <w:rPr>
                <w:rFonts w:ascii="Arial Narrow" w:hAnsi="Arial Narrow"/>
                <w:noProof/>
                <w:color w:val="006100"/>
                <w:sz w:val="20"/>
                <w:szCs w:val="20"/>
              </w:rPr>
            </w:pPr>
            <w:r>
              <w:rPr>
                <w:rFonts w:ascii="Arial Narrow" w:hAnsi="Arial Narrow"/>
                <w:noProof/>
                <w:color w:val="006100"/>
                <w:sz w:val="20"/>
              </w:rPr>
              <w:t>Transpordivõrgu rehabilitatsioonimeetmed mitme kilomeetri kohta, nagu on kindlaks määratud hädaolukorra voliniku määrustes;</w:t>
            </w:r>
          </w:p>
          <w:p w14:paraId="1810356E" w14:textId="77777777" w:rsidR="0084326C" w:rsidRPr="005D68A0" w:rsidRDefault="0084326C">
            <w:pPr>
              <w:pStyle w:val="ListParagraph"/>
              <w:numPr>
                <w:ilvl w:val="0"/>
                <w:numId w:val="97"/>
              </w:numPr>
              <w:spacing w:before="0"/>
              <w:contextualSpacing w:val="0"/>
              <w:jc w:val="left"/>
              <w:rPr>
                <w:rFonts w:ascii="Arial Narrow" w:hAnsi="Arial Narrow"/>
                <w:noProof/>
                <w:color w:val="006100"/>
                <w:sz w:val="20"/>
                <w:szCs w:val="20"/>
              </w:rPr>
            </w:pPr>
            <w:r>
              <w:rPr>
                <w:rFonts w:ascii="Arial Narrow" w:hAnsi="Arial Narrow"/>
                <w:noProof/>
                <w:color w:val="006100"/>
                <w:sz w:val="20"/>
              </w:rPr>
              <w:t>Vähemalt 90 % sekkumistest, mille eesmärk on taastada üldkasutatavad hooned, sealhulgas riigimajad ja tervisekeskused, nagu on kindlaks määratud erivoliniku määrustes.</w:t>
            </w:r>
          </w:p>
        </w:tc>
      </w:tr>
      <w:tr w:rsidR="004775AA" w:rsidRPr="00D90835" w14:paraId="1C258BFE" w14:textId="77777777" w:rsidTr="004775AA">
        <w:trPr>
          <w:trHeight w:val="313"/>
          <w:jc w:val="center"/>
        </w:trPr>
        <w:tc>
          <w:tcPr>
            <w:tcW w:w="1064" w:type="dxa"/>
            <w:shd w:val="clear" w:color="auto" w:fill="C6EFCE"/>
            <w:noWrap/>
            <w:vAlign w:val="center"/>
          </w:tcPr>
          <w:p w14:paraId="2FFF70B3"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M2C4-12</w:t>
            </w:r>
          </w:p>
        </w:tc>
        <w:tc>
          <w:tcPr>
            <w:tcW w:w="2487" w:type="dxa"/>
            <w:shd w:val="clear" w:color="auto" w:fill="C6EFCE"/>
            <w:noWrap/>
            <w:vAlign w:val="center"/>
          </w:tcPr>
          <w:p w14:paraId="7593402A"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Investeering 2.1.b. Üleujutus- ja hüdrogeoloogilise ohu vähendamise meetmed</w:t>
            </w:r>
          </w:p>
        </w:tc>
        <w:tc>
          <w:tcPr>
            <w:tcW w:w="900" w:type="dxa"/>
            <w:shd w:val="clear" w:color="auto" w:fill="C6EFCE"/>
            <w:noWrap/>
            <w:vAlign w:val="center"/>
          </w:tcPr>
          <w:p w14:paraId="2D1193DB"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Eesmärk</w:t>
            </w:r>
          </w:p>
        </w:tc>
        <w:tc>
          <w:tcPr>
            <w:tcW w:w="2487" w:type="dxa"/>
            <w:shd w:val="clear" w:color="auto" w:fill="C6EFCE"/>
            <w:noWrap/>
            <w:vAlign w:val="center"/>
          </w:tcPr>
          <w:p w14:paraId="1661F122"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Üleujutus- ja hüdrogeoloogiliste riskidega seotud sekkumismeetmeid käsitleva läbivaadatud õigusraamistiku jõustumine</w:t>
            </w:r>
          </w:p>
        </w:tc>
        <w:tc>
          <w:tcPr>
            <w:tcW w:w="1684" w:type="dxa"/>
            <w:shd w:val="clear" w:color="auto" w:fill="C6EFCE"/>
            <w:noWrap/>
            <w:vAlign w:val="center"/>
          </w:tcPr>
          <w:p w14:paraId="466C5E26"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Määruste sätted jõustumise kohta</w:t>
            </w:r>
          </w:p>
        </w:tc>
        <w:tc>
          <w:tcPr>
            <w:tcW w:w="1094" w:type="dxa"/>
            <w:shd w:val="clear" w:color="auto" w:fill="C6EFCE"/>
            <w:noWrap/>
            <w:vAlign w:val="center"/>
          </w:tcPr>
          <w:p w14:paraId="4664A581"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Ei kohaldata</w:t>
            </w:r>
          </w:p>
        </w:tc>
        <w:tc>
          <w:tcPr>
            <w:tcW w:w="982" w:type="dxa"/>
            <w:shd w:val="clear" w:color="auto" w:fill="C6EFCE"/>
            <w:noWrap/>
            <w:vAlign w:val="center"/>
          </w:tcPr>
          <w:p w14:paraId="1E2E2D91"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Ei kohaldata</w:t>
            </w:r>
          </w:p>
        </w:tc>
        <w:tc>
          <w:tcPr>
            <w:tcW w:w="1046" w:type="dxa"/>
            <w:shd w:val="clear" w:color="auto" w:fill="C6EFCE"/>
            <w:noWrap/>
            <w:vAlign w:val="center"/>
          </w:tcPr>
          <w:p w14:paraId="6C96D623"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Ei kohaldata</w:t>
            </w:r>
          </w:p>
        </w:tc>
        <w:tc>
          <w:tcPr>
            <w:tcW w:w="772" w:type="dxa"/>
            <w:shd w:val="clear" w:color="auto" w:fill="C6EFCE"/>
            <w:noWrap/>
            <w:vAlign w:val="center"/>
          </w:tcPr>
          <w:p w14:paraId="71A1DAF9"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4. kv</w:t>
            </w:r>
          </w:p>
        </w:tc>
        <w:tc>
          <w:tcPr>
            <w:tcW w:w="663" w:type="dxa"/>
            <w:shd w:val="clear" w:color="auto" w:fill="C6EFCE"/>
            <w:noWrap/>
            <w:vAlign w:val="center"/>
          </w:tcPr>
          <w:p w14:paraId="695A6FC6"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2021</w:t>
            </w:r>
          </w:p>
        </w:tc>
        <w:tc>
          <w:tcPr>
            <w:tcW w:w="3401" w:type="dxa"/>
            <w:shd w:val="clear" w:color="auto" w:fill="C6EFCE"/>
            <w:noWrap/>
            <w:vAlign w:val="center"/>
          </w:tcPr>
          <w:p w14:paraId="4D7EFFBB" w14:textId="7ABC939A" w:rsidR="0084326C" w:rsidRPr="005D68A0" w:rsidRDefault="0084326C">
            <w:pPr>
              <w:spacing w:after="120"/>
              <w:jc w:val="both"/>
              <w:rPr>
                <w:rFonts w:ascii="Arial Narrow" w:hAnsi="Arial Narrow"/>
                <w:noProof/>
                <w:color w:val="006100"/>
                <w:sz w:val="20"/>
                <w:szCs w:val="20"/>
              </w:rPr>
            </w:pPr>
            <w:r>
              <w:rPr>
                <w:rFonts w:ascii="Arial Narrow" w:hAnsi="Arial Narrow"/>
                <w:noProof/>
                <w:color w:val="006100"/>
                <w:sz w:val="20"/>
              </w:rPr>
              <w:t>Vastava piirkonna (voliniku volitatud esindaja/piirkond/autonoomne provints) esimese sekkumis- ja investeerimiskava heakskiitmise määruste eesmärk on taastada algsete tingimuste algus ja tagada piirkondade vastupanuvõime loodusõnnetustele.</w:t>
            </w:r>
          </w:p>
        </w:tc>
      </w:tr>
      <w:tr w:rsidR="004775AA" w:rsidRPr="00D90835" w14:paraId="258A99EF" w14:textId="77777777" w:rsidTr="004775AA">
        <w:trPr>
          <w:trHeight w:val="313"/>
          <w:jc w:val="center"/>
        </w:trPr>
        <w:tc>
          <w:tcPr>
            <w:tcW w:w="1064" w:type="dxa"/>
            <w:shd w:val="clear" w:color="auto" w:fill="C6EFCE"/>
            <w:noWrap/>
            <w:vAlign w:val="center"/>
          </w:tcPr>
          <w:p w14:paraId="677847B1"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M2C4-13</w:t>
            </w:r>
          </w:p>
        </w:tc>
        <w:tc>
          <w:tcPr>
            <w:tcW w:w="2487" w:type="dxa"/>
            <w:shd w:val="clear" w:color="auto" w:fill="C6EFCE"/>
            <w:noWrap/>
            <w:vAlign w:val="center"/>
          </w:tcPr>
          <w:p w14:paraId="0C6348E4"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Investeering 2.1b. Üleujutusriski ja hüdrogeoloogilise riski vähendamise meetmed</w:t>
            </w:r>
          </w:p>
        </w:tc>
        <w:tc>
          <w:tcPr>
            <w:tcW w:w="900" w:type="dxa"/>
            <w:shd w:val="clear" w:color="auto" w:fill="C6EFCE"/>
            <w:noWrap/>
            <w:vAlign w:val="center"/>
          </w:tcPr>
          <w:p w14:paraId="57F00268"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Siht</w:t>
            </w:r>
          </w:p>
        </w:tc>
        <w:tc>
          <w:tcPr>
            <w:tcW w:w="2487" w:type="dxa"/>
            <w:shd w:val="clear" w:color="auto" w:fill="C6EFCE"/>
            <w:noWrap/>
            <w:vAlign w:val="center"/>
          </w:tcPr>
          <w:p w14:paraId="2D9936BC"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D- ja E-tüüpi sekkumiste lõpuleviimine</w:t>
            </w:r>
          </w:p>
        </w:tc>
        <w:tc>
          <w:tcPr>
            <w:tcW w:w="1684" w:type="dxa"/>
            <w:shd w:val="clear" w:color="auto" w:fill="C6EFCE"/>
            <w:noWrap/>
            <w:vAlign w:val="center"/>
          </w:tcPr>
          <w:p w14:paraId="69D593CD"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Ei kohaldata</w:t>
            </w:r>
          </w:p>
        </w:tc>
        <w:tc>
          <w:tcPr>
            <w:tcW w:w="1094" w:type="dxa"/>
            <w:shd w:val="clear" w:color="auto" w:fill="C6EFCE"/>
            <w:noWrap/>
            <w:vAlign w:val="center"/>
          </w:tcPr>
          <w:p w14:paraId="41940094"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Protsent</w:t>
            </w:r>
          </w:p>
        </w:tc>
        <w:tc>
          <w:tcPr>
            <w:tcW w:w="982" w:type="dxa"/>
            <w:shd w:val="clear" w:color="auto" w:fill="C6EFCE"/>
            <w:noWrap/>
            <w:vAlign w:val="center"/>
          </w:tcPr>
          <w:p w14:paraId="65E71730"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0</w:t>
            </w:r>
          </w:p>
        </w:tc>
        <w:tc>
          <w:tcPr>
            <w:tcW w:w="1046" w:type="dxa"/>
            <w:shd w:val="clear" w:color="auto" w:fill="C6EFCE"/>
            <w:noWrap/>
            <w:vAlign w:val="center"/>
          </w:tcPr>
          <w:p w14:paraId="6D717C14"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90</w:t>
            </w:r>
          </w:p>
        </w:tc>
        <w:tc>
          <w:tcPr>
            <w:tcW w:w="772" w:type="dxa"/>
            <w:shd w:val="clear" w:color="auto" w:fill="C6EFCE"/>
            <w:noWrap/>
            <w:vAlign w:val="center"/>
          </w:tcPr>
          <w:p w14:paraId="35B1FDD5"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 kv</w:t>
            </w:r>
          </w:p>
        </w:tc>
        <w:tc>
          <w:tcPr>
            <w:tcW w:w="663" w:type="dxa"/>
            <w:shd w:val="clear" w:color="auto" w:fill="C6EFCE"/>
            <w:noWrap/>
            <w:vAlign w:val="center"/>
          </w:tcPr>
          <w:p w14:paraId="0863A3E2"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2026</w:t>
            </w:r>
          </w:p>
        </w:tc>
        <w:tc>
          <w:tcPr>
            <w:tcW w:w="3401" w:type="dxa"/>
            <w:shd w:val="clear" w:color="auto" w:fill="C6EFCE"/>
            <w:noWrap/>
            <w:vAlign w:val="center"/>
          </w:tcPr>
          <w:p w14:paraId="7192BDDC" w14:textId="7AD4739A"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90 % E- ja D-tüüpi sekkumiste lõpuleviimine, mille eesmärk on taastada kahjustatud riiklikud struktuurid, mis on kindlaks tehtud riikliku kodanikukaitse teenistuse heakskiitmisaktides.</w:t>
            </w:r>
          </w:p>
        </w:tc>
      </w:tr>
      <w:tr w:rsidR="004775AA" w:rsidRPr="00D90835" w14:paraId="152F7562" w14:textId="77777777" w:rsidTr="004775AA">
        <w:trPr>
          <w:trHeight w:val="313"/>
          <w:jc w:val="center"/>
        </w:trPr>
        <w:tc>
          <w:tcPr>
            <w:tcW w:w="1064" w:type="dxa"/>
            <w:shd w:val="clear" w:color="auto" w:fill="C6EFCE"/>
            <w:noWrap/>
            <w:vAlign w:val="center"/>
            <w:hideMark/>
          </w:tcPr>
          <w:p w14:paraId="514026C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M2C4-18</w:t>
            </w:r>
          </w:p>
        </w:tc>
        <w:tc>
          <w:tcPr>
            <w:tcW w:w="2487" w:type="dxa"/>
            <w:shd w:val="clear" w:color="auto" w:fill="C6EFCE"/>
            <w:noWrap/>
            <w:vAlign w:val="center"/>
            <w:hideMark/>
          </w:tcPr>
          <w:p w14:paraId="251CD95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3.1. Linna- ja linnalähedaste metsade kaitse ja edendamine</w:t>
            </w:r>
          </w:p>
        </w:tc>
        <w:tc>
          <w:tcPr>
            <w:tcW w:w="900" w:type="dxa"/>
            <w:shd w:val="clear" w:color="auto" w:fill="C6EFCE"/>
            <w:noWrap/>
            <w:vAlign w:val="center"/>
            <w:hideMark/>
          </w:tcPr>
          <w:p w14:paraId="5ECBB7A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2487" w:type="dxa"/>
            <w:shd w:val="clear" w:color="auto" w:fill="C6EFCE"/>
            <w:noWrap/>
            <w:vAlign w:val="center"/>
            <w:hideMark/>
          </w:tcPr>
          <w:p w14:paraId="4851469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Linna- ja linnalähedaste rohealade kaitset ja väärtustamist käsitlevate läbivaadatud õiguslike muudatuste jõustumine</w:t>
            </w:r>
          </w:p>
        </w:tc>
        <w:tc>
          <w:tcPr>
            <w:tcW w:w="1684" w:type="dxa"/>
            <w:shd w:val="clear" w:color="auto" w:fill="C6EFCE"/>
            <w:noWrap/>
            <w:vAlign w:val="center"/>
            <w:hideMark/>
          </w:tcPr>
          <w:p w14:paraId="710E5FF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Asjakohaste õigusaktide säte, milles osutatakse linnametsanduse kava vastuvõtmisele</w:t>
            </w:r>
          </w:p>
        </w:tc>
        <w:tc>
          <w:tcPr>
            <w:tcW w:w="1094" w:type="dxa"/>
            <w:shd w:val="clear" w:color="auto" w:fill="C6EFCE"/>
            <w:noWrap/>
            <w:vAlign w:val="center"/>
            <w:hideMark/>
          </w:tcPr>
          <w:p w14:paraId="4F84F87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82" w:type="dxa"/>
            <w:shd w:val="clear" w:color="auto" w:fill="C6EFCE"/>
            <w:noWrap/>
            <w:vAlign w:val="center"/>
            <w:hideMark/>
          </w:tcPr>
          <w:p w14:paraId="3B3C2CB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46" w:type="dxa"/>
            <w:shd w:val="clear" w:color="auto" w:fill="C6EFCE"/>
            <w:noWrap/>
            <w:vAlign w:val="center"/>
            <w:hideMark/>
          </w:tcPr>
          <w:p w14:paraId="0E8C59A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772" w:type="dxa"/>
            <w:shd w:val="clear" w:color="auto" w:fill="C6EFCE"/>
            <w:noWrap/>
            <w:vAlign w:val="center"/>
            <w:hideMark/>
          </w:tcPr>
          <w:p w14:paraId="39570D3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663" w:type="dxa"/>
            <w:shd w:val="clear" w:color="auto" w:fill="C6EFCE"/>
            <w:noWrap/>
            <w:vAlign w:val="center"/>
            <w:hideMark/>
          </w:tcPr>
          <w:p w14:paraId="5BA3CD4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2021</w:t>
            </w:r>
          </w:p>
        </w:tc>
        <w:tc>
          <w:tcPr>
            <w:tcW w:w="3401" w:type="dxa"/>
            <w:shd w:val="clear" w:color="auto" w:fill="C6EFCE"/>
            <w:noWrap/>
            <w:vAlign w:val="center"/>
            <w:hideMark/>
          </w:tcPr>
          <w:p w14:paraId="36060643" w14:textId="77777777" w:rsidR="0084326C" w:rsidRPr="005D68A0" w:rsidRDefault="0084326C" w:rsidP="00596A74">
            <w:pPr>
              <w:rPr>
                <w:rFonts w:ascii="Arial Narrow" w:hAnsi="Arial Narrow"/>
                <w:noProof/>
                <w:color w:val="006100"/>
                <w:sz w:val="20"/>
                <w:szCs w:val="20"/>
              </w:rPr>
            </w:pPr>
            <w:r>
              <w:rPr>
                <w:rFonts w:ascii="Arial Narrow" w:hAnsi="Arial Narrow"/>
                <w:noProof/>
                <w:color w:val="006100"/>
                <w:sz w:val="20"/>
              </w:rPr>
              <w:t>Linnametsade kava peab olema kooskõlas 12. detsembri 2019. aasta seaduse 141 („kliimaseadus“) eesmärkidega ja pärast linnaplaneerimisetappi. Kavas tuleks seada vähemalt järgmised eesmärgid:</w:t>
            </w:r>
          </w:p>
          <w:p w14:paraId="202B1567" w14:textId="77777777" w:rsidR="0084326C" w:rsidRPr="005D68A0" w:rsidRDefault="0084326C" w:rsidP="00596A74">
            <w:pPr>
              <w:pStyle w:val="ListParagraph"/>
              <w:numPr>
                <w:ilvl w:val="0"/>
                <w:numId w:val="69"/>
              </w:numPr>
              <w:spacing w:before="0" w:after="0"/>
              <w:ind w:left="446"/>
              <w:contextualSpacing w:val="0"/>
              <w:jc w:val="left"/>
              <w:rPr>
                <w:rFonts w:ascii="Arial Narrow" w:hAnsi="Arial Narrow"/>
                <w:noProof/>
                <w:color w:val="006100"/>
                <w:sz w:val="20"/>
                <w:szCs w:val="20"/>
              </w:rPr>
            </w:pPr>
            <w:r>
              <w:rPr>
                <w:rFonts w:ascii="Arial Narrow" w:hAnsi="Arial Narrow"/>
                <w:noProof/>
                <w:color w:val="006100"/>
                <w:sz w:val="20"/>
              </w:rPr>
              <w:t>Säilitada ja edendada hajusaid elurikkusi kooskõlas Euroopa bioloogilise mitmekesisuse strateegiaga;</w:t>
            </w:r>
          </w:p>
          <w:p w14:paraId="2FE0DAD3" w14:textId="77777777" w:rsidR="0084326C" w:rsidRPr="005D68A0" w:rsidRDefault="0084326C" w:rsidP="00596A74">
            <w:pPr>
              <w:pStyle w:val="ListParagraph"/>
              <w:numPr>
                <w:ilvl w:val="0"/>
                <w:numId w:val="69"/>
              </w:numPr>
              <w:spacing w:before="0" w:after="0"/>
              <w:ind w:left="446"/>
              <w:contextualSpacing w:val="0"/>
              <w:jc w:val="left"/>
              <w:rPr>
                <w:rFonts w:ascii="Arial Narrow" w:hAnsi="Arial Narrow"/>
                <w:noProof/>
                <w:color w:val="006100"/>
                <w:sz w:val="20"/>
                <w:szCs w:val="20"/>
              </w:rPr>
            </w:pPr>
            <w:r>
              <w:rPr>
                <w:rFonts w:ascii="Arial Narrow" w:hAnsi="Arial Narrow"/>
                <w:noProof/>
                <w:color w:val="006100"/>
                <w:sz w:val="20"/>
              </w:rPr>
              <w:t>Aidata kaasa õhusaaste vähendamisele suurlinnapiirkondades,</w:t>
            </w:r>
          </w:p>
          <w:p w14:paraId="6037924A" w14:textId="77777777" w:rsidR="0084326C" w:rsidRPr="005D68A0" w:rsidRDefault="0084326C" w:rsidP="00596A74">
            <w:pPr>
              <w:pStyle w:val="ListParagraph"/>
              <w:numPr>
                <w:ilvl w:val="0"/>
                <w:numId w:val="69"/>
              </w:numPr>
              <w:spacing w:before="0" w:after="0"/>
              <w:ind w:left="446"/>
              <w:contextualSpacing w:val="0"/>
              <w:jc w:val="left"/>
              <w:rPr>
                <w:rFonts w:ascii="Arial Narrow" w:hAnsi="Arial Narrow"/>
                <w:noProof/>
                <w:color w:val="006100"/>
                <w:sz w:val="20"/>
                <w:szCs w:val="20"/>
              </w:rPr>
            </w:pPr>
            <w:r>
              <w:rPr>
                <w:rFonts w:ascii="Arial Narrow" w:hAnsi="Arial Narrow"/>
                <w:noProof/>
                <w:color w:val="006100"/>
                <w:sz w:val="20"/>
              </w:rPr>
              <w:t>Vähendada õhukvaliteediga seotud rikkumismenetlusi;</w:t>
            </w:r>
          </w:p>
          <w:p w14:paraId="4EF3FF38" w14:textId="77777777" w:rsidR="0084326C" w:rsidRPr="005D68A0" w:rsidRDefault="0084326C" w:rsidP="00596A74">
            <w:pPr>
              <w:pStyle w:val="ListParagraph"/>
              <w:numPr>
                <w:ilvl w:val="0"/>
                <w:numId w:val="69"/>
              </w:numPr>
              <w:spacing w:before="0" w:after="0"/>
              <w:ind w:left="446"/>
              <w:contextualSpacing w:val="0"/>
              <w:jc w:val="left"/>
              <w:rPr>
                <w:rFonts w:ascii="Arial Narrow" w:hAnsi="Arial Narrow"/>
                <w:noProof/>
                <w:color w:val="006100"/>
                <w:sz w:val="20"/>
                <w:szCs w:val="20"/>
              </w:rPr>
            </w:pPr>
            <w:r>
              <w:rPr>
                <w:rFonts w:ascii="Arial Narrow" w:hAnsi="Arial Narrow"/>
                <w:noProof/>
                <w:color w:val="006100"/>
                <w:sz w:val="20"/>
              </w:rPr>
              <w:t>Taastada inimtekkelised maastikud ja parandada suurlinnapiirkondade vahetus läheduses asuvaid kaitsealasid;</w:t>
            </w:r>
          </w:p>
          <w:p w14:paraId="0192D520" w14:textId="77777777" w:rsidR="0084326C" w:rsidRPr="00F33804" w:rsidRDefault="0084326C" w:rsidP="00596A74">
            <w:pPr>
              <w:rPr>
                <w:rFonts w:ascii="Arial Narrow" w:hAnsi="Arial Narrow"/>
                <w:noProof/>
                <w:color w:val="006100"/>
                <w:sz w:val="20"/>
                <w:szCs w:val="20"/>
              </w:rPr>
            </w:pPr>
          </w:p>
          <w:p w14:paraId="7906CE90" w14:textId="77777777" w:rsidR="0084326C" w:rsidRPr="005D68A0" w:rsidRDefault="0084326C" w:rsidP="00596A74">
            <w:pPr>
              <w:rPr>
                <w:rFonts w:ascii="Arial Narrow" w:hAnsi="Arial Narrow"/>
                <w:noProof/>
                <w:color w:val="006100"/>
                <w:sz w:val="20"/>
                <w:szCs w:val="20"/>
              </w:rPr>
            </w:pPr>
            <w:r>
              <w:rPr>
                <w:rFonts w:ascii="Arial Narrow" w:hAnsi="Arial Narrow"/>
                <w:noProof/>
                <w:color w:val="006100"/>
                <w:sz w:val="20"/>
              </w:rPr>
              <w:t>Piirata mulla tarbimist ja taastada kasulik pinnas.</w:t>
            </w:r>
          </w:p>
        </w:tc>
      </w:tr>
      <w:tr w:rsidR="004775AA" w:rsidRPr="00D90835" w14:paraId="03392F80" w14:textId="77777777" w:rsidTr="004775AA">
        <w:trPr>
          <w:trHeight w:val="313"/>
          <w:jc w:val="center"/>
        </w:trPr>
        <w:tc>
          <w:tcPr>
            <w:tcW w:w="1064" w:type="dxa"/>
            <w:shd w:val="clear" w:color="auto" w:fill="C6EFCE"/>
            <w:noWrap/>
            <w:vAlign w:val="center"/>
            <w:hideMark/>
          </w:tcPr>
          <w:p w14:paraId="58B6F46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M2C4-19</w:t>
            </w:r>
          </w:p>
        </w:tc>
        <w:tc>
          <w:tcPr>
            <w:tcW w:w="2487" w:type="dxa"/>
            <w:shd w:val="clear" w:color="auto" w:fill="C6EFCE"/>
            <w:noWrap/>
            <w:vAlign w:val="center"/>
            <w:hideMark/>
          </w:tcPr>
          <w:p w14:paraId="7DCB48B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3.1. Linna- ja linnalähedaste metsade kaitse ja edendamine</w:t>
            </w:r>
          </w:p>
        </w:tc>
        <w:tc>
          <w:tcPr>
            <w:tcW w:w="900" w:type="dxa"/>
            <w:shd w:val="clear" w:color="auto" w:fill="C6EFCE"/>
            <w:noWrap/>
            <w:vAlign w:val="center"/>
            <w:hideMark/>
          </w:tcPr>
          <w:p w14:paraId="7AB290B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2487" w:type="dxa"/>
            <w:shd w:val="clear" w:color="auto" w:fill="C6EFCE"/>
            <w:noWrap/>
            <w:vAlign w:val="center"/>
            <w:hideMark/>
          </w:tcPr>
          <w:p w14:paraId="2F679C4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Taimepuud linna- ja linnalähedaste rohealade kaitseks ja väärtustamiseks T1</w:t>
            </w:r>
          </w:p>
        </w:tc>
        <w:tc>
          <w:tcPr>
            <w:tcW w:w="1684" w:type="dxa"/>
            <w:shd w:val="clear" w:color="auto" w:fill="C6EFCE"/>
            <w:noWrap/>
            <w:vAlign w:val="center"/>
            <w:hideMark/>
          </w:tcPr>
          <w:p w14:paraId="34E2D56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94" w:type="dxa"/>
            <w:shd w:val="clear" w:color="auto" w:fill="C6EFCE"/>
            <w:noWrap/>
            <w:vAlign w:val="center"/>
            <w:hideMark/>
          </w:tcPr>
          <w:p w14:paraId="7D220EE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Arv</w:t>
            </w:r>
          </w:p>
        </w:tc>
        <w:tc>
          <w:tcPr>
            <w:tcW w:w="982" w:type="dxa"/>
            <w:shd w:val="clear" w:color="auto" w:fill="C6EFCE"/>
            <w:noWrap/>
            <w:vAlign w:val="center"/>
            <w:hideMark/>
          </w:tcPr>
          <w:p w14:paraId="1EA1E9F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0</w:t>
            </w:r>
          </w:p>
        </w:tc>
        <w:tc>
          <w:tcPr>
            <w:tcW w:w="1046" w:type="dxa"/>
            <w:shd w:val="clear" w:color="auto" w:fill="C6EFCE"/>
            <w:noWrap/>
            <w:vAlign w:val="center"/>
            <w:hideMark/>
          </w:tcPr>
          <w:p w14:paraId="449977EE" w14:textId="07F95C00"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1 650 000</w:t>
            </w:r>
          </w:p>
        </w:tc>
        <w:tc>
          <w:tcPr>
            <w:tcW w:w="772" w:type="dxa"/>
            <w:shd w:val="clear" w:color="auto" w:fill="C6EFCE"/>
            <w:noWrap/>
            <w:vAlign w:val="center"/>
            <w:hideMark/>
          </w:tcPr>
          <w:p w14:paraId="4E9ABF1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663" w:type="dxa"/>
            <w:shd w:val="clear" w:color="auto" w:fill="C6EFCE"/>
            <w:noWrap/>
            <w:vAlign w:val="center"/>
            <w:hideMark/>
          </w:tcPr>
          <w:p w14:paraId="21A11F0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2022</w:t>
            </w:r>
          </w:p>
        </w:tc>
        <w:tc>
          <w:tcPr>
            <w:tcW w:w="3401" w:type="dxa"/>
            <w:shd w:val="clear" w:color="auto" w:fill="C6EFCE"/>
            <w:noWrap/>
            <w:vAlign w:val="center"/>
            <w:hideMark/>
          </w:tcPr>
          <w:p w14:paraId="3D305BA9" w14:textId="4EFE0321"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Tehas, milles on 12. detsembri 2019. aasta seaduse 141 (nn kliimaseadus) artikli 4 kohaselt vähemalt 1 650 000 puud linna- ja eeslinnapiirkondade taasmetsastamiseks.</w:t>
            </w:r>
          </w:p>
        </w:tc>
      </w:tr>
      <w:tr w:rsidR="004775AA" w:rsidRPr="00D90835" w14:paraId="30D30AE9" w14:textId="77777777" w:rsidTr="004775AA">
        <w:trPr>
          <w:trHeight w:val="313"/>
          <w:jc w:val="center"/>
        </w:trPr>
        <w:tc>
          <w:tcPr>
            <w:tcW w:w="1064" w:type="dxa"/>
            <w:shd w:val="clear" w:color="auto" w:fill="C6EFCE"/>
            <w:noWrap/>
            <w:vAlign w:val="center"/>
            <w:hideMark/>
          </w:tcPr>
          <w:p w14:paraId="43DFF17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M2C4-20</w:t>
            </w:r>
          </w:p>
        </w:tc>
        <w:tc>
          <w:tcPr>
            <w:tcW w:w="2487" w:type="dxa"/>
            <w:shd w:val="clear" w:color="auto" w:fill="C6EFCE"/>
            <w:noWrap/>
            <w:vAlign w:val="center"/>
            <w:hideMark/>
          </w:tcPr>
          <w:p w14:paraId="013ED29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3.1. Linna- ja linnalähedaste metsade kaitse ja edendamine</w:t>
            </w:r>
          </w:p>
        </w:tc>
        <w:tc>
          <w:tcPr>
            <w:tcW w:w="900" w:type="dxa"/>
            <w:shd w:val="clear" w:color="auto" w:fill="C6EFCE"/>
            <w:noWrap/>
            <w:vAlign w:val="center"/>
            <w:hideMark/>
          </w:tcPr>
          <w:p w14:paraId="62211D4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2487" w:type="dxa"/>
            <w:shd w:val="clear" w:color="auto" w:fill="C6EFCE"/>
            <w:noWrap/>
            <w:vAlign w:val="center"/>
            <w:hideMark/>
          </w:tcPr>
          <w:p w14:paraId="2B6E134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Taimepuud linna- ja linnalähedaste rohealade kaitseks ja väärtustamiseks T2</w:t>
            </w:r>
          </w:p>
        </w:tc>
        <w:tc>
          <w:tcPr>
            <w:tcW w:w="1684" w:type="dxa"/>
            <w:shd w:val="clear" w:color="auto" w:fill="C6EFCE"/>
            <w:noWrap/>
            <w:vAlign w:val="center"/>
            <w:hideMark/>
          </w:tcPr>
          <w:p w14:paraId="38E5625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94" w:type="dxa"/>
            <w:shd w:val="clear" w:color="auto" w:fill="C6EFCE"/>
            <w:noWrap/>
            <w:vAlign w:val="center"/>
            <w:hideMark/>
          </w:tcPr>
          <w:p w14:paraId="52FB0A4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Arv</w:t>
            </w:r>
          </w:p>
        </w:tc>
        <w:tc>
          <w:tcPr>
            <w:tcW w:w="982" w:type="dxa"/>
            <w:shd w:val="clear" w:color="auto" w:fill="C6EFCE"/>
            <w:noWrap/>
            <w:vAlign w:val="center"/>
            <w:hideMark/>
          </w:tcPr>
          <w:p w14:paraId="03C75CF5" w14:textId="459EF052"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1 650 000</w:t>
            </w:r>
          </w:p>
        </w:tc>
        <w:tc>
          <w:tcPr>
            <w:tcW w:w="1046" w:type="dxa"/>
            <w:shd w:val="clear" w:color="auto" w:fill="C6EFCE"/>
            <w:noWrap/>
            <w:vAlign w:val="center"/>
            <w:hideMark/>
          </w:tcPr>
          <w:p w14:paraId="1245D7D5" w14:textId="0BB17380"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4 500 000</w:t>
            </w:r>
          </w:p>
        </w:tc>
        <w:tc>
          <w:tcPr>
            <w:tcW w:w="772" w:type="dxa"/>
            <w:shd w:val="clear" w:color="auto" w:fill="C6EFCE"/>
            <w:noWrap/>
            <w:vAlign w:val="center"/>
            <w:hideMark/>
          </w:tcPr>
          <w:p w14:paraId="1C75BC08" w14:textId="4363E14B"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663" w:type="dxa"/>
            <w:shd w:val="clear" w:color="auto" w:fill="C6EFCE"/>
            <w:noWrap/>
            <w:vAlign w:val="center"/>
            <w:hideMark/>
          </w:tcPr>
          <w:p w14:paraId="6BBB347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2024</w:t>
            </w:r>
          </w:p>
        </w:tc>
        <w:tc>
          <w:tcPr>
            <w:tcW w:w="3401" w:type="dxa"/>
            <w:shd w:val="clear" w:color="auto" w:fill="C6EFCE"/>
            <w:noWrap/>
            <w:vAlign w:val="center"/>
            <w:hideMark/>
          </w:tcPr>
          <w:p w14:paraId="07D927A8" w14:textId="7165BE06"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Tehas, milles on 12. detsembri 2019. aasta seaduse 141 (nn kliimaseadus) artikli 4 kohaselt vähemalt 4 500 000 puud linna- ja eeslinnapiirkondade taasmetsastamiseks.</w:t>
            </w:r>
          </w:p>
        </w:tc>
      </w:tr>
      <w:tr w:rsidR="004775AA" w:rsidRPr="00D90835" w14:paraId="3D408616" w14:textId="77777777" w:rsidTr="004775AA">
        <w:trPr>
          <w:trHeight w:val="313"/>
          <w:jc w:val="center"/>
        </w:trPr>
        <w:tc>
          <w:tcPr>
            <w:tcW w:w="106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B564CE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M2C4-20bis</w:t>
            </w:r>
          </w:p>
        </w:tc>
        <w:tc>
          <w:tcPr>
            <w:tcW w:w="248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D240D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3.1. Linna- ja linnalähedaste metsade kaitse ja edendamine</w:t>
            </w:r>
          </w:p>
        </w:tc>
        <w:tc>
          <w:tcPr>
            <w:tcW w:w="90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0D838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248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27B46E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Taimepuud linna- ja linnalähedaste rohealade kaitseks ja väärtustamiseks T3</w:t>
            </w:r>
          </w:p>
        </w:tc>
        <w:tc>
          <w:tcPr>
            <w:tcW w:w="168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5AFD1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9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3ACC6B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Arv</w:t>
            </w:r>
          </w:p>
        </w:tc>
        <w:tc>
          <w:tcPr>
            <w:tcW w:w="98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64FD5B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0</w:t>
            </w:r>
          </w:p>
        </w:tc>
        <w:tc>
          <w:tcPr>
            <w:tcW w:w="104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FC582CD" w14:textId="51BE6550"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3 500 000</w:t>
            </w:r>
          </w:p>
        </w:tc>
        <w:tc>
          <w:tcPr>
            <w:tcW w:w="77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37BF5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 kv</w:t>
            </w:r>
          </w:p>
        </w:tc>
        <w:tc>
          <w:tcPr>
            <w:tcW w:w="663" w:type="dxa"/>
            <w:tcBorders>
              <w:top w:val="single" w:sz="4" w:space="0" w:color="auto"/>
              <w:left w:val="single" w:sz="4" w:space="0" w:color="auto"/>
              <w:bottom w:val="single" w:sz="4" w:space="0" w:color="auto"/>
              <w:right w:val="single" w:sz="4" w:space="0" w:color="auto"/>
            </w:tcBorders>
            <w:shd w:val="clear" w:color="auto" w:fill="C6EFCE"/>
            <w:vAlign w:val="center"/>
          </w:tcPr>
          <w:p w14:paraId="40B4A11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2026</w:t>
            </w:r>
          </w:p>
        </w:tc>
        <w:tc>
          <w:tcPr>
            <w:tcW w:w="34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C957899" w14:textId="0B3BEEE0"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Kultiveerimismaterjali (seemned või taimed) ümberistutamine vähemalt 3 500 000 puude ja põõsaste jaoks linna- ja linnalähedaste piirkondade taasmetsastamiseks vastavalt 12. detsembri 2019. aasta seaduse 141 (nn kliimaseadus) artiklile 4.</w:t>
            </w:r>
          </w:p>
        </w:tc>
      </w:tr>
      <w:tr w:rsidR="004775AA" w:rsidRPr="00D90835" w14:paraId="23E36D8E" w14:textId="77777777" w:rsidTr="004775AA">
        <w:trPr>
          <w:trHeight w:val="313"/>
          <w:jc w:val="center"/>
        </w:trPr>
        <w:tc>
          <w:tcPr>
            <w:tcW w:w="1064" w:type="dxa"/>
            <w:shd w:val="clear" w:color="auto" w:fill="C6EFCE"/>
            <w:noWrap/>
            <w:vAlign w:val="center"/>
            <w:hideMark/>
          </w:tcPr>
          <w:p w14:paraId="6F64C13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M2C4-21</w:t>
            </w:r>
          </w:p>
        </w:tc>
        <w:tc>
          <w:tcPr>
            <w:tcW w:w="2487" w:type="dxa"/>
            <w:shd w:val="clear" w:color="auto" w:fill="C6EFCE"/>
            <w:noWrap/>
            <w:vAlign w:val="center"/>
            <w:hideMark/>
          </w:tcPr>
          <w:p w14:paraId="0756842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3.3. Po piirkonnas looduskeskkonna taastamine</w:t>
            </w:r>
          </w:p>
        </w:tc>
        <w:tc>
          <w:tcPr>
            <w:tcW w:w="900" w:type="dxa"/>
            <w:shd w:val="clear" w:color="auto" w:fill="C6EFCE"/>
            <w:noWrap/>
            <w:vAlign w:val="center"/>
            <w:hideMark/>
          </w:tcPr>
          <w:p w14:paraId="1D178B6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2487" w:type="dxa"/>
            <w:shd w:val="clear" w:color="auto" w:fill="C6EFCE"/>
            <w:noWrap/>
            <w:vAlign w:val="center"/>
            <w:hideMark/>
          </w:tcPr>
          <w:p w14:paraId="2B4AD43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Po piirkonnas looduskeskkonna taastamiseks võetavate sekkumismeetmete õigusraamistiku läbivaatamine</w:t>
            </w:r>
          </w:p>
        </w:tc>
        <w:tc>
          <w:tcPr>
            <w:tcW w:w="1684" w:type="dxa"/>
            <w:shd w:val="clear" w:color="auto" w:fill="C6EFCE"/>
            <w:noWrap/>
            <w:vAlign w:val="center"/>
            <w:hideMark/>
          </w:tcPr>
          <w:p w14:paraId="70BC22D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Asjaomase õigusakti jõustumisele viitav säte</w:t>
            </w:r>
          </w:p>
        </w:tc>
        <w:tc>
          <w:tcPr>
            <w:tcW w:w="1094" w:type="dxa"/>
            <w:shd w:val="clear" w:color="auto" w:fill="C6EFCE"/>
            <w:noWrap/>
            <w:vAlign w:val="center"/>
            <w:hideMark/>
          </w:tcPr>
          <w:p w14:paraId="7C924CC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82" w:type="dxa"/>
            <w:shd w:val="clear" w:color="auto" w:fill="C6EFCE"/>
            <w:noWrap/>
            <w:vAlign w:val="center"/>
            <w:hideMark/>
          </w:tcPr>
          <w:p w14:paraId="1399507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46" w:type="dxa"/>
            <w:shd w:val="clear" w:color="auto" w:fill="C6EFCE"/>
            <w:noWrap/>
            <w:vAlign w:val="center"/>
            <w:hideMark/>
          </w:tcPr>
          <w:p w14:paraId="7BB149D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772" w:type="dxa"/>
            <w:shd w:val="clear" w:color="auto" w:fill="C6EFCE"/>
            <w:noWrap/>
            <w:vAlign w:val="center"/>
            <w:hideMark/>
          </w:tcPr>
          <w:p w14:paraId="5B6A77B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 kv</w:t>
            </w:r>
          </w:p>
        </w:tc>
        <w:tc>
          <w:tcPr>
            <w:tcW w:w="663" w:type="dxa"/>
            <w:shd w:val="clear" w:color="auto" w:fill="C6EFCE"/>
            <w:noWrap/>
            <w:vAlign w:val="center"/>
            <w:hideMark/>
          </w:tcPr>
          <w:p w14:paraId="1E7EE9A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2023</w:t>
            </w:r>
          </w:p>
        </w:tc>
        <w:tc>
          <w:tcPr>
            <w:tcW w:w="3401" w:type="dxa"/>
            <w:shd w:val="clear" w:color="auto" w:fill="C6EFCE"/>
            <w:noWrap/>
            <w:vAlign w:val="center"/>
            <w:hideMark/>
          </w:tcPr>
          <w:p w14:paraId="05D6FE38"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Jõustuvad asjakohased õigusaktid, mille eesmärk on taastada jõepõhjas paiknev ökoloogiline koridor, sealhulgas looduslik taasmetsastamine ning sekkumised külgharude ja okaspuude taastamiseks ja taasaktiveerimiseks.</w:t>
            </w:r>
          </w:p>
        </w:tc>
      </w:tr>
      <w:tr w:rsidR="004775AA" w:rsidRPr="00D90835" w14:paraId="14F0CD61" w14:textId="77777777" w:rsidTr="004775AA">
        <w:trPr>
          <w:trHeight w:val="313"/>
          <w:jc w:val="center"/>
        </w:trPr>
        <w:tc>
          <w:tcPr>
            <w:tcW w:w="1064" w:type="dxa"/>
            <w:shd w:val="clear" w:color="auto" w:fill="C6EFCE"/>
            <w:noWrap/>
            <w:vAlign w:val="center"/>
            <w:hideMark/>
          </w:tcPr>
          <w:p w14:paraId="66EEB7C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M2C4-22</w:t>
            </w:r>
          </w:p>
        </w:tc>
        <w:tc>
          <w:tcPr>
            <w:tcW w:w="2487" w:type="dxa"/>
            <w:shd w:val="clear" w:color="auto" w:fill="C6EFCE"/>
            <w:noWrap/>
            <w:vAlign w:val="center"/>
            <w:hideMark/>
          </w:tcPr>
          <w:p w14:paraId="6F0E1DC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3.3. Po piirkonnas looduskeskkonna taastamine</w:t>
            </w:r>
          </w:p>
        </w:tc>
        <w:tc>
          <w:tcPr>
            <w:tcW w:w="900" w:type="dxa"/>
            <w:shd w:val="clear" w:color="auto" w:fill="C6EFCE"/>
            <w:noWrap/>
            <w:vAlign w:val="center"/>
            <w:hideMark/>
          </w:tcPr>
          <w:p w14:paraId="0B99EB4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2487" w:type="dxa"/>
            <w:shd w:val="clear" w:color="auto" w:fill="C6EFCE"/>
            <w:noWrap/>
            <w:vAlign w:val="center"/>
            <w:hideMark/>
          </w:tcPr>
          <w:p w14:paraId="2AE410C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Jõesängi kunstlikkuse vähendamine Po piirkonna T1 ümberkülvamiseks</w:t>
            </w:r>
          </w:p>
        </w:tc>
        <w:tc>
          <w:tcPr>
            <w:tcW w:w="1684" w:type="dxa"/>
            <w:shd w:val="clear" w:color="auto" w:fill="C6EFCE"/>
            <w:noWrap/>
            <w:vAlign w:val="center"/>
            <w:hideMark/>
          </w:tcPr>
          <w:p w14:paraId="0A64AA8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94" w:type="dxa"/>
            <w:shd w:val="clear" w:color="auto" w:fill="C6EFCE"/>
            <w:noWrap/>
            <w:vAlign w:val="center"/>
            <w:hideMark/>
          </w:tcPr>
          <w:p w14:paraId="52EE45F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Arv</w:t>
            </w:r>
          </w:p>
        </w:tc>
        <w:tc>
          <w:tcPr>
            <w:tcW w:w="982" w:type="dxa"/>
            <w:shd w:val="clear" w:color="auto" w:fill="C6EFCE"/>
            <w:noWrap/>
            <w:vAlign w:val="center"/>
            <w:hideMark/>
          </w:tcPr>
          <w:p w14:paraId="19FF27E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0</w:t>
            </w:r>
          </w:p>
        </w:tc>
        <w:tc>
          <w:tcPr>
            <w:tcW w:w="1046" w:type="dxa"/>
            <w:shd w:val="clear" w:color="auto" w:fill="C6EFCE"/>
            <w:noWrap/>
            <w:vAlign w:val="center"/>
            <w:hideMark/>
          </w:tcPr>
          <w:p w14:paraId="6CAA25C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13</w:t>
            </w:r>
          </w:p>
        </w:tc>
        <w:tc>
          <w:tcPr>
            <w:tcW w:w="772" w:type="dxa"/>
            <w:shd w:val="clear" w:color="auto" w:fill="C6EFCE"/>
            <w:noWrap/>
            <w:vAlign w:val="center"/>
            <w:hideMark/>
          </w:tcPr>
          <w:p w14:paraId="567815D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663" w:type="dxa"/>
            <w:shd w:val="clear" w:color="auto" w:fill="C6EFCE"/>
            <w:noWrap/>
            <w:vAlign w:val="center"/>
            <w:hideMark/>
          </w:tcPr>
          <w:p w14:paraId="57EB9FB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2024</w:t>
            </w:r>
          </w:p>
        </w:tc>
        <w:tc>
          <w:tcPr>
            <w:tcW w:w="3401" w:type="dxa"/>
            <w:shd w:val="clear" w:color="auto" w:fill="C6EFCE"/>
            <w:noWrap/>
            <w:vAlign w:val="center"/>
            <w:hideMark/>
          </w:tcPr>
          <w:p w14:paraId="055B26EC"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Vähendada jõesängi tehislikkust vähemalt 13 km võrra, mis tuuakse tagasi Po teljele.</w:t>
            </w:r>
          </w:p>
        </w:tc>
      </w:tr>
      <w:tr w:rsidR="004775AA" w:rsidRPr="00D90835" w14:paraId="326DFDF2" w14:textId="77777777" w:rsidTr="004775AA">
        <w:trPr>
          <w:trHeight w:val="313"/>
          <w:jc w:val="center"/>
        </w:trPr>
        <w:tc>
          <w:tcPr>
            <w:tcW w:w="1064" w:type="dxa"/>
            <w:shd w:val="clear" w:color="auto" w:fill="C6EFCE"/>
            <w:noWrap/>
            <w:vAlign w:val="center"/>
            <w:hideMark/>
          </w:tcPr>
          <w:p w14:paraId="7503CB1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M2C4-23</w:t>
            </w:r>
          </w:p>
        </w:tc>
        <w:tc>
          <w:tcPr>
            <w:tcW w:w="2487" w:type="dxa"/>
            <w:shd w:val="clear" w:color="auto" w:fill="C6EFCE"/>
            <w:noWrap/>
            <w:vAlign w:val="center"/>
            <w:hideMark/>
          </w:tcPr>
          <w:p w14:paraId="2D923A4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3.3. Po piirkonnas looduskeskkonna taastamine</w:t>
            </w:r>
          </w:p>
        </w:tc>
        <w:tc>
          <w:tcPr>
            <w:tcW w:w="900" w:type="dxa"/>
            <w:shd w:val="clear" w:color="auto" w:fill="C6EFCE"/>
            <w:noWrap/>
            <w:vAlign w:val="center"/>
            <w:hideMark/>
          </w:tcPr>
          <w:p w14:paraId="5DD3377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2487" w:type="dxa"/>
            <w:shd w:val="clear" w:color="auto" w:fill="C6EFCE"/>
            <w:noWrap/>
            <w:vAlign w:val="center"/>
            <w:hideMark/>
          </w:tcPr>
          <w:p w14:paraId="0B03E9D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Jõesängi kunstlikkuse vähendamine Po piirkonna T2 ümberkülvamiseks</w:t>
            </w:r>
          </w:p>
        </w:tc>
        <w:tc>
          <w:tcPr>
            <w:tcW w:w="1684" w:type="dxa"/>
            <w:shd w:val="clear" w:color="auto" w:fill="C6EFCE"/>
            <w:noWrap/>
            <w:vAlign w:val="center"/>
            <w:hideMark/>
          </w:tcPr>
          <w:p w14:paraId="302E782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94" w:type="dxa"/>
            <w:shd w:val="clear" w:color="auto" w:fill="C6EFCE"/>
            <w:noWrap/>
            <w:vAlign w:val="center"/>
            <w:hideMark/>
          </w:tcPr>
          <w:p w14:paraId="01C45FF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Arv</w:t>
            </w:r>
          </w:p>
        </w:tc>
        <w:tc>
          <w:tcPr>
            <w:tcW w:w="982" w:type="dxa"/>
            <w:shd w:val="clear" w:color="auto" w:fill="C6EFCE"/>
            <w:noWrap/>
            <w:vAlign w:val="center"/>
            <w:hideMark/>
          </w:tcPr>
          <w:p w14:paraId="65A23A8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13</w:t>
            </w:r>
          </w:p>
        </w:tc>
        <w:tc>
          <w:tcPr>
            <w:tcW w:w="1046" w:type="dxa"/>
            <w:shd w:val="clear" w:color="auto" w:fill="C6EFCE"/>
            <w:noWrap/>
            <w:vAlign w:val="center"/>
            <w:hideMark/>
          </w:tcPr>
          <w:p w14:paraId="1BAB546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37</w:t>
            </w:r>
          </w:p>
        </w:tc>
        <w:tc>
          <w:tcPr>
            <w:tcW w:w="772" w:type="dxa"/>
            <w:shd w:val="clear" w:color="auto" w:fill="C6EFCE"/>
            <w:noWrap/>
            <w:vAlign w:val="center"/>
            <w:hideMark/>
          </w:tcPr>
          <w:p w14:paraId="16D2200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1. kv</w:t>
            </w:r>
          </w:p>
        </w:tc>
        <w:tc>
          <w:tcPr>
            <w:tcW w:w="663" w:type="dxa"/>
            <w:shd w:val="clear" w:color="auto" w:fill="C6EFCE"/>
            <w:noWrap/>
            <w:vAlign w:val="center"/>
            <w:hideMark/>
          </w:tcPr>
          <w:p w14:paraId="16247FB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2026</w:t>
            </w:r>
          </w:p>
        </w:tc>
        <w:tc>
          <w:tcPr>
            <w:tcW w:w="3401" w:type="dxa"/>
            <w:shd w:val="clear" w:color="auto" w:fill="C6EFCE"/>
            <w:noWrap/>
            <w:vAlign w:val="center"/>
            <w:hideMark/>
          </w:tcPr>
          <w:p w14:paraId="114580E1"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Vähendada jõesängi tehislikkust vähemalt 37 km võrra, mis tuuakse tagasi Po teljele.</w:t>
            </w:r>
          </w:p>
        </w:tc>
      </w:tr>
      <w:tr w:rsidR="004775AA" w:rsidRPr="00D90835" w14:paraId="3A4DC285" w14:textId="77777777" w:rsidTr="004775AA">
        <w:trPr>
          <w:trHeight w:val="313"/>
          <w:jc w:val="center"/>
        </w:trPr>
        <w:tc>
          <w:tcPr>
            <w:tcW w:w="1064" w:type="dxa"/>
            <w:shd w:val="clear" w:color="auto" w:fill="C6EFCE"/>
            <w:noWrap/>
            <w:vAlign w:val="center"/>
            <w:hideMark/>
          </w:tcPr>
          <w:p w14:paraId="40B40E5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M2C4-24</w:t>
            </w:r>
          </w:p>
        </w:tc>
        <w:tc>
          <w:tcPr>
            <w:tcW w:w="2487" w:type="dxa"/>
            <w:shd w:val="clear" w:color="auto" w:fill="C6EFCE"/>
            <w:noWrap/>
            <w:vAlign w:val="center"/>
            <w:hideMark/>
          </w:tcPr>
          <w:p w14:paraId="56963EB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3.4. Harva kasutatavate alade mulla tervendamine</w:t>
            </w:r>
          </w:p>
        </w:tc>
        <w:tc>
          <w:tcPr>
            <w:tcW w:w="900" w:type="dxa"/>
            <w:shd w:val="clear" w:color="auto" w:fill="C6EFCE"/>
            <w:noWrap/>
            <w:vAlign w:val="center"/>
            <w:hideMark/>
          </w:tcPr>
          <w:p w14:paraId="5CF11E5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2487" w:type="dxa"/>
            <w:shd w:val="clear" w:color="auto" w:fill="C6EFCE"/>
            <w:noWrap/>
            <w:vAlign w:val="center"/>
            <w:hideMark/>
          </w:tcPr>
          <w:p w14:paraId="2926C9D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Harva kasutatavate alade puhastamise õigusraamistik</w:t>
            </w:r>
          </w:p>
        </w:tc>
        <w:tc>
          <w:tcPr>
            <w:tcW w:w="1684" w:type="dxa"/>
            <w:shd w:val="clear" w:color="auto" w:fill="C6EFCE"/>
            <w:noWrap/>
            <w:vAlign w:val="center"/>
            <w:hideMark/>
          </w:tcPr>
          <w:p w14:paraId="501A718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Asjaomase õigusakti säte, mis viitab tegevuskava vastuvõtmisele</w:t>
            </w:r>
          </w:p>
        </w:tc>
        <w:tc>
          <w:tcPr>
            <w:tcW w:w="1094" w:type="dxa"/>
            <w:shd w:val="clear" w:color="auto" w:fill="C6EFCE"/>
            <w:noWrap/>
            <w:vAlign w:val="center"/>
            <w:hideMark/>
          </w:tcPr>
          <w:p w14:paraId="2182573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82" w:type="dxa"/>
            <w:shd w:val="clear" w:color="auto" w:fill="C6EFCE"/>
            <w:noWrap/>
            <w:vAlign w:val="center"/>
            <w:hideMark/>
          </w:tcPr>
          <w:p w14:paraId="205950B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46" w:type="dxa"/>
            <w:shd w:val="clear" w:color="auto" w:fill="C6EFCE"/>
            <w:noWrap/>
            <w:vAlign w:val="center"/>
            <w:hideMark/>
          </w:tcPr>
          <w:p w14:paraId="1D79837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772" w:type="dxa"/>
            <w:shd w:val="clear" w:color="auto" w:fill="C6EFCE"/>
            <w:noWrap/>
            <w:vAlign w:val="center"/>
            <w:hideMark/>
          </w:tcPr>
          <w:p w14:paraId="59B5856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663" w:type="dxa"/>
            <w:shd w:val="clear" w:color="auto" w:fill="C6EFCE"/>
            <w:noWrap/>
            <w:vAlign w:val="center"/>
            <w:hideMark/>
          </w:tcPr>
          <w:p w14:paraId="23CAE4E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2022</w:t>
            </w:r>
          </w:p>
        </w:tc>
        <w:tc>
          <w:tcPr>
            <w:tcW w:w="3401" w:type="dxa"/>
            <w:shd w:val="clear" w:color="auto" w:fill="C6EFCE"/>
            <w:noWrap/>
            <w:vAlign w:val="center"/>
            <w:hideMark/>
          </w:tcPr>
          <w:p w14:paraId="39BD609E"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Tegevuskava vastuvõtmises omanikuta alade taaselustamiseks, et vähendada maa hõivamist ja edendada linnade taaselustamist. See peab sisaldama vähemalt järgmist:</w:t>
            </w:r>
          </w:p>
          <w:p w14:paraId="3130654A" w14:textId="77777777" w:rsidR="0084326C" w:rsidRPr="005D68A0" w:rsidRDefault="0084326C">
            <w:pPr>
              <w:pStyle w:val="ListParagraph"/>
              <w:numPr>
                <w:ilvl w:val="0"/>
                <w:numId w:val="69"/>
              </w:numPr>
              <w:spacing w:before="0" w:after="0" w:line="276" w:lineRule="auto"/>
              <w:ind w:left="305"/>
              <w:jc w:val="left"/>
              <w:rPr>
                <w:rFonts w:ascii="Arial Narrow" w:hAnsi="Arial Narrow"/>
                <w:noProof/>
                <w:color w:val="006100"/>
                <w:sz w:val="20"/>
                <w:szCs w:val="20"/>
              </w:rPr>
            </w:pPr>
            <w:r>
              <w:rPr>
                <w:rFonts w:ascii="Arial Narrow" w:hAnsi="Arial Narrow"/>
                <w:noProof/>
                <w:color w:val="006100"/>
                <w:sz w:val="20"/>
              </w:rPr>
              <w:t>Saastatud alade kindlakstegemine kõigis 21 piirkonnas ja/või autonoomses provintsis</w:t>
            </w:r>
          </w:p>
          <w:p w14:paraId="3569E39D" w14:textId="1547AE31" w:rsidR="0084326C" w:rsidRPr="005D68A0" w:rsidRDefault="0084326C" w:rsidP="00BB258E">
            <w:pPr>
              <w:pStyle w:val="ListParagraph"/>
              <w:numPr>
                <w:ilvl w:val="0"/>
                <w:numId w:val="69"/>
              </w:numPr>
              <w:spacing w:before="0" w:after="0" w:line="276" w:lineRule="auto"/>
              <w:ind w:left="305"/>
              <w:jc w:val="left"/>
              <w:rPr>
                <w:rFonts w:ascii="Arial Narrow" w:hAnsi="Arial Narrow"/>
                <w:noProof/>
                <w:color w:val="006100"/>
                <w:sz w:val="20"/>
                <w:szCs w:val="20"/>
              </w:rPr>
            </w:pPr>
            <w:r>
              <w:rPr>
                <w:rFonts w:ascii="Arial Narrow" w:hAnsi="Arial Narrow"/>
                <w:noProof/>
                <w:color w:val="006100"/>
                <w:sz w:val="20"/>
              </w:rPr>
              <w:t>Iga omanikuta ala puhul võetavad konkreetsed meetmed maa hõivamise vähendamiseks ja linnade taaselustamise tõhustamiseks</w:t>
            </w:r>
          </w:p>
        </w:tc>
      </w:tr>
      <w:tr w:rsidR="004775AA" w:rsidRPr="00D90835" w14:paraId="3200CE96" w14:textId="77777777" w:rsidTr="004775AA">
        <w:trPr>
          <w:trHeight w:val="313"/>
          <w:jc w:val="center"/>
        </w:trPr>
        <w:tc>
          <w:tcPr>
            <w:tcW w:w="1064" w:type="dxa"/>
            <w:shd w:val="clear" w:color="auto" w:fill="C6EFCE"/>
            <w:noWrap/>
            <w:vAlign w:val="center"/>
            <w:hideMark/>
          </w:tcPr>
          <w:p w14:paraId="542C42E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M2C4-25</w:t>
            </w:r>
          </w:p>
        </w:tc>
        <w:tc>
          <w:tcPr>
            <w:tcW w:w="2487" w:type="dxa"/>
            <w:shd w:val="clear" w:color="auto" w:fill="C6EFCE"/>
            <w:noWrap/>
            <w:vAlign w:val="center"/>
            <w:hideMark/>
          </w:tcPr>
          <w:p w14:paraId="410F88E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3.4. Harva kasutatavate alade mulla tervendamine</w:t>
            </w:r>
          </w:p>
        </w:tc>
        <w:tc>
          <w:tcPr>
            <w:tcW w:w="900" w:type="dxa"/>
            <w:shd w:val="clear" w:color="auto" w:fill="C6EFCE"/>
            <w:noWrap/>
            <w:vAlign w:val="center"/>
            <w:hideMark/>
          </w:tcPr>
          <w:p w14:paraId="0C04293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2487" w:type="dxa"/>
            <w:shd w:val="clear" w:color="auto" w:fill="C6EFCE"/>
            <w:noWrap/>
            <w:vAlign w:val="center"/>
            <w:hideMark/>
          </w:tcPr>
          <w:p w14:paraId="16ACE86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Omanikuta mälestiste taaselustamine</w:t>
            </w:r>
          </w:p>
        </w:tc>
        <w:tc>
          <w:tcPr>
            <w:tcW w:w="1684" w:type="dxa"/>
            <w:shd w:val="clear" w:color="auto" w:fill="C6EFCE"/>
            <w:noWrap/>
            <w:vAlign w:val="center"/>
            <w:hideMark/>
          </w:tcPr>
          <w:p w14:paraId="025CD30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94" w:type="dxa"/>
            <w:shd w:val="clear" w:color="auto" w:fill="C6EFCE"/>
            <w:noWrap/>
            <w:vAlign w:val="center"/>
            <w:hideMark/>
          </w:tcPr>
          <w:p w14:paraId="3E19311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Protsent</w:t>
            </w:r>
          </w:p>
        </w:tc>
        <w:tc>
          <w:tcPr>
            <w:tcW w:w="982" w:type="dxa"/>
            <w:shd w:val="clear" w:color="auto" w:fill="C6EFCE"/>
            <w:noWrap/>
            <w:vAlign w:val="center"/>
            <w:hideMark/>
          </w:tcPr>
          <w:p w14:paraId="677D7FB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0</w:t>
            </w:r>
          </w:p>
        </w:tc>
        <w:tc>
          <w:tcPr>
            <w:tcW w:w="1046" w:type="dxa"/>
            <w:shd w:val="clear" w:color="auto" w:fill="C6EFCE"/>
            <w:noWrap/>
            <w:vAlign w:val="center"/>
            <w:hideMark/>
          </w:tcPr>
          <w:p w14:paraId="5498CAE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70</w:t>
            </w:r>
          </w:p>
        </w:tc>
        <w:tc>
          <w:tcPr>
            <w:tcW w:w="772" w:type="dxa"/>
            <w:shd w:val="clear" w:color="auto" w:fill="C6EFCE"/>
            <w:noWrap/>
            <w:vAlign w:val="center"/>
            <w:hideMark/>
          </w:tcPr>
          <w:p w14:paraId="04AD91D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1. kv</w:t>
            </w:r>
          </w:p>
        </w:tc>
        <w:tc>
          <w:tcPr>
            <w:tcW w:w="663" w:type="dxa"/>
            <w:shd w:val="clear" w:color="auto" w:fill="C6EFCE"/>
            <w:noWrap/>
            <w:vAlign w:val="center"/>
            <w:hideMark/>
          </w:tcPr>
          <w:p w14:paraId="11C15B6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2026</w:t>
            </w:r>
          </w:p>
        </w:tc>
        <w:tc>
          <w:tcPr>
            <w:tcW w:w="3401" w:type="dxa"/>
            <w:shd w:val="clear" w:color="auto" w:fill="C6EFCE"/>
            <w:noWrap/>
            <w:vAlign w:val="center"/>
            <w:hideMark/>
          </w:tcPr>
          <w:p w14:paraId="41DC0D8E"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Taaselustada vähemalt 70 % saastatud alade pinnast, et vähendada maa hõivamist ja edendada linnade taaselustamist.</w:t>
            </w:r>
          </w:p>
        </w:tc>
      </w:tr>
      <w:tr w:rsidR="004775AA" w:rsidRPr="00D90835" w14:paraId="1A595BC9" w14:textId="77777777" w:rsidTr="004775AA">
        <w:trPr>
          <w:trHeight w:val="313"/>
          <w:jc w:val="center"/>
        </w:trPr>
        <w:tc>
          <w:tcPr>
            <w:tcW w:w="1064" w:type="dxa"/>
            <w:shd w:val="clear" w:color="auto" w:fill="C6EFCE"/>
            <w:noWrap/>
            <w:vAlign w:val="center"/>
            <w:hideMark/>
          </w:tcPr>
          <w:p w14:paraId="64022DB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M2C4-26</w:t>
            </w:r>
          </w:p>
        </w:tc>
        <w:tc>
          <w:tcPr>
            <w:tcW w:w="2487" w:type="dxa"/>
            <w:shd w:val="clear" w:color="auto" w:fill="C6EFCE"/>
            <w:noWrap/>
            <w:vAlign w:val="center"/>
            <w:hideMark/>
          </w:tcPr>
          <w:p w14:paraId="42A02AB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3.5. Merepõhja ja mereelupaikade taastamine ja kaitse</w:t>
            </w:r>
          </w:p>
        </w:tc>
        <w:tc>
          <w:tcPr>
            <w:tcW w:w="900" w:type="dxa"/>
            <w:shd w:val="clear" w:color="auto" w:fill="C6EFCE"/>
            <w:noWrap/>
            <w:vAlign w:val="center"/>
            <w:hideMark/>
          </w:tcPr>
          <w:p w14:paraId="159427B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2487" w:type="dxa"/>
            <w:shd w:val="clear" w:color="auto" w:fill="C6EFCE"/>
            <w:noWrap/>
            <w:vAlign w:val="center"/>
            <w:hideMark/>
          </w:tcPr>
          <w:p w14:paraId="6FC3906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Merepõhja ja mereelupaikade taastamine ja kaitse</w:t>
            </w:r>
          </w:p>
        </w:tc>
        <w:tc>
          <w:tcPr>
            <w:tcW w:w="1684" w:type="dxa"/>
            <w:shd w:val="clear" w:color="auto" w:fill="C6EFCE"/>
            <w:noWrap/>
            <w:vAlign w:val="center"/>
            <w:hideMark/>
          </w:tcPr>
          <w:p w14:paraId="3C86ECB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94" w:type="dxa"/>
            <w:shd w:val="clear" w:color="auto" w:fill="C6EFCE"/>
            <w:noWrap/>
            <w:vAlign w:val="center"/>
            <w:hideMark/>
          </w:tcPr>
          <w:p w14:paraId="1F33547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Arv</w:t>
            </w:r>
          </w:p>
        </w:tc>
        <w:tc>
          <w:tcPr>
            <w:tcW w:w="982" w:type="dxa"/>
            <w:shd w:val="clear" w:color="auto" w:fill="C6EFCE"/>
            <w:noWrap/>
            <w:vAlign w:val="center"/>
            <w:hideMark/>
          </w:tcPr>
          <w:p w14:paraId="0F3D018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0</w:t>
            </w:r>
          </w:p>
        </w:tc>
        <w:tc>
          <w:tcPr>
            <w:tcW w:w="1046" w:type="dxa"/>
            <w:shd w:val="clear" w:color="auto" w:fill="C6EFCE"/>
            <w:noWrap/>
            <w:vAlign w:val="center"/>
            <w:hideMark/>
          </w:tcPr>
          <w:p w14:paraId="326F46E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22</w:t>
            </w:r>
          </w:p>
        </w:tc>
        <w:tc>
          <w:tcPr>
            <w:tcW w:w="772" w:type="dxa"/>
            <w:shd w:val="clear" w:color="auto" w:fill="C6EFCE"/>
            <w:noWrap/>
            <w:vAlign w:val="center"/>
            <w:hideMark/>
          </w:tcPr>
          <w:p w14:paraId="720080C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 kv</w:t>
            </w:r>
          </w:p>
        </w:tc>
        <w:tc>
          <w:tcPr>
            <w:tcW w:w="663" w:type="dxa"/>
            <w:shd w:val="clear" w:color="auto" w:fill="C6EFCE"/>
            <w:noWrap/>
            <w:vAlign w:val="center"/>
            <w:hideMark/>
          </w:tcPr>
          <w:p w14:paraId="1859699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2025</w:t>
            </w:r>
          </w:p>
        </w:tc>
        <w:tc>
          <w:tcPr>
            <w:tcW w:w="3401" w:type="dxa"/>
            <w:shd w:val="clear" w:color="auto" w:fill="C6EFCE"/>
            <w:noWrap/>
            <w:vAlign w:val="center"/>
            <w:hideMark/>
          </w:tcPr>
          <w:p w14:paraId="3933FC0D"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Viia lõpule vähemalt 22 ulatuslikku sekkumist merepõhja ja mereelupaikade taastamisse ja kaitsesse ning rannikuseire süsteemidesse.</w:t>
            </w:r>
          </w:p>
        </w:tc>
      </w:tr>
      <w:tr w:rsidR="004775AA" w:rsidRPr="00D90835" w14:paraId="5455C2F7" w14:textId="77777777" w:rsidTr="004775AA">
        <w:trPr>
          <w:trHeight w:val="313"/>
          <w:jc w:val="center"/>
        </w:trPr>
        <w:tc>
          <w:tcPr>
            <w:tcW w:w="1064" w:type="dxa"/>
            <w:shd w:val="clear" w:color="auto" w:fill="C6EFCE"/>
            <w:noWrap/>
            <w:vAlign w:val="center"/>
            <w:hideMark/>
          </w:tcPr>
          <w:p w14:paraId="7122F86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M2C4-27</w:t>
            </w:r>
          </w:p>
        </w:tc>
        <w:tc>
          <w:tcPr>
            <w:tcW w:w="2487" w:type="dxa"/>
            <w:shd w:val="clear" w:color="auto" w:fill="C6EFCE"/>
            <w:noWrap/>
            <w:vAlign w:val="center"/>
            <w:hideMark/>
          </w:tcPr>
          <w:p w14:paraId="65A12F3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Reform 4.1. Õigusaktide lihtsustamine ja juhtimise tugevdamine veevarustuse infrastruktuuri tehtavate investeeringute rakendamiseks</w:t>
            </w:r>
          </w:p>
        </w:tc>
        <w:tc>
          <w:tcPr>
            <w:tcW w:w="900" w:type="dxa"/>
            <w:shd w:val="clear" w:color="auto" w:fill="C6EFCE"/>
            <w:noWrap/>
            <w:vAlign w:val="center"/>
            <w:hideMark/>
          </w:tcPr>
          <w:p w14:paraId="739DEF2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2487" w:type="dxa"/>
            <w:shd w:val="clear" w:color="auto" w:fill="C6EFCE"/>
            <w:noWrap/>
            <w:vAlign w:val="center"/>
            <w:hideMark/>
          </w:tcPr>
          <w:p w14:paraId="0CEBB92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Veevarustuse kindluse tagamiseks esmase veetaristuga seotud sekkumisi käsitlevate õigusaktide lihtsustamise jõustumine</w:t>
            </w:r>
          </w:p>
        </w:tc>
        <w:tc>
          <w:tcPr>
            <w:tcW w:w="1684" w:type="dxa"/>
            <w:shd w:val="clear" w:color="auto" w:fill="C6EFCE"/>
            <w:noWrap/>
            <w:vAlign w:val="center"/>
            <w:hideMark/>
          </w:tcPr>
          <w:p w14:paraId="4A29EF7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Asjaomas(t)e õigusakti(de) sätted, mis osutavad jõustumisele</w:t>
            </w:r>
          </w:p>
        </w:tc>
        <w:tc>
          <w:tcPr>
            <w:tcW w:w="1094" w:type="dxa"/>
            <w:shd w:val="clear" w:color="auto" w:fill="C6EFCE"/>
            <w:noWrap/>
            <w:vAlign w:val="center"/>
            <w:hideMark/>
          </w:tcPr>
          <w:p w14:paraId="45D3B4B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82" w:type="dxa"/>
            <w:shd w:val="clear" w:color="auto" w:fill="C6EFCE"/>
            <w:noWrap/>
            <w:vAlign w:val="center"/>
            <w:hideMark/>
          </w:tcPr>
          <w:p w14:paraId="65C7C0B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46" w:type="dxa"/>
            <w:shd w:val="clear" w:color="auto" w:fill="C6EFCE"/>
            <w:noWrap/>
            <w:vAlign w:val="center"/>
            <w:hideMark/>
          </w:tcPr>
          <w:p w14:paraId="3B3830B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772" w:type="dxa"/>
            <w:shd w:val="clear" w:color="auto" w:fill="C6EFCE"/>
            <w:noWrap/>
            <w:vAlign w:val="center"/>
            <w:hideMark/>
          </w:tcPr>
          <w:p w14:paraId="75B11A2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1. kv</w:t>
            </w:r>
          </w:p>
        </w:tc>
        <w:tc>
          <w:tcPr>
            <w:tcW w:w="663" w:type="dxa"/>
            <w:shd w:val="clear" w:color="auto" w:fill="C6EFCE"/>
            <w:noWrap/>
            <w:vAlign w:val="center"/>
            <w:hideMark/>
          </w:tcPr>
          <w:p w14:paraId="2645C6F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2022</w:t>
            </w:r>
          </w:p>
        </w:tc>
        <w:tc>
          <w:tcPr>
            <w:tcW w:w="3401" w:type="dxa"/>
            <w:shd w:val="clear" w:color="auto" w:fill="C6EFCE"/>
            <w:noWrap/>
            <w:vAlign w:val="center"/>
            <w:hideMark/>
          </w:tcPr>
          <w:p w14:paraId="5DEF3943"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Läbivaadatud õigusaktidega tugevdatakse veevarustuse infrastruktuuri investeeringute juhtimist ja lihtsustatakse nende rakendamist. Uus õigusraamistik peaks olema vähemalt:</w:t>
            </w:r>
          </w:p>
          <w:p w14:paraId="3D74B461" w14:textId="77777777" w:rsidR="0084326C" w:rsidRPr="00F33804" w:rsidRDefault="0084326C">
            <w:pPr>
              <w:spacing w:line="276" w:lineRule="auto"/>
              <w:rPr>
                <w:rFonts w:ascii="Arial Narrow" w:hAnsi="Arial Narrow"/>
                <w:noProof/>
                <w:color w:val="006100"/>
                <w:sz w:val="20"/>
                <w:szCs w:val="20"/>
              </w:rPr>
            </w:pPr>
          </w:p>
          <w:p w14:paraId="4138BC70" w14:textId="77777777" w:rsidR="0084326C" w:rsidRPr="005D68A0" w:rsidRDefault="0084326C">
            <w:pPr>
              <w:pStyle w:val="ListParagraph"/>
              <w:spacing w:before="0" w:after="0" w:line="276" w:lineRule="auto"/>
              <w:ind w:left="0"/>
              <w:jc w:val="left"/>
              <w:rPr>
                <w:rFonts w:ascii="Arial Narrow" w:hAnsi="Arial Narrow"/>
                <w:noProof/>
                <w:color w:val="006100"/>
                <w:sz w:val="20"/>
                <w:szCs w:val="20"/>
              </w:rPr>
            </w:pPr>
            <w:r>
              <w:rPr>
                <w:rFonts w:ascii="Arial Narrow" w:hAnsi="Arial Narrow"/>
                <w:noProof/>
                <w:color w:val="006100"/>
                <w:sz w:val="20"/>
              </w:rPr>
              <w:t>- Tehke veesektori sekkumiste riiklikust plaanist veesektori investeeringute keskne rahastamisvahend.</w:t>
            </w:r>
          </w:p>
          <w:p w14:paraId="38A1EE4D" w14:textId="77777777" w:rsidR="0084326C" w:rsidRPr="005D68A0" w:rsidRDefault="0084326C">
            <w:pPr>
              <w:pStyle w:val="ListParagraph"/>
              <w:spacing w:before="0" w:after="0" w:line="276" w:lineRule="auto"/>
              <w:ind w:left="0"/>
              <w:jc w:val="left"/>
              <w:rPr>
                <w:rFonts w:ascii="Arial Narrow" w:hAnsi="Arial Narrow"/>
                <w:noProof/>
                <w:color w:val="006100"/>
                <w:sz w:val="20"/>
                <w:szCs w:val="20"/>
              </w:rPr>
            </w:pPr>
            <w:r>
              <w:rPr>
                <w:rFonts w:ascii="Arial Narrow" w:hAnsi="Arial Narrow"/>
                <w:noProof/>
                <w:color w:val="006100"/>
                <w:sz w:val="20"/>
              </w:rPr>
              <w:t>- Küsida arvamust ja kaasata aktiivselt Regulaator (Autorità di Regolazione per Energia Reti e Ambiente) kõikidesse kava muudatustesse või ajakohastamistesse.</w:t>
            </w:r>
          </w:p>
          <w:p w14:paraId="373FE31B" w14:textId="77777777" w:rsidR="0084326C" w:rsidRPr="00F33804" w:rsidRDefault="0084326C">
            <w:pPr>
              <w:spacing w:line="276" w:lineRule="auto"/>
              <w:ind w:left="-29" w:firstLine="29"/>
              <w:rPr>
                <w:rFonts w:ascii="Arial Narrow" w:hAnsi="Arial Narrow"/>
                <w:noProof/>
                <w:color w:val="006100"/>
                <w:sz w:val="20"/>
                <w:szCs w:val="20"/>
              </w:rPr>
            </w:pPr>
          </w:p>
          <w:p w14:paraId="28F84233" w14:textId="77777777" w:rsidR="0084326C" w:rsidRPr="005D68A0" w:rsidRDefault="0084326C">
            <w:pPr>
              <w:pStyle w:val="ListParagraph"/>
              <w:spacing w:before="0" w:after="0" w:line="276" w:lineRule="auto"/>
              <w:ind w:left="0"/>
              <w:jc w:val="left"/>
              <w:rPr>
                <w:rFonts w:ascii="Arial Narrow" w:hAnsi="Arial Narrow"/>
                <w:noProof/>
                <w:color w:val="006100"/>
                <w:sz w:val="20"/>
                <w:szCs w:val="20"/>
              </w:rPr>
            </w:pPr>
            <w:r>
              <w:rPr>
                <w:rFonts w:ascii="Arial Narrow" w:hAnsi="Arial Narrow"/>
                <w:noProof/>
                <w:color w:val="006100"/>
                <w:sz w:val="20"/>
              </w:rPr>
              <w:t>- Pakkuda toetust ja kaasnevaid meetmeid rakendusasutustele, kes ei suuda ettenähtud aja jooksul teha esmahangetega seotud investeeringuid.</w:t>
            </w:r>
          </w:p>
          <w:p w14:paraId="57106BA1" w14:textId="77777777" w:rsidR="0084326C" w:rsidRPr="00F33804" w:rsidRDefault="0084326C">
            <w:pPr>
              <w:pStyle w:val="ListParagraph"/>
              <w:spacing w:before="0" w:after="0" w:line="276" w:lineRule="auto"/>
              <w:ind w:left="-29" w:firstLine="29"/>
              <w:jc w:val="left"/>
              <w:rPr>
                <w:rFonts w:ascii="Arial Narrow" w:hAnsi="Arial Narrow"/>
                <w:noProof/>
                <w:color w:val="006100"/>
                <w:sz w:val="20"/>
                <w:szCs w:val="20"/>
              </w:rPr>
            </w:pPr>
          </w:p>
          <w:p w14:paraId="2BFDD5CF" w14:textId="77777777" w:rsidR="0084326C" w:rsidRPr="005D68A0" w:rsidRDefault="0084326C">
            <w:pPr>
              <w:pStyle w:val="ListParagraph"/>
              <w:spacing w:before="0" w:after="0" w:line="276" w:lineRule="auto"/>
              <w:ind w:left="0"/>
              <w:jc w:val="left"/>
              <w:rPr>
                <w:rFonts w:ascii="Arial Narrow" w:hAnsi="Arial Narrow"/>
                <w:noProof/>
                <w:color w:val="006100"/>
                <w:sz w:val="20"/>
                <w:szCs w:val="20"/>
              </w:rPr>
            </w:pPr>
            <w:r>
              <w:rPr>
                <w:rFonts w:ascii="Arial Narrow" w:hAnsi="Arial Narrow"/>
                <w:noProof/>
                <w:color w:val="006100"/>
                <w:sz w:val="20"/>
              </w:rPr>
              <w:t>- Lihtsustada veesektoris rahastatavatest investeeringutest aruandmise ja nende üle järelevalve tegemise korda.</w:t>
            </w:r>
          </w:p>
          <w:p w14:paraId="44002344" w14:textId="77777777" w:rsidR="0084326C" w:rsidRPr="00F33804" w:rsidRDefault="0084326C">
            <w:pPr>
              <w:spacing w:line="276" w:lineRule="auto"/>
              <w:rPr>
                <w:rFonts w:ascii="Arial Narrow" w:hAnsi="Arial Narrow"/>
                <w:noProof/>
                <w:color w:val="006100"/>
                <w:sz w:val="20"/>
                <w:szCs w:val="20"/>
              </w:rPr>
            </w:pPr>
          </w:p>
        </w:tc>
      </w:tr>
      <w:tr w:rsidR="004775AA" w:rsidRPr="00D90835" w14:paraId="1534945B" w14:textId="77777777" w:rsidTr="004775AA">
        <w:trPr>
          <w:trHeight w:val="313"/>
          <w:jc w:val="center"/>
        </w:trPr>
        <w:tc>
          <w:tcPr>
            <w:tcW w:w="1064" w:type="dxa"/>
            <w:shd w:val="clear" w:color="auto" w:fill="C6EFCE"/>
            <w:noWrap/>
            <w:vAlign w:val="center"/>
            <w:hideMark/>
          </w:tcPr>
          <w:p w14:paraId="792560B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M2C4-28</w:t>
            </w:r>
          </w:p>
        </w:tc>
        <w:tc>
          <w:tcPr>
            <w:tcW w:w="2487" w:type="dxa"/>
            <w:shd w:val="clear" w:color="auto" w:fill="C6EFCE"/>
            <w:noWrap/>
            <w:vAlign w:val="center"/>
            <w:hideMark/>
          </w:tcPr>
          <w:p w14:paraId="29FBFDE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4.1. Investeeringud esmastesse veeinfrastruktuuridesse veevarustuse kindluse tagamiseks</w:t>
            </w:r>
          </w:p>
        </w:tc>
        <w:tc>
          <w:tcPr>
            <w:tcW w:w="900" w:type="dxa"/>
            <w:shd w:val="clear" w:color="auto" w:fill="C6EFCE"/>
            <w:noWrap/>
            <w:vAlign w:val="center"/>
            <w:hideMark/>
          </w:tcPr>
          <w:p w14:paraId="43498F2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2487" w:type="dxa"/>
            <w:shd w:val="clear" w:color="auto" w:fill="C6EFCE"/>
            <w:noWrap/>
            <w:vAlign w:val="center"/>
            <w:hideMark/>
          </w:tcPr>
          <w:p w14:paraId="78063A30" w14:textId="18A5A880" w:rsidR="0084326C" w:rsidRPr="005D68A0" w:rsidRDefault="6BB2FAED">
            <w:pPr>
              <w:spacing w:line="276" w:lineRule="auto"/>
              <w:jc w:val="center"/>
              <w:rPr>
                <w:rFonts w:ascii="Arial Narrow" w:hAnsi="Arial Narrow"/>
                <w:noProof/>
                <w:color w:val="006100"/>
                <w:sz w:val="20"/>
                <w:szCs w:val="20"/>
              </w:rPr>
            </w:pPr>
            <w:r>
              <w:rPr>
                <w:rFonts w:ascii="Arial Narrow" w:hAnsi="Arial Narrow"/>
                <w:noProof/>
                <w:color w:val="006100"/>
                <w:sz w:val="20"/>
              </w:rPr>
              <w:t>Rahaliste vahendite eraldamine kõigile projektidele, mis on seotud investeeringutega primaarveetaristusse ja veevarustuse kindlusega</w:t>
            </w:r>
          </w:p>
        </w:tc>
        <w:tc>
          <w:tcPr>
            <w:tcW w:w="1684" w:type="dxa"/>
            <w:shd w:val="clear" w:color="auto" w:fill="C6EFCE"/>
            <w:noWrap/>
            <w:vAlign w:val="center"/>
            <w:hideMark/>
          </w:tcPr>
          <w:p w14:paraId="21F32DEA" w14:textId="263DFEF5" w:rsidR="0084326C" w:rsidRPr="005D68A0" w:rsidRDefault="4A2B6CDD">
            <w:pPr>
              <w:spacing w:line="276" w:lineRule="auto"/>
              <w:jc w:val="center"/>
              <w:rPr>
                <w:rFonts w:ascii="Arial Narrow" w:hAnsi="Arial Narrow"/>
                <w:noProof/>
                <w:color w:val="006100"/>
                <w:sz w:val="20"/>
                <w:szCs w:val="20"/>
              </w:rPr>
            </w:pPr>
            <w:r>
              <w:rPr>
                <w:rFonts w:ascii="Arial Narrow" w:hAnsi="Arial Narrow"/>
                <w:noProof/>
                <w:color w:val="006100"/>
                <w:sz w:val="20"/>
              </w:rPr>
              <w:t>Dekreedi/dekreetide avaldamine.</w:t>
            </w:r>
          </w:p>
        </w:tc>
        <w:tc>
          <w:tcPr>
            <w:tcW w:w="1094" w:type="dxa"/>
            <w:shd w:val="clear" w:color="auto" w:fill="C6EFCE"/>
            <w:noWrap/>
            <w:vAlign w:val="center"/>
            <w:hideMark/>
          </w:tcPr>
          <w:p w14:paraId="093521D5" w14:textId="3A6C1E9B"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82" w:type="dxa"/>
            <w:shd w:val="clear" w:color="auto" w:fill="C6EFCE"/>
            <w:noWrap/>
            <w:vAlign w:val="center"/>
            <w:hideMark/>
          </w:tcPr>
          <w:p w14:paraId="565FA837" w14:textId="60DEE53E"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46" w:type="dxa"/>
            <w:shd w:val="clear" w:color="auto" w:fill="C6EFCE"/>
            <w:noWrap/>
            <w:vAlign w:val="center"/>
            <w:hideMark/>
          </w:tcPr>
          <w:p w14:paraId="2EC53CE5" w14:textId="620D598F" w:rsidR="0084326C" w:rsidRPr="005D68A0" w:rsidRDefault="0084326C">
            <w:pPr>
              <w:spacing w:line="276" w:lineRule="auto"/>
              <w:jc w:val="center"/>
              <w:rPr>
                <w:rFonts w:ascii="Arial Narrow" w:eastAsia="Arial Narrow" w:hAnsi="Arial Narrow" w:cs="Arial Narrow"/>
                <w:noProof/>
                <w:sz w:val="20"/>
                <w:szCs w:val="20"/>
              </w:rPr>
            </w:pPr>
            <w:r>
              <w:rPr>
                <w:rFonts w:ascii="Arial Narrow" w:hAnsi="Arial Narrow"/>
                <w:noProof/>
                <w:color w:val="006100"/>
                <w:sz w:val="20"/>
              </w:rPr>
              <w:t>Ei kohaldata</w:t>
            </w:r>
          </w:p>
        </w:tc>
        <w:tc>
          <w:tcPr>
            <w:tcW w:w="772" w:type="dxa"/>
            <w:shd w:val="clear" w:color="auto" w:fill="C6EFCE"/>
            <w:noWrap/>
            <w:vAlign w:val="center"/>
            <w:hideMark/>
          </w:tcPr>
          <w:p w14:paraId="5FBDDAC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3. kv</w:t>
            </w:r>
          </w:p>
        </w:tc>
        <w:tc>
          <w:tcPr>
            <w:tcW w:w="663" w:type="dxa"/>
            <w:shd w:val="clear" w:color="auto" w:fill="C6EFCE"/>
            <w:noWrap/>
            <w:vAlign w:val="center"/>
            <w:hideMark/>
          </w:tcPr>
          <w:p w14:paraId="117F105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2023</w:t>
            </w:r>
          </w:p>
        </w:tc>
        <w:tc>
          <w:tcPr>
            <w:tcW w:w="3401" w:type="dxa"/>
            <w:shd w:val="clear" w:color="auto" w:fill="C6EFCE"/>
            <w:noWrap/>
            <w:vAlign w:val="center"/>
            <w:hideMark/>
          </w:tcPr>
          <w:p w14:paraId="52A27960" w14:textId="20B3D643" w:rsidR="0084326C" w:rsidRPr="005D68A0" w:rsidRDefault="7FABBDB9">
            <w:pPr>
              <w:suppressAutoHyphens/>
              <w:spacing w:line="276" w:lineRule="auto"/>
              <w:rPr>
                <w:rFonts w:ascii="Arial Narrow" w:hAnsi="Arial Narrow"/>
                <w:noProof/>
                <w:color w:val="006100"/>
                <w:sz w:val="20"/>
                <w:szCs w:val="20"/>
              </w:rPr>
            </w:pPr>
            <w:r>
              <w:rPr>
                <w:rFonts w:ascii="Arial Narrow" w:hAnsi="Arial Narrow"/>
                <w:noProof/>
                <w:color w:val="006100"/>
                <w:sz w:val="20"/>
              </w:rPr>
              <w:t xml:space="preserve"> Vastuvõtudekreedi avaldamine koos toetuse määramisega (eraldamisega) projektidele, mis on seotud investeeringutega põhiveetaristusse ja veevarustuse kindlusesse.</w:t>
            </w:r>
          </w:p>
          <w:p w14:paraId="3E173250" w14:textId="77777777" w:rsidR="0084326C" w:rsidRPr="005D68A0" w:rsidRDefault="0084326C">
            <w:pPr>
              <w:suppressAutoHyphens/>
              <w:spacing w:line="276" w:lineRule="auto"/>
              <w:rPr>
                <w:rFonts w:ascii="Arial Narrow" w:hAnsi="Arial Narrow"/>
                <w:noProof/>
                <w:color w:val="006100"/>
                <w:sz w:val="20"/>
                <w:szCs w:val="20"/>
              </w:rPr>
            </w:pPr>
            <w:r>
              <w:rPr>
                <w:rFonts w:ascii="Arial Narrow" w:hAnsi="Arial Narrow"/>
                <w:noProof/>
                <w:color w:val="006100"/>
                <w:sz w:val="20"/>
              </w:rPr>
              <w:t>Lepingute kohaldamisala on järgmine:</w:t>
            </w:r>
          </w:p>
          <w:p w14:paraId="1AF20A1F" w14:textId="77777777" w:rsidR="0084326C" w:rsidRPr="005D68A0" w:rsidRDefault="0084326C">
            <w:pPr>
              <w:suppressAutoHyphens/>
              <w:spacing w:line="276" w:lineRule="auto"/>
              <w:rPr>
                <w:rFonts w:ascii="Arial Narrow" w:hAnsi="Arial Narrow"/>
                <w:noProof/>
                <w:color w:val="006100"/>
                <w:sz w:val="20"/>
                <w:szCs w:val="20"/>
                <w:lang w:val="en-GB"/>
              </w:rPr>
            </w:pPr>
          </w:p>
          <w:p w14:paraId="527AFFAF" w14:textId="77777777" w:rsidR="0084326C" w:rsidRPr="005D68A0" w:rsidRDefault="0084326C">
            <w:pPr>
              <w:pStyle w:val="ListParagraph"/>
              <w:numPr>
                <w:ilvl w:val="0"/>
                <w:numId w:val="69"/>
              </w:numPr>
              <w:suppressAutoHyphens/>
              <w:spacing w:before="0" w:after="0" w:line="276" w:lineRule="auto"/>
              <w:ind w:left="305"/>
              <w:jc w:val="left"/>
              <w:rPr>
                <w:rFonts w:ascii="Arial Narrow" w:hAnsi="Arial Narrow"/>
                <w:noProof/>
                <w:color w:val="006100"/>
                <w:sz w:val="20"/>
                <w:szCs w:val="20"/>
              </w:rPr>
            </w:pPr>
            <w:r>
              <w:rPr>
                <w:rFonts w:ascii="Arial Narrow" w:hAnsi="Arial Narrow"/>
                <w:noProof/>
                <w:color w:val="006100"/>
                <w:sz w:val="20"/>
              </w:rPr>
              <w:t>Veevarustuse kindlus olulistes linnapiirkondades;</w:t>
            </w:r>
          </w:p>
          <w:p w14:paraId="53AFADCC" w14:textId="77777777" w:rsidR="0084326C" w:rsidRPr="005D68A0" w:rsidRDefault="0084326C">
            <w:pPr>
              <w:pStyle w:val="ListParagraph"/>
              <w:numPr>
                <w:ilvl w:val="0"/>
                <w:numId w:val="69"/>
              </w:numPr>
              <w:suppressAutoHyphens/>
              <w:spacing w:before="0" w:after="0" w:line="276" w:lineRule="auto"/>
              <w:ind w:left="305"/>
              <w:jc w:val="left"/>
              <w:rPr>
                <w:rFonts w:ascii="Arial Narrow" w:hAnsi="Arial Narrow"/>
                <w:noProof/>
                <w:color w:val="006100"/>
                <w:sz w:val="20"/>
                <w:szCs w:val="20"/>
              </w:rPr>
            </w:pPr>
            <w:r>
              <w:rPr>
                <w:rFonts w:ascii="Arial Narrow" w:hAnsi="Arial Narrow"/>
                <w:noProof/>
                <w:color w:val="006100"/>
                <w:sz w:val="20"/>
              </w:rPr>
              <w:t>Ehitustööd võrgu ohutuse ja vastupidavuse suurendamiseks, sealhulgas kliimamuutustega kohanemine (v.a tammid);</w:t>
            </w:r>
          </w:p>
          <w:p w14:paraId="15AB410E" w14:textId="77777777" w:rsidR="0084326C" w:rsidRPr="005D68A0" w:rsidRDefault="0084326C">
            <w:pPr>
              <w:pStyle w:val="ListParagraph"/>
              <w:numPr>
                <w:ilvl w:val="0"/>
                <w:numId w:val="69"/>
              </w:numPr>
              <w:spacing w:before="0" w:after="0" w:line="276" w:lineRule="auto"/>
              <w:ind w:left="305"/>
              <w:jc w:val="left"/>
              <w:rPr>
                <w:rFonts w:ascii="Arial Narrow" w:hAnsi="Arial Narrow"/>
                <w:noProof/>
                <w:color w:val="006100"/>
                <w:sz w:val="20"/>
                <w:szCs w:val="20"/>
              </w:rPr>
            </w:pPr>
            <w:r>
              <w:rPr>
                <w:rFonts w:ascii="Arial Narrow" w:hAnsi="Arial Narrow"/>
                <w:noProof/>
                <w:color w:val="006100"/>
                <w:sz w:val="20"/>
              </w:rPr>
              <w:t>Vee ülekandevõime suurendamine.</w:t>
            </w:r>
          </w:p>
          <w:p w14:paraId="65EB76AC" w14:textId="77777777" w:rsidR="0084326C" w:rsidRPr="005D68A0" w:rsidRDefault="0084326C">
            <w:pPr>
              <w:spacing w:line="276" w:lineRule="auto"/>
              <w:ind w:left="-55"/>
              <w:rPr>
                <w:rFonts w:ascii="Arial Narrow" w:hAnsi="Arial Narrow"/>
                <w:noProof/>
                <w:color w:val="006100"/>
                <w:sz w:val="20"/>
                <w:szCs w:val="20"/>
              </w:rPr>
            </w:pPr>
            <w:r>
              <w:rPr>
                <w:rFonts w:ascii="Arial Narrow" w:hAnsi="Arial Narrow"/>
                <w:noProof/>
                <w:color w:val="006100"/>
                <w:sz w:val="20"/>
              </w:rPr>
              <w:t>Valikukriteeriumid tagavad, et investeering aitab täielikult kaasa kliimamuutuste eesmärkide saavutamisele 40 % kliimakoefitsiendiga vastavalt taastamise ja vastupanuvõimaluste rahastamise määruse (EL) 2021/241 VI lisale.</w:t>
            </w:r>
          </w:p>
        </w:tc>
      </w:tr>
      <w:tr w:rsidR="004775AA" w:rsidRPr="00D90835" w14:paraId="354B8A7F" w14:textId="77777777" w:rsidTr="004775AA">
        <w:trPr>
          <w:trHeight w:val="313"/>
          <w:jc w:val="center"/>
        </w:trPr>
        <w:tc>
          <w:tcPr>
            <w:tcW w:w="1064" w:type="dxa"/>
            <w:shd w:val="clear" w:color="auto" w:fill="C6EFCE"/>
            <w:noWrap/>
            <w:vAlign w:val="center"/>
            <w:hideMark/>
          </w:tcPr>
          <w:p w14:paraId="1A720E6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M2C4-29</w:t>
            </w:r>
          </w:p>
        </w:tc>
        <w:tc>
          <w:tcPr>
            <w:tcW w:w="2487" w:type="dxa"/>
            <w:shd w:val="clear" w:color="auto" w:fill="C6EFCE"/>
            <w:noWrap/>
            <w:vAlign w:val="center"/>
            <w:hideMark/>
          </w:tcPr>
          <w:p w14:paraId="249ED64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4.1. Investeeringud esmastesse veeinfrastruktuuridesse veevarustuse kindluse tagamiseks</w:t>
            </w:r>
          </w:p>
        </w:tc>
        <w:tc>
          <w:tcPr>
            <w:tcW w:w="900" w:type="dxa"/>
            <w:shd w:val="clear" w:color="auto" w:fill="C6EFCE"/>
            <w:noWrap/>
            <w:vAlign w:val="center"/>
            <w:hideMark/>
          </w:tcPr>
          <w:p w14:paraId="7C8FA50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2487" w:type="dxa"/>
            <w:shd w:val="clear" w:color="auto" w:fill="C6EFCE"/>
            <w:noWrap/>
            <w:vAlign w:val="center"/>
            <w:hideMark/>
          </w:tcPr>
          <w:p w14:paraId="2DBBF19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Investeeringud esmatasandi veetaristusse veevarustuse kindluse tagamiseks</w:t>
            </w:r>
          </w:p>
        </w:tc>
        <w:tc>
          <w:tcPr>
            <w:tcW w:w="1684" w:type="dxa"/>
            <w:shd w:val="clear" w:color="auto" w:fill="C6EFCE"/>
            <w:noWrap/>
            <w:vAlign w:val="center"/>
            <w:hideMark/>
          </w:tcPr>
          <w:p w14:paraId="1E2EF54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94" w:type="dxa"/>
            <w:shd w:val="clear" w:color="auto" w:fill="C6EFCE"/>
            <w:noWrap/>
            <w:vAlign w:val="center"/>
            <w:hideMark/>
          </w:tcPr>
          <w:p w14:paraId="0A85A2E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Arv</w:t>
            </w:r>
          </w:p>
        </w:tc>
        <w:tc>
          <w:tcPr>
            <w:tcW w:w="982" w:type="dxa"/>
            <w:shd w:val="clear" w:color="auto" w:fill="C6EFCE"/>
            <w:noWrap/>
            <w:vAlign w:val="center"/>
            <w:hideMark/>
          </w:tcPr>
          <w:p w14:paraId="43C8460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0</w:t>
            </w:r>
          </w:p>
        </w:tc>
        <w:tc>
          <w:tcPr>
            <w:tcW w:w="1046" w:type="dxa"/>
            <w:shd w:val="clear" w:color="auto" w:fill="C6EFCE"/>
            <w:noWrap/>
            <w:vAlign w:val="center"/>
            <w:hideMark/>
          </w:tcPr>
          <w:p w14:paraId="75332B8B" w14:textId="39E0AE18" w:rsidR="0084326C" w:rsidRPr="005D68A0" w:rsidRDefault="70849045">
            <w:pPr>
              <w:spacing w:line="276" w:lineRule="auto"/>
              <w:jc w:val="center"/>
              <w:rPr>
                <w:rFonts w:ascii="Arial Narrow" w:hAnsi="Arial Narrow"/>
                <w:noProof/>
                <w:color w:val="006100"/>
                <w:sz w:val="20"/>
                <w:szCs w:val="20"/>
              </w:rPr>
            </w:pPr>
            <w:r>
              <w:rPr>
                <w:rFonts w:ascii="Arial Narrow" w:hAnsi="Arial Narrow"/>
                <w:noProof/>
                <w:color w:val="006100"/>
                <w:sz w:val="20"/>
              </w:rPr>
              <w:t>50</w:t>
            </w:r>
          </w:p>
        </w:tc>
        <w:tc>
          <w:tcPr>
            <w:tcW w:w="772" w:type="dxa"/>
            <w:shd w:val="clear" w:color="auto" w:fill="C6EFCE"/>
            <w:noWrap/>
            <w:vAlign w:val="center"/>
            <w:hideMark/>
          </w:tcPr>
          <w:p w14:paraId="471A6BC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1. kv</w:t>
            </w:r>
          </w:p>
        </w:tc>
        <w:tc>
          <w:tcPr>
            <w:tcW w:w="663" w:type="dxa"/>
            <w:shd w:val="clear" w:color="auto" w:fill="C6EFCE"/>
            <w:noWrap/>
            <w:vAlign w:val="center"/>
            <w:hideMark/>
          </w:tcPr>
          <w:p w14:paraId="5BA4B97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2026</w:t>
            </w:r>
          </w:p>
        </w:tc>
        <w:tc>
          <w:tcPr>
            <w:tcW w:w="3401" w:type="dxa"/>
            <w:shd w:val="clear" w:color="auto" w:fill="C6EFCE"/>
            <w:noWrap/>
            <w:vAlign w:val="center"/>
            <w:hideMark/>
          </w:tcPr>
          <w:p w14:paraId="596C92E0" w14:textId="7B83A389" w:rsidR="0084326C" w:rsidRPr="005D68A0" w:rsidRDefault="53DC5198">
            <w:pPr>
              <w:spacing w:line="276" w:lineRule="auto"/>
              <w:rPr>
                <w:rFonts w:ascii="Arial Narrow" w:hAnsi="Arial Narrow"/>
                <w:noProof/>
                <w:color w:val="006100"/>
                <w:sz w:val="20"/>
                <w:szCs w:val="20"/>
              </w:rPr>
            </w:pPr>
            <w:r>
              <w:rPr>
                <w:rFonts w:ascii="Arial Narrow" w:hAnsi="Arial Narrow"/>
                <w:noProof/>
                <w:color w:val="006100"/>
                <w:sz w:val="20"/>
              </w:rPr>
              <w:t>Suurendada veevarustuskindlust ja veetaristu vastupidavust vähemalt 50 veesüsteemis (nii kompleks- kui ka elementaarses), millest vähemalt 35 keerukat veesüsteemi</w:t>
            </w:r>
          </w:p>
        </w:tc>
      </w:tr>
      <w:tr w:rsidR="004775AA" w:rsidRPr="00D90835" w14:paraId="1E3A288F" w14:textId="77777777" w:rsidTr="004775AA">
        <w:trPr>
          <w:trHeight w:val="313"/>
          <w:jc w:val="center"/>
        </w:trPr>
        <w:tc>
          <w:tcPr>
            <w:tcW w:w="1064" w:type="dxa"/>
            <w:shd w:val="clear" w:color="auto" w:fill="C6EFCE"/>
            <w:noWrap/>
            <w:vAlign w:val="center"/>
            <w:hideMark/>
          </w:tcPr>
          <w:p w14:paraId="2E0CEBED" w14:textId="22895252"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M2C4-30</w:t>
            </w:r>
          </w:p>
        </w:tc>
        <w:tc>
          <w:tcPr>
            <w:tcW w:w="2487" w:type="dxa"/>
            <w:shd w:val="clear" w:color="auto" w:fill="C6EFCE"/>
            <w:noWrap/>
            <w:vAlign w:val="center"/>
            <w:hideMark/>
          </w:tcPr>
          <w:p w14:paraId="40C3A90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4.2. Veejaotusvõrkude kadude vähendamine, sealhulgas võrkude digiteerimine ja seire</w:t>
            </w:r>
          </w:p>
        </w:tc>
        <w:tc>
          <w:tcPr>
            <w:tcW w:w="900" w:type="dxa"/>
            <w:shd w:val="clear" w:color="auto" w:fill="C6EFCE"/>
            <w:noWrap/>
            <w:vAlign w:val="center"/>
            <w:hideMark/>
          </w:tcPr>
          <w:p w14:paraId="2D37774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2487" w:type="dxa"/>
            <w:shd w:val="clear" w:color="auto" w:fill="C6EFCE"/>
            <w:noWrap/>
            <w:vAlign w:val="center"/>
            <w:hideMark/>
          </w:tcPr>
          <w:p w14:paraId="43E70E65" w14:textId="6E465740" w:rsidR="0084326C" w:rsidRPr="005D68A0" w:rsidRDefault="60AA48F6" w:rsidP="00E7188B">
            <w:pPr>
              <w:spacing w:line="276" w:lineRule="auto"/>
              <w:jc w:val="center"/>
              <w:rPr>
                <w:rFonts w:ascii="Arial Narrow" w:hAnsi="Arial Narrow"/>
                <w:noProof/>
                <w:color w:val="006100"/>
                <w:sz w:val="20"/>
                <w:szCs w:val="20"/>
              </w:rPr>
            </w:pPr>
            <w:r>
              <w:rPr>
                <w:rFonts w:ascii="Arial Narrow" w:hAnsi="Arial Narrow"/>
                <w:noProof/>
                <w:color w:val="006100"/>
                <w:sz w:val="20"/>
              </w:rPr>
              <w:t>Rahaliste vahendite eraldamine kõigile veejaotusvõrkudega seotud sekkumisprojektidele, sealhulgas võrkude digiteerimisele ja järelevalvele</w:t>
            </w:r>
          </w:p>
        </w:tc>
        <w:tc>
          <w:tcPr>
            <w:tcW w:w="1684" w:type="dxa"/>
            <w:shd w:val="clear" w:color="auto" w:fill="C6EFCE"/>
            <w:noWrap/>
            <w:vAlign w:val="center"/>
            <w:hideMark/>
          </w:tcPr>
          <w:p w14:paraId="1220165B" w14:textId="1B8E2CE9" w:rsidR="0084326C" w:rsidRPr="005D68A0" w:rsidRDefault="508610A3">
            <w:pPr>
              <w:spacing w:line="276" w:lineRule="auto"/>
              <w:jc w:val="center"/>
              <w:rPr>
                <w:rFonts w:ascii="Arial Narrow" w:eastAsia="Arial Narrow" w:hAnsi="Arial Narrow" w:cs="Arial Narrow"/>
                <w:noProof/>
                <w:sz w:val="20"/>
                <w:szCs w:val="20"/>
              </w:rPr>
            </w:pPr>
            <w:r>
              <w:rPr>
                <w:rFonts w:ascii="Arial Narrow" w:hAnsi="Arial Narrow"/>
                <w:noProof/>
                <w:color w:val="006100"/>
                <w:sz w:val="20"/>
              </w:rPr>
              <w:t>Dekreedi/dekreetide avaldamine.</w:t>
            </w:r>
          </w:p>
        </w:tc>
        <w:tc>
          <w:tcPr>
            <w:tcW w:w="1094" w:type="dxa"/>
            <w:shd w:val="clear" w:color="auto" w:fill="C6EFCE"/>
            <w:noWrap/>
            <w:vAlign w:val="center"/>
            <w:hideMark/>
          </w:tcPr>
          <w:p w14:paraId="7406567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82" w:type="dxa"/>
            <w:shd w:val="clear" w:color="auto" w:fill="C6EFCE"/>
            <w:noWrap/>
            <w:vAlign w:val="center"/>
            <w:hideMark/>
          </w:tcPr>
          <w:p w14:paraId="32309A1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46" w:type="dxa"/>
            <w:shd w:val="clear" w:color="auto" w:fill="C6EFCE"/>
            <w:noWrap/>
            <w:vAlign w:val="center"/>
            <w:hideMark/>
          </w:tcPr>
          <w:p w14:paraId="0D93D29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772" w:type="dxa"/>
            <w:shd w:val="clear" w:color="auto" w:fill="C6EFCE"/>
            <w:noWrap/>
            <w:vAlign w:val="center"/>
            <w:hideMark/>
          </w:tcPr>
          <w:p w14:paraId="7B030F8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3. kv</w:t>
            </w:r>
          </w:p>
        </w:tc>
        <w:tc>
          <w:tcPr>
            <w:tcW w:w="663" w:type="dxa"/>
            <w:shd w:val="clear" w:color="auto" w:fill="C6EFCE"/>
            <w:noWrap/>
            <w:vAlign w:val="center"/>
            <w:hideMark/>
          </w:tcPr>
          <w:p w14:paraId="3F78512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2023</w:t>
            </w:r>
          </w:p>
        </w:tc>
        <w:tc>
          <w:tcPr>
            <w:tcW w:w="3401" w:type="dxa"/>
            <w:shd w:val="clear" w:color="auto" w:fill="C6EFCE"/>
            <w:noWrap/>
            <w:vAlign w:val="center"/>
            <w:hideMark/>
          </w:tcPr>
          <w:p w14:paraId="05CD9F7C" w14:textId="24FA3AA3" w:rsidR="0084326C" w:rsidRPr="005D68A0" w:rsidRDefault="4C992F50">
            <w:pPr>
              <w:spacing w:line="276" w:lineRule="auto"/>
              <w:rPr>
                <w:rFonts w:ascii="Arial Narrow" w:hAnsi="Arial Narrow"/>
                <w:noProof/>
                <w:color w:val="006100"/>
                <w:sz w:val="20"/>
                <w:szCs w:val="20"/>
              </w:rPr>
            </w:pPr>
            <w:r>
              <w:rPr>
                <w:rFonts w:ascii="Arial Narrow" w:hAnsi="Arial Narrow"/>
                <w:noProof/>
                <w:color w:val="006100"/>
                <w:sz w:val="20"/>
              </w:rPr>
              <w:t>Vastuvõtudekreedi avaldamine koos toetuse määramisega (eraldamisega) projektidele, mis on mõeldud veejaotusvõrkude moderniseerimiseks ja tõhustamiseks.</w:t>
            </w:r>
          </w:p>
          <w:p w14:paraId="3C6BFD83" w14:textId="77777777" w:rsidR="0084326C" w:rsidRPr="00F33804" w:rsidRDefault="0084326C">
            <w:pPr>
              <w:spacing w:line="276" w:lineRule="auto"/>
              <w:rPr>
                <w:rFonts w:ascii="Arial Narrow" w:hAnsi="Arial Narrow"/>
                <w:noProof/>
                <w:color w:val="006100"/>
                <w:sz w:val="20"/>
                <w:szCs w:val="20"/>
              </w:rPr>
            </w:pPr>
          </w:p>
          <w:p w14:paraId="15E95D8A"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Lepingute kohaldamisala on järgmine:</w:t>
            </w:r>
          </w:p>
          <w:p w14:paraId="34B62D88" w14:textId="77777777" w:rsidR="0084326C" w:rsidRPr="005D68A0" w:rsidRDefault="0084326C">
            <w:pPr>
              <w:pStyle w:val="ListParagraph"/>
              <w:numPr>
                <w:ilvl w:val="0"/>
                <w:numId w:val="69"/>
              </w:numPr>
              <w:spacing w:before="0" w:after="0" w:line="276" w:lineRule="auto"/>
              <w:ind w:left="305"/>
              <w:jc w:val="left"/>
              <w:textAlignment w:val="baseline"/>
              <w:rPr>
                <w:rFonts w:ascii="Arial Narrow" w:hAnsi="Arial Narrow"/>
                <w:noProof/>
                <w:color w:val="006100"/>
                <w:sz w:val="20"/>
                <w:szCs w:val="20"/>
              </w:rPr>
            </w:pPr>
            <w:r>
              <w:rPr>
                <w:rFonts w:ascii="Arial Narrow" w:hAnsi="Arial Narrow"/>
                <w:noProof/>
                <w:color w:val="006100"/>
                <w:sz w:val="20"/>
              </w:rPr>
              <w:t>Sekkumised joogiveevõrkude kao vähendamiseks;</w:t>
            </w:r>
          </w:p>
          <w:p w14:paraId="4BFD8F4D" w14:textId="77777777" w:rsidR="0084326C" w:rsidRPr="005D68A0" w:rsidRDefault="0084326C">
            <w:pPr>
              <w:pStyle w:val="ListParagraph"/>
              <w:numPr>
                <w:ilvl w:val="0"/>
                <w:numId w:val="69"/>
              </w:numPr>
              <w:spacing w:before="0" w:after="0" w:line="276" w:lineRule="auto"/>
              <w:ind w:left="305"/>
              <w:jc w:val="left"/>
              <w:textAlignment w:val="baseline"/>
              <w:rPr>
                <w:rFonts w:ascii="Arial Narrow" w:hAnsi="Arial Narrow"/>
                <w:noProof/>
                <w:color w:val="006100"/>
                <w:sz w:val="20"/>
                <w:szCs w:val="20"/>
              </w:rPr>
            </w:pPr>
            <w:r>
              <w:rPr>
                <w:rFonts w:ascii="Arial Narrow" w:hAnsi="Arial Narrow"/>
                <w:noProof/>
                <w:color w:val="006100"/>
                <w:sz w:val="20"/>
              </w:rPr>
              <w:t>Suurendada veesüsteemide vastupanuvõimet kliimamuutustele;</w:t>
            </w:r>
          </w:p>
          <w:p w14:paraId="596F4F18" w14:textId="77777777" w:rsidR="0084326C" w:rsidRPr="005D68A0" w:rsidRDefault="0084326C">
            <w:pPr>
              <w:pStyle w:val="ListParagraph"/>
              <w:numPr>
                <w:ilvl w:val="0"/>
                <w:numId w:val="69"/>
              </w:numPr>
              <w:spacing w:before="0" w:after="0" w:line="276" w:lineRule="auto"/>
              <w:ind w:left="305"/>
              <w:jc w:val="left"/>
              <w:textAlignment w:val="baseline"/>
              <w:rPr>
                <w:rFonts w:ascii="Arial Narrow" w:hAnsi="Arial Narrow"/>
                <w:noProof/>
                <w:color w:val="006100"/>
                <w:sz w:val="20"/>
                <w:szCs w:val="20"/>
              </w:rPr>
            </w:pPr>
            <w:r>
              <w:rPr>
                <w:rFonts w:ascii="Arial Narrow" w:hAnsi="Arial Narrow"/>
                <w:noProof/>
                <w:color w:val="006100"/>
                <w:sz w:val="20"/>
              </w:rPr>
              <w:t>Tugevdada võrkude digiteerimist, et tagada veevarude optimaalne majandamine, vähendada raiskamist ja piirata ebatõhusust</w:t>
            </w:r>
          </w:p>
        </w:tc>
      </w:tr>
      <w:tr w:rsidR="004775AA" w:rsidRPr="00D90835" w14:paraId="3DF1EAAC" w14:textId="77777777" w:rsidTr="004775AA">
        <w:trPr>
          <w:trHeight w:val="313"/>
          <w:jc w:val="center"/>
        </w:trPr>
        <w:tc>
          <w:tcPr>
            <w:tcW w:w="1064" w:type="dxa"/>
            <w:shd w:val="clear" w:color="auto" w:fill="C6EFCE"/>
            <w:noWrap/>
            <w:vAlign w:val="center"/>
            <w:hideMark/>
          </w:tcPr>
          <w:p w14:paraId="3832AB7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M2C4-31</w:t>
            </w:r>
          </w:p>
        </w:tc>
        <w:tc>
          <w:tcPr>
            <w:tcW w:w="2487" w:type="dxa"/>
            <w:shd w:val="clear" w:color="auto" w:fill="C6EFCE"/>
            <w:noWrap/>
            <w:vAlign w:val="center"/>
            <w:hideMark/>
          </w:tcPr>
          <w:p w14:paraId="0AE828C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4.2. Veejaotusvõrkude kadude vähendamine, sealhulgas võrkude digiteerimine ja seire</w:t>
            </w:r>
          </w:p>
        </w:tc>
        <w:tc>
          <w:tcPr>
            <w:tcW w:w="900" w:type="dxa"/>
            <w:shd w:val="clear" w:color="auto" w:fill="C6EFCE"/>
            <w:noWrap/>
            <w:vAlign w:val="center"/>
            <w:hideMark/>
          </w:tcPr>
          <w:p w14:paraId="0771378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2487" w:type="dxa"/>
            <w:shd w:val="clear" w:color="auto" w:fill="C6EFCE"/>
            <w:noWrap/>
            <w:vAlign w:val="center"/>
            <w:hideMark/>
          </w:tcPr>
          <w:p w14:paraId="1D6B283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Sekkumine veejaotusvõrkudesse, sealhulgas võrkude T1 digiteerimine ja seire</w:t>
            </w:r>
          </w:p>
        </w:tc>
        <w:tc>
          <w:tcPr>
            <w:tcW w:w="1684" w:type="dxa"/>
            <w:shd w:val="clear" w:color="auto" w:fill="C6EFCE"/>
            <w:noWrap/>
            <w:vAlign w:val="center"/>
            <w:hideMark/>
          </w:tcPr>
          <w:p w14:paraId="32F232A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94" w:type="dxa"/>
            <w:shd w:val="clear" w:color="auto" w:fill="C6EFCE"/>
            <w:noWrap/>
            <w:vAlign w:val="center"/>
            <w:hideMark/>
          </w:tcPr>
          <w:p w14:paraId="108DE96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Arv</w:t>
            </w:r>
          </w:p>
        </w:tc>
        <w:tc>
          <w:tcPr>
            <w:tcW w:w="982" w:type="dxa"/>
            <w:shd w:val="clear" w:color="auto" w:fill="C6EFCE"/>
            <w:noWrap/>
            <w:vAlign w:val="center"/>
            <w:hideMark/>
          </w:tcPr>
          <w:p w14:paraId="2F3F681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0</w:t>
            </w:r>
          </w:p>
        </w:tc>
        <w:tc>
          <w:tcPr>
            <w:tcW w:w="1046" w:type="dxa"/>
            <w:shd w:val="clear" w:color="auto" w:fill="C6EFCE"/>
            <w:noWrap/>
            <w:vAlign w:val="center"/>
            <w:hideMark/>
          </w:tcPr>
          <w:p w14:paraId="2E87F34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14 000</w:t>
            </w:r>
          </w:p>
        </w:tc>
        <w:tc>
          <w:tcPr>
            <w:tcW w:w="772" w:type="dxa"/>
            <w:shd w:val="clear" w:color="auto" w:fill="C6EFCE"/>
            <w:noWrap/>
            <w:vAlign w:val="center"/>
            <w:hideMark/>
          </w:tcPr>
          <w:p w14:paraId="308C868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663" w:type="dxa"/>
            <w:shd w:val="clear" w:color="auto" w:fill="C6EFCE"/>
            <w:noWrap/>
            <w:vAlign w:val="center"/>
            <w:hideMark/>
          </w:tcPr>
          <w:p w14:paraId="1A1157B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2024</w:t>
            </w:r>
          </w:p>
        </w:tc>
        <w:tc>
          <w:tcPr>
            <w:tcW w:w="3401" w:type="dxa"/>
            <w:shd w:val="clear" w:color="auto" w:fill="C6EFCE"/>
            <w:noWrap/>
            <w:vAlign w:val="center"/>
            <w:hideMark/>
          </w:tcPr>
          <w:p w14:paraId="265FA2B6" w14:textId="56C2D2DD"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Vähemalt 14 000 kilomeetrit veevõrku</w:t>
            </w:r>
          </w:p>
        </w:tc>
      </w:tr>
      <w:tr w:rsidR="004775AA" w:rsidRPr="00D90835" w14:paraId="04613B2A" w14:textId="77777777" w:rsidTr="004775AA">
        <w:trPr>
          <w:trHeight w:val="313"/>
          <w:jc w:val="center"/>
        </w:trPr>
        <w:tc>
          <w:tcPr>
            <w:tcW w:w="1064" w:type="dxa"/>
            <w:shd w:val="clear" w:color="auto" w:fill="C6EFCE"/>
            <w:noWrap/>
            <w:vAlign w:val="center"/>
            <w:hideMark/>
          </w:tcPr>
          <w:p w14:paraId="04C4981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M2C4-32</w:t>
            </w:r>
          </w:p>
        </w:tc>
        <w:tc>
          <w:tcPr>
            <w:tcW w:w="2487" w:type="dxa"/>
            <w:shd w:val="clear" w:color="auto" w:fill="C6EFCE"/>
            <w:noWrap/>
            <w:vAlign w:val="center"/>
            <w:hideMark/>
          </w:tcPr>
          <w:p w14:paraId="050A4D8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4.2. Veejaotusvõrkude kadude vähendamine, sealhulgas võrkude digiteerimine ja seire</w:t>
            </w:r>
          </w:p>
        </w:tc>
        <w:tc>
          <w:tcPr>
            <w:tcW w:w="900" w:type="dxa"/>
            <w:shd w:val="clear" w:color="auto" w:fill="C6EFCE"/>
            <w:noWrap/>
            <w:vAlign w:val="center"/>
            <w:hideMark/>
          </w:tcPr>
          <w:p w14:paraId="774D9C0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2487" w:type="dxa"/>
            <w:shd w:val="clear" w:color="auto" w:fill="C6EFCE"/>
            <w:noWrap/>
            <w:vAlign w:val="center"/>
            <w:hideMark/>
          </w:tcPr>
          <w:p w14:paraId="7767537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Sekkumine veejaotusvõrkudesse, sealhulgas võrkude T2 digiteerimine ja seire</w:t>
            </w:r>
          </w:p>
        </w:tc>
        <w:tc>
          <w:tcPr>
            <w:tcW w:w="1684" w:type="dxa"/>
            <w:shd w:val="clear" w:color="auto" w:fill="C6EFCE"/>
            <w:noWrap/>
            <w:vAlign w:val="center"/>
            <w:hideMark/>
          </w:tcPr>
          <w:p w14:paraId="51F8F7F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94" w:type="dxa"/>
            <w:shd w:val="clear" w:color="auto" w:fill="C6EFCE"/>
            <w:noWrap/>
            <w:vAlign w:val="center"/>
            <w:hideMark/>
          </w:tcPr>
          <w:p w14:paraId="574E419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Arv</w:t>
            </w:r>
          </w:p>
        </w:tc>
        <w:tc>
          <w:tcPr>
            <w:tcW w:w="982" w:type="dxa"/>
            <w:shd w:val="clear" w:color="auto" w:fill="C6EFCE"/>
            <w:noWrap/>
            <w:vAlign w:val="center"/>
            <w:hideMark/>
          </w:tcPr>
          <w:p w14:paraId="7037C6F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14 000</w:t>
            </w:r>
          </w:p>
        </w:tc>
        <w:tc>
          <w:tcPr>
            <w:tcW w:w="1046" w:type="dxa"/>
            <w:shd w:val="clear" w:color="auto" w:fill="C6EFCE"/>
            <w:noWrap/>
            <w:vAlign w:val="center"/>
            <w:hideMark/>
          </w:tcPr>
          <w:p w14:paraId="26D84AD8" w14:textId="77777777" w:rsidR="0084326C" w:rsidRPr="005D68A0" w:rsidRDefault="0084326C">
            <w:pPr>
              <w:spacing w:line="276" w:lineRule="auto"/>
              <w:jc w:val="center"/>
              <w:rPr>
                <w:rFonts w:ascii="Arial Narrow" w:hAnsi="Arial Narrow"/>
                <w:noProof/>
                <w:sz w:val="20"/>
                <w:szCs w:val="20"/>
              </w:rPr>
            </w:pPr>
            <w:r>
              <w:rPr>
                <w:rFonts w:ascii="Arial Narrow" w:hAnsi="Arial Narrow"/>
                <w:noProof/>
                <w:color w:val="006100"/>
                <w:sz w:val="20"/>
              </w:rPr>
              <w:t>45 000</w:t>
            </w:r>
          </w:p>
        </w:tc>
        <w:tc>
          <w:tcPr>
            <w:tcW w:w="772" w:type="dxa"/>
            <w:shd w:val="clear" w:color="auto" w:fill="C6EFCE"/>
            <w:noWrap/>
            <w:vAlign w:val="center"/>
            <w:hideMark/>
          </w:tcPr>
          <w:p w14:paraId="52BC0FF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1. kv</w:t>
            </w:r>
          </w:p>
        </w:tc>
        <w:tc>
          <w:tcPr>
            <w:tcW w:w="663" w:type="dxa"/>
            <w:shd w:val="clear" w:color="auto" w:fill="C6EFCE"/>
            <w:noWrap/>
            <w:vAlign w:val="center"/>
            <w:hideMark/>
          </w:tcPr>
          <w:p w14:paraId="13BD6C3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2026</w:t>
            </w:r>
          </w:p>
        </w:tc>
        <w:tc>
          <w:tcPr>
            <w:tcW w:w="3401" w:type="dxa"/>
            <w:shd w:val="clear" w:color="auto" w:fill="C6EFCE"/>
            <w:noWrap/>
            <w:vAlign w:val="center"/>
            <w:hideMark/>
          </w:tcPr>
          <w:p w14:paraId="64ED72FD" w14:textId="0B203B3C"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Vähemalt 45 000 kilomeetrit veevõrku</w:t>
            </w:r>
          </w:p>
        </w:tc>
      </w:tr>
      <w:tr w:rsidR="004775AA" w:rsidRPr="00D90835" w14:paraId="65E9ED62" w14:textId="77777777" w:rsidTr="004775AA">
        <w:trPr>
          <w:trHeight w:val="313"/>
          <w:jc w:val="center"/>
        </w:trPr>
        <w:tc>
          <w:tcPr>
            <w:tcW w:w="1064" w:type="dxa"/>
            <w:shd w:val="clear" w:color="auto" w:fill="C6EFCE"/>
            <w:noWrap/>
            <w:vAlign w:val="center"/>
            <w:hideMark/>
          </w:tcPr>
          <w:p w14:paraId="2127794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M2C4-33</w:t>
            </w:r>
          </w:p>
        </w:tc>
        <w:tc>
          <w:tcPr>
            <w:tcW w:w="2487" w:type="dxa"/>
            <w:shd w:val="clear" w:color="auto" w:fill="C6EFCE"/>
            <w:noWrap/>
            <w:vAlign w:val="center"/>
            <w:hideMark/>
          </w:tcPr>
          <w:p w14:paraId="0264430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4.3. Investeeringud niisutuspõllumajandussüsteemi vastupanuvõimesse veevarude paremaks majandamiseks</w:t>
            </w:r>
          </w:p>
        </w:tc>
        <w:tc>
          <w:tcPr>
            <w:tcW w:w="900" w:type="dxa"/>
            <w:shd w:val="clear" w:color="auto" w:fill="C6EFCE"/>
            <w:noWrap/>
            <w:vAlign w:val="center"/>
            <w:hideMark/>
          </w:tcPr>
          <w:p w14:paraId="5B6D34A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2487" w:type="dxa"/>
            <w:shd w:val="clear" w:color="auto" w:fill="C6EFCE"/>
            <w:noWrap/>
            <w:vAlign w:val="center"/>
            <w:hideMark/>
          </w:tcPr>
          <w:p w14:paraId="07897F81" w14:textId="064B9ADD" w:rsidR="0084326C" w:rsidRPr="005D68A0" w:rsidRDefault="2D070D00">
            <w:pPr>
              <w:spacing w:line="276" w:lineRule="auto"/>
              <w:jc w:val="center"/>
              <w:rPr>
                <w:rFonts w:ascii="Arial Narrow" w:hAnsi="Arial Narrow"/>
                <w:noProof/>
                <w:color w:val="006100"/>
                <w:sz w:val="20"/>
                <w:szCs w:val="20"/>
              </w:rPr>
            </w:pPr>
            <w:r>
              <w:rPr>
                <w:rFonts w:ascii="Arial Narrow" w:hAnsi="Arial Narrow"/>
                <w:noProof/>
                <w:color w:val="006100"/>
                <w:sz w:val="20"/>
              </w:rPr>
              <w:t>Rahaliste vahendite eraldamine kõigile projektidele, mille eesmärk on tagada niisutuspõllumajandussüsteemi vastupanuvõime veevarude parem majandamine</w:t>
            </w:r>
          </w:p>
        </w:tc>
        <w:tc>
          <w:tcPr>
            <w:tcW w:w="1684" w:type="dxa"/>
            <w:shd w:val="clear" w:color="auto" w:fill="C6EFCE"/>
            <w:noWrap/>
            <w:vAlign w:val="center"/>
            <w:hideMark/>
          </w:tcPr>
          <w:p w14:paraId="40ED2F03" w14:textId="1D80C6D6" w:rsidR="0084326C" w:rsidRPr="005D68A0" w:rsidRDefault="24E6970D">
            <w:pPr>
              <w:spacing w:line="276" w:lineRule="auto"/>
              <w:jc w:val="center"/>
              <w:rPr>
                <w:rFonts w:ascii="Arial Narrow" w:hAnsi="Arial Narrow"/>
                <w:noProof/>
                <w:color w:val="006100"/>
                <w:sz w:val="20"/>
                <w:szCs w:val="20"/>
              </w:rPr>
            </w:pPr>
            <w:r>
              <w:rPr>
                <w:rFonts w:ascii="Arial Narrow" w:hAnsi="Arial Narrow"/>
                <w:noProof/>
                <w:color w:val="006100"/>
                <w:sz w:val="20"/>
              </w:rPr>
              <w:t>Dekreedi/dekreetide avaldamine.</w:t>
            </w:r>
          </w:p>
        </w:tc>
        <w:tc>
          <w:tcPr>
            <w:tcW w:w="1094" w:type="dxa"/>
            <w:shd w:val="clear" w:color="auto" w:fill="C6EFCE"/>
            <w:noWrap/>
            <w:vAlign w:val="center"/>
            <w:hideMark/>
          </w:tcPr>
          <w:p w14:paraId="663153F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82" w:type="dxa"/>
            <w:shd w:val="clear" w:color="auto" w:fill="C6EFCE"/>
            <w:noWrap/>
            <w:vAlign w:val="center"/>
            <w:hideMark/>
          </w:tcPr>
          <w:p w14:paraId="0D6E13D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46" w:type="dxa"/>
            <w:shd w:val="clear" w:color="auto" w:fill="C6EFCE"/>
            <w:noWrap/>
            <w:vAlign w:val="center"/>
            <w:hideMark/>
          </w:tcPr>
          <w:p w14:paraId="52FB663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772" w:type="dxa"/>
            <w:shd w:val="clear" w:color="auto" w:fill="C6EFCE"/>
            <w:noWrap/>
            <w:vAlign w:val="center"/>
            <w:hideMark/>
          </w:tcPr>
          <w:p w14:paraId="118DEAC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663" w:type="dxa"/>
            <w:shd w:val="clear" w:color="auto" w:fill="C6EFCE"/>
            <w:noWrap/>
            <w:vAlign w:val="center"/>
            <w:hideMark/>
          </w:tcPr>
          <w:p w14:paraId="0C75C6F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2023</w:t>
            </w:r>
          </w:p>
        </w:tc>
        <w:tc>
          <w:tcPr>
            <w:tcW w:w="3401" w:type="dxa"/>
            <w:shd w:val="clear" w:color="auto" w:fill="C6EFCE"/>
            <w:noWrap/>
            <w:vAlign w:val="center"/>
            <w:hideMark/>
          </w:tcPr>
          <w:p w14:paraId="1D5EBB50" w14:textId="6D2C22B5" w:rsidR="0084326C" w:rsidRPr="005D68A0" w:rsidRDefault="5E24E89F">
            <w:pPr>
              <w:autoSpaceDE w:val="0"/>
              <w:autoSpaceDN w:val="0"/>
              <w:spacing w:line="276" w:lineRule="auto"/>
              <w:rPr>
                <w:rFonts w:ascii="Arial Narrow" w:hAnsi="Arial Narrow"/>
                <w:noProof/>
                <w:sz w:val="20"/>
                <w:szCs w:val="20"/>
              </w:rPr>
            </w:pPr>
            <w:r>
              <w:rPr>
                <w:rFonts w:ascii="Arial Narrow" w:hAnsi="Arial Narrow"/>
                <w:noProof/>
                <w:color w:val="006100"/>
                <w:sz w:val="20"/>
              </w:rPr>
              <w:t>Vastuvõtumäärus(t)e avaldamine koos toetuse määramisega (eraldamisega) projektidele võrgustike ja niisutussüsteemide ning sellega seotud digiteerimis- ja seiresüsteemi sekkumisteks.</w:t>
            </w:r>
          </w:p>
          <w:p w14:paraId="5644ADC6" w14:textId="77777777" w:rsidR="0084326C" w:rsidRPr="005D68A0" w:rsidRDefault="0084326C">
            <w:pPr>
              <w:autoSpaceDE w:val="0"/>
              <w:autoSpaceDN w:val="0"/>
              <w:spacing w:line="276" w:lineRule="auto"/>
              <w:rPr>
                <w:rFonts w:ascii="Arial Narrow" w:hAnsi="Arial Narrow"/>
                <w:noProof/>
                <w:sz w:val="20"/>
                <w:szCs w:val="20"/>
              </w:rPr>
            </w:pPr>
            <w:r>
              <w:rPr>
                <w:rFonts w:ascii="Arial Narrow" w:hAnsi="Arial Narrow"/>
                <w:noProof/>
                <w:color w:val="006100"/>
                <w:sz w:val="20"/>
              </w:rPr>
              <w:t>Lepingute kohaldamisala on järgmine:</w:t>
            </w:r>
          </w:p>
          <w:p w14:paraId="23CB6A3C" w14:textId="77777777" w:rsidR="0084326C" w:rsidRPr="005D68A0" w:rsidRDefault="0084326C">
            <w:pPr>
              <w:pStyle w:val="ListParagraph"/>
              <w:numPr>
                <w:ilvl w:val="0"/>
                <w:numId w:val="95"/>
              </w:numPr>
              <w:autoSpaceDE w:val="0"/>
              <w:autoSpaceDN w:val="0"/>
              <w:spacing w:before="0" w:after="0" w:line="276" w:lineRule="auto"/>
              <w:rPr>
                <w:rFonts w:ascii="Arial Narrow" w:hAnsi="Arial Narrow"/>
                <w:noProof/>
                <w:color w:val="006100"/>
                <w:sz w:val="20"/>
                <w:szCs w:val="20"/>
              </w:rPr>
            </w:pPr>
            <w:r>
              <w:rPr>
                <w:rFonts w:ascii="Arial Narrow" w:hAnsi="Arial Narrow"/>
                <w:noProof/>
                <w:color w:val="006100"/>
                <w:sz w:val="20"/>
              </w:rPr>
              <w:t>Soodustada kollektiivsetes võrkudes kasutamise mõõtmist ja seiret (arvestite ja kaugkontrollisüsteemide paigaldamise kaudu), sealhulgas üleminekut isevarustamiselt kollektiivsele kasutamisele, mis on eeltingimus veehinnapoliitika kasutuselevõtu lõpuleviimiseks, mis põhineb veemahtudel, et veeressursse tõhusalt kasutada põllumajanduses, ning stimuleerides seeläbi ebaseadusliku veevõtu vähendamist maapiirkondades.</w:t>
            </w:r>
          </w:p>
          <w:p w14:paraId="4DB74973" w14:textId="77777777" w:rsidR="0084326C" w:rsidRPr="005D68A0" w:rsidRDefault="0084326C">
            <w:pPr>
              <w:autoSpaceDE w:val="0"/>
              <w:autoSpaceDN w:val="0"/>
              <w:spacing w:line="276" w:lineRule="auto"/>
              <w:rPr>
                <w:rFonts w:ascii="Arial Narrow" w:hAnsi="Arial Narrow"/>
                <w:noProof/>
                <w:color w:val="006100"/>
                <w:sz w:val="20"/>
                <w:szCs w:val="20"/>
              </w:rPr>
            </w:pPr>
            <w:r>
              <w:rPr>
                <w:rFonts w:ascii="Arial Narrow" w:hAnsi="Arial Narrow"/>
                <w:noProof/>
                <w:color w:val="006100"/>
                <w:sz w:val="20"/>
              </w:rPr>
              <w:t xml:space="preserve"> </w:t>
            </w:r>
          </w:p>
          <w:p w14:paraId="0B89AFD3" w14:textId="77777777" w:rsidR="0084326C" w:rsidRPr="005D68A0" w:rsidRDefault="0084326C">
            <w:pPr>
              <w:pStyle w:val="ListParagraph"/>
              <w:numPr>
                <w:ilvl w:val="0"/>
                <w:numId w:val="95"/>
              </w:numPr>
              <w:autoSpaceDE w:val="0"/>
              <w:autoSpaceDN w:val="0"/>
              <w:spacing w:before="0" w:after="0" w:line="276" w:lineRule="auto"/>
              <w:rPr>
                <w:rFonts w:ascii="Arial Narrow" w:hAnsi="Arial Narrow"/>
                <w:noProof/>
                <w:color w:val="006100"/>
                <w:sz w:val="20"/>
                <w:szCs w:val="20"/>
              </w:rPr>
            </w:pPr>
            <w:r>
              <w:rPr>
                <w:rFonts w:ascii="Arial Narrow" w:hAnsi="Arial Narrow"/>
                <w:noProof/>
                <w:color w:val="006100"/>
                <w:sz w:val="20"/>
              </w:rPr>
              <w:t xml:space="preserve">Niisutusinvesteeringute eesmärk peaks olema muuta olemasolev niisutus tõhusamaks, isegi kui asjaomane veekogu on heas seisundis. </w:t>
            </w:r>
          </w:p>
          <w:p w14:paraId="65D238D8" w14:textId="77777777" w:rsidR="004A1E56" w:rsidRPr="00F33804" w:rsidRDefault="004A1E56" w:rsidP="00D83F17">
            <w:pPr>
              <w:pStyle w:val="ListParagraph"/>
              <w:rPr>
                <w:rFonts w:ascii="Arial Narrow" w:hAnsi="Arial Narrow"/>
                <w:noProof/>
                <w:color w:val="006100"/>
                <w:sz w:val="20"/>
              </w:rPr>
            </w:pPr>
          </w:p>
          <w:p w14:paraId="55BEA7FC" w14:textId="5E434C84" w:rsidR="0084326C" w:rsidRPr="005D68A0" w:rsidRDefault="0084326C">
            <w:pPr>
              <w:autoSpaceDE w:val="0"/>
              <w:autoSpaceDN w:val="0"/>
              <w:spacing w:line="276" w:lineRule="auto"/>
              <w:rPr>
                <w:rFonts w:ascii="Arial Narrow" w:hAnsi="Arial Narrow"/>
                <w:noProof/>
                <w:sz w:val="20"/>
                <w:szCs w:val="20"/>
              </w:rPr>
            </w:pPr>
            <w:r>
              <w:rPr>
                <w:rFonts w:ascii="Arial Narrow" w:hAnsi="Arial Narrow"/>
                <w:noProof/>
                <w:color w:val="006100"/>
                <w:sz w:val="20"/>
              </w:rPr>
              <w:t>Eeldatakse, et ükski selle komponendi meede ei kahjusta märkimisväärselt keskkonnaeesmärke määruse (EL) 2020/852 artikli 17 tähenduses, võttes arvesse taaste- ja vastupidavuskavas sätestatud meetmete kirjeldust ja leevendavaid meetmeid kooskõlas tehniliste suunistega põhimõtte „ei kahjusta oluliselt“ kohaldamise kohta.</w:t>
            </w:r>
          </w:p>
          <w:p w14:paraId="0E3F5A13" w14:textId="77777777" w:rsidR="0084326C" w:rsidRPr="005D68A0" w:rsidRDefault="0084326C">
            <w:pPr>
              <w:autoSpaceDE w:val="0"/>
              <w:autoSpaceDN w:val="0"/>
              <w:spacing w:line="276" w:lineRule="auto"/>
              <w:rPr>
                <w:rFonts w:ascii="Arial Narrow" w:hAnsi="Arial Narrow"/>
                <w:noProof/>
                <w:sz w:val="20"/>
                <w:szCs w:val="20"/>
              </w:rPr>
            </w:pPr>
            <w:r>
              <w:rPr>
                <w:rFonts w:ascii="Arial Narrow" w:hAnsi="Arial Narrow"/>
                <w:noProof/>
                <w:color w:val="006100"/>
                <w:sz w:val="20"/>
              </w:rPr>
              <w:t xml:space="preserve">(2021/C58/01). Iga alainvesteeringu puhul tagatakse täielik vastavus ELi õigusele, sh veepoliitika raamdirektiivi nõuetele enne ja pärast ehitustöid ja nende ajal. </w:t>
            </w:r>
          </w:p>
          <w:p w14:paraId="2F6F311E" w14:textId="77777777" w:rsidR="0084326C" w:rsidRPr="005D68A0" w:rsidRDefault="0084326C">
            <w:pPr>
              <w:autoSpaceDE w:val="0"/>
              <w:autoSpaceDN w:val="0"/>
              <w:spacing w:line="276" w:lineRule="auto"/>
              <w:rPr>
                <w:rFonts w:ascii="Arial Narrow" w:hAnsi="Arial Narrow"/>
                <w:noProof/>
                <w:sz w:val="20"/>
                <w:szCs w:val="20"/>
              </w:rPr>
            </w:pPr>
            <w:r>
              <w:rPr>
                <w:rFonts w:ascii="Arial Narrow" w:hAnsi="Arial Narrow"/>
                <w:noProof/>
                <w:color w:val="006100"/>
                <w:sz w:val="20"/>
              </w:rPr>
              <w:t xml:space="preserve"> </w:t>
            </w:r>
          </w:p>
          <w:p w14:paraId="57BC17CD" w14:textId="77777777" w:rsidR="0084326C" w:rsidRPr="005D68A0" w:rsidRDefault="0084326C">
            <w:pPr>
              <w:autoSpaceDE w:val="0"/>
              <w:autoSpaceDN w:val="0"/>
              <w:spacing w:line="276" w:lineRule="auto"/>
              <w:rPr>
                <w:rFonts w:ascii="Arial Narrow" w:hAnsi="Arial Narrow"/>
                <w:noProof/>
                <w:sz w:val="20"/>
                <w:szCs w:val="20"/>
              </w:rPr>
            </w:pPr>
            <w:r>
              <w:rPr>
                <w:rFonts w:ascii="Arial Narrow" w:hAnsi="Arial Narrow"/>
                <w:noProof/>
                <w:color w:val="006100"/>
                <w:sz w:val="20"/>
              </w:rPr>
              <w:t>Peale selle tuleb sekkumise puhul, kui see on siseriikliku õiguse kohaselt kohaldatav, läbi viia direktiivi 2011/92/EL kohane keskkonnamõju hindamine, samuti asjakohased hindamised direktiivide 2000/60/EÜ ja 92/43/EMÜ kontekstis, sealhulgas nõutavate leevendusmeetmete rakendamine.</w:t>
            </w:r>
          </w:p>
        </w:tc>
      </w:tr>
      <w:tr w:rsidR="004775AA" w:rsidRPr="005D68A0" w14:paraId="41DC16EC" w14:textId="77777777" w:rsidTr="004775AA">
        <w:trPr>
          <w:trHeight w:val="313"/>
          <w:jc w:val="center"/>
        </w:trPr>
        <w:tc>
          <w:tcPr>
            <w:tcW w:w="1064" w:type="dxa"/>
            <w:shd w:val="clear" w:color="auto" w:fill="C6EFCE"/>
            <w:noWrap/>
            <w:vAlign w:val="center"/>
            <w:hideMark/>
          </w:tcPr>
          <w:p w14:paraId="5A44C79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M2C4-34</w:t>
            </w:r>
          </w:p>
        </w:tc>
        <w:tc>
          <w:tcPr>
            <w:tcW w:w="2487" w:type="dxa"/>
            <w:shd w:val="clear" w:color="auto" w:fill="C6EFCE"/>
            <w:noWrap/>
            <w:vAlign w:val="center"/>
            <w:hideMark/>
          </w:tcPr>
          <w:p w14:paraId="1BAA5A9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4.3. Investeeringud niisutuspõllumajandussüsteemi vastupanuvõimesse veevarude paremaks majandamiseks</w:t>
            </w:r>
          </w:p>
        </w:tc>
        <w:tc>
          <w:tcPr>
            <w:tcW w:w="900" w:type="dxa"/>
            <w:shd w:val="clear" w:color="auto" w:fill="C6EFCE"/>
            <w:noWrap/>
            <w:vAlign w:val="center"/>
            <w:hideMark/>
          </w:tcPr>
          <w:p w14:paraId="7161AE5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2487" w:type="dxa"/>
            <w:shd w:val="clear" w:color="auto" w:fill="C6EFCE"/>
            <w:noWrap/>
            <w:vAlign w:val="center"/>
            <w:hideMark/>
          </w:tcPr>
          <w:p w14:paraId="4B6B146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Sekkumised niisutuspõllumajandussüsteemi vastupanuvõime tagamiseks veevarude paremaks majandamiseks T1</w:t>
            </w:r>
          </w:p>
        </w:tc>
        <w:tc>
          <w:tcPr>
            <w:tcW w:w="1684" w:type="dxa"/>
            <w:shd w:val="clear" w:color="auto" w:fill="C6EFCE"/>
            <w:noWrap/>
            <w:vAlign w:val="center"/>
            <w:hideMark/>
          </w:tcPr>
          <w:p w14:paraId="65F9AAF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94" w:type="dxa"/>
            <w:shd w:val="clear" w:color="auto" w:fill="C6EFCE"/>
            <w:noWrap/>
            <w:vAlign w:val="center"/>
            <w:hideMark/>
          </w:tcPr>
          <w:p w14:paraId="3620F53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Protsent</w:t>
            </w:r>
          </w:p>
        </w:tc>
        <w:tc>
          <w:tcPr>
            <w:tcW w:w="982" w:type="dxa"/>
            <w:shd w:val="clear" w:color="auto" w:fill="C6EFCE"/>
            <w:noWrap/>
            <w:vAlign w:val="center"/>
            <w:hideMark/>
          </w:tcPr>
          <w:p w14:paraId="296C01E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24</w:t>
            </w:r>
          </w:p>
        </w:tc>
        <w:tc>
          <w:tcPr>
            <w:tcW w:w="1046" w:type="dxa"/>
            <w:shd w:val="clear" w:color="auto" w:fill="C6EFCE"/>
            <w:noWrap/>
            <w:vAlign w:val="center"/>
            <w:hideMark/>
          </w:tcPr>
          <w:p w14:paraId="2F91698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26</w:t>
            </w:r>
          </w:p>
        </w:tc>
        <w:tc>
          <w:tcPr>
            <w:tcW w:w="772" w:type="dxa"/>
            <w:shd w:val="clear" w:color="auto" w:fill="C6EFCE"/>
            <w:noWrap/>
            <w:vAlign w:val="center"/>
            <w:hideMark/>
          </w:tcPr>
          <w:p w14:paraId="788A813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663" w:type="dxa"/>
            <w:shd w:val="clear" w:color="auto" w:fill="C6EFCE"/>
            <w:noWrap/>
            <w:vAlign w:val="center"/>
            <w:hideMark/>
          </w:tcPr>
          <w:p w14:paraId="748BE9A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2024</w:t>
            </w:r>
          </w:p>
        </w:tc>
        <w:tc>
          <w:tcPr>
            <w:tcW w:w="3401" w:type="dxa"/>
            <w:shd w:val="clear" w:color="auto" w:fill="C6EFCE"/>
            <w:noWrap/>
            <w:vAlign w:val="center"/>
            <w:hideMark/>
          </w:tcPr>
          <w:p w14:paraId="368FA162" w14:textId="77777777" w:rsidR="0084326C" w:rsidRPr="005D68A0" w:rsidRDefault="0084326C">
            <w:pPr>
              <w:spacing w:line="276" w:lineRule="auto"/>
              <w:rPr>
                <w:rFonts w:ascii="Arial Narrow" w:hAnsi="Arial Narrow"/>
                <w:noProof/>
                <w:sz w:val="20"/>
                <w:szCs w:val="20"/>
              </w:rPr>
            </w:pPr>
            <w:r>
              <w:rPr>
                <w:rFonts w:ascii="Arial Narrow" w:hAnsi="Arial Narrow"/>
                <w:noProof/>
                <w:color w:val="006100"/>
                <w:sz w:val="20"/>
              </w:rPr>
              <w:t>Suurendada arvestitega varustatud kõrvaldamisallikate osakaalu vähemalt 26 %-ni</w:t>
            </w:r>
          </w:p>
          <w:p w14:paraId="3F2EEDDD" w14:textId="77777777" w:rsidR="0084326C" w:rsidRPr="005D68A0" w:rsidRDefault="0084326C">
            <w:pPr>
              <w:spacing w:line="276" w:lineRule="auto"/>
              <w:rPr>
                <w:rFonts w:ascii="Arial Narrow" w:hAnsi="Arial Narrow"/>
                <w:noProof/>
                <w:sz w:val="20"/>
                <w:szCs w:val="20"/>
              </w:rPr>
            </w:pPr>
            <w:r>
              <w:rPr>
                <w:rFonts w:ascii="Arial Narrow" w:hAnsi="Arial Narrow"/>
                <w:noProof/>
                <w:color w:val="006100"/>
                <w:sz w:val="20"/>
              </w:rPr>
              <w:t>Üldised võrgu tõhususse sekkumised hõlmavad ka järgmiste seadmete paigaldamist:</w:t>
            </w:r>
          </w:p>
          <w:p w14:paraId="06681925" w14:textId="77777777" w:rsidR="0084326C" w:rsidRPr="005D68A0" w:rsidRDefault="0084326C">
            <w:pPr>
              <w:pStyle w:val="ListParagraph"/>
              <w:numPr>
                <w:ilvl w:val="0"/>
                <w:numId w:val="94"/>
              </w:numPr>
              <w:spacing w:before="0" w:after="0" w:line="276" w:lineRule="auto"/>
              <w:rPr>
                <w:rFonts w:ascii="Arial Narrow" w:hAnsi="Arial Narrow"/>
                <w:noProof/>
                <w:color w:val="006100"/>
                <w:sz w:val="20"/>
                <w:szCs w:val="20"/>
              </w:rPr>
            </w:pPr>
            <w:r>
              <w:rPr>
                <w:rFonts w:ascii="Arial Narrow" w:hAnsi="Arial Narrow"/>
                <w:noProof/>
                <w:color w:val="006100"/>
                <w:sz w:val="20"/>
              </w:rPr>
              <w:t>150 kolmanda taseme meetrit;</w:t>
            </w:r>
          </w:p>
          <w:p w14:paraId="62995C75" w14:textId="77777777" w:rsidR="0084326C" w:rsidRPr="005D68A0" w:rsidRDefault="0084326C">
            <w:pPr>
              <w:pStyle w:val="ListParagraph"/>
              <w:numPr>
                <w:ilvl w:val="0"/>
                <w:numId w:val="94"/>
              </w:numPr>
              <w:spacing w:before="0" w:after="0" w:line="276" w:lineRule="auto"/>
              <w:rPr>
                <w:rFonts w:ascii="Arial Narrow" w:hAnsi="Arial Narrow"/>
                <w:noProof/>
                <w:color w:val="006100"/>
                <w:sz w:val="20"/>
                <w:szCs w:val="20"/>
              </w:rPr>
            </w:pPr>
            <w:r>
              <w:rPr>
                <w:rFonts w:ascii="Arial Narrow" w:hAnsi="Arial Narrow"/>
                <w:noProof/>
                <w:color w:val="006100"/>
                <w:sz w:val="20"/>
              </w:rPr>
              <w:t>7 500 neljandat tasapindmeetrit;</w:t>
            </w:r>
          </w:p>
          <w:p w14:paraId="307CE14D" w14:textId="77777777" w:rsidR="0084326C" w:rsidRPr="005D68A0" w:rsidRDefault="0084326C">
            <w:pPr>
              <w:pStyle w:val="ListParagraph"/>
              <w:numPr>
                <w:ilvl w:val="0"/>
                <w:numId w:val="94"/>
              </w:numPr>
              <w:spacing w:before="0" w:after="0" w:line="276" w:lineRule="auto"/>
              <w:rPr>
                <w:rFonts w:ascii="Arial Narrow" w:hAnsi="Arial Narrow"/>
                <w:noProof/>
                <w:color w:val="006100"/>
                <w:sz w:val="20"/>
                <w:szCs w:val="20"/>
              </w:rPr>
            </w:pPr>
            <w:r>
              <w:rPr>
                <w:rFonts w:ascii="Arial Narrow" w:hAnsi="Arial Narrow"/>
                <w:noProof/>
                <w:color w:val="006100"/>
                <w:sz w:val="20"/>
              </w:rPr>
              <w:t>Digiüleminek ja võrgu täiustamine.</w:t>
            </w:r>
          </w:p>
        </w:tc>
      </w:tr>
      <w:tr w:rsidR="004775AA" w:rsidRPr="005D68A0" w14:paraId="77A88E29" w14:textId="77777777" w:rsidTr="004775AA">
        <w:trPr>
          <w:trHeight w:val="313"/>
          <w:jc w:val="center"/>
        </w:trPr>
        <w:tc>
          <w:tcPr>
            <w:tcW w:w="1064" w:type="dxa"/>
            <w:shd w:val="clear" w:color="auto" w:fill="C6EFCE"/>
            <w:noWrap/>
            <w:vAlign w:val="center"/>
            <w:hideMark/>
          </w:tcPr>
          <w:p w14:paraId="33682E4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M2C4-34bis</w:t>
            </w:r>
          </w:p>
        </w:tc>
        <w:tc>
          <w:tcPr>
            <w:tcW w:w="2487" w:type="dxa"/>
            <w:shd w:val="clear" w:color="auto" w:fill="C6EFCE"/>
            <w:noWrap/>
            <w:vAlign w:val="center"/>
            <w:hideMark/>
          </w:tcPr>
          <w:p w14:paraId="3EC5469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4.3. Investeeringud niisutuspõllumajandussüsteemi vastupanuvõimesse veevarude paremaks majandamiseks</w:t>
            </w:r>
          </w:p>
        </w:tc>
        <w:tc>
          <w:tcPr>
            <w:tcW w:w="900" w:type="dxa"/>
            <w:shd w:val="clear" w:color="auto" w:fill="C6EFCE"/>
            <w:noWrap/>
            <w:vAlign w:val="center"/>
            <w:hideMark/>
          </w:tcPr>
          <w:p w14:paraId="313304E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2487" w:type="dxa"/>
            <w:shd w:val="clear" w:color="auto" w:fill="C6EFCE"/>
            <w:noWrap/>
            <w:vAlign w:val="center"/>
            <w:hideMark/>
          </w:tcPr>
          <w:p w14:paraId="0D4FBBC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Sekkumised niisutuspõllumajandussüsteemi vastupanuvõime tagamiseks veevarude paremaks majandamiseks T1</w:t>
            </w:r>
          </w:p>
        </w:tc>
        <w:tc>
          <w:tcPr>
            <w:tcW w:w="1684" w:type="dxa"/>
            <w:shd w:val="clear" w:color="auto" w:fill="C6EFCE"/>
            <w:noWrap/>
            <w:vAlign w:val="center"/>
            <w:hideMark/>
          </w:tcPr>
          <w:p w14:paraId="46E495E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94" w:type="dxa"/>
            <w:shd w:val="clear" w:color="auto" w:fill="C6EFCE"/>
            <w:noWrap/>
            <w:vAlign w:val="center"/>
            <w:hideMark/>
          </w:tcPr>
          <w:p w14:paraId="4A58282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Protsent</w:t>
            </w:r>
          </w:p>
        </w:tc>
        <w:tc>
          <w:tcPr>
            <w:tcW w:w="982" w:type="dxa"/>
            <w:shd w:val="clear" w:color="auto" w:fill="C6EFCE"/>
            <w:noWrap/>
            <w:vAlign w:val="center"/>
            <w:hideMark/>
          </w:tcPr>
          <w:p w14:paraId="3309E49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26</w:t>
            </w:r>
          </w:p>
        </w:tc>
        <w:tc>
          <w:tcPr>
            <w:tcW w:w="1046" w:type="dxa"/>
            <w:shd w:val="clear" w:color="auto" w:fill="C6EFCE"/>
            <w:noWrap/>
            <w:vAlign w:val="center"/>
            <w:hideMark/>
          </w:tcPr>
          <w:p w14:paraId="1D9469ED" w14:textId="77777777" w:rsidR="0084326C" w:rsidRPr="005D68A0" w:rsidRDefault="0084326C">
            <w:pPr>
              <w:spacing w:line="276" w:lineRule="auto"/>
              <w:jc w:val="center"/>
              <w:rPr>
                <w:rFonts w:ascii="Arial Narrow" w:hAnsi="Arial Narrow"/>
                <w:noProof/>
                <w:sz w:val="20"/>
                <w:szCs w:val="20"/>
              </w:rPr>
            </w:pPr>
            <w:r>
              <w:rPr>
                <w:rFonts w:ascii="Arial Narrow" w:hAnsi="Arial Narrow"/>
                <w:noProof/>
                <w:color w:val="006100"/>
                <w:sz w:val="20"/>
              </w:rPr>
              <w:t>29</w:t>
            </w:r>
          </w:p>
        </w:tc>
        <w:tc>
          <w:tcPr>
            <w:tcW w:w="772" w:type="dxa"/>
            <w:shd w:val="clear" w:color="auto" w:fill="C6EFCE"/>
            <w:noWrap/>
            <w:vAlign w:val="center"/>
            <w:hideMark/>
          </w:tcPr>
          <w:p w14:paraId="61B06B7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 kv</w:t>
            </w:r>
          </w:p>
        </w:tc>
        <w:tc>
          <w:tcPr>
            <w:tcW w:w="663" w:type="dxa"/>
            <w:shd w:val="clear" w:color="auto" w:fill="C6EFCE"/>
            <w:noWrap/>
            <w:vAlign w:val="center"/>
            <w:hideMark/>
          </w:tcPr>
          <w:p w14:paraId="48184B5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2026</w:t>
            </w:r>
          </w:p>
        </w:tc>
        <w:tc>
          <w:tcPr>
            <w:tcW w:w="3401" w:type="dxa"/>
            <w:shd w:val="clear" w:color="auto" w:fill="C6EFCE"/>
            <w:noWrap/>
            <w:vAlign w:val="center"/>
            <w:hideMark/>
          </w:tcPr>
          <w:p w14:paraId="670F1388" w14:textId="77777777" w:rsidR="0084326C" w:rsidRPr="005D68A0" w:rsidRDefault="0084326C">
            <w:pPr>
              <w:spacing w:line="276" w:lineRule="auto"/>
              <w:rPr>
                <w:rFonts w:ascii="Arial Narrow" w:hAnsi="Arial Narrow"/>
                <w:noProof/>
                <w:sz w:val="20"/>
                <w:szCs w:val="20"/>
              </w:rPr>
            </w:pPr>
            <w:r>
              <w:rPr>
                <w:rFonts w:ascii="Arial Narrow" w:hAnsi="Arial Narrow"/>
                <w:noProof/>
                <w:color w:val="006100"/>
                <w:sz w:val="20"/>
              </w:rPr>
              <w:t>Suurendada arvestitega varustatud kõrvaldamisallikate osakaalu vähemalt 29 %-ni</w:t>
            </w:r>
          </w:p>
          <w:p w14:paraId="486D3AD2" w14:textId="77777777" w:rsidR="0084326C" w:rsidRPr="005D68A0" w:rsidRDefault="0084326C">
            <w:pPr>
              <w:spacing w:line="276" w:lineRule="auto"/>
              <w:rPr>
                <w:rFonts w:ascii="Arial Narrow" w:hAnsi="Arial Narrow"/>
                <w:noProof/>
                <w:sz w:val="20"/>
                <w:szCs w:val="20"/>
              </w:rPr>
            </w:pPr>
            <w:r>
              <w:rPr>
                <w:rFonts w:ascii="Arial Narrow" w:hAnsi="Arial Narrow"/>
                <w:noProof/>
                <w:color w:val="006100"/>
                <w:sz w:val="20"/>
              </w:rPr>
              <w:t>Üldised võrgu tõhususse sekkumised hõlmavad ka järgmiste seadmete paigaldamist:</w:t>
            </w:r>
          </w:p>
          <w:p w14:paraId="21767224" w14:textId="77777777" w:rsidR="0084326C" w:rsidRPr="005D68A0" w:rsidRDefault="0084326C">
            <w:pPr>
              <w:pStyle w:val="ListParagraph"/>
              <w:numPr>
                <w:ilvl w:val="0"/>
                <w:numId w:val="93"/>
              </w:numPr>
              <w:spacing w:before="0" w:after="0" w:line="276" w:lineRule="auto"/>
              <w:rPr>
                <w:rFonts w:ascii="Arial Narrow" w:hAnsi="Arial Narrow"/>
                <w:noProof/>
                <w:color w:val="006100"/>
                <w:sz w:val="20"/>
                <w:szCs w:val="20"/>
              </w:rPr>
            </w:pPr>
            <w:r>
              <w:rPr>
                <w:rFonts w:ascii="Arial Narrow" w:hAnsi="Arial Narrow"/>
                <w:noProof/>
                <w:color w:val="006100"/>
                <w:sz w:val="20"/>
              </w:rPr>
              <w:t>500 kolmanda taseme meetrit;</w:t>
            </w:r>
          </w:p>
          <w:p w14:paraId="58059F7A" w14:textId="77777777" w:rsidR="0084326C" w:rsidRPr="005D68A0" w:rsidRDefault="0084326C">
            <w:pPr>
              <w:pStyle w:val="ListParagraph"/>
              <w:numPr>
                <w:ilvl w:val="0"/>
                <w:numId w:val="93"/>
              </w:numPr>
              <w:spacing w:before="0" w:after="0" w:line="276" w:lineRule="auto"/>
              <w:rPr>
                <w:rFonts w:ascii="Arial Narrow" w:hAnsi="Arial Narrow"/>
                <w:noProof/>
                <w:color w:val="006100"/>
                <w:sz w:val="20"/>
                <w:szCs w:val="20"/>
              </w:rPr>
            </w:pPr>
            <w:r>
              <w:rPr>
                <w:rFonts w:ascii="Arial Narrow" w:hAnsi="Arial Narrow"/>
                <w:noProof/>
                <w:color w:val="006100"/>
                <w:sz w:val="20"/>
              </w:rPr>
              <w:t>20 000 neljandat tasapindmeetrit;</w:t>
            </w:r>
          </w:p>
          <w:p w14:paraId="6AC3E156" w14:textId="77777777" w:rsidR="0084326C" w:rsidRPr="005D68A0" w:rsidRDefault="0084326C">
            <w:pPr>
              <w:pStyle w:val="ListParagraph"/>
              <w:numPr>
                <w:ilvl w:val="0"/>
                <w:numId w:val="93"/>
              </w:numPr>
              <w:spacing w:before="0" w:after="0" w:line="276" w:lineRule="auto"/>
              <w:rPr>
                <w:rFonts w:ascii="Arial Narrow" w:hAnsi="Arial Narrow"/>
                <w:noProof/>
                <w:color w:val="006100"/>
                <w:sz w:val="20"/>
                <w:szCs w:val="20"/>
              </w:rPr>
            </w:pPr>
            <w:r>
              <w:rPr>
                <w:rFonts w:ascii="Arial Narrow" w:hAnsi="Arial Narrow"/>
                <w:noProof/>
                <w:color w:val="006100"/>
                <w:sz w:val="20"/>
              </w:rPr>
              <w:t>Digiüleminek ja võrgu täiustamine.</w:t>
            </w:r>
          </w:p>
        </w:tc>
      </w:tr>
      <w:tr w:rsidR="004775AA" w:rsidRPr="00D90835" w14:paraId="49D82645" w14:textId="77777777" w:rsidTr="004775AA">
        <w:trPr>
          <w:trHeight w:val="313"/>
          <w:jc w:val="center"/>
        </w:trPr>
        <w:tc>
          <w:tcPr>
            <w:tcW w:w="1064" w:type="dxa"/>
            <w:shd w:val="clear" w:color="auto" w:fill="C6EFCE"/>
            <w:noWrap/>
            <w:vAlign w:val="center"/>
          </w:tcPr>
          <w:p w14:paraId="1862A6A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M2C4-35</w:t>
            </w:r>
          </w:p>
        </w:tc>
        <w:tc>
          <w:tcPr>
            <w:tcW w:w="2487" w:type="dxa"/>
            <w:shd w:val="clear" w:color="auto" w:fill="C6EFCE"/>
            <w:noWrap/>
            <w:vAlign w:val="center"/>
          </w:tcPr>
          <w:p w14:paraId="1B9FC33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4.3. Investeeringud niisutuspõllumajandussüsteemi vastupanuvõimesse veevarude paremaks majandamiseks</w:t>
            </w:r>
          </w:p>
        </w:tc>
        <w:tc>
          <w:tcPr>
            <w:tcW w:w="900" w:type="dxa"/>
            <w:shd w:val="clear" w:color="auto" w:fill="C6EFCE"/>
            <w:noWrap/>
            <w:vAlign w:val="center"/>
          </w:tcPr>
          <w:p w14:paraId="5B10BC1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2487" w:type="dxa"/>
            <w:shd w:val="clear" w:color="auto" w:fill="C6EFCE"/>
            <w:noWrap/>
            <w:vAlign w:val="center"/>
          </w:tcPr>
          <w:p w14:paraId="2C0CB78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Sekkumised niisutuspõllumajandussüsteemi vastupanuvõime tagamiseks veevarude paremaks majandamiseks T1</w:t>
            </w:r>
          </w:p>
        </w:tc>
        <w:tc>
          <w:tcPr>
            <w:tcW w:w="1684" w:type="dxa"/>
            <w:shd w:val="clear" w:color="auto" w:fill="C6EFCE"/>
            <w:noWrap/>
            <w:vAlign w:val="center"/>
          </w:tcPr>
          <w:p w14:paraId="7EE911C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94" w:type="dxa"/>
            <w:shd w:val="clear" w:color="auto" w:fill="C6EFCE"/>
            <w:noWrap/>
            <w:vAlign w:val="center"/>
          </w:tcPr>
          <w:p w14:paraId="4E5BDC6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Protsent</w:t>
            </w:r>
          </w:p>
        </w:tc>
        <w:tc>
          <w:tcPr>
            <w:tcW w:w="982" w:type="dxa"/>
            <w:shd w:val="clear" w:color="auto" w:fill="C6EFCE"/>
            <w:noWrap/>
            <w:vAlign w:val="center"/>
          </w:tcPr>
          <w:p w14:paraId="3524396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8</w:t>
            </w:r>
          </w:p>
        </w:tc>
        <w:tc>
          <w:tcPr>
            <w:tcW w:w="1046" w:type="dxa"/>
            <w:shd w:val="clear" w:color="auto" w:fill="C6EFCE"/>
            <w:noWrap/>
            <w:vAlign w:val="center"/>
          </w:tcPr>
          <w:p w14:paraId="49BB35A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12</w:t>
            </w:r>
          </w:p>
        </w:tc>
        <w:tc>
          <w:tcPr>
            <w:tcW w:w="772" w:type="dxa"/>
            <w:shd w:val="clear" w:color="auto" w:fill="C6EFCE"/>
            <w:noWrap/>
            <w:vAlign w:val="center"/>
          </w:tcPr>
          <w:p w14:paraId="2E053C1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663" w:type="dxa"/>
            <w:shd w:val="clear" w:color="auto" w:fill="C6EFCE"/>
            <w:noWrap/>
            <w:vAlign w:val="center"/>
          </w:tcPr>
          <w:p w14:paraId="19DE95E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2024</w:t>
            </w:r>
          </w:p>
        </w:tc>
        <w:tc>
          <w:tcPr>
            <w:tcW w:w="3401" w:type="dxa"/>
            <w:shd w:val="clear" w:color="auto" w:fill="C6EFCE"/>
            <w:noWrap/>
            <w:vAlign w:val="center"/>
          </w:tcPr>
          <w:p w14:paraId="0B2948BD"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Vähemalt 12 % niisutatud alade protsendi puhul kasutatakse tõhusalt niisutusressursse.</w:t>
            </w:r>
          </w:p>
        </w:tc>
      </w:tr>
      <w:tr w:rsidR="004775AA" w:rsidRPr="00D90835" w14:paraId="2CEEDC69" w14:textId="77777777" w:rsidTr="004775AA">
        <w:trPr>
          <w:trHeight w:val="313"/>
          <w:jc w:val="center"/>
        </w:trPr>
        <w:tc>
          <w:tcPr>
            <w:tcW w:w="1064" w:type="dxa"/>
            <w:shd w:val="clear" w:color="auto" w:fill="C6EFCE"/>
            <w:noWrap/>
            <w:vAlign w:val="center"/>
          </w:tcPr>
          <w:p w14:paraId="0440F3F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M2C4-35bis</w:t>
            </w:r>
          </w:p>
        </w:tc>
        <w:tc>
          <w:tcPr>
            <w:tcW w:w="2487" w:type="dxa"/>
            <w:shd w:val="clear" w:color="auto" w:fill="C6EFCE"/>
            <w:noWrap/>
            <w:vAlign w:val="center"/>
          </w:tcPr>
          <w:p w14:paraId="4ADC2ED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4.3. Investeeringud niisutuspõllumajandussüsteemi vastupanuvõimesse veevarude paremaks majandamiseks</w:t>
            </w:r>
          </w:p>
        </w:tc>
        <w:tc>
          <w:tcPr>
            <w:tcW w:w="900" w:type="dxa"/>
            <w:shd w:val="clear" w:color="auto" w:fill="C6EFCE"/>
            <w:noWrap/>
            <w:vAlign w:val="center"/>
          </w:tcPr>
          <w:p w14:paraId="7BFD94FD"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2487" w:type="dxa"/>
            <w:shd w:val="clear" w:color="auto" w:fill="C6EFCE"/>
            <w:noWrap/>
            <w:vAlign w:val="center"/>
          </w:tcPr>
          <w:p w14:paraId="4A49B88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Sekkumised niisutuspõllumajandussüsteemi vastupanuvõime tagamiseks veevarude paremaks majandamiseks T2</w:t>
            </w:r>
          </w:p>
        </w:tc>
        <w:tc>
          <w:tcPr>
            <w:tcW w:w="1684" w:type="dxa"/>
            <w:shd w:val="clear" w:color="auto" w:fill="C6EFCE"/>
            <w:noWrap/>
            <w:vAlign w:val="center"/>
          </w:tcPr>
          <w:p w14:paraId="0938EE6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94" w:type="dxa"/>
            <w:shd w:val="clear" w:color="auto" w:fill="C6EFCE"/>
            <w:noWrap/>
            <w:vAlign w:val="center"/>
          </w:tcPr>
          <w:p w14:paraId="681DE92F"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Protsent</w:t>
            </w:r>
          </w:p>
        </w:tc>
        <w:tc>
          <w:tcPr>
            <w:tcW w:w="982" w:type="dxa"/>
            <w:shd w:val="clear" w:color="auto" w:fill="C6EFCE"/>
            <w:noWrap/>
            <w:vAlign w:val="center"/>
          </w:tcPr>
          <w:p w14:paraId="5E87AA22"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12</w:t>
            </w:r>
          </w:p>
        </w:tc>
        <w:tc>
          <w:tcPr>
            <w:tcW w:w="1046" w:type="dxa"/>
            <w:shd w:val="clear" w:color="auto" w:fill="C6EFCE"/>
            <w:noWrap/>
            <w:vAlign w:val="center"/>
          </w:tcPr>
          <w:p w14:paraId="1596B01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24</w:t>
            </w:r>
          </w:p>
        </w:tc>
        <w:tc>
          <w:tcPr>
            <w:tcW w:w="772" w:type="dxa"/>
            <w:shd w:val="clear" w:color="auto" w:fill="C6EFCE"/>
            <w:noWrap/>
            <w:vAlign w:val="center"/>
          </w:tcPr>
          <w:p w14:paraId="50ED749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1. kv</w:t>
            </w:r>
          </w:p>
        </w:tc>
        <w:tc>
          <w:tcPr>
            <w:tcW w:w="663" w:type="dxa"/>
            <w:shd w:val="clear" w:color="auto" w:fill="C6EFCE"/>
            <w:noWrap/>
            <w:vAlign w:val="center"/>
          </w:tcPr>
          <w:p w14:paraId="409E745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2026</w:t>
            </w:r>
          </w:p>
        </w:tc>
        <w:tc>
          <w:tcPr>
            <w:tcW w:w="3401" w:type="dxa"/>
            <w:shd w:val="clear" w:color="auto" w:fill="C6EFCE"/>
            <w:noWrap/>
            <w:vAlign w:val="center"/>
          </w:tcPr>
          <w:p w14:paraId="19E2CD68"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Vähemalt 24 % niisutatud aladest, mis saavad kasu niisutusressursside tõhusast kasutamisest</w:t>
            </w:r>
          </w:p>
        </w:tc>
      </w:tr>
      <w:tr w:rsidR="004775AA" w:rsidRPr="00D90835" w14:paraId="094F3139" w14:textId="77777777" w:rsidTr="004775AA">
        <w:trPr>
          <w:trHeight w:val="313"/>
          <w:jc w:val="center"/>
        </w:trPr>
        <w:tc>
          <w:tcPr>
            <w:tcW w:w="1064" w:type="dxa"/>
            <w:shd w:val="clear" w:color="auto" w:fill="C6EFCE"/>
            <w:noWrap/>
            <w:vAlign w:val="center"/>
            <w:hideMark/>
          </w:tcPr>
          <w:p w14:paraId="628A628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M2C4-36</w:t>
            </w:r>
          </w:p>
        </w:tc>
        <w:tc>
          <w:tcPr>
            <w:tcW w:w="2487" w:type="dxa"/>
            <w:shd w:val="clear" w:color="auto" w:fill="C6EFCE"/>
            <w:noWrap/>
            <w:vAlign w:val="center"/>
            <w:hideMark/>
          </w:tcPr>
          <w:p w14:paraId="71F2288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4.4. Investeeringud kanalisatsiooni ja puhastusse</w:t>
            </w:r>
          </w:p>
        </w:tc>
        <w:tc>
          <w:tcPr>
            <w:tcW w:w="900" w:type="dxa"/>
            <w:shd w:val="clear" w:color="auto" w:fill="C6EFCE"/>
            <w:noWrap/>
            <w:vAlign w:val="center"/>
            <w:hideMark/>
          </w:tcPr>
          <w:p w14:paraId="7209EDA7"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Eesmärk</w:t>
            </w:r>
          </w:p>
        </w:tc>
        <w:tc>
          <w:tcPr>
            <w:tcW w:w="2487" w:type="dxa"/>
            <w:shd w:val="clear" w:color="auto" w:fill="C6EFCE"/>
            <w:noWrap/>
            <w:vAlign w:val="center"/>
            <w:hideMark/>
          </w:tcPr>
          <w:p w14:paraId="01EF1070" w14:textId="3F8FFF0F" w:rsidR="0084326C" w:rsidRPr="005D68A0" w:rsidRDefault="53DC5198">
            <w:pPr>
              <w:spacing w:line="276" w:lineRule="auto"/>
              <w:jc w:val="center"/>
              <w:rPr>
                <w:rFonts w:ascii="Arial Narrow" w:hAnsi="Arial Narrow"/>
                <w:noProof/>
                <w:color w:val="006100"/>
                <w:sz w:val="20"/>
                <w:szCs w:val="20"/>
              </w:rPr>
            </w:pPr>
            <w:r>
              <w:rPr>
                <w:rFonts w:ascii="Arial Narrow" w:hAnsi="Arial Narrow"/>
                <w:noProof/>
                <w:color w:val="006100"/>
                <w:sz w:val="20"/>
              </w:rPr>
              <w:t>Kanalisatsiooni- ja puhastusprojektide rahastamine</w:t>
            </w:r>
          </w:p>
        </w:tc>
        <w:tc>
          <w:tcPr>
            <w:tcW w:w="1684" w:type="dxa"/>
            <w:shd w:val="clear" w:color="auto" w:fill="C6EFCE"/>
            <w:noWrap/>
            <w:vAlign w:val="center"/>
            <w:hideMark/>
          </w:tcPr>
          <w:p w14:paraId="4B565A66" w14:textId="1238B77F" w:rsidR="0084326C" w:rsidRPr="005D68A0" w:rsidRDefault="13DF67C2">
            <w:pPr>
              <w:spacing w:line="276" w:lineRule="auto"/>
              <w:jc w:val="center"/>
              <w:rPr>
                <w:rFonts w:ascii="Arial Narrow" w:eastAsia="Arial Narrow" w:hAnsi="Arial Narrow" w:cs="Arial Narrow"/>
                <w:noProof/>
                <w:sz w:val="20"/>
                <w:szCs w:val="20"/>
              </w:rPr>
            </w:pPr>
            <w:r>
              <w:rPr>
                <w:rFonts w:ascii="Arial Narrow" w:hAnsi="Arial Narrow"/>
                <w:noProof/>
                <w:color w:val="006100"/>
                <w:sz w:val="20"/>
              </w:rPr>
              <w:t>Dekreedi avaldamine</w:t>
            </w:r>
          </w:p>
        </w:tc>
        <w:tc>
          <w:tcPr>
            <w:tcW w:w="1094" w:type="dxa"/>
            <w:shd w:val="clear" w:color="auto" w:fill="C6EFCE"/>
            <w:noWrap/>
            <w:vAlign w:val="center"/>
            <w:hideMark/>
          </w:tcPr>
          <w:p w14:paraId="4AD6E05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982" w:type="dxa"/>
            <w:shd w:val="clear" w:color="auto" w:fill="C6EFCE"/>
            <w:noWrap/>
            <w:vAlign w:val="center"/>
            <w:hideMark/>
          </w:tcPr>
          <w:p w14:paraId="6F11873E" w14:textId="56DB3F97" w:rsidR="0084326C" w:rsidRPr="005D68A0" w:rsidRDefault="0084326C" w:rsidP="00BB258E">
            <w:pPr>
              <w:spacing w:line="276" w:lineRule="auto"/>
              <w:jc w:val="center"/>
              <w:rPr>
                <w:rFonts w:ascii="Arial Narrow" w:hAnsi="Arial Narrow"/>
                <w:noProof/>
                <w:color w:val="006100"/>
                <w:sz w:val="20"/>
                <w:szCs w:val="20"/>
              </w:rPr>
            </w:pPr>
            <w:r>
              <w:rPr>
                <w:rFonts w:ascii="Arial Narrow" w:hAnsi="Arial Narrow"/>
                <w:noProof/>
                <w:color w:val="006100"/>
                <w:sz w:val="20"/>
              </w:rPr>
              <w:t xml:space="preserve">Ei kohaldata </w:t>
            </w:r>
          </w:p>
        </w:tc>
        <w:tc>
          <w:tcPr>
            <w:tcW w:w="1046" w:type="dxa"/>
            <w:shd w:val="clear" w:color="auto" w:fill="C6EFCE"/>
            <w:noWrap/>
            <w:vAlign w:val="center"/>
            <w:hideMark/>
          </w:tcPr>
          <w:p w14:paraId="1B25265D" w14:textId="34236351" w:rsidR="0084326C" w:rsidRPr="005D68A0" w:rsidRDefault="0084326C" w:rsidP="00BB258E">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772" w:type="dxa"/>
            <w:shd w:val="clear" w:color="auto" w:fill="C6EFCE"/>
            <w:noWrap/>
            <w:vAlign w:val="center"/>
            <w:hideMark/>
          </w:tcPr>
          <w:p w14:paraId="7B3D7BF9"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4. kv</w:t>
            </w:r>
          </w:p>
        </w:tc>
        <w:tc>
          <w:tcPr>
            <w:tcW w:w="663" w:type="dxa"/>
            <w:shd w:val="clear" w:color="auto" w:fill="C6EFCE"/>
            <w:noWrap/>
            <w:vAlign w:val="center"/>
            <w:hideMark/>
          </w:tcPr>
          <w:p w14:paraId="00C9F68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2023</w:t>
            </w:r>
          </w:p>
        </w:tc>
        <w:tc>
          <w:tcPr>
            <w:tcW w:w="3401" w:type="dxa"/>
            <w:shd w:val="clear" w:color="auto" w:fill="C6EFCE"/>
            <w:noWrap/>
            <w:vAlign w:val="center"/>
            <w:hideMark/>
          </w:tcPr>
          <w:p w14:paraId="5F0317EB"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 xml:space="preserve">Vastuvõtumääruse avaldamine koos projektiettepanekute rahastamise (määramise) määramisega.  </w:t>
            </w:r>
          </w:p>
          <w:p w14:paraId="14B976C7" w14:textId="77777777" w:rsidR="0084326C" w:rsidRPr="00F33804" w:rsidRDefault="0084326C">
            <w:pPr>
              <w:spacing w:line="276" w:lineRule="auto"/>
              <w:rPr>
                <w:rFonts w:ascii="Arial Narrow" w:hAnsi="Arial Narrow"/>
                <w:noProof/>
                <w:color w:val="006100"/>
                <w:sz w:val="20"/>
                <w:szCs w:val="20"/>
              </w:rPr>
            </w:pPr>
          </w:p>
          <w:p w14:paraId="2A0E7E85"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Sekkumised:</w:t>
            </w:r>
          </w:p>
          <w:p w14:paraId="09188013" w14:textId="77777777" w:rsidR="0084326C" w:rsidRPr="005D68A0" w:rsidRDefault="0084326C">
            <w:pPr>
              <w:spacing w:line="276" w:lineRule="auto"/>
              <w:rPr>
                <w:rFonts w:ascii="Arial Narrow" w:hAnsi="Arial Narrow"/>
                <w:noProof/>
                <w:color w:val="006100"/>
                <w:sz w:val="20"/>
                <w:szCs w:val="20"/>
                <w:lang w:val="en-GB"/>
              </w:rPr>
            </w:pPr>
          </w:p>
          <w:p w14:paraId="0BF5FE85" w14:textId="77777777" w:rsidR="0084326C" w:rsidRPr="005D68A0" w:rsidRDefault="0084326C">
            <w:pPr>
              <w:pStyle w:val="ListParagraph"/>
              <w:numPr>
                <w:ilvl w:val="0"/>
                <w:numId w:val="69"/>
              </w:numPr>
              <w:spacing w:before="0" w:after="0" w:line="276" w:lineRule="auto"/>
              <w:ind w:left="468"/>
              <w:jc w:val="left"/>
              <w:rPr>
                <w:rFonts w:ascii="Arial Narrow" w:hAnsi="Arial Narrow"/>
                <w:noProof/>
                <w:color w:val="006100"/>
                <w:sz w:val="20"/>
                <w:szCs w:val="20"/>
              </w:rPr>
            </w:pPr>
            <w:r>
              <w:rPr>
                <w:rFonts w:ascii="Arial Narrow" w:hAnsi="Arial Narrow"/>
                <w:noProof/>
                <w:color w:val="006100"/>
                <w:sz w:val="20"/>
              </w:rPr>
              <w:t>Tõhustada mere- ja siseveekogudesse juhitava reovee puhastamist, muu hulgas tehnoloogiliste uuenduste abil;</w:t>
            </w:r>
          </w:p>
          <w:p w14:paraId="7731EED5" w14:textId="77777777" w:rsidR="0084326C" w:rsidRPr="005D68A0" w:rsidRDefault="0084326C">
            <w:pPr>
              <w:spacing w:line="276" w:lineRule="auto"/>
              <w:ind w:left="468"/>
              <w:rPr>
                <w:rFonts w:ascii="Arial Narrow" w:hAnsi="Arial Narrow"/>
                <w:noProof/>
                <w:color w:val="006100"/>
                <w:sz w:val="20"/>
                <w:szCs w:val="20"/>
                <w:lang w:val="en-GB"/>
              </w:rPr>
            </w:pPr>
          </w:p>
          <w:p w14:paraId="51A45C43" w14:textId="77777777" w:rsidR="0084326C" w:rsidRPr="005D68A0" w:rsidRDefault="0084326C">
            <w:pPr>
              <w:pStyle w:val="ListParagraph"/>
              <w:numPr>
                <w:ilvl w:val="0"/>
                <w:numId w:val="69"/>
              </w:numPr>
              <w:spacing w:before="0" w:after="0" w:line="276" w:lineRule="auto"/>
              <w:ind w:left="468"/>
              <w:jc w:val="left"/>
              <w:rPr>
                <w:rFonts w:ascii="Arial Narrow" w:hAnsi="Arial Narrow"/>
                <w:noProof/>
                <w:color w:val="006100"/>
                <w:sz w:val="20"/>
                <w:szCs w:val="20"/>
              </w:rPr>
            </w:pPr>
            <w:r>
              <w:rPr>
                <w:rFonts w:ascii="Arial Narrow" w:hAnsi="Arial Narrow"/>
                <w:noProof/>
                <w:color w:val="006100"/>
                <w:sz w:val="20"/>
              </w:rPr>
              <w:t>Muuta mõned puhastusjaamad võimaluse korral nn rohelisteks tehasteks, kus taaskasutatakse puhastatud reovett niisutamiseks ja tööstuslikuks otstarbeks.</w:t>
            </w:r>
          </w:p>
          <w:p w14:paraId="29744BFC" w14:textId="77777777" w:rsidR="0084326C" w:rsidRPr="005D68A0" w:rsidRDefault="0084326C">
            <w:pPr>
              <w:rPr>
                <w:rFonts w:ascii="Arial Narrow" w:hAnsi="Arial Narrow"/>
                <w:noProof/>
                <w:color w:val="006100"/>
                <w:sz w:val="20"/>
                <w:szCs w:val="20"/>
                <w:lang w:val="en-GB"/>
              </w:rPr>
            </w:pPr>
          </w:p>
          <w:p w14:paraId="6D93CD9F"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See meede ei tohi oluliselt kahjustada keskkonnaeesmärke määruse (EL) 2020/852 artikli 17 tähenduses, võttes arvesse taaste- ja vastupidavuskavas sätestatud meetme kirjeldust ja leevendusmeetmeid kooskõlas põhimõttega „ei kahjusta oluliselt“ (2021/C58/01). Eelkõige ei ole abikõlblik reoveesetete põletamine.</w:t>
            </w:r>
          </w:p>
          <w:p w14:paraId="5A444D1D" w14:textId="77777777" w:rsidR="0084326C" w:rsidRPr="005D68A0" w:rsidRDefault="0084326C">
            <w:pPr>
              <w:spacing w:line="276" w:lineRule="auto"/>
              <w:rPr>
                <w:rFonts w:ascii="Arial Narrow" w:hAnsi="Arial Narrow"/>
                <w:noProof/>
                <w:color w:val="006100"/>
                <w:sz w:val="20"/>
                <w:szCs w:val="20"/>
                <w:lang w:val="en-GB"/>
              </w:rPr>
            </w:pPr>
          </w:p>
        </w:tc>
      </w:tr>
      <w:tr w:rsidR="004775AA" w:rsidRPr="00D90835" w14:paraId="1BD8C475" w14:textId="77777777" w:rsidTr="004775AA">
        <w:trPr>
          <w:trHeight w:val="313"/>
          <w:jc w:val="center"/>
        </w:trPr>
        <w:tc>
          <w:tcPr>
            <w:tcW w:w="1064" w:type="dxa"/>
            <w:shd w:val="clear" w:color="auto" w:fill="C6EFCE"/>
            <w:noWrap/>
            <w:vAlign w:val="center"/>
            <w:hideMark/>
          </w:tcPr>
          <w:p w14:paraId="3E200976"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M2C4-37</w:t>
            </w:r>
          </w:p>
        </w:tc>
        <w:tc>
          <w:tcPr>
            <w:tcW w:w="2487" w:type="dxa"/>
            <w:shd w:val="clear" w:color="auto" w:fill="C6EFCE"/>
            <w:noWrap/>
            <w:vAlign w:val="center"/>
            <w:hideMark/>
          </w:tcPr>
          <w:p w14:paraId="6E17BEB8"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4.4. Investeeringud kanalisatsiooni ja puhastusse</w:t>
            </w:r>
          </w:p>
        </w:tc>
        <w:tc>
          <w:tcPr>
            <w:tcW w:w="900" w:type="dxa"/>
            <w:shd w:val="clear" w:color="auto" w:fill="C6EFCE"/>
            <w:noWrap/>
            <w:vAlign w:val="center"/>
            <w:hideMark/>
          </w:tcPr>
          <w:p w14:paraId="1FFC844B"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2487" w:type="dxa"/>
            <w:shd w:val="clear" w:color="auto" w:fill="C6EFCE"/>
            <w:noWrap/>
            <w:vAlign w:val="center"/>
            <w:hideMark/>
          </w:tcPr>
          <w:p w14:paraId="356BF70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Kanalisatsiooni- ja puhastusteenused T1</w:t>
            </w:r>
          </w:p>
        </w:tc>
        <w:tc>
          <w:tcPr>
            <w:tcW w:w="1684" w:type="dxa"/>
            <w:shd w:val="clear" w:color="auto" w:fill="C6EFCE"/>
            <w:noWrap/>
            <w:vAlign w:val="center"/>
            <w:hideMark/>
          </w:tcPr>
          <w:p w14:paraId="09EFBF5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94" w:type="dxa"/>
            <w:shd w:val="clear" w:color="auto" w:fill="C6EFCE"/>
            <w:noWrap/>
            <w:vAlign w:val="center"/>
            <w:hideMark/>
          </w:tcPr>
          <w:p w14:paraId="4D8BA47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Arv</w:t>
            </w:r>
          </w:p>
        </w:tc>
        <w:tc>
          <w:tcPr>
            <w:tcW w:w="982" w:type="dxa"/>
            <w:shd w:val="clear" w:color="auto" w:fill="C6EFCE"/>
            <w:noWrap/>
            <w:vAlign w:val="center"/>
            <w:hideMark/>
          </w:tcPr>
          <w:p w14:paraId="0130ACB1" w14:textId="77777777" w:rsidR="0084326C" w:rsidRPr="005D68A0" w:rsidRDefault="0084326C">
            <w:pPr>
              <w:spacing w:line="276" w:lineRule="auto"/>
              <w:jc w:val="center"/>
              <w:rPr>
                <w:rFonts w:ascii="Arial Narrow" w:hAnsi="Arial Narrow"/>
                <w:noProof/>
                <w:sz w:val="20"/>
                <w:szCs w:val="20"/>
              </w:rPr>
            </w:pPr>
            <w:r>
              <w:rPr>
                <w:rFonts w:ascii="Arial Narrow" w:hAnsi="Arial Narrow"/>
                <w:noProof/>
                <w:color w:val="006100"/>
                <w:sz w:val="20"/>
              </w:rPr>
              <w:t>0</w:t>
            </w:r>
          </w:p>
        </w:tc>
        <w:tc>
          <w:tcPr>
            <w:tcW w:w="1046" w:type="dxa"/>
            <w:shd w:val="clear" w:color="auto" w:fill="C6EFCE"/>
            <w:noWrap/>
            <w:vAlign w:val="center"/>
            <w:hideMark/>
          </w:tcPr>
          <w:p w14:paraId="435DBEC5" w14:textId="77777777" w:rsidR="0084326C" w:rsidRPr="005D68A0" w:rsidRDefault="0084326C">
            <w:pPr>
              <w:spacing w:line="276" w:lineRule="auto"/>
              <w:jc w:val="center"/>
              <w:rPr>
                <w:rFonts w:ascii="Arial Narrow" w:hAnsi="Arial Narrow"/>
                <w:noProof/>
                <w:sz w:val="20"/>
                <w:szCs w:val="20"/>
              </w:rPr>
            </w:pPr>
            <w:r>
              <w:rPr>
                <w:rFonts w:ascii="Arial Narrow" w:hAnsi="Arial Narrow"/>
                <w:noProof/>
                <w:color w:val="006100"/>
                <w:sz w:val="20"/>
              </w:rPr>
              <w:t>500 000</w:t>
            </w:r>
          </w:p>
        </w:tc>
        <w:tc>
          <w:tcPr>
            <w:tcW w:w="772" w:type="dxa"/>
            <w:shd w:val="clear" w:color="auto" w:fill="C6EFCE"/>
            <w:noWrap/>
            <w:vAlign w:val="center"/>
            <w:hideMark/>
          </w:tcPr>
          <w:p w14:paraId="7E6C5572" w14:textId="24E43CD5"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 kv</w:t>
            </w:r>
          </w:p>
        </w:tc>
        <w:tc>
          <w:tcPr>
            <w:tcW w:w="663" w:type="dxa"/>
            <w:shd w:val="clear" w:color="auto" w:fill="C6EFCE"/>
            <w:noWrap/>
            <w:vAlign w:val="center"/>
            <w:hideMark/>
          </w:tcPr>
          <w:p w14:paraId="1D16DF77" w14:textId="62FE8BF9"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2025</w:t>
            </w:r>
          </w:p>
        </w:tc>
        <w:tc>
          <w:tcPr>
            <w:tcW w:w="3401" w:type="dxa"/>
            <w:shd w:val="clear" w:color="auto" w:fill="C6EFCE"/>
            <w:noWrap/>
            <w:vAlign w:val="center"/>
            <w:hideMark/>
          </w:tcPr>
          <w:p w14:paraId="1187A52F"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Vähendada asulareovee ebapiisava kogumise ja puhastamise tõttu nõukogu direktiivile 91/271/EMÜ mittevastavates linnastutes elavate ekvivalentsete elanike arvu vähemalt 500 000 võrra.</w:t>
            </w:r>
          </w:p>
        </w:tc>
      </w:tr>
      <w:tr w:rsidR="004775AA" w:rsidRPr="00D90835" w14:paraId="3F0D7707" w14:textId="77777777" w:rsidTr="004775AA">
        <w:trPr>
          <w:trHeight w:val="313"/>
          <w:jc w:val="center"/>
        </w:trPr>
        <w:tc>
          <w:tcPr>
            <w:tcW w:w="1064" w:type="dxa"/>
            <w:shd w:val="clear" w:color="auto" w:fill="C6EFCE"/>
            <w:noWrap/>
            <w:vAlign w:val="center"/>
            <w:hideMark/>
          </w:tcPr>
          <w:p w14:paraId="65F581D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M2C4-38</w:t>
            </w:r>
          </w:p>
        </w:tc>
        <w:tc>
          <w:tcPr>
            <w:tcW w:w="2487" w:type="dxa"/>
            <w:shd w:val="clear" w:color="auto" w:fill="C6EFCE"/>
            <w:noWrap/>
            <w:vAlign w:val="center"/>
            <w:hideMark/>
          </w:tcPr>
          <w:p w14:paraId="1681E314"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Investeering 4.4. Investeeringud kanalisatsiooni ja puhastusse</w:t>
            </w:r>
          </w:p>
        </w:tc>
        <w:tc>
          <w:tcPr>
            <w:tcW w:w="900" w:type="dxa"/>
            <w:shd w:val="clear" w:color="auto" w:fill="C6EFCE"/>
            <w:noWrap/>
            <w:vAlign w:val="center"/>
            <w:hideMark/>
          </w:tcPr>
          <w:p w14:paraId="0FF139EE"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Siht</w:t>
            </w:r>
          </w:p>
        </w:tc>
        <w:tc>
          <w:tcPr>
            <w:tcW w:w="2487" w:type="dxa"/>
            <w:shd w:val="clear" w:color="auto" w:fill="C6EFCE"/>
            <w:noWrap/>
            <w:vAlign w:val="center"/>
            <w:hideMark/>
          </w:tcPr>
          <w:p w14:paraId="344813C3"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Kanalisatsiooni- ja puhastusteenused T2</w:t>
            </w:r>
          </w:p>
        </w:tc>
        <w:tc>
          <w:tcPr>
            <w:tcW w:w="1684" w:type="dxa"/>
            <w:shd w:val="clear" w:color="auto" w:fill="C6EFCE"/>
            <w:noWrap/>
            <w:vAlign w:val="center"/>
            <w:hideMark/>
          </w:tcPr>
          <w:p w14:paraId="4C2AF170"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Ei kohaldata</w:t>
            </w:r>
          </w:p>
        </w:tc>
        <w:tc>
          <w:tcPr>
            <w:tcW w:w="1094" w:type="dxa"/>
            <w:shd w:val="clear" w:color="auto" w:fill="C6EFCE"/>
            <w:noWrap/>
            <w:vAlign w:val="center"/>
            <w:hideMark/>
          </w:tcPr>
          <w:p w14:paraId="267D281C"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Arv</w:t>
            </w:r>
          </w:p>
        </w:tc>
        <w:tc>
          <w:tcPr>
            <w:tcW w:w="982" w:type="dxa"/>
            <w:shd w:val="clear" w:color="auto" w:fill="C6EFCE"/>
            <w:noWrap/>
            <w:vAlign w:val="center"/>
            <w:hideMark/>
          </w:tcPr>
          <w:p w14:paraId="2A788C85" w14:textId="77777777" w:rsidR="0084326C" w:rsidRPr="005D68A0" w:rsidRDefault="0084326C">
            <w:pPr>
              <w:spacing w:line="276" w:lineRule="auto"/>
              <w:jc w:val="center"/>
              <w:rPr>
                <w:rFonts w:ascii="Arial Narrow" w:hAnsi="Arial Narrow"/>
                <w:noProof/>
                <w:sz w:val="20"/>
                <w:szCs w:val="20"/>
              </w:rPr>
            </w:pPr>
            <w:r>
              <w:rPr>
                <w:rFonts w:ascii="Arial Narrow" w:hAnsi="Arial Narrow"/>
                <w:noProof/>
                <w:color w:val="006100"/>
                <w:sz w:val="20"/>
              </w:rPr>
              <w:t>500 000</w:t>
            </w:r>
          </w:p>
        </w:tc>
        <w:tc>
          <w:tcPr>
            <w:tcW w:w="1046" w:type="dxa"/>
            <w:shd w:val="clear" w:color="auto" w:fill="C6EFCE"/>
            <w:noWrap/>
            <w:vAlign w:val="center"/>
            <w:hideMark/>
          </w:tcPr>
          <w:p w14:paraId="6DB395B1"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2 250 000</w:t>
            </w:r>
          </w:p>
        </w:tc>
        <w:tc>
          <w:tcPr>
            <w:tcW w:w="772" w:type="dxa"/>
            <w:shd w:val="clear" w:color="auto" w:fill="C6EFCE"/>
            <w:noWrap/>
            <w:vAlign w:val="center"/>
            <w:hideMark/>
          </w:tcPr>
          <w:p w14:paraId="1D829D2A"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1. kv</w:t>
            </w:r>
          </w:p>
        </w:tc>
        <w:tc>
          <w:tcPr>
            <w:tcW w:w="663" w:type="dxa"/>
            <w:shd w:val="clear" w:color="auto" w:fill="C6EFCE"/>
            <w:noWrap/>
            <w:vAlign w:val="center"/>
            <w:hideMark/>
          </w:tcPr>
          <w:p w14:paraId="36D42375" w14:textId="77777777" w:rsidR="0084326C" w:rsidRPr="005D68A0" w:rsidRDefault="0084326C">
            <w:pPr>
              <w:spacing w:line="276" w:lineRule="auto"/>
              <w:jc w:val="center"/>
              <w:rPr>
                <w:rFonts w:ascii="Arial Narrow" w:hAnsi="Arial Narrow"/>
                <w:noProof/>
                <w:color w:val="006100"/>
                <w:sz w:val="20"/>
                <w:szCs w:val="20"/>
              </w:rPr>
            </w:pPr>
            <w:r>
              <w:rPr>
                <w:rFonts w:ascii="Arial Narrow" w:hAnsi="Arial Narrow"/>
                <w:noProof/>
                <w:color w:val="006100"/>
                <w:sz w:val="20"/>
              </w:rPr>
              <w:t>2026</w:t>
            </w:r>
          </w:p>
        </w:tc>
        <w:tc>
          <w:tcPr>
            <w:tcW w:w="3401" w:type="dxa"/>
            <w:shd w:val="clear" w:color="auto" w:fill="C6EFCE"/>
            <w:noWrap/>
            <w:vAlign w:val="center"/>
            <w:hideMark/>
          </w:tcPr>
          <w:p w14:paraId="0361191F" w14:textId="77777777" w:rsidR="0084326C" w:rsidRPr="005D68A0" w:rsidRDefault="0084326C">
            <w:pPr>
              <w:spacing w:line="276" w:lineRule="auto"/>
              <w:rPr>
                <w:rFonts w:ascii="Arial Narrow" w:hAnsi="Arial Narrow"/>
                <w:noProof/>
                <w:color w:val="006100"/>
                <w:sz w:val="20"/>
                <w:szCs w:val="20"/>
              </w:rPr>
            </w:pPr>
            <w:r>
              <w:rPr>
                <w:rFonts w:ascii="Arial Narrow" w:hAnsi="Arial Narrow"/>
                <w:noProof/>
                <w:color w:val="006100"/>
                <w:sz w:val="20"/>
              </w:rPr>
              <w:t>Vähendada asulareovee ebapiisava kogumise ja puhastamise tõttu nõukogu direktiivile 91/271/EMÜ mittevastavates linnastutes elavate ekvivalentsete elanike arvu vähemalt 2 250 000 võrra.</w:t>
            </w:r>
          </w:p>
        </w:tc>
      </w:tr>
    </w:tbl>
    <w:p w14:paraId="029C2D4D" w14:textId="77777777" w:rsidR="0084326C" w:rsidRPr="00F33804" w:rsidRDefault="0084326C" w:rsidP="0084326C">
      <w:pPr>
        <w:tabs>
          <w:tab w:val="left" w:pos="4252"/>
        </w:tabs>
        <w:rPr>
          <w:i/>
          <w:noProof/>
        </w:rPr>
        <w:sectPr w:rsidR="0084326C" w:rsidRPr="00F33804">
          <w:headerReference w:type="even" r:id="rId206"/>
          <w:headerReference w:type="default" r:id="rId207"/>
          <w:footerReference w:type="even" r:id="rId208"/>
          <w:footerReference w:type="default" r:id="rId209"/>
          <w:headerReference w:type="first" r:id="rId210"/>
          <w:footerReference w:type="first" r:id="rId211"/>
          <w:pgSz w:w="16839" w:h="11907" w:orient="landscape"/>
          <w:pgMar w:top="1134" w:right="1134" w:bottom="1134" w:left="1134" w:header="567" w:footer="567" w:gutter="0"/>
          <w:cols w:space="720"/>
          <w:docGrid w:linePitch="360"/>
        </w:sectPr>
      </w:pPr>
    </w:p>
    <w:p w14:paraId="3C8289B6" w14:textId="77777777" w:rsidR="0084326C" w:rsidRPr="00994F5E" w:rsidRDefault="0084326C" w:rsidP="0084326C">
      <w:pPr>
        <w:pStyle w:val="Heading2"/>
        <w:numPr>
          <w:ilvl w:val="0"/>
          <w:numId w:val="0"/>
        </w:numPr>
        <w:rPr>
          <w:noProof/>
        </w:rPr>
      </w:pPr>
      <w:r>
        <w:rPr>
          <w:noProof/>
        </w:rPr>
        <w:t>H. ÜLESANNE 3 KOMPONENT 1: Säästev transporditaristu</w:t>
      </w:r>
    </w:p>
    <w:p w14:paraId="76E9E16F" w14:textId="77777777" w:rsidR="0084326C" w:rsidRPr="00994F5E" w:rsidRDefault="0084326C" w:rsidP="0084326C">
      <w:pPr>
        <w:spacing w:before="120" w:after="120"/>
        <w:jc w:val="both"/>
        <w:rPr>
          <w:noProof/>
          <w:lang w:val="fr-BE"/>
        </w:rPr>
      </w:pPr>
    </w:p>
    <w:p w14:paraId="057A59C3" w14:textId="77777777" w:rsidR="0084326C" w:rsidRPr="005D68A0" w:rsidRDefault="0084326C" w:rsidP="0084326C">
      <w:pPr>
        <w:pStyle w:val="Heading3"/>
        <w:numPr>
          <w:ilvl w:val="0"/>
          <w:numId w:val="0"/>
        </w:numPr>
        <w:ind w:left="850" w:hanging="850"/>
        <w:rPr>
          <w:b/>
          <w:bCs w:val="0"/>
          <w:i w:val="0"/>
          <w:iCs/>
          <w:noProof/>
          <w:color w:val="4472C4" w:themeColor="accent1"/>
          <w:u w:val="single"/>
        </w:rPr>
      </w:pPr>
      <w:r>
        <w:rPr>
          <w:b/>
          <w:i w:val="0"/>
          <w:noProof/>
          <w:u w:val="single"/>
        </w:rPr>
        <w:t xml:space="preserve">H.1. </w:t>
      </w:r>
      <w:r>
        <w:rPr>
          <w:noProof/>
        </w:rPr>
        <w:tab/>
      </w:r>
      <w:r>
        <w:rPr>
          <w:b/>
          <w:i w:val="0"/>
          <w:noProof/>
          <w:u w:val="single"/>
        </w:rPr>
        <w:t>Tagastamatu rahalise toetusega seotud reformide ja investeeringute kirjeldus</w:t>
      </w:r>
    </w:p>
    <w:p w14:paraId="41D239D3" w14:textId="77777777" w:rsidR="0084326C" w:rsidRPr="005D68A0" w:rsidRDefault="0084326C" w:rsidP="0084326C">
      <w:pPr>
        <w:spacing w:before="120" w:after="120"/>
        <w:jc w:val="both"/>
        <w:rPr>
          <w:i/>
          <w:noProof/>
          <w:u w:val="single"/>
        </w:rPr>
      </w:pPr>
      <w:r>
        <w:rPr>
          <w:i/>
          <w:noProof/>
          <w:u w:val="single"/>
        </w:rPr>
        <w:t>Ei kohaldata</w:t>
      </w:r>
    </w:p>
    <w:p w14:paraId="39011F08" w14:textId="77777777" w:rsidR="0084326C" w:rsidRPr="005D68A0" w:rsidRDefault="0084326C" w:rsidP="0084326C">
      <w:pPr>
        <w:pStyle w:val="Heading3"/>
        <w:numPr>
          <w:ilvl w:val="0"/>
          <w:numId w:val="0"/>
        </w:numPr>
        <w:ind w:left="850" w:hanging="850"/>
        <w:rPr>
          <w:b/>
          <w:bCs w:val="0"/>
          <w:i w:val="0"/>
          <w:iCs/>
          <w:noProof/>
          <w:u w:val="single"/>
        </w:rPr>
      </w:pPr>
      <w:r>
        <w:rPr>
          <w:b/>
          <w:i w:val="0"/>
          <w:noProof/>
          <w:u w:val="single"/>
        </w:rPr>
        <w:t xml:space="preserve">H.2. </w:t>
      </w:r>
      <w:r>
        <w:rPr>
          <w:noProof/>
        </w:rPr>
        <w:tab/>
      </w:r>
      <w:r>
        <w:rPr>
          <w:b/>
          <w:i w:val="0"/>
          <w:noProof/>
          <w:u w:val="single"/>
        </w:rPr>
        <w:t>Tagastamatu rahalise toetuse eesmärgid, sihid, näitajad ning seire ja rakendamise ajakava</w:t>
      </w:r>
    </w:p>
    <w:p w14:paraId="7B104567" w14:textId="77777777" w:rsidR="0084326C" w:rsidRPr="005D68A0" w:rsidRDefault="0084326C" w:rsidP="0084326C">
      <w:pPr>
        <w:spacing w:before="120" w:after="120"/>
        <w:jc w:val="both"/>
        <w:rPr>
          <w:noProof/>
        </w:rPr>
      </w:pPr>
      <w:r>
        <w:rPr>
          <w:i/>
          <w:noProof/>
        </w:rPr>
        <w:t>Ei kohaldata</w:t>
      </w:r>
    </w:p>
    <w:p w14:paraId="3A4375E8" w14:textId="77777777" w:rsidR="0084326C" w:rsidRPr="005D68A0" w:rsidRDefault="0084326C" w:rsidP="0084326C">
      <w:pPr>
        <w:spacing w:before="120" w:after="120"/>
        <w:ind w:left="709"/>
        <w:jc w:val="both"/>
        <w:rPr>
          <w:noProof/>
          <w:lang w:val="en-GB"/>
        </w:rPr>
        <w:sectPr w:rsidR="0084326C" w:rsidRPr="005D68A0">
          <w:headerReference w:type="even" r:id="rId212"/>
          <w:headerReference w:type="default" r:id="rId213"/>
          <w:footerReference w:type="even" r:id="rId214"/>
          <w:footerReference w:type="default" r:id="rId215"/>
          <w:headerReference w:type="first" r:id="rId216"/>
          <w:footerReference w:type="first" r:id="rId217"/>
          <w:pgSz w:w="11907" w:h="16839"/>
          <w:pgMar w:top="1440" w:right="1440" w:bottom="1440" w:left="1440" w:header="567" w:footer="567" w:gutter="0"/>
          <w:cols w:space="720"/>
          <w:docGrid w:linePitch="360"/>
        </w:sectPr>
      </w:pPr>
    </w:p>
    <w:p w14:paraId="490F17ED" w14:textId="77777777" w:rsidR="0084326C" w:rsidRPr="005D68A0" w:rsidRDefault="0084326C" w:rsidP="0084326C">
      <w:pPr>
        <w:pStyle w:val="Heading3"/>
        <w:numPr>
          <w:ilvl w:val="0"/>
          <w:numId w:val="0"/>
        </w:numPr>
        <w:ind w:left="850" w:hanging="850"/>
        <w:rPr>
          <w:b/>
          <w:bCs w:val="0"/>
          <w:i w:val="0"/>
          <w:iCs/>
          <w:noProof/>
          <w:color w:val="4472C4" w:themeColor="accent1"/>
          <w:u w:val="single"/>
        </w:rPr>
      </w:pPr>
      <w:r>
        <w:rPr>
          <w:b/>
          <w:i w:val="0"/>
          <w:noProof/>
          <w:u w:val="single"/>
        </w:rPr>
        <w:t xml:space="preserve">H.3. </w:t>
      </w:r>
      <w:r>
        <w:rPr>
          <w:noProof/>
        </w:rPr>
        <w:tab/>
      </w:r>
      <w:r>
        <w:rPr>
          <w:b/>
          <w:i w:val="0"/>
          <w:noProof/>
          <w:u w:val="single"/>
        </w:rPr>
        <w:t xml:space="preserve">Laenuga seotud reformide ja investeeringute kirjeldus </w:t>
      </w:r>
    </w:p>
    <w:p w14:paraId="6315C659" w14:textId="77777777" w:rsidR="0084326C" w:rsidRPr="005D68A0" w:rsidRDefault="0084326C" w:rsidP="0084326C">
      <w:pPr>
        <w:spacing w:before="120" w:after="120"/>
        <w:jc w:val="both"/>
        <w:rPr>
          <w:noProof/>
        </w:rPr>
      </w:pPr>
      <w:r>
        <w:rPr>
          <w:noProof/>
        </w:rPr>
        <w:t>Selle komponendi investeeringutega toetatakse raudteeinfrastruktuuri (kiirraudtee, kaubavedu, piirkondlikud raudteed, Euroopa raudteeliikluse juhtimissüsteem) kasutuselevõttu. Nendega kaasnevad reformid, mille eesmärk on kiirendada raudteetaristusse investeerimist ja parandada maanteetaristu kvaliteeti. Ettevõtluskeskkonna reformi komponent sisaldab meedet, millega luuakse piirkondadele lisastiimulid piirkondlike avaliku teenindamise lepingute sõlmimiseks. See osa sisaldab meetmeid vesiniku kasutamise arendamiseks raudteedel.</w:t>
      </w:r>
    </w:p>
    <w:p w14:paraId="556729B6" w14:textId="77777777" w:rsidR="0084326C" w:rsidRPr="005D68A0" w:rsidRDefault="0084326C" w:rsidP="0084326C">
      <w:pPr>
        <w:spacing w:before="120" w:after="120"/>
        <w:jc w:val="both"/>
        <w:rPr>
          <w:noProof/>
        </w:rPr>
      </w:pPr>
      <w:r>
        <w:rPr>
          <w:noProof/>
        </w:rPr>
        <w:t>Selle komponendiga toetatakse 2019. aasta riigipõhise 3. soovituse (milles kutsutakse Itaaliat tungivalt üles suunama investeeringutega seotud majanduspoliitika taristu kvaliteedile, võttes arvesse piirkondlikke erinevusi) ja 2020. aasta riigipõhist soovitust nr 3 „Pärg-koormusküpsed avaliku sektori investeerimisprojektid“ ning „Investeeringud rohe- ja digipöördele, eelkõige puhtale ja tõhusale energiatootmisele ja -kasutusele, teadusuuringutele ja innovatsioonile, säästvale ühistranspordile, jäätmekäitlusele ja veemajandusele ning tugevdatud digitaristule, et tagada oluliste teenuste osutamine“.</w:t>
      </w:r>
    </w:p>
    <w:p w14:paraId="71B7FBBD" w14:textId="77777777" w:rsidR="0084326C" w:rsidRPr="005D68A0" w:rsidRDefault="0084326C" w:rsidP="0084326C">
      <w:pPr>
        <w:spacing w:before="120" w:after="120"/>
        <w:jc w:val="both"/>
        <w:rPr>
          <w:noProof/>
        </w:rPr>
      </w:pPr>
      <w:r>
        <w:rPr>
          <w:noProof/>
        </w:rPr>
        <w:t xml:space="preserve">Lähtudes meetmete kirjeldusest taaste- ja vastupidavuskavas ja võttes arvesse põhimõtte „Ei kahjusta oluliselt“ tehniliste suuniste (2021/C58/01) kohaseid leevendavaid samme, mis kavas on sätestatud, võib eeldada, et ükski selle komponendi meede ei kahjusta määruse (EL) 2020/852 artikli 17 tähenduses oluliselt keskkonnaeesmärke.  </w:t>
      </w:r>
    </w:p>
    <w:p w14:paraId="3A416C95" w14:textId="77777777" w:rsidR="0084326C" w:rsidRPr="005D68A0" w:rsidRDefault="0084326C" w:rsidP="0084326C">
      <w:pPr>
        <w:spacing w:before="120" w:after="120"/>
        <w:jc w:val="both"/>
        <w:rPr>
          <w:b/>
          <w:noProof/>
        </w:rPr>
      </w:pPr>
      <w:r>
        <w:rPr>
          <w:b/>
          <w:noProof/>
        </w:rPr>
        <w:t xml:space="preserve">Reform 1.1. Infrastruktuuri- ja transpordiministeeriumi ning raudteeinfrastruktuuri-ettevõtja </w:t>
      </w:r>
      <w:r>
        <w:rPr>
          <w:b/>
          <w:i/>
          <w:noProof/>
        </w:rPr>
        <w:t>Rete Ferroviaria Italiana</w:t>
      </w:r>
      <w:r>
        <w:rPr>
          <w:b/>
          <w:noProof/>
        </w:rPr>
        <w:t xml:space="preserve"> vahelise lepingu heakskiitmise protsessi kiirendamine</w:t>
      </w:r>
    </w:p>
    <w:p w14:paraId="7AEF71C2" w14:textId="77777777" w:rsidR="0084326C" w:rsidRPr="005D68A0" w:rsidRDefault="0084326C" w:rsidP="0084326C">
      <w:pPr>
        <w:spacing w:before="120" w:after="120"/>
        <w:jc w:val="both"/>
        <w:rPr>
          <w:noProof/>
        </w:rPr>
      </w:pPr>
      <w:r>
        <w:rPr>
          <w:noProof/>
        </w:rPr>
        <w:t xml:space="preserve">Reformiga kaotatakse nõue, et parlamendikomisjonid peavad avaldama arvamust raudteeinfrastruktuuri-ettevõtja </w:t>
      </w:r>
      <w:r>
        <w:rPr>
          <w:i/>
          <w:noProof/>
        </w:rPr>
        <w:t>Rete Ferroviaria Italiana Contratti di Programma</w:t>
      </w:r>
      <w:r>
        <w:rPr>
          <w:noProof/>
        </w:rPr>
        <w:t xml:space="preserve"> (CdP) investeeringute loetelu kohta. Parlamentaarsed komisjonid avaldavad arvamust strateegilise investeerimisprogrammi kohta.</w:t>
      </w:r>
    </w:p>
    <w:p w14:paraId="4EEC1351" w14:textId="77777777" w:rsidR="0084326C" w:rsidRPr="005D68A0" w:rsidRDefault="0084326C" w:rsidP="0084326C">
      <w:pPr>
        <w:spacing w:before="120" w:after="120"/>
        <w:jc w:val="both"/>
        <w:rPr>
          <w:b/>
          <w:noProof/>
        </w:rPr>
      </w:pPr>
      <w:r>
        <w:rPr>
          <w:b/>
          <w:noProof/>
        </w:rPr>
        <w:t>Reform 1.2. Projektide heakskiitmise protsessi kiirendamine</w:t>
      </w:r>
    </w:p>
    <w:p w14:paraId="51ADDD5F" w14:textId="77777777" w:rsidR="0084326C" w:rsidRPr="005D68A0" w:rsidRDefault="0084326C" w:rsidP="0084326C">
      <w:pPr>
        <w:spacing w:before="120" w:after="120"/>
        <w:jc w:val="both"/>
        <w:rPr>
          <w:noProof/>
        </w:rPr>
      </w:pPr>
      <w:r>
        <w:rPr>
          <w:noProof/>
        </w:rPr>
        <w:t>Reform seisneb selliste õigusaktide vastuvõtmises, mis võimaldavad prognoosida tööde asukohta majandusliku tehnilise teostatavuse projekti (PFTE) ajal, selle asemel et oodata projekti lõplikku kavandamisetappi. Täiendavad load, mida PFTE-l ei ole võimalik omandada, saadakse järgnevates projekteerimisetappides, ilma et Conferenza dei Servizi kokku kutsutaks erandina seadusest nr 241/1990. Need muudatused lühendavad projektide jaoks loa andmise aega 11 kuult 6 kuuni.</w:t>
      </w:r>
    </w:p>
    <w:p w14:paraId="16126247" w14:textId="77777777" w:rsidR="0084326C" w:rsidRPr="005D68A0" w:rsidRDefault="0084326C" w:rsidP="0084326C">
      <w:pPr>
        <w:spacing w:before="120" w:after="120"/>
        <w:jc w:val="both"/>
        <w:rPr>
          <w:b/>
          <w:noProof/>
        </w:rPr>
      </w:pPr>
      <w:r>
        <w:rPr>
          <w:b/>
          <w:noProof/>
        </w:rPr>
        <w:t>Investeering 1.1. Reisijate ja kauba kiirrongiühendus lõunasse</w:t>
      </w:r>
    </w:p>
    <w:p w14:paraId="5A50EC52" w14:textId="5A4CAC11" w:rsidR="0084326C" w:rsidRPr="005D68A0" w:rsidRDefault="0084326C" w:rsidP="0084326C">
      <w:pPr>
        <w:spacing w:before="120" w:after="120"/>
        <w:jc w:val="both"/>
        <w:rPr>
          <w:noProof/>
        </w:rPr>
      </w:pPr>
      <w:r>
        <w:rPr>
          <w:noProof/>
        </w:rPr>
        <w:t xml:space="preserve">See investeering seisneb 119 km kiirrongitaristu ehitamises reisijate ja kaubaveo jaoks Napoli-Bari, Salerno-Reggio Calabria ja Palermo-Catania liinidel. </w:t>
      </w:r>
    </w:p>
    <w:p w14:paraId="6D86FE45" w14:textId="77777777" w:rsidR="0084326C" w:rsidRPr="005D68A0" w:rsidRDefault="0084326C" w:rsidP="0084326C">
      <w:pPr>
        <w:spacing w:before="120" w:after="120"/>
        <w:jc w:val="both"/>
        <w:rPr>
          <w:noProof/>
        </w:rPr>
      </w:pPr>
      <w:r>
        <w:rPr>
          <w:noProof/>
        </w:rPr>
        <w:t>Iga asjaomase projekti/investeeringu hindamisel ja lubamisel järgitakse kõiki ELi direktiivi 92/43/EMÜ artikli 6 lõigetes 3 ja 4 sätestatud eeskirju ja menetlusi ning järgitakse Itaalia Vabariigi ametlikus Gazzette’is 28. detsembril 2019 avaldatud riiklikke mõju hindamise suuniseid.</w:t>
      </w:r>
    </w:p>
    <w:p w14:paraId="6ED5A043" w14:textId="77777777" w:rsidR="0084326C" w:rsidRPr="005D68A0" w:rsidRDefault="0084326C" w:rsidP="0084326C">
      <w:pPr>
        <w:spacing w:before="120" w:after="120"/>
        <w:jc w:val="both"/>
        <w:rPr>
          <w:noProof/>
        </w:rPr>
      </w:pPr>
      <w:r>
        <w:rPr>
          <w:noProof/>
        </w:rPr>
        <w:t>Eeldatakse, et kõnealune meede ei kahjusta oluliselt keskkonnaeesmärke määruse (EL) 2020/852 artikli 17 tähenduses, võttes arvesse meetme kirjeldust ning taaste- ja vastupidavuskavas kooskõlas põhimõtte „ei kahjusta oluliselt“ tehniliste suunistega (2021/C58/01) sätestatud leevendavaid samme.</w:t>
      </w:r>
    </w:p>
    <w:p w14:paraId="14722CA5" w14:textId="77777777" w:rsidR="0084326C" w:rsidRPr="005D68A0" w:rsidRDefault="0084326C" w:rsidP="0084326C">
      <w:pPr>
        <w:spacing w:before="120" w:after="120"/>
        <w:jc w:val="both"/>
        <w:rPr>
          <w:b/>
          <w:noProof/>
        </w:rPr>
      </w:pPr>
      <w:r>
        <w:rPr>
          <w:b/>
          <w:noProof/>
        </w:rPr>
        <w:t>Investeering 1.2. Põhjaosa kiirraudteeliinid, mis ühendavad ülejäänud Euroopaga</w:t>
      </w:r>
    </w:p>
    <w:p w14:paraId="7B27649E" w14:textId="77777777" w:rsidR="0084326C" w:rsidRPr="005D68A0" w:rsidRDefault="0084326C" w:rsidP="0084326C">
      <w:pPr>
        <w:spacing w:before="120" w:after="120"/>
        <w:jc w:val="both"/>
        <w:rPr>
          <w:noProof/>
        </w:rPr>
      </w:pPr>
      <w:r>
        <w:rPr>
          <w:noProof/>
        </w:rPr>
        <w:t>Investeering hõlmab 165 km kiirraudteetaristu ehitamist Brescia-Verona-Vicenza-Padova, Liguria-Alpi liinidele. Iga asjaomase projekti/investeeringu hindamisel ja lubamisel järgitakse kõiki ELi direktiivi 92/43/EMÜ artikli 6 lõigetes 3 ja 4 sätestatud eeskirju ja menetlusi ning järgitakse mõju hindamise riiklikke suuniseid, mis on avaldatud Itaalia Vabariigi ametlikus väljaandes nr 303, 28. detsember 2019.</w:t>
      </w:r>
    </w:p>
    <w:p w14:paraId="314C07D2" w14:textId="0B13DBB9" w:rsidR="0084326C" w:rsidRPr="005D68A0" w:rsidRDefault="0084326C" w:rsidP="0084326C">
      <w:pPr>
        <w:spacing w:before="120" w:after="120"/>
        <w:jc w:val="both"/>
        <w:rPr>
          <w:noProof/>
        </w:rPr>
      </w:pPr>
      <w:r>
        <w:rPr>
          <w:noProof/>
        </w:rPr>
        <w:t>Eeldatakse, et kõnealune meede ei kahjusta märkimisväärselt keskkonnaeesmärke määruse (EL)</w:t>
      </w:r>
      <w:r w:rsidR="004775AA">
        <w:rPr>
          <w:noProof/>
        </w:rPr>
        <w:t> </w:t>
      </w:r>
      <w:r>
        <w:rPr>
          <w:noProof/>
        </w:rPr>
        <w:t>2020/852 artikli 17 tähenduses, võttes arvesse meetme kirjeldust ning taaste- ja vastupidavuskavas sätestatud leevendavaid meetmeid kooskõlas DNSH tehniliste suunistega (2021/C58/01) ning eesmärke ja eesmärke, mida Itaalia peab täitma.</w:t>
      </w:r>
    </w:p>
    <w:p w14:paraId="4CD4D808" w14:textId="6AF8FDC7" w:rsidR="0084326C" w:rsidRPr="005D68A0" w:rsidRDefault="0084326C" w:rsidP="0084326C">
      <w:pPr>
        <w:spacing w:before="120" w:after="120"/>
        <w:jc w:val="both"/>
        <w:rPr>
          <w:noProof/>
        </w:rPr>
      </w:pPr>
      <w:r>
        <w:rPr>
          <w:noProof/>
        </w:rPr>
        <w:t>Segmendis sõltub Rho-Parabiago positiivsest keskkonnamõju hindamisest, mis vastab täielikult ja sisuliselt õiguslikele kriteeriumidele, võttes vajaduse korral täielikult arvesse keskkonnamõju hindamise tulemusi ja tingimusi, et saavutada vastavus DNSH tehnilistele suunistele (2021/C58/01). Keskkonnamõju hindamine avaldatakse ja viiakse lõpule kooskõlas direktiiviga 2011/92/EL ning direktiivi 2000/60/EÜ ja direktiivi 92/43/EMÜ kohaste asjakohaste hindamistega, sealhulgas nõutavate leevendusmeetmete rakendamisega. Kõik keskkonnamõju hindamise raames määratletud meetmed, mis on vajalikud DNSH tehniliste juhiste (2021/C58/01) täitmise tagamiseks, integreeritakse projekti ja neid järgitakse taristu ehitamise, käitamise ja tegevuse lõpetamise etapis.</w:t>
      </w:r>
    </w:p>
    <w:p w14:paraId="1C709575" w14:textId="77777777" w:rsidR="0084326C" w:rsidRPr="005D68A0" w:rsidRDefault="0084326C" w:rsidP="0084326C">
      <w:pPr>
        <w:spacing w:before="120" w:after="120"/>
        <w:jc w:val="both"/>
        <w:rPr>
          <w:b/>
          <w:noProof/>
        </w:rPr>
      </w:pPr>
      <w:r>
        <w:rPr>
          <w:b/>
          <w:noProof/>
        </w:rPr>
        <w:t>Investeering 1.3. Diagonaalühendused</w:t>
      </w:r>
    </w:p>
    <w:p w14:paraId="26226839" w14:textId="77777777" w:rsidR="0084326C" w:rsidRPr="005D68A0" w:rsidRDefault="0084326C" w:rsidP="0084326C">
      <w:pPr>
        <w:spacing w:before="120" w:after="120"/>
        <w:jc w:val="both"/>
        <w:rPr>
          <w:noProof/>
        </w:rPr>
      </w:pPr>
      <w:r>
        <w:rPr>
          <w:noProof/>
        </w:rPr>
        <w:t>Investeering seisneb 27 km kiirraudtee ehitamises nii reisijate kui ka kauba jaoks Orte-Falconara e Taranto-Metaponto-Potenza-Battipaglia liinil. Iga asjaomase projekti/investeeringu hindamisel ja lubamisel järgitakse kõiki ELi direktiivi 92/43/EMÜ artikli 6 lõigetes 3 ja 4 sätestatud eeskirju ja menetlusi ning järgitakse mõju hindamise riiklikke suuniseid, mis on avaldatud Itaalia Vabariigi ametlikus väljaandes nr 303, 28. detsember 2019.</w:t>
      </w:r>
    </w:p>
    <w:p w14:paraId="11050776" w14:textId="77777777" w:rsidR="0084326C" w:rsidRPr="005D68A0" w:rsidRDefault="0084326C" w:rsidP="0084326C">
      <w:pPr>
        <w:spacing w:before="120" w:after="120"/>
        <w:jc w:val="both"/>
        <w:rPr>
          <w:b/>
          <w:noProof/>
        </w:rPr>
      </w:pPr>
      <w:r>
        <w:rPr>
          <w:b/>
          <w:noProof/>
        </w:rPr>
        <w:t>Investeering 1.4. Euroopa raudteetranspordi juhtimissüsteem (ERTMS)</w:t>
      </w:r>
    </w:p>
    <w:p w14:paraId="08FBE88D" w14:textId="3652BDB8" w:rsidR="0084326C" w:rsidRPr="005D68A0" w:rsidRDefault="0084326C" w:rsidP="0084326C">
      <w:pPr>
        <w:spacing w:before="120" w:after="120"/>
        <w:jc w:val="both"/>
        <w:rPr>
          <w:noProof/>
        </w:rPr>
      </w:pPr>
      <w:r>
        <w:rPr>
          <w:noProof/>
        </w:rPr>
        <w:t xml:space="preserve">See investeering seisneb 2 785 km raudteeliinide varustamises Euroopa raudteetranspordi juhtimissüsteemiga (ERTMS) kooskõlas ERTMSi Euroopa arenduskavaga.  </w:t>
      </w:r>
    </w:p>
    <w:p w14:paraId="431522EB" w14:textId="77777777" w:rsidR="0084326C" w:rsidRPr="005D68A0" w:rsidRDefault="0084326C" w:rsidP="0084326C">
      <w:pPr>
        <w:spacing w:before="120" w:after="120"/>
        <w:jc w:val="both"/>
        <w:rPr>
          <w:b/>
          <w:noProof/>
        </w:rPr>
      </w:pPr>
      <w:r>
        <w:rPr>
          <w:b/>
          <w:noProof/>
        </w:rPr>
        <w:t>Investeering 1.5. Suurlinnasõlmede ja peamiste riiklike sidemete tugevdamine</w:t>
      </w:r>
    </w:p>
    <w:p w14:paraId="1CE965F8" w14:textId="77777777" w:rsidR="0084326C" w:rsidRPr="005D68A0" w:rsidRDefault="0084326C" w:rsidP="0084326C">
      <w:pPr>
        <w:spacing w:before="120" w:after="120"/>
        <w:jc w:val="both"/>
        <w:rPr>
          <w:noProof/>
        </w:rPr>
      </w:pPr>
      <w:r>
        <w:rPr>
          <w:noProof/>
        </w:rPr>
        <w:t>See investeering hõlmab 12 suurlinnasõlmedele ja peamistele riiklikele ühendustele (Liguria-Alps, Bologna-Veneetsia-Trieste/Udine, Bologna-Milano, Bologna-Verona-Brennero, kesk- ja Põhja-Türreenini ühendus, Aadria ja Joonia mere ühendus, linnatranspordisõlmed ja piirkondlikud liinid) vähemalt 1 280 km pikkuse raudteelõigu ajakohastamist; Kaubaterminalid). Iga asjaomase projekti või investeeringu hindamisel ja lubamisel järgitakse kõiki ELi direktiivi 92/43/EMÜ artikli 6 lõigetes 3 ja 4 sätestatud eeskirju ja menetlusi ning järgitakse Itaalia Vabariigi ametlikus Gazzette’is 28. detsembril 2019 avaldatud riiklikke mõju hindamise suuniseid.</w:t>
      </w:r>
    </w:p>
    <w:p w14:paraId="40F99158" w14:textId="77777777" w:rsidR="0084326C" w:rsidRPr="005D68A0" w:rsidRDefault="0084326C" w:rsidP="0084326C">
      <w:pPr>
        <w:spacing w:before="120" w:after="120"/>
        <w:jc w:val="both"/>
        <w:rPr>
          <w:b/>
          <w:noProof/>
        </w:rPr>
      </w:pPr>
      <w:r>
        <w:rPr>
          <w:b/>
          <w:noProof/>
        </w:rPr>
        <w:t>Investeering 1.6. Piirkondlike liinide tugevdamine – Piirkondlike raudteede uuendamine (piirkondlike raudteede haldamine)</w:t>
      </w:r>
    </w:p>
    <w:p w14:paraId="4149A3ED" w14:textId="77777777" w:rsidR="0084326C" w:rsidRPr="005D68A0" w:rsidRDefault="0084326C" w:rsidP="0084326C">
      <w:pPr>
        <w:spacing w:before="120" w:after="120"/>
        <w:jc w:val="both"/>
        <w:rPr>
          <w:noProof/>
        </w:rPr>
      </w:pPr>
      <w:r>
        <w:rPr>
          <w:noProof/>
        </w:rPr>
        <w:t>See investeering seisneb selliste piirkondlike liinide uuendamises 646 km ulatuses, mille omandiõigus anti üle Rete Ferroviaria Italianale (RFI) või antakse järk-järgult üle Rete Ferroviaria Italianale. Iga asjaomase projekti või investeeringu hindamisel ja lubamisel järgitakse kõiki ELi direktiivi 92/43/EMÜ artikli 6 lõigetes 3 ja 4 sätestatud eeskirju ja menetlusi ning järgitakse Itaalia Vabariigi ametlikus Gazzette’is 28. detsembril 2019 avaldatud riiklikke mõju hindamise suuniseid.</w:t>
      </w:r>
    </w:p>
    <w:p w14:paraId="41229576" w14:textId="77777777" w:rsidR="0084326C" w:rsidRPr="005D68A0" w:rsidRDefault="0084326C" w:rsidP="0084326C">
      <w:pPr>
        <w:spacing w:before="120" w:after="120"/>
        <w:jc w:val="both"/>
        <w:rPr>
          <w:noProof/>
        </w:rPr>
      </w:pPr>
      <w:r>
        <w:rPr>
          <w:noProof/>
        </w:rPr>
        <w:t>Sekkumised on kavandatud järgmistele eelarveridadele:</w:t>
      </w:r>
    </w:p>
    <w:p w14:paraId="66CCABF4" w14:textId="77777777" w:rsidR="0084326C" w:rsidRPr="005D68A0" w:rsidRDefault="0084326C" w:rsidP="0084326C">
      <w:pPr>
        <w:numPr>
          <w:ilvl w:val="0"/>
          <w:numId w:val="48"/>
        </w:numPr>
        <w:spacing w:before="120" w:after="120" w:line="259" w:lineRule="auto"/>
        <w:ind w:left="360"/>
        <w:contextualSpacing/>
        <w:jc w:val="both"/>
        <w:rPr>
          <w:iCs/>
          <w:noProof/>
        </w:rPr>
      </w:pPr>
      <w:r>
        <w:rPr>
          <w:noProof/>
        </w:rPr>
        <w:t>Piemonte: Torino Cerese-Canavesana ajakohastamine ja moderniseerimine: liiklusvoogude korrapärasuse parandamine;</w:t>
      </w:r>
    </w:p>
    <w:p w14:paraId="54ED928C" w14:textId="77777777" w:rsidR="0084326C" w:rsidRPr="005D68A0" w:rsidRDefault="0084326C" w:rsidP="0084326C">
      <w:pPr>
        <w:numPr>
          <w:ilvl w:val="0"/>
          <w:numId w:val="48"/>
        </w:numPr>
        <w:spacing w:before="120" w:after="120" w:line="259" w:lineRule="auto"/>
        <w:ind w:left="360"/>
        <w:contextualSpacing/>
        <w:jc w:val="both"/>
        <w:rPr>
          <w:iCs/>
          <w:noProof/>
        </w:rPr>
      </w:pPr>
      <w:r>
        <w:rPr>
          <w:noProof/>
        </w:rPr>
        <w:t>Giulia Friuli Venezia: FUC raudtee: infrastruktuuri- ja tehnoloogiatööd Udine-Cividale liinil: liiklusvoogude korrapärasuse parandamine;</w:t>
      </w:r>
    </w:p>
    <w:p w14:paraId="391BD5B5" w14:textId="77777777" w:rsidR="0084326C" w:rsidRPr="005D68A0" w:rsidRDefault="0084326C" w:rsidP="0084326C">
      <w:pPr>
        <w:numPr>
          <w:ilvl w:val="0"/>
          <w:numId w:val="48"/>
        </w:numPr>
        <w:spacing w:before="120" w:after="120" w:line="259" w:lineRule="auto"/>
        <w:ind w:left="360"/>
        <w:contextualSpacing/>
        <w:jc w:val="both"/>
        <w:rPr>
          <w:iCs/>
          <w:noProof/>
        </w:rPr>
      </w:pPr>
      <w:r>
        <w:rPr>
          <w:noProof/>
        </w:rPr>
        <w:t>Umbria: Umbriumi keskraudtee (FCU): infrastruktuuri- ja tehnoloogiaalane sekkumine;</w:t>
      </w:r>
    </w:p>
    <w:p w14:paraId="7BE25A37" w14:textId="77777777" w:rsidR="0084326C" w:rsidRPr="005D68A0" w:rsidRDefault="0084326C" w:rsidP="0084326C">
      <w:pPr>
        <w:numPr>
          <w:ilvl w:val="0"/>
          <w:numId w:val="48"/>
        </w:numPr>
        <w:spacing w:before="120" w:after="120" w:line="259" w:lineRule="auto"/>
        <w:ind w:left="360"/>
        <w:contextualSpacing/>
        <w:jc w:val="both"/>
        <w:rPr>
          <w:iCs/>
          <w:noProof/>
        </w:rPr>
      </w:pPr>
      <w:r>
        <w:rPr>
          <w:noProof/>
        </w:rPr>
        <w:t>Campania (EAV): Cancello-Benevento liini tugevdamine ja ajakohastamine: raudteetoimingute ohutusstandardite parandamine;</w:t>
      </w:r>
    </w:p>
    <w:p w14:paraId="35ABEB8A" w14:textId="77777777" w:rsidR="0084326C" w:rsidRPr="005D68A0" w:rsidRDefault="0084326C" w:rsidP="0084326C">
      <w:pPr>
        <w:numPr>
          <w:ilvl w:val="0"/>
          <w:numId w:val="48"/>
        </w:numPr>
        <w:spacing w:before="120" w:after="120" w:line="259" w:lineRule="auto"/>
        <w:ind w:left="360"/>
        <w:contextualSpacing/>
        <w:jc w:val="both"/>
        <w:rPr>
          <w:iCs/>
          <w:noProof/>
        </w:rPr>
      </w:pPr>
      <w:r>
        <w:rPr>
          <w:noProof/>
        </w:rPr>
        <w:t>Puglia: Bari-Bitritto liin: infrastruktuuri uuendamine: vastavus riikliku raudteeinfrastruktuuri tehnilistele/regulatiivsetele standarditele; Ferrovie del Sud Est (FSE): Bari-Taranto liini infrastruktuuri uuendamine: sekkumine võimaldab kohanduda RFI toimivusstandarditega ja koostalitlusvõime tehniliste kirjeldustega; FSE: SCMT/ERTMSi seadmete valmimine võrgus: liiklussuutlikkuse parandamine, läbilaskevõime optimeerimine, ohutusstandardite parandamine; FSE: Ühendvedude keskuste rajamine ja 20 jaama ajakohastamine: sekkumise eesmärk on parandada jaamade juurdepääsetavust ning luua raudteebussi-, raudtee- ja eraauto- ning raudtee-jalgratturite vahetuspiirkondi;</w:t>
      </w:r>
    </w:p>
    <w:p w14:paraId="1F77D4D7" w14:textId="77777777" w:rsidR="0084326C" w:rsidRPr="005D68A0" w:rsidRDefault="0084326C" w:rsidP="0084326C">
      <w:pPr>
        <w:numPr>
          <w:ilvl w:val="0"/>
          <w:numId w:val="48"/>
        </w:numPr>
        <w:spacing w:before="120" w:after="120" w:line="259" w:lineRule="auto"/>
        <w:ind w:left="360"/>
        <w:contextualSpacing/>
        <w:jc w:val="both"/>
        <w:rPr>
          <w:iCs/>
          <w:noProof/>
        </w:rPr>
      </w:pPr>
      <w:r>
        <w:rPr>
          <w:noProof/>
        </w:rPr>
        <w:t>Calabria: Rosarno-S. Ferdinando liin: Rosarno ja San Ferdinando liinide seadmete ajakohastamine, et ühendada need Gioia Tauroga.</w:t>
      </w:r>
    </w:p>
    <w:p w14:paraId="532D0F6D" w14:textId="77777777" w:rsidR="0084326C" w:rsidRPr="005D68A0" w:rsidRDefault="0084326C" w:rsidP="0084326C">
      <w:pPr>
        <w:spacing w:before="120" w:after="120"/>
        <w:jc w:val="both"/>
        <w:rPr>
          <w:b/>
          <w:noProof/>
        </w:rPr>
      </w:pPr>
      <w:r>
        <w:rPr>
          <w:b/>
          <w:noProof/>
        </w:rPr>
        <w:t>Investeering 1.7. Lõuna-Euroopa raudteede ajakohastamine, elektrifitseerimine ja vastupidavus</w:t>
      </w:r>
    </w:p>
    <w:p w14:paraId="02B5A1D7" w14:textId="6D2CA65D" w:rsidR="0084326C" w:rsidRPr="005D68A0" w:rsidRDefault="53DC5198" w:rsidP="0084326C">
      <w:pPr>
        <w:spacing w:before="120" w:after="120"/>
        <w:jc w:val="both"/>
        <w:rPr>
          <w:noProof/>
        </w:rPr>
      </w:pPr>
      <w:r>
        <w:rPr>
          <w:noProof/>
        </w:rPr>
        <w:t>See investeering hõlmab 1 162 km lõunapoolsete raudteede ajakohastamist, elektrifitseerimist ja vastupidavust. Selle meetme alla kuuluvad projektid võivad saada toetust muudest Euroopa programmidest. Sellist toetust ei võeta kõnealuse investeeringu tegemisel arvesse. Lisaks võivad selle meetme alla kuuluvad projektid saada toetust riiklikest vahenditest.</w:t>
      </w:r>
    </w:p>
    <w:p w14:paraId="0D0E7566" w14:textId="77777777" w:rsidR="0084326C" w:rsidRPr="005D68A0" w:rsidRDefault="0084326C" w:rsidP="0084326C">
      <w:pPr>
        <w:spacing w:before="120" w:after="120"/>
        <w:jc w:val="both"/>
        <w:rPr>
          <w:b/>
          <w:noProof/>
        </w:rPr>
      </w:pPr>
      <w:r>
        <w:rPr>
          <w:b/>
          <w:noProof/>
        </w:rPr>
        <w:t>Investeering 1.8. Raudteejaamade ajakohastamine (Rete Ferroviaria Italiana (RFI) juhtimine; lõunas)</w:t>
      </w:r>
    </w:p>
    <w:p w14:paraId="7EBA77AF" w14:textId="77777777" w:rsidR="0084326C" w:rsidRPr="005D68A0" w:rsidRDefault="0084326C" w:rsidP="0084326C">
      <w:pPr>
        <w:spacing w:before="120" w:after="120"/>
        <w:jc w:val="both"/>
        <w:rPr>
          <w:noProof/>
        </w:rPr>
      </w:pPr>
      <w:r>
        <w:rPr>
          <w:noProof/>
        </w:rPr>
        <w:t>See investeering hõlmab 38 raudteejaama ajakohastamist ja nende kättesaadavaks tegemist kooskõlas komisjoni määrusega (EL) nr 1300/2014 ja ELi raudteeohutuseeskirjadega. Iga asjaomase projekti või investeeringu hindamisel ja lubamisel järgitakse kõiki ELi direktiivi 92/43/EMÜ artikli 6 lõigetes 3 ja 4 sätestatud eeskirju ja menetlusi ning järgitakse Itaalia Vabariigi ametlikus Gazzette’is 28. detsembril 2019 avaldatud riiklikke mõju hindamise suuniseid.</w:t>
      </w:r>
    </w:p>
    <w:p w14:paraId="528E7D29" w14:textId="77777777" w:rsidR="0084326C" w:rsidRPr="005D68A0" w:rsidRDefault="0084326C" w:rsidP="0084326C">
      <w:pPr>
        <w:spacing w:before="120" w:after="120"/>
        <w:jc w:val="both"/>
        <w:rPr>
          <w:b/>
          <w:bCs/>
          <w:noProof/>
        </w:rPr>
      </w:pPr>
      <w:r>
        <w:rPr>
          <w:b/>
          <w:noProof/>
        </w:rPr>
        <w:t xml:space="preserve">Investeering 1.9. Piirkondadevahelised ühendused </w:t>
      </w:r>
    </w:p>
    <w:p w14:paraId="3F645D8B" w14:textId="77777777" w:rsidR="0084326C" w:rsidRPr="005D68A0" w:rsidRDefault="0084326C" w:rsidP="0084326C">
      <w:pPr>
        <w:spacing w:before="120" w:after="120"/>
        <w:jc w:val="both"/>
        <w:rPr>
          <w:noProof/>
        </w:rPr>
      </w:pPr>
      <w:r>
        <w:rPr>
          <w:noProof/>
        </w:rPr>
        <w:t>See investeering seisneb meetmete kiirendamises 221 km ulatuses järgmistel liinidel:</w:t>
      </w:r>
    </w:p>
    <w:p w14:paraId="08657A90" w14:textId="77777777" w:rsidR="0084326C" w:rsidRPr="005D68A0" w:rsidRDefault="0084326C" w:rsidP="0084326C">
      <w:pPr>
        <w:pStyle w:val="ListParagraph"/>
        <w:numPr>
          <w:ilvl w:val="0"/>
          <w:numId w:val="91"/>
        </w:numPr>
        <w:rPr>
          <w:noProof/>
        </w:rPr>
      </w:pPr>
      <w:r>
        <w:rPr>
          <w:noProof/>
        </w:rPr>
        <w:t>Milano – Genova</w:t>
      </w:r>
    </w:p>
    <w:p w14:paraId="381B8A5B" w14:textId="77777777" w:rsidR="0084326C" w:rsidRPr="005D68A0" w:rsidRDefault="0084326C" w:rsidP="0084326C">
      <w:pPr>
        <w:pStyle w:val="ListParagraph"/>
        <w:numPr>
          <w:ilvl w:val="0"/>
          <w:numId w:val="91"/>
        </w:numPr>
        <w:rPr>
          <w:noProof/>
        </w:rPr>
      </w:pPr>
      <w:r>
        <w:rPr>
          <w:noProof/>
        </w:rPr>
        <w:t>Palermo – Catania (linea storica)</w:t>
      </w:r>
    </w:p>
    <w:p w14:paraId="139786B3" w14:textId="04AEF685" w:rsidR="0084326C" w:rsidRPr="005D68A0" w:rsidRDefault="0084326C" w:rsidP="0084326C">
      <w:pPr>
        <w:pStyle w:val="ListParagraph"/>
        <w:numPr>
          <w:ilvl w:val="0"/>
          <w:numId w:val="91"/>
        </w:numPr>
        <w:rPr>
          <w:noProof/>
        </w:rPr>
      </w:pPr>
      <w:r>
        <w:rPr>
          <w:noProof/>
        </w:rPr>
        <w:t>Battipaglia</w:t>
      </w:r>
      <w:r w:rsidR="004775AA">
        <w:rPr>
          <w:noProof/>
        </w:rPr>
        <w:t xml:space="preserve"> – </w:t>
      </w:r>
      <w:r>
        <w:rPr>
          <w:noProof/>
        </w:rPr>
        <w:t>Potenza</w:t>
      </w:r>
    </w:p>
    <w:p w14:paraId="37173900" w14:textId="77777777" w:rsidR="0084326C" w:rsidRPr="005D68A0" w:rsidRDefault="0084326C" w:rsidP="0084326C">
      <w:pPr>
        <w:pStyle w:val="ListParagraph"/>
        <w:numPr>
          <w:ilvl w:val="0"/>
          <w:numId w:val="91"/>
        </w:numPr>
        <w:rPr>
          <w:noProof/>
        </w:rPr>
      </w:pPr>
      <w:r>
        <w:rPr>
          <w:noProof/>
        </w:rPr>
        <w:t>Orte – Falconara.</w:t>
      </w:r>
    </w:p>
    <w:p w14:paraId="10F282C7" w14:textId="77777777" w:rsidR="0084326C" w:rsidRPr="005D68A0" w:rsidRDefault="0084326C" w:rsidP="0084326C">
      <w:pPr>
        <w:rPr>
          <w:noProof/>
        </w:rPr>
      </w:pPr>
      <w:r>
        <w:rPr>
          <w:noProof/>
        </w:rPr>
        <w:t>Investeeringu eesmärk on parandada praeguste taristute tulemuslikkust sekkumiste kaudu, mis võiksid hõlmata järgmist:</w:t>
      </w:r>
    </w:p>
    <w:p w14:paraId="428FD499" w14:textId="77777777" w:rsidR="0084326C" w:rsidRPr="005D68A0" w:rsidRDefault="0084326C" w:rsidP="0084326C">
      <w:pPr>
        <w:pStyle w:val="ListParagraph"/>
        <w:numPr>
          <w:ilvl w:val="0"/>
          <w:numId w:val="92"/>
        </w:numPr>
        <w:rPr>
          <w:noProof/>
        </w:rPr>
      </w:pPr>
      <w:r>
        <w:rPr>
          <w:noProof/>
        </w:rPr>
        <w:t xml:space="preserve">jaamade jalajälje kavade muutmine (PRG – Piano Regolatore Generale); </w:t>
      </w:r>
    </w:p>
    <w:p w14:paraId="22DBD64A" w14:textId="77777777" w:rsidR="0084326C" w:rsidRPr="005D68A0" w:rsidRDefault="0084326C" w:rsidP="0084326C">
      <w:pPr>
        <w:pStyle w:val="ListParagraph"/>
        <w:numPr>
          <w:ilvl w:val="0"/>
          <w:numId w:val="92"/>
        </w:numPr>
        <w:rPr>
          <w:noProof/>
        </w:rPr>
      </w:pPr>
      <w:r>
        <w:rPr>
          <w:noProof/>
        </w:rPr>
        <w:t>ERTMS;</w:t>
      </w:r>
    </w:p>
    <w:p w14:paraId="66B88D27" w14:textId="47340650" w:rsidR="0084326C" w:rsidRPr="005D68A0" w:rsidRDefault="0084326C" w:rsidP="0084326C">
      <w:pPr>
        <w:pStyle w:val="ListParagraph"/>
        <w:numPr>
          <w:ilvl w:val="0"/>
          <w:numId w:val="92"/>
        </w:numPr>
        <w:rPr>
          <w:noProof/>
        </w:rPr>
      </w:pPr>
      <w:r>
        <w:rPr>
          <w:noProof/>
        </w:rPr>
        <w:t>selliste liiklusjuhtimissüsteemide nagu ACC (apparato Centrale Computerizzato) ja ACCM (apparato Centrale a calcolatore Multistazione) konfiguratsioon ja/või muutmine</w:t>
      </w:r>
      <w:r w:rsidR="004775AA">
        <w:rPr>
          <w:noProof/>
        </w:rPr>
        <w:t>;</w:t>
      </w:r>
    </w:p>
    <w:p w14:paraId="510BFAD1" w14:textId="77777777" w:rsidR="0084326C" w:rsidRPr="005D68A0" w:rsidRDefault="0084326C" w:rsidP="0084326C">
      <w:pPr>
        <w:pStyle w:val="ListParagraph"/>
        <w:numPr>
          <w:ilvl w:val="0"/>
          <w:numId w:val="92"/>
        </w:numPr>
        <w:rPr>
          <w:noProof/>
        </w:rPr>
      </w:pPr>
      <w:r>
        <w:rPr>
          <w:noProof/>
        </w:rPr>
        <w:t>füüsilise taristu muud täiustused, mis võivad hõlmata raudteepõhja, seadmeid ja muid taristuga seotud sekkumisi.</w:t>
      </w:r>
    </w:p>
    <w:p w14:paraId="53A2021C" w14:textId="77777777" w:rsidR="0084326C" w:rsidRPr="005D68A0" w:rsidRDefault="0084326C" w:rsidP="0084326C">
      <w:pPr>
        <w:spacing w:before="120" w:after="120"/>
        <w:jc w:val="both"/>
        <w:rPr>
          <w:b/>
          <w:noProof/>
        </w:rPr>
      </w:pPr>
      <w:r>
        <w:rPr>
          <w:b/>
          <w:noProof/>
        </w:rPr>
        <w:t>Reform 2.1. „Riskiklassifitseerimise ja -juhtimise, julgeoleku hindamise ning olemasolevate sildade järelevalve“ suuniste vastuvõtmine</w:t>
      </w:r>
    </w:p>
    <w:p w14:paraId="0937D261" w14:textId="77777777" w:rsidR="0084326C" w:rsidRPr="005D68A0" w:rsidRDefault="0084326C" w:rsidP="0084326C">
      <w:pPr>
        <w:spacing w:before="120" w:after="120"/>
        <w:jc w:val="both"/>
        <w:rPr>
          <w:noProof/>
        </w:rPr>
      </w:pPr>
      <w:r>
        <w:rPr>
          <w:noProof/>
        </w:rPr>
        <w:t>Reform seisneb riskide liigitamise ja juhtimise suuniste vastuvõtmises, turvalisuse hindamises ja olemasolevate sildade järelevalves. Suuniste vastuvõtmine, mis võimaldab ühiste standardite ja metoodikate kohaldamist kogu riigi teedevõrgus.</w:t>
      </w:r>
    </w:p>
    <w:p w14:paraId="3D8E7D6C" w14:textId="7F23F142" w:rsidR="0084326C" w:rsidRPr="005D68A0" w:rsidRDefault="0084326C" w:rsidP="0084326C">
      <w:pPr>
        <w:spacing w:before="120" w:after="120"/>
        <w:jc w:val="both"/>
        <w:rPr>
          <w:b/>
          <w:noProof/>
        </w:rPr>
      </w:pPr>
      <w:r>
        <w:rPr>
          <w:b/>
          <w:noProof/>
        </w:rPr>
        <w:t>Reform 2.2. Sil</w:t>
      </w:r>
      <w:r w:rsidR="009046EC">
        <w:rPr>
          <w:b/>
          <w:noProof/>
        </w:rPr>
        <w:t>d</w:t>
      </w:r>
      <w:r>
        <w:rPr>
          <w:b/>
          <w:noProof/>
        </w:rPr>
        <w:t>ade ja viaduktide vara üleviimine madalama astme teedelt kõrgema astme teedele</w:t>
      </w:r>
    </w:p>
    <w:p w14:paraId="1E6E7C31" w14:textId="77777777" w:rsidR="0084326C" w:rsidRPr="005D68A0" w:rsidRDefault="0084326C" w:rsidP="0084326C">
      <w:pPr>
        <w:spacing w:before="120" w:after="120" w:line="300" w:lineRule="atLeast"/>
        <w:jc w:val="both"/>
        <w:rPr>
          <w:noProof/>
        </w:rPr>
      </w:pPr>
      <w:r>
        <w:rPr>
          <w:noProof/>
        </w:rPr>
        <w:t>Kõnealune reform seisneb sildade, viaduktide ja ülesõidukohtade omandiõiguse üleminekus madalama tasandi teedelt kõrgema tasandi teedele (kiirteedele ja peamistele linnalähiteedele), mis võimaldab suurendada teedevõrgu üldist ohutust, sest sildasid, viadukte ja ülesõite hooldavad ANAS ja/või kiirteede kontsessionäärid, kellel on parem kavandamis- ja hooldussuutlikkus kui üksikutel omavalitsustel või provintsidel.</w:t>
      </w:r>
    </w:p>
    <w:p w14:paraId="0F9F231E" w14:textId="77777777" w:rsidR="0084326C" w:rsidRPr="005D68A0" w:rsidRDefault="0084326C" w:rsidP="0084326C">
      <w:pPr>
        <w:pStyle w:val="Heading3"/>
        <w:numPr>
          <w:ilvl w:val="0"/>
          <w:numId w:val="0"/>
        </w:numPr>
        <w:ind w:left="850" w:hanging="850"/>
        <w:rPr>
          <w:b/>
          <w:bCs w:val="0"/>
          <w:i w:val="0"/>
          <w:iCs/>
          <w:noProof/>
          <w:u w:val="single"/>
        </w:rPr>
      </w:pPr>
      <w:r>
        <w:rPr>
          <w:b/>
          <w:i w:val="0"/>
          <w:noProof/>
          <w:u w:val="single"/>
        </w:rPr>
        <w:t xml:space="preserve">H.4. </w:t>
      </w:r>
      <w:r>
        <w:rPr>
          <w:noProof/>
        </w:rPr>
        <w:tab/>
      </w:r>
      <w:r>
        <w:rPr>
          <w:b/>
          <w:i w:val="0"/>
          <w:noProof/>
          <w:u w:val="single"/>
        </w:rPr>
        <w:t xml:space="preserve">Laenu eesmärgid, sihid, näitajad ning seire ja rakendamise ajakava </w:t>
      </w:r>
    </w:p>
    <w:p w14:paraId="6712FC07" w14:textId="77777777" w:rsidR="0084326C" w:rsidRPr="00F33804" w:rsidRDefault="0084326C" w:rsidP="0084326C">
      <w:pPr>
        <w:spacing w:before="120" w:after="120"/>
        <w:ind w:left="709"/>
        <w:contextualSpacing/>
        <w:jc w:val="both"/>
        <w:rPr>
          <w:noProof/>
        </w:rPr>
      </w:pPr>
    </w:p>
    <w:p w14:paraId="5E5B9958" w14:textId="77777777" w:rsidR="0084326C" w:rsidRPr="00F33804" w:rsidRDefault="0084326C" w:rsidP="0084326C">
      <w:pPr>
        <w:spacing w:before="120" w:after="120"/>
        <w:ind w:left="709"/>
        <w:contextualSpacing/>
        <w:jc w:val="both"/>
        <w:rPr>
          <w:noProof/>
        </w:rPr>
        <w:sectPr w:rsidR="0084326C" w:rsidRPr="00F33804">
          <w:headerReference w:type="even" r:id="rId218"/>
          <w:headerReference w:type="default" r:id="rId219"/>
          <w:footerReference w:type="even" r:id="rId220"/>
          <w:footerReference w:type="default" r:id="rId221"/>
          <w:headerReference w:type="first" r:id="rId222"/>
          <w:footerReference w:type="first" r:id="rId223"/>
          <w:pgSz w:w="11907" w:h="16839"/>
          <w:pgMar w:top="1134" w:right="1134" w:bottom="1134" w:left="1134" w:header="567" w:footer="567" w:gutter="0"/>
          <w:cols w:space="720"/>
          <w:docGrid w:linePitch="360"/>
        </w:sectPr>
      </w:pPr>
    </w:p>
    <w:tbl>
      <w:tblPr>
        <w:tblW w:w="524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562"/>
        <w:gridCol w:w="1274"/>
        <w:gridCol w:w="1418"/>
        <w:gridCol w:w="1555"/>
        <w:gridCol w:w="993"/>
        <w:gridCol w:w="1134"/>
        <w:gridCol w:w="853"/>
        <w:gridCol w:w="850"/>
        <w:gridCol w:w="850"/>
        <w:gridCol w:w="3661"/>
      </w:tblGrid>
      <w:tr w:rsidR="0084326C" w:rsidRPr="00D90835" w14:paraId="407E49AD" w14:textId="77777777" w:rsidTr="00BB258E">
        <w:trPr>
          <w:trHeight w:val="939"/>
          <w:tblHeader/>
          <w:jc w:val="right"/>
        </w:trPr>
        <w:tc>
          <w:tcPr>
            <w:tcW w:w="369" w:type="pct"/>
            <w:vMerge w:val="restart"/>
            <w:shd w:val="clear" w:color="auto" w:fill="BDD7EE"/>
            <w:vAlign w:val="center"/>
            <w:hideMark/>
          </w:tcPr>
          <w:p w14:paraId="7B16A805" w14:textId="77777777" w:rsidR="0084326C" w:rsidRPr="005D68A0" w:rsidRDefault="0084326C">
            <w:pPr>
              <w:jc w:val="center"/>
              <w:rPr>
                <w:rFonts w:ascii="Arial Narrow" w:hAnsi="Arial Narrow"/>
                <w:b/>
                <w:noProof/>
                <w:sz w:val="20"/>
                <w:szCs w:val="20"/>
              </w:rPr>
            </w:pPr>
            <w:r>
              <w:rPr>
                <w:rFonts w:ascii="Arial Narrow" w:hAnsi="Arial Narrow"/>
                <w:b/>
                <w:noProof/>
                <w:sz w:val="20"/>
              </w:rPr>
              <w:t>Järjekorranumber</w:t>
            </w:r>
          </w:p>
        </w:tc>
        <w:tc>
          <w:tcPr>
            <w:tcW w:w="511" w:type="pct"/>
            <w:vMerge w:val="restart"/>
            <w:shd w:val="clear" w:color="auto" w:fill="BDD7EE"/>
            <w:vAlign w:val="center"/>
            <w:hideMark/>
          </w:tcPr>
          <w:p w14:paraId="2F38CCF7" w14:textId="77777777" w:rsidR="0084326C" w:rsidRPr="005D68A0" w:rsidRDefault="0084326C">
            <w:pPr>
              <w:jc w:val="center"/>
              <w:rPr>
                <w:rFonts w:ascii="Arial Narrow" w:hAnsi="Arial Narrow"/>
                <w:b/>
                <w:noProof/>
                <w:sz w:val="20"/>
                <w:szCs w:val="20"/>
              </w:rPr>
            </w:pPr>
            <w:r>
              <w:rPr>
                <w:rFonts w:ascii="Arial Narrow" w:hAnsi="Arial Narrow"/>
                <w:b/>
                <w:noProof/>
                <w:sz w:val="20"/>
              </w:rPr>
              <w:t>Seotud meede (reform või investeering)</w:t>
            </w:r>
          </w:p>
        </w:tc>
        <w:tc>
          <w:tcPr>
            <w:tcW w:w="417" w:type="pct"/>
            <w:vMerge w:val="restart"/>
            <w:shd w:val="clear" w:color="auto" w:fill="BDD7EE"/>
            <w:vAlign w:val="center"/>
            <w:hideMark/>
          </w:tcPr>
          <w:p w14:paraId="311BF107" w14:textId="77777777" w:rsidR="0084326C" w:rsidRPr="005D68A0" w:rsidRDefault="0084326C">
            <w:pPr>
              <w:jc w:val="center"/>
              <w:rPr>
                <w:rFonts w:ascii="Arial Narrow" w:hAnsi="Arial Narrow"/>
                <w:b/>
                <w:noProof/>
                <w:sz w:val="20"/>
                <w:szCs w:val="20"/>
              </w:rPr>
            </w:pPr>
            <w:r>
              <w:rPr>
                <w:rFonts w:ascii="Arial Narrow" w:hAnsi="Arial Narrow"/>
                <w:b/>
                <w:noProof/>
                <w:sz w:val="20"/>
              </w:rPr>
              <w:t>Eesmärk / siht</w:t>
            </w:r>
          </w:p>
        </w:tc>
        <w:tc>
          <w:tcPr>
            <w:tcW w:w="464" w:type="pct"/>
            <w:vMerge w:val="restart"/>
            <w:shd w:val="clear" w:color="auto" w:fill="BDD7EE"/>
            <w:vAlign w:val="center"/>
            <w:hideMark/>
          </w:tcPr>
          <w:p w14:paraId="17FA7675" w14:textId="77777777" w:rsidR="0084326C" w:rsidRPr="005D68A0" w:rsidRDefault="0084326C">
            <w:pPr>
              <w:jc w:val="center"/>
              <w:rPr>
                <w:rFonts w:ascii="Arial Narrow" w:hAnsi="Arial Narrow"/>
                <w:b/>
                <w:noProof/>
                <w:sz w:val="20"/>
                <w:szCs w:val="20"/>
              </w:rPr>
            </w:pPr>
            <w:r>
              <w:rPr>
                <w:rFonts w:ascii="Arial Narrow" w:hAnsi="Arial Narrow"/>
                <w:b/>
                <w:noProof/>
                <w:sz w:val="20"/>
              </w:rPr>
              <w:t>Nimi</w:t>
            </w:r>
          </w:p>
        </w:tc>
        <w:tc>
          <w:tcPr>
            <w:tcW w:w="509" w:type="pct"/>
            <w:vMerge w:val="restart"/>
            <w:shd w:val="clear" w:color="auto" w:fill="BDD7EE"/>
            <w:vAlign w:val="center"/>
            <w:hideMark/>
          </w:tcPr>
          <w:p w14:paraId="7E9F22F8" w14:textId="77777777" w:rsidR="0084326C" w:rsidRPr="005D68A0" w:rsidRDefault="0084326C">
            <w:pPr>
              <w:jc w:val="center"/>
              <w:rPr>
                <w:rFonts w:ascii="Arial Narrow" w:hAnsi="Arial Narrow"/>
                <w:b/>
                <w:noProof/>
                <w:sz w:val="20"/>
                <w:szCs w:val="20"/>
              </w:rPr>
            </w:pPr>
            <w:r>
              <w:rPr>
                <w:rFonts w:ascii="Arial Narrow" w:hAnsi="Arial Narrow"/>
                <w:b/>
                <w:noProof/>
                <w:sz w:val="20"/>
              </w:rPr>
              <w:t>Kvalitatiivsed näitajad</w:t>
            </w:r>
            <w:r>
              <w:rPr>
                <w:noProof/>
              </w:rPr>
              <w:t xml:space="preserve"> </w:t>
            </w:r>
            <w:r>
              <w:rPr>
                <w:noProof/>
              </w:rPr>
              <w:br/>
            </w:r>
            <w:r>
              <w:rPr>
                <w:rFonts w:ascii="Arial Narrow" w:hAnsi="Arial Narrow"/>
                <w:b/>
                <w:noProof/>
                <w:sz w:val="20"/>
              </w:rPr>
              <w:t>(eesmärkide puhul)</w:t>
            </w:r>
          </w:p>
        </w:tc>
        <w:tc>
          <w:tcPr>
            <w:tcW w:w="975" w:type="pct"/>
            <w:gridSpan w:val="3"/>
            <w:shd w:val="clear" w:color="auto" w:fill="BDD7EE"/>
            <w:vAlign w:val="center"/>
            <w:hideMark/>
          </w:tcPr>
          <w:p w14:paraId="3A0D7456" w14:textId="77777777" w:rsidR="0084326C" w:rsidRPr="005D68A0" w:rsidRDefault="0084326C">
            <w:pPr>
              <w:jc w:val="center"/>
              <w:rPr>
                <w:rFonts w:ascii="Arial Narrow" w:hAnsi="Arial Narrow"/>
                <w:b/>
                <w:noProof/>
                <w:sz w:val="20"/>
                <w:szCs w:val="20"/>
              </w:rPr>
            </w:pPr>
            <w:r>
              <w:rPr>
                <w:rFonts w:ascii="Arial Narrow" w:hAnsi="Arial Narrow"/>
                <w:b/>
                <w:noProof/>
                <w:sz w:val="20"/>
              </w:rPr>
              <w:t xml:space="preserve">Kvantitatiivsed näitajad </w:t>
            </w:r>
            <w:r>
              <w:rPr>
                <w:noProof/>
              </w:rPr>
              <w:br/>
            </w:r>
            <w:r>
              <w:rPr>
                <w:rFonts w:ascii="Arial Narrow" w:hAnsi="Arial Narrow"/>
                <w:b/>
                <w:noProof/>
                <w:sz w:val="20"/>
              </w:rPr>
              <w:t>(sihtide puhul)</w:t>
            </w:r>
          </w:p>
        </w:tc>
        <w:tc>
          <w:tcPr>
            <w:tcW w:w="556" w:type="pct"/>
            <w:gridSpan w:val="2"/>
            <w:shd w:val="clear" w:color="auto" w:fill="BDD7EE"/>
            <w:vAlign w:val="center"/>
            <w:hideMark/>
          </w:tcPr>
          <w:p w14:paraId="3134E4FB" w14:textId="77777777" w:rsidR="0084326C" w:rsidRPr="005D68A0" w:rsidRDefault="0084326C">
            <w:pPr>
              <w:jc w:val="center"/>
              <w:rPr>
                <w:rFonts w:ascii="Arial Narrow" w:hAnsi="Arial Narrow"/>
                <w:b/>
                <w:noProof/>
                <w:sz w:val="20"/>
                <w:szCs w:val="20"/>
              </w:rPr>
            </w:pPr>
            <w:r>
              <w:rPr>
                <w:rFonts w:ascii="Arial Narrow" w:hAnsi="Arial Narrow"/>
                <w:b/>
                <w:noProof/>
                <w:sz w:val="20"/>
              </w:rPr>
              <w:t>Lõpuleviimise soovituslik ajakava</w:t>
            </w:r>
          </w:p>
        </w:tc>
        <w:tc>
          <w:tcPr>
            <w:tcW w:w="1198" w:type="pct"/>
            <w:vMerge w:val="restart"/>
            <w:shd w:val="clear" w:color="auto" w:fill="BDD7EE"/>
            <w:vAlign w:val="center"/>
            <w:hideMark/>
          </w:tcPr>
          <w:p w14:paraId="55412D93" w14:textId="77777777" w:rsidR="0084326C" w:rsidRPr="005D68A0" w:rsidRDefault="0084326C">
            <w:pPr>
              <w:jc w:val="center"/>
              <w:rPr>
                <w:rFonts w:ascii="Arial Narrow" w:hAnsi="Arial Narrow"/>
                <w:b/>
                <w:noProof/>
                <w:sz w:val="20"/>
                <w:szCs w:val="20"/>
              </w:rPr>
            </w:pPr>
            <w:r>
              <w:rPr>
                <w:rFonts w:ascii="Arial Narrow" w:hAnsi="Arial Narrow"/>
                <w:b/>
                <w:noProof/>
                <w:sz w:val="20"/>
              </w:rPr>
              <w:t>Iga eesmärgi ja sihi kirjeldus</w:t>
            </w:r>
          </w:p>
        </w:tc>
      </w:tr>
      <w:tr w:rsidR="0084326C" w:rsidRPr="005D68A0" w14:paraId="519D4DF9" w14:textId="77777777" w:rsidTr="00BB258E">
        <w:trPr>
          <w:trHeight w:val="598"/>
          <w:tblHeader/>
          <w:jc w:val="right"/>
        </w:trPr>
        <w:tc>
          <w:tcPr>
            <w:tcW w:w="369" w:type="pct"/>
            <w:vMerge/>
            <w:shd w:val="clear" w:color="auto" w:fill="BDD7EE"/>
            <w:vAlign w:val="center"/>
            <w:hideMark/>
          </w:tcPr>
          <w:p w14:paraId="47DD538E" w14:textId="77777777" w:rsidR="0084326C" w:rsidRPr="00F33804" w:rsidRDefault="0084326C">
            <w:pPr>
              <w:jc w:val="center"/>
              <w:rPr>
                <w:rFonts w:ascii="Arial Narrow" w:hAnsi="Arial Narrow"/>
                <w:b/>
                <w:bCs/>
                <w:noProof/>
                <w:sz w:val="20"/>
                <w:szCs w:val="20"/>
              </w:rPr>
            </w:pPr>
          </w:p>
        </w:tc>
        <w:tc>
          <w:tcPr>
            <w:tcW w:w="511" w:type="pct"/>
            <w:vMerge/>
            <w:shd w:val="clear" w:color="auto" w:fill="BDD7EE"/>
            <w:vAlign w:val="center"/>
            <w:hideMark/>
          </w:tcPr>
          <w:p w14:paraId="10DB4309" w14:textId="77777777" w:rsidR="0084326C" w:rsidRPr="00F33804" w:rsidRDefault="0084326C">
            <w:pPr>
              <w:jc w:val="center"/>
              <w:rPr>
                <w:rFonts w:ascii="Arial Narrow" w:hAnsi="Arial Narrow"/>
                <w:b/>
                <w:bCs/>
                <w:noProof/>
                <w:sz w:val="20"/>
                <w:szCs w:val="20"/>
              </w:rPr>
            </w:pPr>
          </w:p>
        </w:tc>
        <w:tc>
          <w:tcPr>
            <w:tcW w:w="417" w:type="pct"/>
            <w:vMerge/>
            <w:shd w:val="clear" w:color="auto" w:fill="BDD7EE"/>
            <w:vAlign w:val="center"/>
            <w:hideMark/>
          </w:tcPr>
          <w:p w14:paraId="46A75895" w14:textId="77777777" w:rsidR="0084326C" w:rsidRPr="00F33804" w:rsidRDefault="0084326C">
            <w:pPr>
              <w:jc w:val="center"/>
              <w:rPr>
                <w:rFonts w:ascii="Arial Narrow" w:hAnsi="Arial Narrow"/>
                <w:b/>
                <w:bCs/>
                <w:noProof/>
                <w:sz w:val="20"/>
                <w:szCs w:val="20"/>
              </w:rPr>
            </w:pPr>
          </w:p>
        </w:tc>
        <w:tc>
          <w:tcPr>
            <w:tcW w:w="464" w:type="pct"/>
            <w:vMerge/>
            <w:shd w:val="clear" w:color="auto" w:fill="BDD7EE"/>
            <w:vAlign w:val="center"/>
            <w:hideMark/>
          </w:tcPr>
          <w:p w14:paraId="1CFE1B55" w14:textId="77777777" w:rsidR="0084326C" w:rsidRPr="00F33804" w:rsidRDefault="0084326C">
            <w:pPr>
              <w:jc w:val="center"/>
              <w:rPr>
                <w:rFonts w:ascii="Arial Narrow" w:hAnsi="Arial Narrow"/>
                <w:b/>
                <w:bCs/>
                <w:noProof/>
                <w:sz w:val="20"/>
                <w:szCs w:val="20"/>
              </w:rPr>
            </w:pPr>
          </w:p>
        </w:tc>
        <w:tc>
          <w:tcPr>
            <w:tcW w:w="509" w:type="pct"/>
            <w:vMerge/>
            <w:shd w:val="clear" w:color="auto" w:fill="BDD7EE"/>
            <w:vAlign w:val="center"/>
            <w:hideMark/>
          </w:tcPr>
          <w:p w14:paraId="5B6B3F21" w14:textId="77777777" w:rsidR="0084326C" w:rsidRPr="00F33804" w:rsidRDefault="0084326C">
            <w:pPr>
              <w:jc w:val="center"/>
              <w:rPr>
                <w:rFonts w:ascii="Arial Narrow" w:hAnsi="Arial Narrow"/>
                <w:b/>
                <w:bCs/>
                <w:noProof/>
                <w:sz w:val="20"/>
                <w:szCs w:val="20"/>
              </w:rPr>
            </w:pPr>
          </w:p>
        </w:tc>
        <w:tc>
          <w:tcPr>
            <w:tcW w:w="325" w:type="pct"/>
            <w:shd w:val="clear" w:color="auto" w:fill="BDD7EE"/>
            <w:vAlign w:val="center"/>
            <w:hideMark/>
          </w:tcPr>
          <w:p w14:paraId="3C61B81E" w14:textId="77777777" w:rsidR="0084326C" w:rsidRPr="005D68A0" w:rsidRDefault="0084326C">
            <w:pPr>
              <w:jc w:val="center"/>
              <w:rPr>
                <w:rFonts w:ascii="Arial Narrow" w:hAnsi="Arial Narrow"/>
                <w:b/>
                <w:noProof/>
                <w:sz w:val="20"/>
                <w:szCs w:val="20"/>
              </w:rPr>
            </w:pPr>
            <w:r>
              <w:rPr>
                <w:rFonts w:ascii="Arial Narrow" w:hAnsi="Arial Narrow"/>
                <w:b/>
                <w:noProof/>
                <w:sz w:val="20"/>
              </w:rPr>
              <w:t>Mõõtühik</w:t>
            </w:r>
          </w:p>
        </w:tc>
        <w:tc>
          <w:tcPr>
            <w:tcW w:w="371" w:type="pct"/>
            <w:shd w:val="clear" w:color="auto" w:fill="BDD7EE"/>
            <w:vAlign w:val="center"/>
            <w:hideMark/>
          </w:tcPr>
          <w:p w14:paraId="0BE13CA8" w14:textId="77777777" w:rsidR="0084326C" w:rsidRPr="005D68A0" w:rsidRDefault="0084326C">
            <w:pPr>
              <w:jc w:val="center"/>
              <w:rPr>
                <w:rFonts w:ascii="Arial Narrow" w:hAnsi="Arial Narrow"/>
                <w:b/>
                <w:noProof/>
                <w:sz w:val="20"/>
                <w:szCs w:val="20"/>
              </w:rPr>
            </w:pPr>
            <w:r>
              <w:rPr>
                <w:rFonts w:ascii="Arial Narrow" w:hAnsi="Arial Narrow"/>
                <w:b/>
                <w:noProof/>
                <w:sz w:val="20"/>
              </w:rPr>
              <w:t>Lähtetase</w:t>
            </w:r>
          </w:p>
        </w:tc>
        <w:tc>
          <w:tcPr>
            <w:tcW w:w="279" w:type="pct"/>
            <w:shd w:val="clear" w:color="auto" w:fill="BDD7EE"/>
            <w:vAlign w:val="center"/>
            <w:hideMark/>
          </w:tcPr>
          <w:p w14:paraId="5AE09FC5" w14:textId="77777777" w:rsidR="0084326C" w:rsidRPr="005D68A0" w:rsidRDefault="0084326C">
            <w:pPr>
              <w:jc w:val="center"/>
              <w:rPr>
                <w:rFonts w:ascii="Arial Narrow" w:hAnsi="Arial Narrow"/>
                <w:b/>
                <w:noProof/>
                <w:sz w:val="20"/>
                <w:szCs w:val="20"/>
              </w:rPr>
            </w:pPr>
            <w:r>
              <w:rPr>
                <w:rFonts w:ascii="Arial Narrow" w:hAnsi="Arial Narrow"/>
                <w:b/>
                <w:noProof/>
                <w:sz w:val="20"/>
              </w:rPr>
              <w:t>Eesmärk</w:t>
            </w:r>
          </w:p>
        </w:tc>
        <w:tc>
          <w:tcPr>
            <w:tcW w:w="278" w:type="pct"/>
            <w:shd w:val="clear" w:color="auto" w:fill="BDD7EE"/>
            <w:vAlign w:val="center"/>
            <w:hideMark/>
          </w:tcPr>
          <w:p w14:paraId="765E1EE1" w14:textId="77777777" w:rsidR="0084326C" w:rsidRPr="005D68A0" w:rsidRDefault="0084326C">
            <w:pPr>
              <w:jc w:val="center"/>
              <w:rPr>
                <w:rFonts w:ascii="Arial Narrow" w:hAnsi="Arial Narrow"/>
                <w:b/>
                <w:noProof/>
                <w:sz w:val="20"/>
                <w:szCs w:val="20"/>
              </w:rPr>
            </w:pPr>
            <w:r>
              <w:rPr>
                <w:rFonts w:ascii="Arial Narrow" w:hAnsi="Arial Narrow"/>
                <w:b/>
                <w:noProof/>
                <w:sz w:val="20"/>
              </w:rPr>
              <w:t>Kvartal</w:t>
            </w:r>
          </w:p>
        </w:tc>
        <w:tc>
          <w:tcPr>
            <w:tcW w:w="278" w:type="pct"/>
            <w:shd w:val="clear" w:color="auto" w:fill="BDD7EE"/>
            <w:vAlign w:val="center"/>
            <w:hideMark/>
          </w:tcPr>
          <w:p w14:paraId="13D3A789" w14:textId="77777777" w:rsidR="0084326C" w:rsidRPr="005D68A0" w:rsidRDefault="0084326C">
            <w:pPr>
              <w:jc w:val="center"/>
              <w:rPr>
                <w:rFonts w:ascii="Arial Narrow" w:hAnsi="Arial Narrow"/>
                <w:b/>
                <w:noProof/>
                <w:sz w:val="20"/>
                <w:szCs w:val="20"/>
              </w:rPr>
            </w:pPr>
            <w:r>
              <w:rPr>
                <w:rFonts w:ascii="Arial Narrow" w:hAnsi="Arial Narrow"/>
                <w:b/>
                <w:noProof/>
                <w:sz w:val="20"/>
              </w:rPr>
              <w:t>Aasta</w:t>
            </w:r>
          </w:p>
        </w:tc>
        <w:tc>
          <w:tcPr>
            <w:tcW w:w="1198" w:type="pct"/>
            <w:vMerge/>
            <w:shd w:val="clear" w:color="auto" w:fill="BDD7EE"/>
            <w:vAlign w:val="center"/>
            <w:hideMark/>
          </w:tcPr>
          <w:p w14:paraId="39CEE7BF" w14:textId="77777777" w:rsidR="0084326C" w:rsidRPr="005D68A0" w:rsidRDefault="0084326C">
            <w:pPr>
              <w:jc w:val="center"/>
              <w:rPr>
                <w:rFonts w:ascii="Arial Narrow" w:hAnsi="Arial Narrow"/>
                <w:b/>
                <w:bCs/>
                <w:noProof/>
                <w:sz w:val="20"/>
                <w:szCs w:val="20"/>
                <w:lang w:val="en-GB"/>
              </w:rPr>
            </w:pPr>
          </w:p>
        </w:tc>
      </w:tr>
      <w:tr w:rsidR="0084326C" w:rsidRPr="00D90835" w14:paraId="781AAC7B" w14:textId="77777777" w:rsidTr="19E35B1A">
        <w:trPr>
          <w:trHeight w:val="2818"/>
          <w:jc w:val="right"/>
        </w:trPr>
        <w:tc>
          <w:tcPr>
            <w:tcW w:w="369" w:type="pct"/>
            <w:shd w:val="clear" w:color="auto" w:fill="C6EFCE"/>
            <w:noWrap/>
            <w:vAlign w:val="center"/>
            <w:hideMark/>
          </w:tcPr>
          <w:p w14:paraId="1AC51D2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M3C1-1</w:t>
            </w:r>
          </w:p>
        </w:tc>
        <w:tc>
          <w:tcPr>
            <w:tcW w:w="511" w:type="pct"/>
            <w:shd w:val="clear" w:color="auto" w:fill="C6EFCE"/>
            <w:noWrap/>
            <w:vAlign w:val="center"/>
          </w:tcPr>
          <w:p w14:paraId="16FC36E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Reform 1.1. MIT ja RFI vahelise lepingu heakskiitmisprotsessi kiirendamine</w:t>
            </w:r>
          </w:p>
        </w:tc>
        <w:tc>
          <w:tcPr>
            <w:tcW w:w="417" w:type="pct"/>
            <w:shd w:val="clear" w:color="auto" w:fill="C6EFCE"/>
            <w:noWrap/>
            <w:vAlign w:val="center"/>
            <w:hideMark/>
          </w:tcPr>
          <w:p w14:paraId="64D2748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464" w:type="pct"/>
            <w:shd w:val="clear" w:color="auto" w:fill="C6EFCE"/>
            <w:noWrap/>
            <w:vAlign w:val="center"/>
          </w:tcPr>
          <w:p w14:paraId="78CC9B7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Contratti di Programma (CdP) heakskiitmisprotsessi käsitleva õigusakti muudatuse jõustumine</w:t>
            </w:r>
          </w:p>
        </w:tc>
        <w:tc>
          <w:tcPr>
            <w:tcW w:w="509" w:type="pct"/>
            <w:shd w:val="clear" w:color="auto" w:fill="C6EFCE"/>
            <w:noWrap/>
            <w:vAlign w:val="center"/>
            <w:hideMark/>
          </w:tcPr>
          <w:p w14:paraId="5C74B77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Seaduse säte, mis viitab seadusemuudatuse jõustumisele Contratti di Programma heakskiitmise menetluse kohta</w:t>
            </w:r>
          </w:p>
        </w:tc>
        <w:tc>
          <w:tcPr>
            <w:tcW w:w="325" w:type="pct"/>
            <w:shd w:val="clear" w:color="auto" w:fill="C6EFCE"/>
            <w:noWrap/>
            <w:vAlign w:val="center"/>
            <w:hideMark/>
          </w:tcPr>
          <w:p w14:paraId="04B0041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71" w:type="pct"/>
            <w:shd w:val="clear" w:color="auto" w:fill="C6EFCE"/>
            <w:noWrap/>
            <w:vAlign w:val="center"/>
          </w:tcPr>
          <w:p w14:paraId="6F9A8DD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279" w:type="pct"/>
            <w:shd w:val="clear" w:color="auto" w:fill="C6EFCE"/>
            <w:noWrap/>
            <w:vAlign w:val="center"/>
          </w:tcPr>
          <w:p w14:paraId="17418CD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278" w:type="pct"/>
            <w:shd w:val="clear" w:color="auto" w:fill="C6EFCE"/>
            <w:noWrap/>
            <w:vAlign w:val="center"/>
            <w:hideMark/>
          </w:tcPr>
          <w:p w14:paraId="48C4CC1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78" w:type="pct"/>
            <w:shd w:val="clear" w:color="auto" w:fill="C6EFCE"/>
            <w:noWrap/>
            <w:vAlign w:val="center"/>
            <w:hideMark/>
          </w:tcPr>
          <w:p w14:paraId="40D5E90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2021</w:t>
            </w:r>
          </w:p>
        </w:tc>
        <w:tc>
          <w:tcPr>
            <w:tcW w:w="1198" w:type="pct"/>
            <w:shd w:val="clear" w:color="auto" w:fill="C6EFCE"/>
            <w:noWrap/>
            <w:vAlign w:val="center"/>
            <w:hideMark/>
          </w:tcPr>
          <w:p w14:paraId="3FA355AD" w14:textId="62D9FD41" w:rsidR="0084326C" w:rsidRPr="005D68A0" w:rsidRDefault="0084326C" w:rsidP="00BB258E">
            <w:pPr>
              <w:pStyle w:val="ListParagraph"/>
              <w:ind w:left="40"/>
              <w:jc w:val="left"/>
              <w:rPr>
                <w:rFonts w:ascii="Arial Narrow" w:hAnsi="Arial Narrow"/>
                <w:noProof/>
                <w:color w:val="006100"/>
                <w:sz w:val="20"/>
                <w:szCs w:val="20"/>
              </w:rPr>
            </w:pPr>
            <w:r>
              <w:rPr>
                <w:rFonts w:ascii="Arial Narrow" w:hAnsi="Arial Narrow"/>
                <w:noProof/>
                <w:color w:val="006100"/>
                <w:sz w:val="20"/>
              </w:rPr>
              <w:t xml:space="preserve">Seadusemuudatusega lühendatakse raudteeinfrastruktuuri-ettevõtja </w:t>
            </w:r>
            <w:r>
              <w:rPr>
                <w:rFonts w:ascii="Arial Narrow" w:hAnsi="Arial Narrow"/>
                <w:i/>
                <w:noProof/>
                <w:color w:val="006100"/>
                <w:sz w:val="20"/>
              </w:rPr>
              <w:t>Rete Ferroviaria Italiana Contratti di Programma</w:t>
            </w:r>
            <w:r>
              <w:rPr>
                <w:rFonts w:ascii="Arial Narrow" w:hAnsi="Arial Narrow"/>
                <w:noProof/>
                <w:color w:val="006100"/>
                <w:sz w:val="20"/>
              </w:rPr>
              <w:t xml:space="preserve"> (CdP) heakskiitmise protsessi aega.</w:t>
            </w:r>
          </w:p>
        </w:tc>
      </w:tr>
      <w:tr w:rsidR="0084326C" w:rsidRPr="00D90835" w14:paraId="28C9532D" w14:textId="77777777" w:rsidTr="19E35B1A">
        <w:trPr>
          <w:trHeight w:val="3100"/>
          <w:jc w:val="right"/>
        </w:trPr>
        <w:tc>
          <w:tcPr>
            <w:tcW w:w="369" w:type="pct"/>
            <w:shd w:val="clear" w:color="auto" w:fill="C6EFCE"/>
            <w:noWrap/>
            <w:vAlign w:val="center"/>
            <w:hideMark/>
          </w:tcPr>
          <w:p w14:paraId="3257D45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M3C1-2</w:t>
            </w:r>
          </w:p>
        </w:tc>
        <w:tc>
          <w:tcPr>
            <w:tcW w:w="511" w:type="pct"/>
            <w:shd w:val="clear" w:color="auto" w:fill="C6EFCE"/>
            <w:noWrap/>
            <w:vAlign w:val="center"/>
          </w:tcPr>
          <w:p w14:paraId="6E799F3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Reform 1.2. Projektide heakskiitmise protsessi kiirendamine</w:t>
            </w:r>
          </w:p>
        </w:tc>
        <w:tc>
          <w:tcPr>
            <w:tcW w:w="417" w:type="pct"/>
            <w:shd w:val="clear" w:color="auto" w:fill="C6EFCE"/>
            <w:noWrap/>
            <w:vAlign w:val="center"/>
            <w:hideMark/>
          </w:tcPr>
          <w:p w14:paraId="4ADDCEC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464" w:type="pct"/>
            <w:shd w:val="clear" w:color="auto" w:fill="C6EFCE"/>
            <w:noWrap/>
            <w:vAlign w:val="center"/>
          </w:tcPr>
          <w:p w14:paraId="3A51B0E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Sellise regulatiivse muudatuse jõustumine, millega vähendatakse projektide jaoks loa andmise aega 11 kuult kuue kuuni</w:t>
            </w:r>
          </w:p>
        </w:tc>
        <w:tc>
          <w:tcPr>
            <w:tcW w:w="509" w:type="pct"/>
            <w:shd w:val="clear" w:color="auto" w:fill="C6EFCE"/>
            <w:noWrap/>
            <w:vAlign w:val="center"/>
            <w:hideMark/>
          </w:tcPr>
          <w:p w14:paraId="6AFD8D1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Seaduse säte, mis viitab õigusakti muudatuse jõustumisele, millega lühendatakse loa andmise aega 11 kuult kuuele kuule.</w:t>
            </w:r>
          </w:p>
        </w:tc>
        <w:tc>
          <w:tcPr>
            <w:tcW w:w="325" w:type="pct"/>
            <w:shd w:val="clear" w:color="auto" w:fill="C6EFCE"/>
            <w:noWrap/>
            <w:vAlign w:val="center"/>
            <w:hideMark/>
          </w:tcPr>
          <w:p w14:paraId="1C1AF4D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71" w:type="pct"/>
            <w:shd w:val="clear" w:color="auto" w:fill="C6EFCE"/>
            <w:noWrap/>
            <w:vAlign w:val="center"/>
          </w:tcPr>
          <w:p w14:paraId="512FA03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279" w:type="pct"/>
            <w:shd w:val="clear" w:color="auto" w:fill="C6EFCE"/>
            <w:noWrap/>
            <w:vAlign w:val="center"/>
          </w:tcPr>
          <w:p w14:paraId="2B223C1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278" w:type="pct"/>
            <w:shd w:val="clear" w:color="auto" w:fill="C6EFCE"/>
            <w:noWrap/>
            <w:vAlign w:val="center"/>
            <w:hideMark/>
          </w:tcPr>
          <w:p w14:paraId="5B681D9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78" w:type="pct"/>
            <w:shd w:val="clear" w:color="auto" w:fill="C6EFCE"/>
            <w:noWrap/>
            <w:vAlign w:val="center"/>
            <w:hideMark/>
          </w:tcPr>
          <w:p w14:paraId="4443FE8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2021</w:t>
            </w:r>
          </w:p>
        </w:tc>
        <w:tc>
          <w:tcPr>
            <w:tcW w:w="1198" w:type="pct"/>
            <w:shd w:val="clear" w:color="auto" w:fill="C6EFCE"/>
            <w:noWrap/>
            <w:vAlign w:val="center"/>
            <w:hideMark/>
          </w:tcPr>
          <w:p w14:paraId="7F883E41" w14:textId="77777777" w:rsidR="0084326C" w:rsidRPr="005D68A0" w:rsidRDefault="0084326C">
            <w:pPr>
              <w:spacing w:before="100" w:beforeAutospacing="1" w:after="165"/>
              <w:rPr>
                <w:rFonts w:ascii="Arial Narrow" w:hAnsi="Arial Narrow"/>
                <w:noProof/>
                <w:sz w:val="20"/>
                <w:szCs w:val="20"/>
              </w:rPr>
            </w:pPr>
            <w:r>
              <w:rPr>
                <w:rFonts w:ascii="Arial Narrow" w:hAnsi="Arial Narrow"/>
                <w:noProof/>
                <w:color w:val="006100"/>
                <w:sz w:val="20"/>
              </w:rPr>
              <w:t>Regulatiivse muudatusega lühendatakse projektidele loa andmise aega 11 kuult kuuele kuule.</w:t>
            </w:r>
          </w:p>
        </w:tc>
      </w:tr>
      <w:tr w:rsidR="0084326C" w:rsidRPr="00D90835" w14:paraId="740B95B1" w14:textId="77777777" w:rsidTr="19E35B1A">
        <w:trPr>
          <w:trHeight w:val="313"/>
          <w:jc w:val="right"/>
        </w:trPr>
        <w:tc>
          <w:tcPr>
            <w:tcW w:w="369" w:type="pct"/>
            <w:shd w:val="clear" w:color="auto" w:fill="C6EFCE"/>
            <w:noWrap/>
            <w:vAlign w:val="center"/>
            <w:hideMark/>
          </w:tcPr>
          <w:p w14:paraId="4E88C01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M3C1-3</w:t>
            </w:r>
          </w:p>
        </w:tc>
        <w:tc>
          <w:tcPr>
            <w:tcW w:w="511" w:type="pct"/>
            <w:shd w:val="clear" w:color="auto" w:fill="C6EFCE"/>
            <w:noWrap/>
            <w:vAlign w:val="center"/>
            <w:hideMark/>
          </w:tcPr>
          <w:p w14:paraId="6F3DE48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1.1. Reisijate ja kauba kiirrongiühendus lõunasse</w:t>
            </w:r>
          </w:p>
        </w:tc>
        <w:tc>
          <w:tcPr>
            <w:tcW w:w="417" w:type="pct"/>
            <w:shd w:val="clear" w:color="auto" w:fill="C6EFCE"/>
            <w:noWrap/>
            <w:vAlign w:val="center"/>
            <w:hideMark/>
          </w:tcPr>
          <w:p w14:paraId="3476104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464" w:type="pct"/>
            <w:shd w:val="clear" w:color="auto" w:fill="C6EFCE"/>
            <w:noWrap/>
            <w:vAlign w:val="center"/>
            <w:hideMark/>
          </w:tcPr>
          <w:p w14:paraId="305A3A0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Lepingu(te) sõlmimine kiirraudtee ehitamiseks Napoli-Bari ja Palermo-Catania liinidel</w:t>
            </w:r>
          </w:p>
        </w:tc>
        <w:tc>
          <w:tcPr>
            <w:tcW w:w="509" w:type="pct"/>
            <w:shd w:val="clear" w:color="auto" w:fill="C6EFCE"/>
            <w:noWrap/>
            <w:vAlign w:val="center"/>
            <w:hideMark/>
          </w:tcPr>
          <w:p w14:paraId="1071AD3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Teade kõigi riigihankelepingute sõlmimise kohta kiirraudtee ehitamiseks Napoli-Bari ja Palermo-Catania liinil</w:t>
            </w:r>
          </w:p>
        </w:tc>
        <w:tc>
          <w:tcPr>
            <w:tcW w:w="325" w:type="pct"/>
            <w:shd w:val="clear" w:color="auto" w:fill="C6EFCE"/>
            <w:noWrap/>
            <w:vAlign w:val="center"/>
            <w:hideMark/>
          </w:tcPr>
          <w:p w14:paraId="740DC13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71" w:type="pct"/>
            <w:shd w:val="clear" w:color="auto" w:fill="C6EFCE"/>
            <w:noWrap/>
            <w:vAlign w:val="center"/>
            <w:hideMark/>
          </w:tcPr>
          <w:p w14:paraId="4EBA05F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279" w:type="pct"/>
            <w:shd w:val="clear" w:color="auto" w:fill="C6EFCE"/>
            <w:noWrap/>
            <w:vAlign w:val="center"/>
            <w:hideMark/>
          </w:tcPr>
          <w:p w14:paraId="51849EF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278" w:type="pct"/>
            <w:shd w:val="clear" w:color="auto" w:fill="C6EFCE"/>
            <w:noWrap/>
            <w:vAlign w:val="center"/>
            <w:hideMark/>
          </w:tcPr>
          <w:p w14:paraId="67D249D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78" w:type="pct"/>
            <w:shd w:val="clear" w:color="auto" w:fill="C6EFCE"/>
            <w:noWrap/>
            <w:vAlign w:val="center"/>
            <w:hideMark/>
          </w:tcPr>
          <w:p w14:paraId="096758C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2022</w:t>
            </w:r>
          </w:p>
        </w:tc>
        <w:tc>
          <w:tcPr>
            <w:tcW w:w="1198" w:type="pct"/>
            <w:shd w:val="clear" w:color="auto" w:fill="C6EFCE"/>
            <w:noWrap/>
            <w:vAlign w:val="center"/>
            <w:hideMark/>
          </w:tcPr>
          <w:p w14:paraId="5CC4BEED"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Teade kõigi riigihankelepingute sõlmimise kohta kiirraudtee ehitamiseks Napoli-Bari ja Palermo-Catania liinil täielikus kooskõlas riigihanke-eeskirjadega</w:t>
            </w:r>
          </w:p>
          <w:p w14:paraId="02DD69A3"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Lepingu(te)s viidatakse nende ridade järgmistele osadele:</w:t>
            </w:r>
          </w:p>
          <w:p w14:paraId="032A3609" w14:textId="77777777" w:rsidR="0084326C" w:rsidRPr="00994F5E" w:rsidRDefault="0084326C">
            <w:pPr>
              <w:spacing w:before="120" w:after="120"/>
              <w:rPr>
                <w:rFonts w:ascii="Arial Narrow" w:hAnsi="Arial Narrow"/>
                <w:noProof/>
                <w:color w:val="006100"/>
                <w:sz w:val="20"/>
                <w:szCs w:val="20"/>
              </w:rPr>
            </w:pPr>
            <w:r>
              <w:rPr>
                <w:rFonts w:ascii="Arial Narrow" w:hAnsi="Arial Narrow"/>
                <w:noProof/>
                <w:color w:val="006100"/>
                <w:sz w:val="20"/>
              </w:rPr>
              <w:t>Napoli-Bari liin: Orsara-Bovino</w:t>
            </w:r>
          </w:p>
          <w:p w14:paraId="0567A402" w14:textId="3AEF881B" w:rsidR="0084326C" w:rsidRPr="00994F5E" w:rsidRDefault="0084326C">
            <w:pPr>
              <w:spacing w:before="120" w:after="120"/>
              <w:rPr>
                <w:rFonts w:ascii="Arial Narrow" w:hAnsi="Arial Narrow"/>
                <w:noProof/>
                <w:color w:val="006100"/>
                <w:sz w:val="20"/>
                <w:szCs w:val="20"/>
              </w:rPr>
            </w:pPr>
            <w:r>
              <w:rPr>
                <w:rFonts w:ascii="Arial Narrow" w:hAnsi="Arial Narrow"/>
                <w:noProof/>
                <w:color w:val="006100"/>
                <w:sz w:val="20"/>
              </w:rPr>
              <w:t>Palermo-Katania liin: Catenanuova – Dittaino ja Dittaino – Enna</w:t>
            </w:r>
          </w:p>
        </w:tc>
      </w:tr>
      <w:tr w:rsidR="0084326C" w:rsidRPr="00D90835" w14:paraId="3FC23712" w14:textId="77777777" w:rsidTr="19E35B1A">
        <w:trPr>
          <w:trHeight w:val="313"/>
          <w:jc w:val="right"/>
        </w:trPr>
        <w:tc>
          <w:tcPr>
            <w:tcW w:w="369" w:type="pct"/>
            <w:shd w:val="clear" w:color="auto" w:fill="C6EFCE"/>
            <w:noWrap/>
            <w:vAlign w:val="center"/>
            <w:hideMark/>
          </w:tcPr>
          <w:p w14:paraId="7B7AAFF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M3C1-4</w:t>
            </w:r>
          </w:p>
        </w:tc>
        <w:tc>
          <w:tcPr>
            <w:tcW w:w="511" w:type="pct"/>
            <w:shd w:val="clear" w:color="auto" w:fill="C6EFCE"/>
            <w:noWrap/>
            <w:vAlign w:val="center"/>
            <w:hideMark/>
          </w:tcPr>
          <w:p w14:paraId="2CBE2CF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1.1. Reisijate ja kauba kiirrongiühendus lõunasse</w:t>
            </w:r>
          </w:p>
        </w:tc>
        <w:tc>
          <w:tcPr>
            <w:tcW w:w="417" w:type="pct"/>
            <w:shd w:val="clear" w:color="auto" w:fill="C6EFCE"/>
            <w:noWrap/>
            <w:vAlign w:val="center"/>
            <w:hideMark/>
          </w:tcPr>
          <w:p w14:paraId="16CEDDA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464" w:type="pct"/>
            <w:shd w:val="clear" w:color="auto" w:fill="C6EFCE"/>
            <w:noWrap/>
            <w:vAlign w:val="center"/>
            <w:hideMark/>
          </w:tcPr>
          <w:p w14:paraId="191A7A8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Lepingu sõlmimine kiirraudtee ehitamiseks Salerno Reggio Calabria liinidel</w:t>
            </w:r>
          </w:p>
        </w:tc>
        <w:tc>
          <w:tcPr>
            <w:tcW w:w="509" w:type="pct"/>
            <w:shd w:val="clear" w:color="auto" w:fill="C6EFCE"/>
            <w:noWrap/>
            <w:vAlign w:val="center"/>
            <w:hideMark/>
          </w:tcPr>
          <w:p w14:paraId="27DA861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Teade multidistsiplinaarse lepingu sõlmimise kohta kiirraudtee ehitamiseks Salerno-Reggio Calabria liinil</w:t>
            </w:r>
          </w:p>
        </w:tc>
        <w:tc>
          <w:tcPr>
            <w:tcW w:w="325" w:type="pct"/>
            <w:shd w:val="clear" w:color="auto" w:fill="C6EFCE"/>
            <w:noWrap/>
            <w:vAlign w:val="center"/>
            <w:hideMark/>
          </w:tcPr>
          <w:p w14:paraId="055741C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71" w:type="pct"/>
            <w:shd w:val="clear" w:color="auto" w:fill="C6EFCE"/>
            <w:noWrap/>
            <w:vAlign w:val="center"/>
            <w:hideMark/>
          </w:tcPr>
          <w:p w14:paraId="7F82465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279" w:type="pct"/>
            <w:shd w:val="clear" w:color="auto" w:fill="C6EFCE"/>
            <w:noWrap/>
            <w:vAlign w:val="center"/>
            <w:hideMark/>
          </w:tcPr>
          <w:p w14:paraId="43D0EDB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278" w:type="pct"/>
            <w:shd w:val="clear" w:color="auto" w:fill="C6EFCE"/>
            <w:noWrap/>
            <w:vAlign w:val="center"/>
            <w:hideMark/>
          </w:tcPr>
          <w:p w14:paraId="413C603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78" w:type="pct"/>
            <w:shd w:val="clear" w:color="auto" w:fill="C6EFCE"/>
            <w:noWrap/>
            <w:vAlign w:val="center"/>
            <w:hideMark/>
          </w:tcPr>
          <w:p w14:paraId="44441CE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2023</w:t>
            </w:r>
          </w:p>
        </w:tc>
        <w:tc>
          <w:tcPr>
            <w:tcW w:w="1198" w:type="pct"/>
            <w:shd w:val="clear" w:color="auto" w:fill="C6EFCE"/>
            <w:noWrap/>
            <w:vAlign w:val="center"/>
            <w:hideMark/>
          </w:tcPr>
          <w:p w14:paraId="0415E4F3"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Teade multidistsiplinaarse lepingu sõlmimise kohta kiirraudtee ehitamiseks Salerno-Reggio Calabria liinil</w:t>
            </w:r>
          </w:p>
          <w:p w14:paraId="56FCEAA2"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Lepingus viidatakse selle rea järgmistele osadele: Battipaglia – Romagnano</w:t>
            </w:r>
          </w:p>
        </w:tc>
      </w:tr>
      <w:tr w:rsidR="0084326C" w:rsidRPr="00D90835" w14:paraId="123F56B9" w14:textId="77777777" w:rsidTr="19E35B1A">
        <w:trPr>
          <w:trHeight w:val="309"/>
          <w:jc w:val="right"/>
        </w:trPr>
        <w:tc>
          <w:tcPr>
            <w:tcW w:w="369" w:type="pct"/>
            <w:shd w:val="clear" w:color="auto" w:fill="C6EFCE"/>
            <w:noWrap/>
            <w:vAlign w:val="center"/>
          </w:tcPr>
          <w:p w14:paraId="18C78EC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M3C1-6</w:t>
            </w:r>
          </w:p>
        </w:tc>
        <w:tc>
          <w:tcPr>
            <w:tcW w:w="511" w:type="pct"/>
            <w:shd w:val="clear" w:color="auto" w:fill="C6EFCE"/>
            <w:noWrap/>
            <w:vAlign w:val="center"/>
          </w:tcPr>
          <w:p w14:paraId="3ABDF91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1.1. Reisijate ja kauba kiirrongiühendus lõunasse</w:t>
            </w:r>
          </w:p>
        </w:tc>
        <w:tc>
          <w:tcPr>
            <w:tcW w:w="417" w:type="pct"/>
            <w:shd w:val="clear" w:color="auto" w:fill="C6EFCE"/>
            <w:noWrap/>
            <w:vAlign w:val="center"/>
          </w:tcPr>
          <w:p w14:paraId="250A683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464" w:type="pct"/>
            <w:shd w:val="clear" w:color="auto" w:fill="C6EFCE"/>
            <w:noWrap/>
            <w:vAlign w:val="center"/>
          </w:tcPr>
          <w:p w14:paraId="1B4CAC9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Nii reisijate- kui ka kaubaveoks kasutatav kiirraudtee Napoli-Bari, Salerno-Reggio Calabria, Palermo-Catania liinidel</w:t>
            </w:r>
          </w:p>
        </w:tc>
        <w:tc>
          <w:tcPr>
            <w:tcW w:w="509" w:type="pct"/>
            <w:shd w:val="clear" w:color="auto" w:fill="C6EFCE"/>
            <w:noWrap/>
            <w:vAlign w:val="center"/>
          </w:tcPr>
          <w:p w14:paraId="6785256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25" w:type="pct"/>
            <w:shd w:val="clear" w:color="auto" w:fill="C6EFCE"/>
            <w:noWrap/>
            <w:vAlign w:val="center"/>
          </w:tcPr>
          <w:p w14:paraId="79F9658A" w14:textId="07933EE0" w:rsidR="0084326C" w:rsidRPr="005D68A0" w:rsidRDefault="7CCAE2BD">
            <w:pPr>
              <w:jc w:val="center"/>
              <w:rPr>
                <w:rFonts w:ascii="Arial Narrow" w:eastAsia="Arial Narrow" w:hAnsi="Arial Narrow" w:cs="Arial Narrow"/>
                <w:noProof/>
                <w:sz w:val="20"/>
                <w:szCs w:val="20"/>
              </w:rPr>
            </w:pPr>
            <w:r>
              <w:rPr>
                <w:rFonts w:ascii="Arial Narrow" w:hAnsi="Arial Narrow"/>
                <w:noProof/>
                <w:color w:val="006100"/>
                <w:sz w:val="20"/>
              </w:rPr>
              <w:t>Km</w:t>
            </w:r>
          </w:p>
        </w:tc>
        <w:tc>
          <w:tcPr>
            <w:tcW w:w="371" w:type="pct"/>
            <w:shd w:val="clear" w:color="auto" w:fill="C6EFCE"/>
            <w:noWrap/>
            <w:vAlign w:val="center"/>
          </w:tcPr>
          <w:p w14:paraId="6FB96002" w14:textId="15591663"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279" w:type="pct"/>
            <w:shd w:val="clear" w:color="auto" w:fill="C6EFCE"/>
            <w:noWrap/>
            <w:vAlign w:val="center"/>
          </w:tcPr>
          <w:p w14:paraId="35A516C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119</w:t>
            </w:r>
          </w:p>
        </w:tc>
        <w:tc>
          <w:tcPr>
            <w:tcW w:w="278" w:type="pct"/>
            <w:shd w:val="clear" w:color="auto" w:fill="C6EFCE"/>
            <w:noWrap/>
            <w:vAlign w:val="center"/>
          </w:tcPr>
          <w:p w14:paraId="19669E7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278" w:type="pct"/>
            <w:shd w:val="clear" w:color="auto" w:fill="C6EFCE"/>
            <w:noWrap/>
            <w:vAlign w:val="center"/>
          </w:tcPr>
          <w:p w14:paraId="10DAF9F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1198" w:type="pct"/>
            <w:shd w:val="clear" w:color="auto" w:fill="C6EFCE"/>
            <w:noWrap/>
            <w:vAlign w:val="center"/>
          </w:tcPr>
          <w:p w14:paraId="3BB4BA1F"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119 km kiirraudteed nii reisijate kui ka kauba jaoks Napoli-Bari, Salerno-Reggio Calabria ja Palermo-Catania liinidel, mis on valmis loa andmiseks ja käitamiseks.</w:t>
            </w:r>
          </w:p>
          <w:p w14:paraId="1F5509FC"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Soovituslik jaotus on järgmine:</w:t>
            </w:r>
          </w:p>
          <w:p w14:paraId="1C6CD068" w14:textId="77777777" w:rsidR="0084326C" w:rsidRPr="005D68A0" w:rsidRDefault="0084326C">
            <w:pPr>
              <w:rPr>
                <w:rFonts w:ascii="Arial Narrow" w:hAnsi="Arial Narrow"/>
                <w:noProof/>
                <w:color w:val="006100"/>
                <w:sz w:val="20"/>
                <w:szCs w:val="20"/>
                <w:lang w:val="en-GB"/>
              </w:rPr>
            </w:pPr>
          </w:p>
          <w:p w14:paraId="1583E0AE" w14:textId="77777777" w:rsidR="0084326C" w:rsidRPr="005D68A0" w:rsidRDefault="0084326C">
            <w:pPr>
              <w:rPr>
                <w:rFonts w:ascii="Arial Narrow" w:hAnsi="Arial Narrow"/>
                <w:noProof/>
                <w:sz w:val="20"/>
                <w:szCs w:val="20"/>
              </w:rPr>
            </w:pPr>
            <w:r>
              <w:rPr>
                <w:rFonts w:ascii="Arial Narrow" w:hAnsi="Arial Narrow"/>
                <w:noProof/>
                <w:color w:val="006100"/>
                <w:sz w:val="20"/>
              </w:rPr>
              <w:t>Napoli-Bari liin 49 km;</w:t>
            </w:r>
            <w:r>
              <w:rPr>
                <w:rFonts w:ascii="Arial Narrow" w:hAnsi="Arial Narrow"/>
                <w:noProof/>
                <w:sz w:val="20"/>
              </w:rPr>
              <w:t xml:space="preserve"> </w:t>
            </w:r>
          </w:p>
          <w:p w14:paraId="7F4F1DD7" w14:textId="2C2E01B7" w:rsidR="0084326C" w:rsidRPr="005D68A0" w:rsidRDefault="0084326C">
            <w:pPr>
              <w:rPr>
                <w:rFonts w:ascii="Arial Narrow" w:hAnsi="Arial Narrow"/>
                <w:noProof/>
                <w:color w:val="006100"/>
                <w:sz w:val="20"/>
                <w:szCs w:val="20"/>
              </w:rPr>
            </w:pPr>
            <w:r>
              <w:rPr>
                <w:rFonts w:ascii="Arial Narrow" w:hAnsi="Arial Narrow"/>
                <w:noProof/>
                <w:color w:val="006100"/>
                <w:sz w:val="20"/>
              </w:rPr>
              <w:t>millest:</w:t>
            </w:r>
          </w:p>
          <w:p w14:paraId="77BE2A10" w14:textId="20EC3C82" w:rsidR="0084326C" w:rsidRPr="00D8527D" w:rsidRDefault="0084326C">
            <w:pPr>
              <w:spacing w:before="120" w:after="120"/>
              <w:rPr>
                <w:rFonts w:ascii="Arial Narrow" w:hAnsi="Arial Narrow"/>
                <w:noProof/>
                <w:color w:val="006100"/>
                <w:sz w:val="20"/>
                <w:szCs w:val="20"/>
              </w:rPr>
            </w:pPr>
            <w:r>
              <w:rPr>
                <w:rFonts w:ascii="Arial Narrow" w:hAnsi="Arial Narrow"/>
                <w:noProof/>
                <w:color w:val="006100"/>
                <w:sz w:val="20"/>
              </w:rPr>
              <w:t>Frasso – Telese 11</w:t>
            </w:r>
          </w:p>
          <w:p w14:paraId="33650DF7" w14:textId="77777777" w:rsidR="0084326C" w:rsidRPr="00D8527D" w:rsidRDefault="0084326C">
            <w:pPr>
              <w:spacing w:before="120" w:after="120"/>
              <w:rPr>
                <w:rFonts w:ascii="Arial Narrow" w:hAnsi="Arial Narrow"/>
                <w:noProof/>
                <w:color w:val="006100"/>
                <w:sz w:val="20"/>
              </w:rPr>
            </w:pPr>
            <w:r>
              <w:rPr>
                <w:rFonts w:ascii="Arial Narrow" w:hAnsi="Arial Narrow"/>
                <w:noProof/>
                <w:color w:val="006100"/>
                <w:sz w:val="20"/>
              </w:rPr>
              <w:t>Telese – Vitulano 19 km</w:t>
            </w:r>
          </w:p>
          <w:p w14:paraId="46D5851C" w14:textId="77777777" w:rsidR="0084326C" w:rsidRPr="00D8527D" w:rsidRDefault="0084326C">
            <w:pPr>
              <w:spacing w:before="120" w:after="120"/>
              <w:rPr>
                <w:rFonts w:ascii="Arial Narrow" w:hAnsi="Arial Narrow"/>
                <w:noProof/>
                <w:color w:val="006100"/>
                <w:sz w:val="20"/>
              </w:rPr>
            </w:pPr>
            <w:r>
              <w:rPr>
                <w:rFonts w:ascii="Arial Narrow" w:hAnsi="Arial Narrow"/>
                <w:noProof/>
                <w:color w:val="006100"/>
                <w:sz w:val="20"/>
              </w:rPr>
              <w:t>Apice – Hirpinia 19 km</w:t>
            </w:r>
          </w:p>
          <w:p w14:paraId="34B9A558" w14:textId="77777777" w:rsidR="00A40E01" w:rsidRPr="00D8527D" w:rsidRDefault="0084326C" w:rsidP="5537777F">
            <w:pPr>
              <w:spacing w:before="120" w:after="120"/>
              <w:rPr>
                <w:rFonts w:ascii="Arial Narrow" w:hAnsi="Arial Narrow"/>
                <w:noProof/>
                <w:color w:val="006100"/>
                <w:sz w:val="20"/>
                <w:szCs w:val="20"/>
              </w:rPr>
            </w:pPr>
            <w:r>
              <w:rPr>
                <w:rFonts w:ascii="Arial Narrow" w:hAnsi="Arial Narrow"/>
                <w:noProof/>
                <w:color w:val="006100"/>
                <w:sz w:val="20"/>
              </w:rPr>
              <w:t xml:space="preserve">Salerno – Reggio Calabria 33 km </w:t>
            </w:r>
          </w:p>
          <w:p w14:paraId="4FD78CD7" w14:textId="15BC82CC" w:rsidR="0084326C" w:rsidRPr="00D8527D" w:rsidRDefault="00A40E01">
            <w:pPr>
              <w:rPr>
                <w:rFonts w:ascii="Arial Narrow" w:hAnsi="Arial Narrow"/>
                <w:noProof/>
                <w:color w:val="006100"/>
                <w:sz w:val="20"/>
                <w:szCs w:val="20"/>
              </w:rPr>
            </w:pPr>
            <w:r>
              <w:rPr>
                <w:rFonts w:ascii="Arial Narrow" w:hAnsi="Arial Narrow"/>
                <w:noProof/>
                <w:color w:val="006100"/>
                <w:sz w:val="20"/>
              </w:rPr>
              <w:t>sellest Battipaglia-Romagnano 33 km Palermo- Catania liinil, millest 37 km:</w:t>
            </w:r>
          </w:p>
          <w:p w14:paraId="1B42E268" w14:textId="77777777" w:rsidR="0084326C" w:rsidRPr="00994F5E" w:rsidRDefault="0084326C">
            <w:pPr>
              <w:rPr>
                <w:rFonts w:ascii="Arial Narrow" w:hAnsi="Arial Narrow"/>
                <w:noProof/>
                <w:color w:val="006100"/>
                <w:sz w:val="20"/>
                <w:szCs w:val="20"/>
              </w:rPr>
            </w:pPr>
            <w:r>
              <w:rPr>
                <w:rFonts w:ascii="Arial Narrow" w:hAnsi="Arial Narrow"/>
                <w:noProof/>
                <w:color w:val="006100"/>
                <w:sz w:val="20"/>
              </w:rPr>
              <w:t>Catenanuova – Dittaino 22 km</w:t>
            </w:r>
          </w:p>
          <w:p w14:paraId="6FF48280" w14:textId="77777777" w:rsidR="0084326C" w:rsidRPr="00994F5E" w:rsidRDefault="0084326C">
            <w:pPr>
              <w:rPr>
                <w:rFonts w:ascii="Arial Narrow" w:hAnsi="Arial Narrow"/>
                <w:noProof/>
                <w:color w:val="006100"/>
                <w:sz w:val="20"/>
                <w:szCs w:val="20"/>
              </w:rPr>
            </w:pPr>
            <w:r>
              <w:rPr>
                <w:rFonts w:ascii="Arial Narrow" w:hAnsi="Arial Narrow"/>
                <w:noProof/>
                <w:color w:val="006100"/>
                <w:sz w:val="20"/>
              </w:rPr>
              <w:t>Dittanio – Enna 15 km</w:t>
            </w:r>
          </w:p>
        </w:tc>
      </w:tr>
      <w:tr w:rsidR="0084326C" w:rsidRPr="005D68A0" w14:paraId="1EA76613" w14:textId="77777777" w:rsidTr="19E35B1A">
        <w:trPr>
          <w:trHeight w:val="309"/>
          <w:jc w:val="right"/>
        </w:trPr>
        <w:tc>
          <w:tcPr>
            <w:tcW w:w="369" w:type="pct"/>
            <w:shd w:val="clear" w:color="auto" w:fill="C6EFCE"/>
            <w:noWrap/>
            <w:vAlign w:val="center"/>
          </w:tcPr>
          <w:p w14:paraId="22EEB22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M3C1-23</w:t>
            </w:r>
          </w:p>
        </w:tc>
        <w:tc>
          <w:tcPr>
            <w:tcW w:w="511" w:type="pct"/>
            <w:shd w:val="clear" w:color="auto" w:fill="C6EFCE"/>
            <w:noWrap/>
            <w:vAlign w:val="center"/>
          </w:tcPr>
          <w:p w14:paraId="3A36405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1.9.</w:t>
            </w:r>
          </w:p>
          <w:p w14:paraId="4E4E205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Piirkondadevahelised ühendused</w:t>
            </w:r>
          </w:p>
        </w:tc>
        <w:tc>
          <w:tcPr>
            <w:tcW w:w="417" w:type="pct"/>
            <w:shd w:val="clear" w:color="auto" w:fill="C6EFCE"/>
            <w:noWrap/>
            <w:vAlign w:val="center"/>
          </w:tcPr>
          <w:p w14:paraId="263B9D4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464" w:type="pct"/>
            <w:shd w:val="clear" w:color="auto" w:fill="C6EFCE"/>
            <w:noWrap/>
            <w:vAlign w:val="center"/>
          </w:tcPr>
          <w:p w14:paraId="580E317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1.9.</w:t>
            </w:r>
          </w:p>
          <w:p w14:paraId="338C9FA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Piirkondadevahelised ühendused</w:t>
            </w:r>
          </w:p>
        </w:tc>
        <w:tc>
          <w:tcPr>
            <w:tcW w:w="509" w:type="pct"/>
            <w:shd w:val="clear" w:color="auto" w:fill="C6EFCE"/>
            <w:noWrap/>
            <w:vAlign w:val="center"/>
          </w:tcPr>
          <w:p w14:paraId="34D5F2C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25" w:type="pct"/>
            <w:shd w:val="clear" w:color="auto" w:fill="C6EFCE"/>
            <w:noWrap/>
            <w:vAlign w:val="center"/>
          </w:tcPr>
          <w:p w14:paraId="0ECFBB1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71" w:type="pct"/>
            <w:shd w:val="clear" w:color="auto" w:fill="C6EFCE"/>
            <w:noWrap/>
            <w:vAlign w:val="center"/>
          </w:tcPr>
          <w:p w14:paraId="5248884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279" w:type="pct"/>
            <w:shd w:val="clear" w:color="auto" w:fill="C6EFCE"/>
            <w:noWrap/>
            <w:vAlign w:val="center"/>
          </w:tcPr>
          <w:p w14:paraId="43A073A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70 </w:t>
            </w:r>
          </w:p>
        </w:tc>
        <w:tc>
          <w:tcPr>
            <w:tcW w:w="278" w:type="pct"/>
            <w:shd w:val="clear" w:color="auto" w:fill="C6EFCE"/>
            <w:noWrap/>
            <w:vAlign w:val="center"/>
          </w:tcPr>
          <w:p w14:paraId="7D822E3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78" w:type="pct"/>
            <w:shd w:val="clear" w:color="auto" w:fill="C6EFCE"/>
            <w:noWrap/>
            <w:vAlign w:val="center"/>
          </w:tcPr>
          <w:p w14:paraId="06344F6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2025</w:t>
            </w:r>
          </w:p>
        </w:tc>
        <w:tc>
          <w:tcPr>
            <w:tcW w:w="1198" w:type="pct"/>
            <w:shd w:val="clear" w:color="auto" w:fill="C6EFCE"/>
            <w:noWrap/>
            <w:vAlign w:val="center"/>
          </w:tcPr>
          <w:p w14:paraId="1FD5C35C"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70 km piirkondadevahelisi ühendusi on üles ehitatud</w:t>
            </w:r>
          </w:p>
          <w:p w14:paraId="66B45DB6" w14:textId="77777777" w:rsidR="0084326C" w:rsidRPr="00F33804" w:rsidRDefault="0084326C">
            <w:pPr>
              <w:rPr>
                <w:rFonts w:ascii="Arial Narrow" w:hAnsi="Arial Narrow"/>
                <w:noProof/>
                <w:color w:val="006100"/>
                <w:sz w:val="20"/>
                <w:szCs w:val="20"/>
                <w:lang w:val="fr-BE"/>
              </w:rPr>
            </w:pPr>
          </w:p>
          <w:p w14:paraId="307BFF49"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Ümberehitatavad liinid on järgmised:</w:t>
            </w:r>
          </w:p>
          <w:p w14:paraId="1FFD6A24" w14:textId="77777777" w:rsidR="0084326C" w:rsidRPr="005D68A0" w:rsidRDefault="0084326C">
            <w:pPr>
              <w:rPr>
                <w:rFonts w:ascii="Arial Narrow" w:hAnsi="Arial Narrow"/>
                <w:noProof/>
                <w:color w:val="006100"/>
                <w:sz w:val="20"/>
                <w:szCs w:val="20"/>
                <w:lang w:val="en-GB"/>
              </w:rPr>
            </w:pPr>
          </w:p>
          <w:p w14:paraId="57DD99A7" w14:textId="77777777" w:rsidR="0084326C" w:rsidRPr="00994F5E" w:rsidRDefault="0084326C">
            <w:pPr>
              <w:rPr>
                <w:rFonts w:ascii="Arial Narrow" w:hAnsi="Arial Narrow"/>
                <w:noProof/>
                <w:color w:val="006100"/>
                <w:sz w:val="20"/>
                <w:szCs w:val="20"/>
              </w:rPr>
            </w:pPr>
            <w:r>
              <w:rPr>
                <w:rFonts w:ascii="Arial Narrow" w:hAnsi="Arial Narrow"/>
                <w:noProof/>
                <w:color w:val="006100"/>
                <w:sz w:val="20"/>
              </w:rPr>
              <w:t xml:space="preserve">Milano Genova </w:t>
            </w:r>
          </w:p>
          <w:p w14:paraId="6B5C8CCF" w14:textId="77777777" w:rsidR="0084326C" w:rsidRPr="00994F5E" w:rsidRDefault="0084326C">
            <w:pPr>
              <w:rPr>
                <w:rFonts w:ascii="Arial Narrow" w:hAnsi="Arial Narrow"/>
                <w:noProof/>
                <w:color w:val="006100"/>
                <w:sz w:val="20"/>
              </w:rPr>
            </w:pPr>
            <w:r>
              <w:rPr>
                <w:rFonts w:ascii="Arial Narrow" w:hAnsi="Arial Narrow"/>
                <w:noProof/>
                <w:color w:val="006100"/>
                <w:sz w:val="20"/>
              </w:rPr>
              <w:t>Palermo Catania (linea storica)</w:t>
            </w:r>
          </w:p>
          <w:p w14:paraId="5892C5AD"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Battipaglia Potenza </w:t>
            </w:r>
          </w:p>
          <w:p w14:paraId="11B66E05"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Orte Falconara </w:t>
            </w:r>
          </w:p>
        </w:tc>
      </w:tr>
      <w:tr w:rsidR="0084326C" w:rsidRPr="00D90835" w14:paraId="657F4ED5" w14:textId="77777777" w:rsidTr="19E35B1A">
        <w:trPr>
          <w:trHeight w:val="309"/>
          <w:jc w:val="right"/>
        </w:trPr>
        <w:tc>
          <w:tcPr>
            <w:tcW w:w="369" w:type="pct"/>
            <w:shd w:val="clear" w:color="auto" w:fill="C6EFCE"/>
            <w:noWrap/>
            <w:vAlign w:val="center"/>
          </w:tcPr>
          <w:p w14:paraId="1703997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M3C1-24</w:t>
            </w:r>
          </w:p>
        </w:tc>
        <w:tc>
          <w:tcPr>
            <w:tcW w:w="511" w:type="pct"/>
            <w:shd w:val="clear" w:color="auto" w:fill="C6EFCE"/>
            <w:noWrap/>
            <w:vAlign w:val="center"/>
          </w:tcPr>
          <w:p w14:paraId="0023CE7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1.9.</w:t>
            </w:r>
          </w:p>
          <w:p w14:paraId="78B4695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Piirkondadevahelised ühendused</w:t>
            </w:r>
          </w:p>
        </w:tc>
        <w:tc>
          <w:tcPr>
            <w:tcW w:w="417" w:type="pct"/>
            <w:shd w:val="clear" w:color="auto" w:fill="C6EFCE"/>
            <w:noWrap/>
            <w:vAlign w:val="center"/>
          </w:tcPr>
          <w:p w14:paraId="3C3A451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464" w:type="pct"/>
            <w:shd w:val="clear" w:color="auto" w:fill="C6EFCE"/>
            <w:noWrap/>
            <w:vAlign w:val="center"/>
          </w:tcPr>
          <w:p w14:paraId="227854D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1.9.</w:t>
            </w:r>
          </w:p>
          <w:p w14:paraId="7D5BE11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Piirkondadevahelised ühendused</w:t>
            </w:r>
          </w:p>
        </w:tc>
        <w:tc>
          <w:tcPr>
            <w:tcW w:w="509" w:type="pct"/>
            <w:shd w:val="clear" w:color="auto" w:fill="C6EFCE"/>
            <w:noWrap/>
            <w:vAlign w:val="center"/>
          </w:tcPr>
          <w:p w14:paraId="48D754D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25" w:type="pct"/>
            <w:shd w:val="clear" w:color="auto" w:fill="C6EFCE"/>
            <w:noWrap/>
            <w:vAlign w:val="center"/>
          </w:tcPr>
          <w:p w14:paraId="07DFD24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71" w:type="pct"/>
            <w:shd w:val="clear" w:color="auto" w:fill="C6EFCE"/>
            <w:noWrap/>
            <w:vAlign w:val="center"/>
          </w:tcPr>
          <w:p w14:paraId="3093549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70</w:t>
            </w:r>
          </w:p>
        </w:tc>
        <w:tc>
          <w:tcPr>
            <w:tcW w:w="279" w:type="pct"/>
            <w:shd w:val="clear" w:color="auto" w:fill="C6EFCE"/>
            <w:noWrap/>
            <w:vAlign w:val="center"/>
          </w:tcPr>
          <w:p w14:paraId="1F20504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221</w:t>
            </w:r>
          </w:p>
        </w:tc>
        <w:tc>
          <w:tcPr>
            <w:tcW w:w="278" w:type="pct"/>
            <w:shd w:val="clear" w:color="auto" w:fill="C6EFCE"/>
            <w:noWrap/>
            <w:vAlign w:val="center"/>
          </w:tcPr>
          <w:p w14:paraId="35B3F16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278" w:type="pct"/>
            <w:shd w:val="clear" w:color="auto" w:fill="C6EFCE"/>
            <w:noWrap/>
            <w:vAlign w:val="center"/>
          </w:tcPr>
          <w:p w14:paraId="5340FF2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1198" w:type="pct"/>
            <w:shd w:val="clear" w:color="auto" w:fill="C6EFCE"/>
            <w:noWrap/>
            <w:vAlign w:val="center"/>
          </w:tcPr>
          <w:p w14:paraId="7F89ED08"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Kokku kiirenes 221 km piirkondadevahelisi ühendusi.</w:t>
            </w:r>
          </w:p>
          <w:p w14:paraId="695758FE" w14:textId="77777777" w:rsidR="0084326C" w:rsidRPr="00F33804" w:rsidRDefault="0084326C">
            <w:pPr>
              <w:rPr>
                <w:rFonts w:ascii="Arial Narrow" w:hAnsi="Arial Narrow"/>
                <w:noProof/>
                <w:color w:val="006100"/>
                <w:sz w:val="20"/>
                <w:szCs w:val="20"/>
              </w:rPr>
            </w:pPr>
          </w:p>
          <w:p w14:paraId="56FE09AC"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Ümberehitatavad liinid on järgmised:</w:t>
            </w:r>
          </w:p>
          <w:p w14:paraId="6AC5FFEC" w14:textId="77777777" w:rsidR="0084326C" w:rsidRPr="005D68A0" w:rsidRDefault="0084326C">
            <w:pPr>
              <w:rPr>
                <w:rFonts w:ascii="Arial Narrow" w:hAnsi="Arial Narrow"/>
                <w:noProof/>
                <w:color w:val="006100"/>
                <w:sz w:val="20"/>
                <w:szCs w:val="20"/>
                <w:lang w:val="en-GB"/>
              </w:rPr>
            </w:pPr>
          </w:p>
          <w:p w14:paraId="48F7E4EA" w14:textId="77777777" w:rsidR="0084326C" w:rsidRPr="00994F5E" w:rsidRDefault="0084326C">
            <w:pPr>
              <w:rPr>
                <w:rFonts w:ascii="Arial Narrow" w:hAnsi="Arial Narrow"/>
                <w:noProof/>
                <w:color w:val="006100"/>
                <w:sz w:val="20"/>
                <w:szCs w:val="20"/>
              </w:rPr>
            </w:pPr>
            <w:r>
              <w:rPr>
                <w:rFonts w:ascii="Arial Narrow" w:hAnsi="Arial Narrow"/>
                <w:noProof/>
                <w:color w:val="006100"/>
                <w:sz w:val="20"/>
              </w:rPr>
              <w:t>Milano Genova (70 km)</w:t>
            </w:r>
          </w:p>
          <w:p w14:paraId="6915B94D" w14:textId="77777777" w:rsidR="0084326C" w:rsidRPr="00994F5E" w:rsidRDefault="0084326C">
            <w:pPr>
              <w:rPr>
                <w:rFonts w:ascii="Arial Narrow" w:hAnsi="Arial Narrow"/>
                <w:noProof/>
                <w:color w:val="006100"/>
                <w:sz w:val="20"/>
                <w:szCs w:val="20"/>
              </w:rPr>
            </w:pPr>
            <w:r>
              <w:rPr>
                <w:rFonts w:ascii="Arial Narrow" w:hAnsi="Arial Narrow"/>
                <w:noProof/>
                <w:color w:val="006100"/>
                <w:sz w:val="20"/>
              </w:rPr>
              <w:t>Palermo Catania (linea storica) (84 km)</w:t>
            </w:r>
          </w:p>
          <w:p w14:paraId="0172A614" w14:textId="77777777" w:rsidR="0084326C" w:rsidRPr="00994F5E" w:rsidRDefault="0084326C">
            <w:pPr>
              <w:rPr>
                <w:rFonts w:ascii="Arial Narrow" w:hAnsi="Arial Narrow"/>
                <w:noProof/>
                <w:color w:val="006100"/>
                <w:sz w:val="20"/>
                <w:szCs w:val="20"/>
              </w:rPr>
            </w:pPr>
            <w:r>
              <w:rPr>
                <w:rFonts w:ascii="Arial Narrow" w:hAnsi="Arial Narrow"/>
                <w:noProof/>
                <w:color w:val="006100"/>
                <w:sz w:val="20"/>
              </w:rPr>
              <w:t>Battipaglia Potenza (60 km)</w:t>
            </w:r>
          </w:p>
          <w:p w14:paraId="2659FE58" w14:textId="77777777" w:rsidR="0084326C" w:rsidRPr="00994F5E" w:rsidRDefault="0084326C">
            <w:pPr>
              <w:rPr>
                <w:rFonts w:ascii="Arial Narrow" w:hAnsi="Arial Narrow"/>
                <w:noProof/>
                <w:color w:val="006100"/>
                <w:sz w:val="20"/>
                <w:szCs w:val="20"/>
              </w:rPr>
            </w:pPr>
            <w:r>
              <w:rPr>
                <w:rFonts w:ascii="Arial Narrow" w:hAnsi="Arial Narrow"/>
                <w:noProof/>
                <w:color w:val="006100"/>
                <w:sz w:val="20"/>
              </w:rPr>
              <w:t>Orte Falconara (7 km)</w:t>
            </w:r>
          </w:p>
        </w:tc>
      </w:tr>
      <w:tr w:rsidR="0084326C" w:rsidRPr="005D68A0" w14:paraId="79AF3F19" w14:textId="77777777" w:rsidTr="19E35B1A">
        <w:trPr>
          <w:trHeight w:val="309"/>
          <w:jc w:val="right"/>
        </w:trPr>
        <w:tc>
          <w:tcPr>
            <w:tcW w:w="369" w:type="pct"/>
            <w:shd w:val="clear" w:color="auto" w:fill="C6EFCE"/>
            <w:noWrap/>
            <w:vAlign w:val="center"/>
          </w:tcPr>
          <w:p w14:paraId="6000370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M3C1-9</w:t>
            </w:r>
          </w:p>
        </w:tc>
        <w:tc>
          <w:tcPr>
            <w:tcW w:w="511" w:type="pct"/>
            <w:shd w:val="clear" w:color="auto" w:fill="C6EFCE"/>
            <w:noWrap/>
            <w:vAlign w:val="center"/>
          </w:tcPr>
          <w:p w14:paraId="034CE503" w14:textId="7BF293BD"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1.2. Kiirraudteeliinid põhjas, mis ühendavad ülejäänud Euroopaga</w:t>
            </w:r>
          </w:p>
        </w:tc>
        <w:tc>
          <w:tcPr>
            <w:tcW w:w="417" w:type="pct"/>
            <w:shd w:val="clear" w:color="auto" w:fill="C6EFCE"/>
            <w:noWrap/>
            <w:vAlign w:val="center"/>
          </w:tcPr>
          <w:p w14:paraId="37FA5E2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464" w:type="pct"/>
            <w:shd w:val="clear" w:color="auto" w:fill="C6EFCE"/>
            <w:noWrap/>
            <w:vAlign w:val="center"/>
          </w:tcPr>
          <w:p w14:paraId="1AFB1BF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Reisijate- ja kaubaveoks kasutatav kiirraudtee Brescia-Verona-Vicenza-Padova liinidel; Liguuria-Alpi.</w:t>
            </w:r>
          </w:p>
        </w:tc>
        <w:tc>
          <w:tcPr>
            <w:tcW w:w="509" w:type="pct"/>
            <w:shd w:val="clear" w:color="auto" w:fill="C6EFCE"/>
            <w:noWrap/>
            <w:vAlign w:val="center"/>
          </w:tcPr>
          <w:p w14:paraId="2E6CD81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25" w:type="pct"/>
            <w:shd w:val="clear" w:color="auto" w:fill="C6EFCE"/>
            <w:noWrap/>
            <w:vAlign w:val="center"/>
          </w:tcPr>
          <w:p w14:paraId="20AB439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71" w:type="pct"/>
            <w:shd w:val="clear" w:color="auto" w:fill="C6EFCE"/>
            <w:noWrap/>
            <w:vAlign w:val="center"/>
          </w:tcPr>
          <w:p w14:paraId="654C27F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279" w:type="pct"/>
            <w:shd w:val="clear" w:color="auto" w:fill="C6EFCE"/>
            <w:noWrap/>
            <w:vAlign w:val="center"/>
          </w:tcPr>
          <w:p w14:paraId="35A6B04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165</w:t>
            </w:r>
          </w:p>
        </w:tc>
        <w:tc>
          <w:tcPr>
            <w:tcW w:w="278" w:type="pct"/>
            <w:shd w:val="clear" w:color="auto" w:fill="C6EFCE"/>
            <w:noWrap/>
            <w:vAlign w:val="center"/>
          </w:tcPr>
          <w:p w14:paraId="56C4B94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278" w:type="pct"/>
            <w:shd w:val="clear" w:color="auto" w:fill="C6EFCE"/>
            <w:noWrap/>
            <w:vAlign w:val="center"/>
          </w:tcPr>
          <w:p w14:paraId="5404C8C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1198" w:type="pct"/>
            <w:shd w:val="clear" w:color="auto" w:fill="C6EFCE"/>
            <w:noWrap/>
            <w:vAlign w:val="center"/>
          </w:tcPr>
          <w:p w14:paraId="56989C3E"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165 km kiirraudteed nii reisijate kui ka kauba jaoks Brescia-Verona-Vicenza-Padova liinil; Liguuria-Alpi ehitati, valmis loa andmiseks ja käitamiseks.</w:t>
            </w:r>
          </w:p>
          <w:p w14:paraId="37AED7B5" w14:textId="77777777" w:rsidR="0084326C" w:rsidRPr="00F33804" w:rsidRDefault="0084326C">
            <w:pPr>
              <w:rPr>
                <w:rFonts w:ascii="Arial Narrow" w:hAnsi="Arial Narrow"/>
                <w:noProof/>
                <w:color w:val="006100"/>
                <w:sz w:val="20"/>
                <w:szCs w:val="20"/>
              </w:rPr>
            </w:pPr>
          </w:p>
          <w:p w14:paraId="499604C8"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165 km ehitatakse järgmistesse lõikudesse:</w:t>
            </w:r>
          </w:p>
          <w:p w14:paraId="1B42582E" w14:textId="77777777" w:rsidR="0084326C" w:rsidRPr="00F33804" w:rsidRDefault="0084326C">
            <w:pPr>
              <w:rPr>
                <w:rFonts w:ascii="Arial Narrow" w:hAnsi="Arial Narrow"/>
                <w:noProof/>
                <w:color w:val="006100"/>
                <w:sz w:val="20"/>
                <w:szCs w:val="20"/>
                <w:lang w:val="fr-BE"/>
              </w:rPr>
            </w:pPr>
          </w:p>
          <w:p w14:paraId="5B3DA949" w14:textId="77777777" w:rsidR="0084326C" w:rsidRPr="00994F5E" w:rsidRDefault="0084326C">
            <w:pPr>
              <w:rPr>
                <w:rFonts w:ascii="Arial Narrow" w:hAnsi="Arial Narrow"/>
                <w:noProof/>
                <w:color w:val="006100"/>
                <w:sz w:val="20"/>
                <w:szCs w:val="20"/>
              </w:rPr>
            </w:pPr>
            <w:r>
              <w:rPr>
                <w:rFonts w:ascii="Arial Narrow" w:hAnsi="Arial Narrow"/>
                <w:noProof/>
                <w:color w:val="006100"/>
                <w:sz w:val="20"/>
              </w:rPr>
              <w:t>Brescia-Verona, 48 km</w:t>
            </w:r>
          </w:p>
          <w:p w14:paraId="679447C8" w14:textId="2E53BC50" w:rsidR="0084326C" w:rsidRPr="00994F5E" w:rsidRDefault="0084326C">
            <w:pPr>
              <w:rPr>
                <w:rFonts w:ascii="Arial Narrow" w:hAnsi="Arial Narrow"/>
                <w:noProof/>
                <w:color w:val="006100"/>
                <w:sz w:val="20"/>
                <w:szCs w:val="20"/>
              </w:rPr>
            </w:pPr>
            <w:r>
              <w:rPr>
                <w:rFonts w:ascii="Arial Narrow" w:hAnsi="Arial Narrow"/>
                <w:noProof/>
                <w:color w:val="006100"/>
                <w:sz w:val="20"/>
              </w:rPr>
              <w:t>Verona-Bivio Vincenza, 44 km</w:t>
            </w:r>
          </w:p>
          <w:p w14:paraId="3E92C3EF"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Genova sõlm ja kolmas Giovi ristumiskoht 53 km</w:t>
            </w:r>
          </w:p>
          <w:p w14:paraId="1F738077" w14:textId="77777777" w:rsidR="0084326C" w:rsidRPr="00E71D73" w:rsidRDefault="0084326C">
            <w:pPr>
              <w:rPr>
                <w:rFonts w:ascii="Arial Narrow" w:hAnsi="Arial Narrow"/>
                <w:noProof/>
                <w:color w:val="006100"/>
                <w:sz w:val="20"/>
                <w:szCs w:val="20"/>
              </w:rPr>
            </w:pPr>
            <w:r>
              <w:rPr>
                <w:rFonts w:ascii="Arial Narrow" w:hAnsi="Arial Narrow"/>
                <w:noProof/>
                <w:color w:val="006100"/>
                <w:sz w:val="20"/>
              </w:rPr>
              <w:t>Rho-Parabiago 9 km</w:t>
            </w:r>
          </w:p>
          <w:p w14:paraId="2D142A80" w14:textId="77777777" w:rsidR="0084326C" w:rsidRPr="00E71D73" w:rsidRDefault="0084326C">
            <w:pPr>
              <w:rPr>
                <w:rFonts w:ascii="Arial Narrow" w:hAnsi="Arial Narrow"/>
                <w:noProof/>
                <w:color w:val="006100"/>
                <w:sz w:val="20"/>
                <w:szCs w:val="20"/>
              </w:rPr>
            </w:pPr>
            <w:r>
              <w:rPr>
                <w:rFonts w:ascii="Arial Narrow" w:hAnsi="Arial Narrow"/>
                <w:noProof/>
                <w:color w:val="006100"/>
                <w:sz w:val="20"/>
              </w:rPr>
              <w:t>Pavia-Milano-Rogoredo 11 km</w:t>
            </w:r>
          </w:p>
        </w:tc>
      </w:tr>
      <w:tr w:rsidR="0084326C" w:rsidRPr="00D90835" w14:paraId="40510E48" w14:textId="77777777" w:rsidTr="19E35B1A">
        <w:trPr>
          <w:trHeight w:val="3419"/>
          <w:jc w:val="right"/>
        </w:trPr>
        <w:tc>
          <w:tcPr>
            <w:tcW w:w="369" w:type="pct"/>
            <w:shd w:val="clear" w:color="auto" w:fill="C6EFCE"/>
            <w:noWrap/>
            <w:vAlign w:val="center"/>
          </w:tcPr>
          <w:p w14:paraId="531490A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M3C1-10</w:t>
            </w:r>
          </w:p>
        </w:tc>
        <w:tc>
          <w:tcPr>
            <w:tcW w:w="511" w:type="pct"/>
            <w:shd w:val="clear" w:color="auto" w:fill="C6EFCE"/>
            <w:noWrap/>
            <w:vAlign w:val="center"/>
          </w:tcPr>
          <w:p w14:paraId="56FF1A9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1.3. Diagonaalühendused</w:t>
            </w:r>
          </w:p>
        </w:tc>
        <w:tc>
          <w:tcPr>
            <w:tcW w:w="417" w:type="pct"/>
            <w:shd w:val="clear" w:color="auto" w:fill="C6EFCE"/>
            <w:noWrap/>
            <w:vAlign w:val="center"/>
          </w:tcPr>
          <w:p w14:paraId="13ABA8E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464" w:type="pct"/>
            <w:shd w:val="clear" w:color="auto" w:fill="C6EFCE"/>
            <w:noWrap/>
            <w:vAlign w:val="center"/>
          </w:tcPr>
          <w:p w14:paraId="3B7ACF6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Lepingu(te) sõlmimine ühenduste ehitamiseks Orte-Falconara ja Taranto-Metaponto-Potenza-Battipaglia liinil</w:t>
            </w:r>
          </w:p>
        </w:tc>
        <w:tc>
          <w:tcPr>
            <w:tcW w:w="509" w:type="pct"/>
            <w:shd w:val="clear" w:color="auto" w:fill="C6EFCE"/>
            <w:noWrap/>
            <w:vAlign w:val="center"/>
          </w:tcPr>
          <w:p w14:paraId="7172779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Teade multidistsiplinaarse lepingu sõlmimise kohta kiirraudtee ehitamiseks Orte-Falconara ja Taranto-Metaponto-Potenza-Battipaglia liinil</w:t>
            </w:r>
          </w:p>
        </w:tc>
        <w:tc>
          <w:tcPr>
            <w:tcW w:w="325" w:type="pct"/>
            <w:shd w:val="clear" w:color="auto" w:fill="C6EFCE"/>
            <w:noWrap/>
            <w:vAlign w:val="center"/>
          </w:tcPr>
          <w:p w14:paraId="4F62639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71" w:type="pct"/>
            <w:shd w:val="clear" w:color="auto" w:fill="C6EFCE"/>
            <w:noWrap/>
            <w:vAlign w:val="center"/>
          </w:tcPr>
          <w:p w14:paraId="0C92CD2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279" w:type="pct"/>
            <w:shd w:val="clear" w:color="auto" w:fill="C6EFCE"/>
            <w:noWrap/>
            <w:vAlign w:val="center"/>
          </w:tcPr>
          <w:p w14:paraId="76D5275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278" w:type="pct"/>
            <w:shd w:val="clear" w:color="auto" w:fill="C6EFCE"/>
            <w:noWrap/>
            <w:vAlign w:val="center"/>
          </w:tcPr>
          <w:p w14:paraId="6A52E3B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 kv</w:t>
            </w:r>
          </w:p>
        </w:tc>
        <w:tc>
          <w:tcPr>
            <w:tcW w:w="278" w:type="pct"/>
            <w:shd w:val="clear" w:color="auto" w:fill="C6EFCE"/>
            <w:noWrap/>
            <w:vAlign w:val="center"/>
          </w:tcPr>
          <w:p w14:paraId="08F786E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2024</w:t>
            </w:r>
          </w:p>
        </w:tc>
        <w:tc>
          <w:tcPr>
            <w:tcW w:w="1198" w:type="pct"/>
            <w:shd w:val="clear" w:color="auto" w:fill="C6EFCE"/>
            <w:noWrap/>
            <w:vAlign w:val="center"/>
          </w:tcPr>
          <w:p w14:paraId="1AFE2894"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Teade multidistsiplinaarse lepingu sõlmimise kohta ühenduste rajamiseks Orte-Falconara ja Taranto-Metaponto-Potenza-Battipaglia liinidel.</w:t>
            </w:r>
          </w:p>
          <w:p w14:paraId="23676A24" w14:textId="77777777" w:rsidR="0084326C" w:rsidRPr="00F33804" w:rsidRDefault="0084326C">
            <w:pPr>
              <w:rPr>
                <w:rFonts w:ascii="Arial Narrow" w:hAnsi="Arial Narrow"/>
                <w:noProof/>
                <w:color w:val="006100"/>
                <w:sz w:val="20"/>
                <w:szCs w:val="20"/>
              </w:rPr>
            </w:pPr>
          </w:p>
          <w:p w14:paraId="515FBFA5"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Lepingu(te)s viidatakse järgmistele liinidele: </w:t>
            </w:r>
          </w:p>
          <w:p w14:paraId="6147EB3D" w14:textId="77777777" w:rsidR="0084326C" w:rsidRPr="005D68A0" w:rsidRDefault="0084326C">
            <w:pPr>
              <w:rPr>
                <w:rFonts w:ascii="Arial Narrow" w:hAnsi="Arial Narrow"/>
                <w:noProof/>
                <w:color w:val="006100"/>
                <w:sz w:val="20"/>
                <w:szCs w:val="20"/>
                <w:lang w:val="en-GB"/>
              </w:rPr>
            </w:pPr>
          </w:p>
          <w:p w14:paraId="1F187C3F" w14:textId="77777777" w:rsidR="0084326C" w:rsidRPr="00994F5E" w:rsidRDefault="0084326C">
            <w:pPr>
              <w:rPr>
                <w:rFonts w:ascii="Arial Narrow" w:hAnsi="Arial Narrow"/>
                <w:noProof/>
                <w:color w:val="006100"/>
                <w:sz w:val="20"/>
                <w:szCs w:val="20"/>
              </w:rPr>
            </w:pPr>
            <w:r>
              <w:rPr>
                <w:rFonts w:ascii="Arial Narrow" w:hAnsi="Arial Narrow"/>
                <w:noProof/>
                <w:color w:val="006100"/>
                <w:sz w:val="20"/>
              </w:rPr>
              <w:t>Orte-Falconara</w:t>
            </w:r>
          </w:p>
          <w:p w14:paraId="096344BF" w14:textId="77777777" w:rsidR="0084326C" w:rsidRPr="00994F5E" w:rsidRDefault="0084326C">
            <w:pPr>
              <w:rPr>
                <w:rFonts w:ascii="Arial Narrow" w:hAnsi="Arial Narrow"/>
                <w:noProof/>
                <w:color w:val="006100"/>
                <w:sz w:val="20"/>
                <w:szCs w:val="20"/>
              </w:rPr>
            </w:pPr>
            <w:r>
              <w:rPr>
                <w:rFonts w:ascii="Arial Narrow" w:hAnsi="Arial Narrow"/>
                <w:noProof/>
                <w:color w:val="006100"/>
                <w:sz w:val="20"/>
              </w:rPr>
              <w:t>Taranto – Metaponto-Potenza-Battipaglia</w:t>
            </w:r>
          </w:p>
        </w:tc>
      </w:tr>
      <w:tr w:rsidR="0084326C" w:rsidRPr="005D68A0" w14:paraId="798D7538" w14:textId="77777777" w:rsidTr="19E35B1A">
        <w:trPr>
          <w:trHeight w:val="309"/>
          <w:jc w:val="right"/>
        </w:trPr>
        <w:tc>
          <w:tcPr>
            <w:tcW w:w="369" w:type="pct"/>
            <w:shd w:val="clear" w:color="auto" w:fill="C6EFCE"/>
            <w:noWrap/>
            <w:vAlign w:val="center"/>
          </w:tcPr>
          <w:p w14:paraId="009DB12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M3C1-11</w:t>
            </w:r>
          </w:p>
        </w:tc>
        <w:tc>
          <w:tcPr>
            <w:tcW w:w="511" w:type="pct"/>
            <w:shd w:val="clear" w:color="auto" w:fill="C6EFCE"/>
            <w:noWrap/>
            <w:vAlign w:val="center"/>
          </w:tcPr>
          <w:p w14:paraId="3CA20C9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1.3. Diagonaalühendused</w:t>
            </w:r>
          </w:p>
        </w:tc>
        <w:tc>
          <w:tcPr>
            <w:tcW w:w="417" w:type="pct"/>
            <w:shd w:val="clear" w:color="auto" w:fill="C6EFCE"/>
            <w:noWrap/>
            <w:vAlign w:val="center"/>
          </w:tcPr>
          <w:p w14:paraId="2FC909F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464" w:type="pct"/>
            <w:shd w:val="clear" w:color="auto" w:fill="C6EFCE"/>
            <w:noWrap/>
            <w:vAlign w:val="center"/>
          </w:tcPr>
          <w:p w14:paraId="4E91291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Nii reisijate kui ka kauba kiirraudtee liinil Orte-Falconara ja Taranto-Metaponto-Potenza-Battipaglia</w:t>
            </w:r>
          </w:p>
        </w:tc>
        <w:tc>
          <w:tcPr>
            <w:tcW w:w="509" w:type="pct"/>
            <w:shd w:val="clear" w:color="auto" w:fill="C6EFCE"/>
            <w:noWrap/>
            <w:vAlign w:val="center"/>
          </w:tcPr>
          <w:p w14:paraId="31E3478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25" w:type="pct"/>
            <w:shd w:val="clear" w:color="auto" w:fill="C6EFCE"/>
            <w:noWrap/>
            <w:vAlign w:val="center"/>
          </w:tcPr>
          <w:p w14:paraId="773CDC6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71" w:type="pct"/>
            <w:shd w:val="clear" w:color="auto" w:fill="C6EFCE"/>
            <w:noWrap/>
            <w:vAlign w:val="center"/>
          </w:tcPr>
          <w:p w14:paraId="74DFBEF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279" w:type="pct"/>
            <w:shd w:val="clear" w:color="auto" w:fill="C6EFCE"/>
            <w:noWrap/>
            <w:vAlign w:val="center"/>
          </w:tcPr>
          <w:p w14:paraId="46AD22D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27</w:t>
            </w:r>
          </w:p>
        </w:tc>
        <w:tc>
          <w:tcPr>
            <w:tcW w:w="278" w:type="pct"/>
            <w:shd w:val="clear" w:color="auto" w:fill="C6EFCE"/>
            <w:noWrap/>
            <w:vAlign w:val="center"/>
          </w:tcPr>
          <w:p w14:paraId="7B1EF66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278" w:type="pct"/>
            <w:shd w:val="clear" w:color="auto" w:fill="C6EFCE"/>
            <w:noWrap/>
            <w:vAlign w:val="center"/>
          </w:tcPr>
          <w:p w14:paraId="6DE0059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1198" w:type="pct"/>
            <w:shd w:val="clear" w:color="auto" w:fill="C6EFCE"/>
            <w:noWrap/>
            <w:vAlign w:val="center"/>
          </w:tcPr>
          <w:p w14:paraId="46435DFA"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27 km kiirraudteed nii reisijate kui ka kauba jaoks Orte-Falconara ja Taranto Metaponto-Potenza-Battipaglia liinidel, mis on valmis loa andmiseks ja käitamiseks.</w:t>
            </w:r>
          </w:p>
          <w:p w14:paraId="21791DDC" w14:textId="77777777" w:rsidR="0084326C" w:rsidRPr="00F33804" w:rsidRDefault="0084326C">
            <w:pPr>
              <w:rPr>
                <w:rFonts w:ascii="Arial Narrow" w:hAnsi="Arial Narrow"/>
                <w:noProof/>
                <w:color w:val="006100"/>
                <w:sz w:val="20"/>
                <w:szCs w:val="20"/>
              </w:rPr>
            </w:pPr>
          </w:p>
          <w:p w14:paraId="3E7B32D3"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27 km jaotus on järgmine:</w:t>
            </w:r>
          </w:p>
          <w:p w14:paraId="1759A172" w14:textId="77777777" w:rsidR="0084326C" w:rsidRPr="005D68A0" w:rsidRDefault="0084326C">
            <w:pPr>
              <w:rPr>
                <w:rFonts w:ascii="Arial Narrow" w:hAnsi="Arial Narrow"/>
                <w:noProof/>
                <w:color w:val="006100"/>
                <w:sz w:val="20"/>
                <w:szCs w:val="20"/>
                <w:lang w:val="en-GB"/>
              </w:rPr>
            </w:pPr>
          </w:p>
          <w:p w14:paraId="64934F41" w14:textId="77777777" w:rsidR="0084326C" w:rsidRPr="00E71D73" w:rsidRDefault="0084326C">
            <w:pPr>
              <w:rPr>
                <w:rFonts w:ascii="Arial Narrow" w:hAnsi="Arial Narrow"/>
                <w:noProof/>
                <w:color w:val="006100"/>
                <w:sz w:val="20"/>
                <w:szCs w:val="20"/>
              </w:rPr>
            </w:pPr>
            <w:r>
              <w:rPr>
                <w:rFonts w:ascii="Arial Narrow" w:hAnsi="Arial Narrow"/>
                <w:noProof/>
                <w:color w:val="006100"/>
                <w:sz w:val="20"/>
              </w:rPr>
              <w:t>Orte-Falconara, 13 km</w:t>
            </w:r>
          </w:p>
          <w:p w14:paraId="02545D57" w14:textId="77777777" w:rsidR="0084326C" w:rsidRPr="00E71D73" w:rsidRDefault="0084326C">
            <w:pPr>
              <w:rPr>
                <w:rFonts w:ascii="Arial Narrow" w:hAnsi="Arial Narrow"/>
                <w:noProof/>
                <w:color w:val="006100"/>
                <w:sz w:val="20"/>
                <w:szCs w:val="20"/>
              </w:rPr>
            </w:pPr>
            <w:r>
              <w:rPr>
                <w:rFonts w:ascii="Arial Narrow" w:hAnsi="Arial Narrow"/>
                <w:noProof/>
                <w:color w:val="006100"/>
                <w:sz w:val="20"/>
              </w:rPr>
              <w:t>Taranto – Metaponto – Potenza – Battipaglia, 14 km</w:t>
            </w:r>
          </w:p>
        </w:tc>
      </w:tr>
      <w:tr w:rsidR="0084326C" w:rsidRPr="00D90835" w14:paraId="56CC8A4B" w14:textId="77777777" w:rsidTr="19E35B1A">
        <w:trPr>
          <w:trHeight w:val="309"/>
          <w:jc w:val="right"/>
        </w:trPr>
        <w:tc>
          <w:tcPr>
            <w:tcW w:w="369" w:type="pct"/>
            <w:shd w:val="clear" w:color="auto" w:fill="C6EFCE"/>
            <w:noWrap/>
            <w:vAlign w:val="center"/>
          </w:tcPr>
          <w:p w14:paraId="42D6E26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M3C1-12</w:t>
            </w:r>
          </w:p>
        </w:tc>
        <w:tc>
          <w:tcPr>
            <w:tcW w:w="511" w:type="pct"/>
            <w:shd w:val="clear" w:color="auto" w:fill="C6EFCE"/>
            <w:noWrap/>
            <w:vAlign w:val="center"/>
          </w:tcPr>
          <w:p w14:paraId="48B859F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1.4. Euroopa raudteetranspordi juhtimissüsteemi (ERTMS) kasutuselevõtmine</w:t>
            </w:r>
          </w:p>
        </w:tc>
        <w:tc>
          <w:tcPr>
            <w:tcW w:w="417" w:type="pct"/>
            <w:shd w:val="clear" w:color="auto" w:fill="C6EFCE"/>
            <w:noWrap/>
            <w:vAlign w:val="center"/>
          </w:tcPr>
          <w:p w14:paraId="63603CA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464" w:type="pct"/>
            <w:shd w:val="clear" w:color="auto" w:fill="C6EFCE"/>
            <w:noWrap/>
            <w:vAlign w:val="center"/>
          </w:tcPr>
          <w:p w14:paraId="7E04EB4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Euroopa raudteetranspordi juhtimissüsteemi lepingute sõlmimine</w:t>
            </w:r>
          </w:p>
        </w:tc>
        <w:tc>
          <w:tcPr>
            <w:tcW w:w="509" w:type="pct"/>
            <w:shd w:val="clear" w:color="auto" w:fill="C6EFCE"/>
            <w:noWrap/>
            <w:vAlign w:val="center"/>
          </w:tcPr>
          <w:p w14:paraId="1DC1E2C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Teade kõigi riigihankelepingute sõlmimise kohta Euroopa raudteetranspordi juhtimissüsteemi kasutuselevõtmiseks</w:t>
            </w:r>
          </w:p>
        </w:tc>
        <w:tc>
          <w:tcPr>
            <w:tcW w:w="325" w:type="pct"/>
            <w:shd w:val="clear" w:color="auto" w:fill="C6EFCE"/>
            <w:noWrap/>
            <w:vAlign w:val="center"/>
          </w:tcPr>
          <w:p w14:paraId="322493D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71" w:type="pct"/>
            <w:shd w:val="clear" w:color="auto" w:fill="C6EFCE"/>
            <w:noWrap/>
            <w:vAlign w:val="center"/>
          </w:tcPr>
          <w:p w14:paraId="4047E8B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279" w:type="pct"/>
            <w:shd w:val="clear" w:color="auto" w:fill="C6EFCE"/>
            <w:noWrap/>
            <w:vAlign w:val="center"/>
          </w:tcPr>
          <w:p w14:paraId="21B7468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278" w:type="pct"/>
            <w:shd w:val="clear" w:color="auto" w:fill="C6EFCE"/>
            <w:noWrap/>
            <w:vAlign w:val="center"/>
          </w:tcPr>
          <w:p w14:paraId="0F19ED5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78" w:type="pct"/>
            <w:shd w:val="clear" w:color="auto" w:fill="C6EFCE"/>
            <w:noWrap/>
            <w:vAlign w:val="center"/>
          </w:tcPr>
          <w:p w14:paraId="70B3920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2022</w:t>
            </w:r>
          </w:p>
        </w:tc>
        <w:tc>
          <w:tcPr>
            <w:tcW w:w="1198" w:type="pct"/>
            <w:shd w:val="clear" w:color="auto" w:fill="C6EFCE"/>
            <w:noWrap/>
            <w:vAlign w:val="center"/>
          </w:tcPr>
          <w:p w14:paraId="33F4F0F4"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Teade kõigi riigihankelepingute sõlmimise kohta Euroopa raudteetranspordi juhtimissüsteemi (ERTMS) kasutuselevõtmiseks</w:t>
            </w:r>
          </w:p>
        </w:tc>
      </w:tr>
      <w:tr w:rsidR="0084326C" w:rsidRPr="00D90835" w14:paraId="523630AF" w14:textId="77777777" w:rsidTr="19E35B1A">
        <w:trPr>
          <w:trHeight w:val="309"/>
          <w:jc w:val="right"/>
        </w:trPr>
        <w:tc>
          <w:tcPr>
            <w:tcW w:w="369" w:type="pct"/>
            <w:shd w:val="clear" w:color="auto" w:fill="C6EFCE"/>
            <w:noWrap/>
            <w:vAlign w:val="center"/>
          </w:tcPr>
          <w:p w14:paraId="7FE24E4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M3C1-13</w:t>
            </w:r>
          </w:p>
        </w:tc>
        <w:tc>
          <w:tcPr>
            <w:tcW w:w="511" w:type="pct"/>
            <w:shd w:val="clear" w:color="auto" w:fill="C6EFCE"/>
            <w:noWrap/>
            <w:vAlign w:val="center"/>
          </w:tcPr>
          <w:p w14:paraId="27E24E1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1.4. Euroopa raudteetranspordi juhtimissüsteemi (ERTMS) kasutuselevõtmine</w:t>
            </w:r>
          </w:p>
        </w:tc>
        <w:tc>
          <w:tcPr>
            <w:tcW w:w="417" w:type="pct"/>
            <w:shd w:val="clear" w:color="auto" w:fill="C6EFCE"/>
            <w:noWrap/>
            <w:vAlign w:val="center"/>
          </w:tcPr>
          <w:p w14:paraId="2FD9AC4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464" w:type="pct"/>
            <w:shd w:val="clear" w:color="auto" w:fill="C6EFCE"/>
            <w:noWrap/>
            <w:vAlign w:val="center"/>
          </w:tcPr>
          <w:p w14:paraId="4CB3124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1 400 km Euroopa raudteetranspordi juhtimissüsteemiga varustatud raudteeliine</w:t>
            </w:r>
          </w:p>
        </w:tc>
        <w:tc>
          <w:tcPr>
            <w:tcW w:w="509" w:type="pct"/>
            <w:shd w:val="clear" w:color="auto" w:fill="C6EFCE"/>
            <w:noWrap/>
            <w:vAlign w:val="center"/>
          </w:tcPr>
          <w:p w14:paraId="0CD142F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25" w:type="pct"/>
            <w:shd w:val="clear" w:color="auto" w:fill="C6EFCE"/>
            <w:noWrap/>
            <w:vAlign w:val="center"/>
          </w:tcPr>
          <w:p w14:paraId="53033D1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71" w:type="pct"/>
            <w:shd w:val="clear" w:color="auto" w:fill="C6EFCE"/>
            <w:noWrap/>
            <w:vAlign w:val="center"/>
          </w:tcPr>
          <w:p w14:paraId="3E4BBE7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279" w:type="pct"/>
            <w:shd w:val="clear" w:color="auto" w:fill="C6EFCE"/>
            <w:noWrap/>
            <w:vAlign w:val="center"/>
          </w:tcPr>
          <w:p w14:paraId="7AD7125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1 400</w:t>
            </w:r>
          </w:p>
        </w:tc>
        <w:tc>
          <w:tcPr>
            <w:tcW w:w="278" w:type="pct"/>
            <w:shd w:val="clear" w:color="auto" w:fill="C6EFCE"/>
            <w:noWrap/>
            <w:vAlign w:val="center"/>
          </w:tcPr>
          <w:p w14:paraId="27E8043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278" w:type="pct"/>
            <w:shd w:val="clear" w:color="auto" w:fill="C6EFCE"/>
            <w:noWrap/>
            <w:vAlign w:val="center"/>
          </w:tcPr>
          <w:p w14:paraId="0AF5FBF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2025</w:t>
            </w:r>
          </w:p>
        </w:tc>
        <w:tc>
          <w:tcPr>
            <w:tcW w:w="1198" w:type="pct"/>
            <w:shd w:val="clear" w:color="auto" w:fill="C6EFCE"/>
            <w:noWrap/>
            <w:vAlign w:val="center"/>
          </w:tcPr>
          <w:p w14:paraId="19CFC145" w14:textId="2150E9DE" w:rsidR="0084326C" w:rsidRPr="005D68A0" w:rsidRDefault="0084326C">
            <w:pPr>
              <w:rPr>
                <w:rFonts w:ascii="Arial Narrow" w:hAnsi="Arial Narrow"/>
                <w:noProof/>
                <w:sz w:val="20"/>
                <w:szCs w:val="20"/>
              </w:rPr>
            </w:pPr>
            <w:r>
              <w:rPr>
                <w:rFonts w:ascii="Arial Narrow" w:hAnsi="Arial Narrow"/>
                <w:noProof/>
                <w:color w:val="006100"/>
                <w:sz w:val="20"/>
              </w:rPr>
              <w:t>1 400 km raudteed, mis on varustatud Euroopa raudteetranspordi juhtimissüsteemiga kooskõlas Euroopa arenduskavaga ning mis on valmis loa andmiseks ja ekspluatatsioonietapiks.</w:t>
            </w:r>
          </w:p>
        </w:tc>
      </w:tr>
      <w:tr w:rsidR="0084326C" w:rsidRPr="00D90835" w14:paraId="68ACFCF6" w14:textId="77777777" w:rsidTr="19E35B1A">
        <w:trPr>
          <w:trHeight w:val="309"/>
          <w:jc w:val="right"/>
        </w:trPr>
        <w:tc>
          <w:tcPr>
            <w:tcW w:w="369" w:type="pct"/>
            <w:shd w:val="clear" w:color="auto" w:fill="C6EFCE"/>
            <w:noWrap/>
            <w:vAlign w:val="center"/>
          </w:tcPr>
          <w:p w14:paraId="03F6816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M3C1-14</w:t>
            </w:r>
          </w:p>
        </w:tc>
        <w:tc>
          <w:tcPr>
            <w:tcW w:w="511" w:type="pct"/>
            <w:shd w:val="clear" w:color="auto" w:fill="C6EFCE"/>
            <w:noWrap/>
            <w:vAlign w:val="center"/>
          </w:tcPr>
          <w:p w14:paraId="22CEAEA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1.4. Euroopa raudteetranspordi juhtimissüsteemi (ERTMS) kasutuselevõtmine</w:t>
            </w:r>
          </w:p>
        </w:tc>
        <w:tc>
          <w:tcPr>
            <w:tcW w:w="417" w:type="pct"/>
            <w:shd w:val="clear" w:color="auto" w:fill="C6EFCE"/>
            <w:noWrap/>
            <w:vAlign w:val="center"/>
          </w:tcPr>
          <w:p w14:paraId="6E0FD20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464" w:type="pct"/>
            <w:shd w:val="clear" w:color="auto" w:fill="C6EFCE"/>
            <w:noWrap/>
            <w:vAlign w:val="center"/>
          </w:tcPr>
          <w:p w14:paraId="6FFA273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 2 785 km Euroopa raudteetranspordi juhtimissüsteemiga varustatud raudteeliine</w:t>
            </w:r>
          </w:p>
        </w:tc>
        <w:tc>
          <w:tcPr>
            <w:tcW w:w="509" w:type="pct"/>
            <w:shd w:val="clear" w:color="auto" w:fill="C6EFCE"/>
            <w:noWrap/>
            <w:vAlign w:val="center"/>
          </w:tcPr>
          <w:p w14:paraId="6ABE875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25" w:type="pct"/>
            <w:shd w:val="clear" w:color="auto" w:fill="C6EFCE"/>
            <w:noWrap/>
            <w:vAlign w:val="center"/>
          </w:tcPr>
          <w:p w14:paraId="2A5B479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71" w:type="pct"/>
            <w:shd w:val="clear" w:color="auto" w:fill="C6EFCE"/>
            <w:noWrap/>
            <w:vAlign w:val="center"/>
          </w:tcPr>
          <w:p w14:paraId="0AD7033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1 400</w:t>
            </w:r>
          </w:p>
        </w:tc>
        <w:tc>
          <w:tcPr>
            <w:tcW w:w="279" w:type="pct"/>
            <w:shd w:val="clear" w:color="auto" w:fill="C6EFCE"/>
            <w:noWrap/>
            <w:vAlign w:val="center"/>
          </w:tcPr>
          <w:p w14:paraId="75A2284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2 785</w:t>
            </w:r>
          </w:p>
        </w:tc>
        <w:tc>
          <w:tcPr>
            <w:tcW w:w="278" w:type="pct"/>
            <w:shd w:val="clear" w:color="auto" w:fill="C6EFCE"/>
            <w:noWrap/>
            <w:vAlign w:val="center"/>
          </w:tcPr>
          <w:p w14:paraId="68EFC51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278" w:type="pct"/>
            <w:shd w:val="clear" w:color="auto" w:fill="C6EFCE"/>
            <w:noWrap/>
            <w:vAlign w:val="center"/>
          </w:tcPr>
          <w:p w14:paraId="5169F90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1198" w:type="pct"/>
            <w:shd w:val="clear" w:color="auto" w:fill="C6EFCE"/>
            <w:noWrap/>
            <w:vAlign w:val="center"/>
          </w:tcPr>
          <w:p w14:paraId="69832EF3" w14:textId="0B820AE2" w:rsidR="0084326C" w:rsidRPr="005D68A0" w:rsidRDefault="0084326C">
            <w:pPr>
              <w:spacing w:before="120" w:after="120"/>
              <w:rPr>
                <w:rFonts w:ascii="Arial Narrow" w:hAnsi="Arial Narrow"/>
                <w:noProof/>
                <w:sz w:val="20"/>
                <w:szCs w:val="20"/>
              </w:rPr>
            </w:pPr>
            <w:r>
              <w:rPr>
                <w:rFonts w:ascii="Arial Narrow" w:hAnsi="Arial Narrow"/>
                <w:noProof/>
                <w:color w:val="006100"/>
                <w:sz w:val="20"/>
              </w:rPr>
              <w:t>2 785 km raudteed, mis on varustatud Euroopa raudteetranspordi juhtimissüsteemiga kooskõlas Euroopa arenduskavaga ning mis on valmis loa andmiseks ja ekspluatatsioonietapiks.</w:t>
            </w:r>
          </w:p>
        </w:tc>
      </w:tr>
      <w:tr w:rsidR="0084326C" w:rsidRPr="00D90835" w14:paraId="3D753C5A" w14:textId="77777777" w:rsidTr="19E35B1A">
        <w:trPr>
          <w:trHeight w:val="309"/>
          <w:jc w:val="right"/>
        </w:trPr>
        <w:tc>
          <w:tcPr>
            <w:tcW w:w="369" w:type="pct"/>
            <w:shd w:val="clear" w:color="auto" w:fill="C6EFCE"/>
            <w:noWrap/>
            <w:vAlign w:val="center"/>
          </w:tcPr>
          <w:p w14:paraId="4F715DA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M3C1-15</w:t>
            </w:r>
          </w:p>
        </w:tc>
        <w:tc>
          <w:tcPr>
            <w:tcW w:w="511" w:type="pct"/>
            <w:shd w:val="clear" w:color="auto" w:fill="C6EFCE"/>
            <w:noWrap/>
            <w:vAlign w:val="center"/>
          </w:tcPr>
          <w:p w14:paraId="4B22CC4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1.5. Suurlinnasõlmede tugevdamine ja peamised riiklikud sidemed</w:t>
            </w:r>
          </w:p>
        </w:tc>
        <w:tc>
          <w:tcPr>
            <w:tcW w:w="417" w:type="pct"/>
            <w:shd w:val="clear" w:color="auto" w:fill="C6EFCE"/>
            <w:noWrap/>
            <w:vAlign w:val="center"/>
          </w:tcPr>
          <w:p w14:paraId="110375E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464" w:type="pct"/>
            <w:shd w:val="clear" w:color="auto" w:fill="C6EFCE"/>
            <w:noWrap/>
            <w:vAlign w:val="center"/>
          </w:tcPr>
          <w:p w14:paraId="4CCE8B3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700 km kõrgendatud liinilõike, mis on ehitatud suurlinnatranspordisõlmedele ja peamistele riiklikele ühendusteele</w:t>
            </w:r>
          </w:p>
        </w:tc>
        <w:tc>
          <w:tcPr>
            <w:tcW w:w="509" w:type="pct"/>
            <w:shd w:val="clear" w:color="auto" w:fill="C6EFCE"/>
            <w:noWrap/>
            <w:vAlign w:val="center"/>
          </w:tcPr>
          <w:p w14:paraId="2ABF793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25" w:type="pct"/>
            <w:shd w:val="clear" w:color="auto" w:fill="C6EFCE"/>
            <w:noWrap/>
            <w:vAlign w:val="center"/>
          </w:tcPr>
          <w:p w14:paraId="0E9A5B0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71" w:type="pct"/>
            <w:shd w:val="clear" w:color="auto" w:fill="C6EFCE"/>
            <w:noWrap/>
            <w:vAlign w:val="center"/>
          </w:tcPr>
          <w:p w14:paraId="52A39EF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279" w:type="pct"/>
            <w:shd w:val="clear" w:color="auto" w:fill="C6EFCE"/>
            <w:noWrap/>
            <w:vAlign w:val="center"/>
          </w:tcPr>
          <w:p w14:paraId="6A157D9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700</w:t>
            </w:r>
          </w:p>
        </w:tc>
        <w:tc>
          <w:tcPr>
            <w:tcW w:w="278" w:type="pct"/>
            <w:shd w:val="clear" w:color="auto" w:fill="C6EFCE"/>
            <w:noWrap/>
            <w:vAlign w:val="center"/>
          </w:tcPr>
          <w:p w14:paraId="55809F6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78" w:type="pct"/>
            <w:shd w:val="clear" w:color="auto" w:fill="C6EFCE"/>
            <w:noWrap/>
            <w:vAlign w:val="center"/>
          </w:tcPr>
          <w:p w14:paraId="426F916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2024</w:t>
            </w:r>
          </w:p>
        </w:tc>
        <w:tc>
          <w:tcPr>
            <w:tcW w:w="1198" w:type="pct"/>
            <w:shd w:val="clear" w:color="auto" w:fill="C6EFCE"/>
            <w:noWrap/>
            <w:vAlign w:val="center"/>
          </w:tcPr>
          <w:p w14:paraId="4D28E5BE" w14:textId="77777777" w:rsidR="0084326C" w:rsidRPr="005D68A0" w:rsidRDefault="0084326C">
            <w:pPr>
              <w:rPr>
                <w:rFonts w:ascii="Arial Narrow" w:hAnsi="Arial Narrow"/>
                <w:noProof/>
                <w:sz w:val="20"/>
                <w:szCs w:val="20"/>
              </w:rPr>
            </w:pPr>
            <w:r>
              <w:rPr>
                <w:rFonts w:ascii="Arial Narrow" w:hAnsi="Arial Narrow"/>
                <w:noProof/>
                <w:color w:val="006100"/>
                <w:sz w:val="20"/>
              </w:rPr>
              <w:t>Vähemalt 700 km uuendatud liinilõikudest, mis on ehitatud suurlinnatranspordisõlmedele ja peamistele riiklikele ühendustele, mis on valmis loa andmiseks ja käitamiseks.</w:t>
            </w:r>
          </w:p>
          <w:p w14:paraId="35028A02" w14:textId="77777777" w:rsidR="0084326C" w:rsidRPr="00F33804" w:rsidRDefault="0084326C">
            <w:pPr>
              <w:rPr>
                <w:rFonts w:ascii="Arial Narrow" w:hAnsi="Arial Narrow"/>
                <w:noProof/>
                <w:color w:val="006100"/>
                <w:sz w:val="20"/>
                <w:szCs w:val="20"/>
              </w:rPr>
            </w:pPr>
          </w:p>
        </w:tc>
      </w:tr>
      <w:tr w:rsidR="0084326C" w:rsidRPr="00D90835" w14:paraId="03A9CE0C" w14:textId="77777777" w:rsidTr="19E35B1A">
        <w:trPr>
          <w:trHeight w:val="309"/>
          <w:jc w:val="right"/>
        </w:trPr>
        <w:tc>
          <w:tcPr>
            <w:tcW w:w="369" w:type="pct"/>
            <w:shd w:val="clear" w:color="auto" w:fill="C6EFCE"/>
            <w:noWrap/>
            <w:vAlign w:val="center"/>
          </w:tcPr>
          <w:p w14:paraId="5599296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M3C1-16</w:t>
            </w:r>
          </w:p>
        </w:tc>
        <w:tc>
          <w:tcPr>
            <w:tcW w:w="511" w:type="pct"/>
            <w:shd w:val="clear" w:color="auto" w:fill="C6EFCE"/>
            <w:noWrap/>
            <w:vAlign w:val="center"/>
          </w:tcPr>
          <w:p w14:paraId="6FD7278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1.5. Suurlinnasõlmede tugevdamine ja peamised riiklikud sidemed</w:t>
            </w:r>
          </w:p>
        </w:tc>
        <w:tc>
          <w:tcPr>
            <w:tcW w:w="417" w:type="pct"/>
            <w:shd w:val="clear" w:color="auto" w:fill="C6EFCE"/>
            <w:noWrap/>
            <w:vAlign w:val="center"/>
          </w:tcPr>
          <w:p w14:paraId="2C14DD6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464" w:type="pct"/>
            <w:shd w:val="clear" w:color="auto" w:fill="C6EFCE"/>
            <w:noWrap/>
            <w:vAlign w:val="center"/>
          </w:tcPr>
          <w:p w14:paraId="377DC30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1 280 km kõrgendatud liinilõike, mis on ehitatud suurlinnasõlmedele ja peamistele riiklikele ühendusteele</w:t>
            </w:r>
          </w:p>
        </w:tc>
        <w:tc>
          <w:tcPr>
            <w:tcW w:w="509" w:type="pct"/>
            <w:shd w:val="clear" w:color="auto" w:fill="C6EFCE"/>
            <w:noWrap/>
            <w:vAlign w:val="center"/>
          </w:tcPr>
          <w:p w14:paraId="6EAEE55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25" w:type="pct"/>
            <w:shd w:val="clear" w:color="auto" w:fill="C6EFCE"/>
            <w:noWrap/>
            <w:vAlign w:val="center"/>
          </w:tcPr>
          <w:p w14:paraId="46A1FF1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71" w:type="pct"/>
            <w:shd w:val="clear" w:color="auto" w:fill="C6EFCE"/>
            <w:noWrap/>
            <w:vAlign w:val="center"/>
          </w:tcPr>
          <w:p w14:paraId="4FC5161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700</w:t>
            </w:r>
          </w:p>
        </w:tc>
        <w:tc>
          <w:tcPr>
            <w:tcW w:w="279" w:type="pct"/>
            <w:shd w:val="clear" w:color="auto" w:fill="C6EFCE"/>
            <w:noWrap/>
            <w:vAlign w:val="center"/>
          </w:tcPr>
          <w:p w14:paraId="56EE25C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1 280</w:t>
            </w:r>
          </w:p>
        </w:tc>
        <w:tc>
          <w:tcPr>
            <w:tcW w:w="278" w:type="pct"/>
            <w:shd w:val="clear" w:color="auto" w:fill="C6EFCE"/>
            <w:noWrap/>
            <w:vAlign w:val="center"/>
          </w:tcPr>
          <w:p w14:paraId="092D56C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278" w:type="pct"/>
            <w:shd w:val="clear" w:color="auto" w:fill="C6EFCE"/>
            <w:noWrap/>
            <w:vAlign w:val="center"/>
          </w:tcPr>
          <w:p w14:paraId="2B6715A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1198" w:type="pct"/>
            <w:shd w:val="clear" w:color="auto" w:fill="C6EFCE"/>
            <w:noWrap/>
            <w:vAlign w:val="center"/>
          </w:tcPr>
          <w:p w14:paraId="2CB700E3" w14:textId="664BB836" w:rsidR="0084326C" w:rsidRPr="005D68A0" w:rsidRDefault="0084326C">
            <w:pPr>
              <w:rPr>
                <w:rFonts w:ascii="Arial Narrow" w:hAnsi="Arial Narrow"/>
                <w:noProof/>
                <w:sz w:val="20"/>
                <w:szCs w:val="20"/>
              </w:rPr>
            </w:pPr>
            <w:r>
              <w:rPr>
                <w:rFonts w:ascii="Arial Narrow" w:hAnsi="Arial Narrow"/>
                <w:noProof/>
                <w:color w:val="006100"/>
                <w:sz w:val="20"/>
              </w:rPr>
              <w:t>Vähemalt 1 280 km täiustatud/uuendatud liinilõikudest, mis on ehitatud suurlinnatranspordisõlmedele ja peamistele riiklikele ühendustele ning on valmis loa andmiseks ja käitamiseks</w:t>
            </w:r>
          </w:p>
        </w:tc>
      </w:tr>
      <w:tr w:rsidR="0084326C" w:rsidRPr="00D90835" w14:paraId="0BDC8030" w14:textId="77777777" w:rsidTr="19E35B1A">
        <w:trPr>
          <w:trHeight w:val="309"/>
          <w:jc w:val="right"/>
        </w:trPr>
        <w:tc>
          <w:tcPr>
            <w:tcW w:w="369" w:type="pct"/>
            <w:shd w:val="clear" w:color="auto" w:fill="C6EFCE"/>
            <w:noWrap/>
            <w:vAlign w:val="center"/>
          </w:tcPr>
          <w:p w14:paraId="2452641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M3C1-17</w:t>
            </w:r>
          </w:p>
        </w:tc>
        <w:tc>
          <w:tcPr>
            <w:tcW w:w="511" w:type="pct"/>
            <w:shd w:val="clear" w:color="auto" w:fill="C6EFCE"/>
            <w:noWrap/>
            <w:vAlign w:val="center"/>
          </w:tcPr>
          <w:p w14:paraId="07D5EBD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1.7. Lõuna-Euroopa raudteede ajakohastamine, elektrifitseerimine ja vastupidavus</w:t>
            </w:r>
          </w:p>
        </w:tc>
        <w:tc>
          <w:tcPr>
            <w:tcW w:w="417" w:type="pct"/>
            <w:shd w:val="clear" w:color="auto" w:fill="C6EFCE"/>
            <w:noWrap/>
            <w:vAlign w:val="center"/>
          </w:tcPr>
          <w:p w14:paraId="34C58720" w14:textId="77777777" w:rsidR="0084326C" w:rsidRPr="005D68A0" w:rsidRDefault="0084326C">
            <w:pPr>
              <w:jc w:val="center"/>
              <w:rPr>
                <w:rFonts w:ascii="Arial Narrow" w:hAnsi="Arial Narrow"/>
                <w:noProof/>
                <w:color w:val="006100"/>
                <w:sz w:val="20"/>
                <w:szCs w:val="20"/>
                <w:lang w:val="en-GB"/>
              </w:rPr>
            </w:pPr>
          </w:p>
          <w:p w14:paraId="18DD9F4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Siht </w:t>
            </w:r>
          </w:p>
        </w:tc>
        <w:tc>
          <w:tcPr>
            <w:tcW w:w="464" w:type="pct"/>
            <w:shd w:val="clear" w:color="auto" w:fill="C6EFCE"/>
            <w:noWrap/>
            <w:vAlign w:val="center"/>
          </w:tcPr>
          <w:p w14:paraId="09355486" w14:textId="1742D8E9"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Lõpule on viidud 172 km lõunapoolsete raudteede vastupidavusega seotud tööd, mis on valmis loa andmise ja käitamise etapiks.</w:t>
            </w:r>
          </w:p>
        </w:tc>
        <w:tc>
          <w:tcPr>
            <w:tcW w:w="509" w:type="pct"/>
            <w:shd w:val="clear" w:color="auto" w:fill="C6EFCE"/>
            <w:noWrap/>
            <w:vAlign w:val="center"/>
          </w:tcPr>
          <w:p w14:paraId="5DF83C5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25" w:type="pct"/>
            <w:shd w:val="clear" w:color="auto" w:fill="C6EFCE"/>
            <w:noWrap/>
            <w:vAlign w:val="center"/>
          </w:tcPr>
          <w:p w14:paraId="172FE77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71" w:type="pct"/>
            <w:shd w:val="clear" w:color="auto" w:fill="C6EFCE"/>
            <w:noWrap/>
            <w:vAlign w:val="center"/>
          </w:tcPr>
          <w:p w14:paraId="23D0995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279" w:type="pct"/>
            <w:shd w:val="clear" w:color="auto" w:fill="C6EFCE"/>
            <w:noWrap/>
            <w:vAlign w:val="center"/>
          </w:tcPr>
          <w:p w14:paraId="1497DD9A" w14:textId="7A881ECF"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172</w:t>
            </w:r>
          </w:p>
        </w:tc>
        <w:tc>
          <w:tcPr>
            <w:tcW w:w="278" w:type="pct"/>
            <w:shd w:val="clear" w:color="auto" w:fill="C6EFCE"/>
            <w:noWrap/>
            <w:vAlign w:val="center"/>
          </w:tcPr>
          <w:p w14:paraId="211D108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78" w:type="pct"/>
            <w:shd w:val="clear" w:color="auto" w:fill="C6EFCE"/>
            <w:noWrap/>
            <w:vAlign w:val="center"/>
          </w:tcPr>
          <w:p w14:paraId="730EB0C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2023</w:t>
            </w:r>
          </w:p>
        </w:tc>
        <w:tc>
          <w:tcPr>
            <w:tcW w:w="1198" w:type="pct"/>
            <w:shd w:val="clear" w:color="auto" w:fill="C6EFCE"/>
            <w:noWrap/>
            <w:vAlign w:val="center"/>
          </w:tcPr>
          <w:p w14:paraId="15A09790" w14:textId="3A44F978"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 xml:space="preserve">Vähemalt 172 km pikkuste tööde lõpuleviimine, mis on seotud lõunapoolsete raudteede vastupidavusega ning mis on valmis loa andmise ja ekspluatatsioonietapiks. </w:t>
            </w:r>
          </w:p>
          <w:p w14:paraId="4CE33E10" w14:textId="03234198" w:rsidR="0084326C" w:rsidRPr="005D68A0" w:rsidRDefault="0084326C">
            <w:pPr>
              <w:spacing w:before="120" w:after="120"/>
              <w:rPr>
                <w:rFonts w:ascii="Arial Narrow" w:hAnsi="Arial Narrow"/>
                <w:noProof/>
                <w:color w:val="006100"/>
                <w:sz w:val="20"/>
              </w:rPr>
            </w:pPr>
            <w:r>
              <w:rPr>
                <w:rFonts w:ascii="Arial Narrow" w:hAnsi="Arial Narrow"/>
                <w:noProof/>
                <w:color w:val="006100"/>
                <w:sz w:val="20"/>
              </w:rPr>
              <w:t>172 km tähistab järgmisi liine:</w:t>
            </w:r>
          </w:p>
          <w:p w14:paraId="44D0C1FB" w14:textId="5E9475D9" w:rsidR="0084326C" w:rsidRPr="00994F5E" w:rsidRDefault="0084326C">
            <w:pPr>
              <w:spacing w:before="120" w:after="120"/>
              <w:rPr>
                <w:rFonts w:ascii="Arial Narrow" w:hAnsi="Arial Narrow"/>
                <w:noProof/>
                <w:color w:val="006100"/>
                <w:sz w:val="20"/>
                <w:szCs w:val="20"/>
              </w:rPr>
            </w:pPr>
            <w:r>
              <w:rPr>
                <w:rFonts w:ascii="Arial Narrow" w:hAnsi="Arial Narrow"/>
                <w:noProof/>
                <w:color w:val="006100"/>
                <w:sz w:val="20"/>
              </w:rPr>
              <w:t>• Paola</w:t>
            </w:r>
            <w:r w:rsidR="00D76443">
              <w:rPr>
                <w:rFonts w:ascii="Arial Narrow" w:hAnsi="Arial Narrow"/>
                <w:noProof/>
                <w:color w:val="006100"/>
                <w:sz w:val="20"/>
              </w:rPr>
              <w:t xml:space="preserve"> – </w:t>
            </w:r>
            <w:r>
              <w:rPr>
                <w:rFonts w:ascii="Arial Narrow" w:hAnsi="Arial Narrow"/>
                <w:noProof/>
                <w:color w:val="006100"/>
                <w:sz w:val="20"/>
              </w:rPr>
              <w:t>Regio Calabria;</w:t>
            </w:r>
          </w:p>
          <w:p w14:paraId="17AE8FAE" w14:textId="53F7A8C0" w:rsidR="0084326C" w:rsidRPr="00994F5E" w:rsidRDefault="0084326C">
            <w:pPr>
              <w:spacing w:before="120" w:after="120"/>
              <w:rPr>
                <w:rFonts w:ascii="Arial Narrow" w:hAnsi="Arial Narrow"/>
                <w:noProof/>
                <w:color w:val="006100"/>
                <w:sz w:val="20"/>
                <w:szCs w:val="20"/>
              </w:rPr>
            </w:pPr>
            <w:r>
              <w:rPr>
                <w:rFonts w:ascii="Arial Narrow" w:hAnsi="Arial Narrow"/>
                <w:noProof/>
                <w:color w:val="006100"/>
                <w:sz w:val="20"/>
              </w:rPr>
              <w:t>• Lentini Diramazione</w:t>
            </w:r>
            <w:r w:rsidR="00D76443">
              <w:rPr>
                <w:rFonts w:ascii="Arial Narrow" w:hAnsi="Arial Narrow"/>
                <w:noProof/>
                <w:color w:val="006100"/>
                <w:sz w:val="20"/>
              </w:rPr>
              <w:t xml:space="preserve"> – </w:t>
            </w:r>
            <w:r>
              <w:rPr>
                <w:rFonts w:ascii="Arial Narrow" w:hAnsi="Arial Narrow"/>
                <w:noProof/>
                <w:color w:val="006100"/>
                <w:sz w:val="20"/>
              </w:rPr>
              <w:t>Gela;</w:t>
            </w:r>
          </w:p>
          <w:p w14:paraId="1ECAC35B" w14:textId="60145E85" w:rsidR="0084326C" w:rsidRPr="00994F5E" w:rsidRDefault="0084326C">
            <w:pPr>
              <w:spacing w:before="120" w:after="120"/>
              <w:rPr>
                <w:rFonts w:ascii="Arial Narrow" w:hAnsi="Arial Narrow"/>
                <w:noProof/>
                <w:color w:val="006100"/>
                <w:sz w:val="20"/>
                <w:szCs w:val="20"/>
              </w:rPr>
            </w:pPr>
            <w:r>
              <w:rPr>
                <w:rFonts w:ascii="Arial Narrow" w:hAnsi="Arial Narrow"/>
                <w:noProof/>
                <w:color w:val="006100"/>
                <w:sz w:val="20"/>
              </w:rPr>
              <w:t>• Messina – Catania – Siracusa;</w:t>
            </w:r>
          </w:p>
          <w:p w14:paraId="63B535ED" w14:textId="71CF8684" w:rsidR="0084326C" w:rsidRPr="00994F5E" w:rsidRDefault="0084326C">
            <w:pPr>
              <w:spacing w:before="120" w:after="120"/>
              <w:rPr>
                <w:rFonts w:ascii="Arial Narrow" w:hAnsi="Arial Narrow"/>
                <w:noProof/>
                <w:color w:val="006100"/>
                <w:sz w:val="20"/>
                <w:szCs w:val="20"/>
              </w:rPr>
            </w:pPr>
            <w:r>
              <w:rPr>
                <w:rFonts w:ascii="Arial Narrow" w:hAnsi="Arial Narrow"/>
                <w:noProof/>
                <w:color w:val="006100"/>
                <w:sz w:val="20"/>
              </w:rPr>
              <w:t>• Caserta – Battipaglia;</w:t>
            </w:r>
          </w:p>
          <w:p w14:paraId="39E2A3F5" w14:textId="5DA3E435" w:rsidR="0084326C" w:rsidRPr="00994F5E" w:rsidRDefault="0084326C">
            <w:pPr>
              <w:spacing w:before="120" w:after="120"/>
              <w:rPr>
                <w:rFonts w:ascii="Arial Narrow" w:hAnsi="Arial Narrow"/>
                <w:noProof/>
                <w:color w:val="006100"/>
                <w:sz w:val="20"/>
                <w:szCs w:val="20"/>
              </w:rPr>
            </w:pPr>
            <w:r>
              <w:rPr>
                <w:rFonts w:ascii="Arial Narrow" w:hAnsi="Arial Narrow"/>
                <w:noProof/>
                <w:color w:val="006100"/>
                <w:sz w:val="20"/>
              </w:rPr>
              <w:t>• Rooma – Napoli; ning</w:t>
            </w:r>
          </w:p>
          <w:p w14:paraId="46B8C632" w14:textId="5EB7DA91" w:rsidR="0084326C" w:rsidRPr="00994F5E" w:rsidRDefault="00D76443">
            <w:pPr>
              <w:spacing w:before="120" w:after="120"/>
              <w:rPr>
                <w:rFonts w:ascii="Arial Narrow" w:hAnsi="Arial Narrow"/>
                <w:noProof/>
                <w:color w:val="006100"/>
                <w:sz w:val="20"/>
                <w:szCs w:val="20"/>
              </w:rPr>
            </w:pPr>
            <w:r>
              <w:rPr>
                <w:rFonts w:ascii="Arial Narrow" w:hAnsi="Arial Narrow"/>
                <w:noProof/>
                <w:color w:val="006100"/>
                <w:sz w:val="20"/>
              </w:rPr>
              <w:t xml:space="preserve">• </w:t>
            </w:r>
            <w:r w:rsidR="0084326C">
              <w:rPr>
                <w:rFonts w:ascii="Arial Narrow" w:hAnsi="Arial Narrow"/>
                <w:noProof/>
                <w:color w:val="006100"/>
                <w:sz w:val="20"/>
              </w:rPr>
              <w:t>Bari – Brindisi.</w:t>
            </w:r>
          </w:p>
          <w:p w14:paraId="1367B020" w14:textId="5BC9B496" w:rsidR="0084326C" w:rsidRPr="00D90835" w:rsidRDefault="0084326C" w:rsidP="00D90835">
            <w:pPr>
              <w:spacing w:before="120" w:after="120"/>
              <w:rPr>
                <w:rFonts w:ascii="Arial Narrow" w:hAnsi="Arial Narrow"/>
                <w:noProof/>
                <w:color w:val="006100"/>
                <w:sz w:val="20"/>
                <w:szCs w:val="20"/>
              </w:rPr>
            </w:pPr>
            <w:r>
              <w:rPr>
                <w:rFonts w:ascii="Arial Narrow" w:hAnsi="Arial Narrow"/>
                <w:noProof/>
                <w:color w:val="006100"/>
                <w:sz w:val="20"/>
              </w:rPr>
              <w:t>Eesmärk saavutatakse CLP-programmide (st „Codice Locale Progetto“) kaudu, mida ei toetata muudest ELi fondidest kui taaste- ja vastupidavusrahastu.</w:t>
            </w:r>
          </w:p>
        </w:tc>
      </w:tr>
      <w:tr w:rsidR="0084326C" w:rsidRPr="00D90835" w14:paraId="2FAFC21B" w14:textId="77777777" w:rsidTr="19E35B1A">
        <w:trPr>
          <w:trHeight w:val="309"/>
          <w:jc w:val="right"/>
        </w:trPr>
        <w:tc>
          <w:tcPr>
            <w:tcW w:w="369" w:type="pct"/>
            <w:shd w:val="clear" w:color="auto" w:fill="C6EFCE"/>
            <w:noWrap/>
            <w:vAlign w:val="center"/>
          </w:tcPr>
          <w:p w14:paraId="252E6CA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M3C1–17bis</w:t>
            </w:r>
          </w:p>
        </w:tc>
        <w:tc>
          <w:tcPr>
            <w:tcW w:w="511" w:type="pct"/>
            <w:shd w:val="clear" w:color="auto" w:fill="C6EFCE"/>
            <w:noWrap/>
            <w:vAlign w:val="center"/>
          </w:tcPr>
          <w:p w14:paraId="010A495D" w14:textId="77777777" w:rsidR="0084326C" w:rsidRPr="005D68A0" w:rsidRDefault="0084326C">
            <w:pPr>
              <w:jc w:val="center"/>
              <w:rPr>
                <w:rFonts w:ascii="Arial Narrow" w:hAnsi="Arial Narrow"/>
                <w:noProof/>
                <w:color w:val="006100"/>
                <w:sz w:val="20"/>
                <w:szCs w:val="20"/>
              </w:rPr>
            </w:pPr>
            <w:bookmarkStart w:id="11" w:name="_Hlk160473215"/>
            <w:r>
              <w:rPr>
                <w:rFonts w:ascii="Arial Narrow" w:hAnsi="Arial Narrow"/>
                <w:noProof/>
                <w:color w:val="006100"/>
                <w:sz w:val="20"/>
              </w:rPr>
              <w:t>Investeering 1.7. Lõuna-Euroopa raudteede ajakohastamine, elektrifitseerimine ja vastupidavus</w:t>
            </w:r>
            <w:bookmarkEnd w:id="11"/>
          </w:p>
        </w:tc>
        <w:tc>
          <w:tcPr>
            <w:tcW w:w="417" w:type="pct"/>
            <w:shd w:val="clear" w:color="auto" w:fill="C6EFCE"/>
            <w:noWrap/>
            <w:vAlign w:val="center"/>
          </w:tcPr>
          <w:p w14:paraId="02AD255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464" w:type="pct"/>
            <w:shd w:val="clear" w:color="auto" w:fill="C6EFCE"/>
            <w:noWrap/>
            <w:vAlign w:val="center"/>
          </w:tcPr>
          <w:p w14:paraId="477E490E" w14:textId="6421B6C1"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Lõpule on viidud 1 162 km lõunapoolsete raudteede ajakohastamise, elektrifitseerimise ja vastupidavusega seotud töid, mis on valmis loa andmise ja ekspluatatsioonietapiks.</w:t>
            </w:r>
          </w:p>
        </w:tc>
        <w:tc>
          <w:tcPr>
            <w:tcW w:w="509" w:type="pct"/>
            <w:shd w:val="clear" w:color="auto" w:fill="C6EFCE"/>
            <w:noWrap/>
            <w:vAlign w:val="center"/>
          </w:tcPr>
          <w:p w14:paraId="52C58A3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25" w:type="pct"/>
            <w:shd w:val="clear" w:color="auto" w:fill="C6EFCE"/>
            <w:noWrap/>
            <w:vAlign w:val="center"/>
          </w:tcPr>
          <w:p w14:paraId="7F554A2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71" w:type="pct"/>
            <w:shd w:val="clear" w:color="auto" w:fill="C6EFCE"/>
            <w:noWrap/>
            <w:vAlign w:val="center"/>
          </w:tcPr>
          <w:p w14:paraId="060BC8DE" w14:textId="7C6D0943"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172</w:t>
            </w:r>
          </w:p>
        </w:tc>
        <w:tc>
          <w:tcPr>
            <w:tcW w:w="279" w:type="pct"/>
            <w:shd w:val="clear" w:color="auto" w:fill="C6EFCE"/>
            <w:noWrap/>
            <w:vAlign w:val="center"/>
          </w:tcPr>
          <w:p w14:paraId="0D258D65" w14:textId="7E0958E8"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1162</w:t>
            </w:r>
          </w:p>
        </w:tc>
        <w:tc>
          <w:tcPr>
            <w:tcW w:w="278" w:type="pct"/>
            <w:shd w:val="clear" w:color="auto" w:fill="C6EFCE"/>
            <w:noWrap/>
            <w:vAlign w:val="center"/>
          </w:tcPr>
          <w:p w14:paraId="74AE1DA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278" w:type="pct"/>
            <w:shd w:val="clear" w:color="auto" w:fill="C6EFCE"/>
            <w:noWrap/>
            <w:vAlign w:val="center"/>
          </w:tcPr>
          <w:p w14:paraId="56B37D5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1198" w:type="pct"/>
            <w:shd w:val="clear" w:color="auto" w:fill="C6EFCE"/>
            <w:noWrap/>
            <w:vAlign w:val="center"/>
          </w:tcPr>
          <w:p w14:paraId="3EDC099C" w14:textId="12F4546C"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 xml:space="preserve">Vähemalt 1 162 km pikkuste tööde lõpuleviimine, mis on seotud lõunapoolsete raudteede ajakohastamise, elektrifitseerimise ja vastupidavusega ning mis on valmis loa andmise ja ekspluatatsioonietapiks. </w:t>
            </w:r>
          </w:p>
          <w:p w14:paraId="1A697672" w14:textId="42576A88" w:rsidR="0084326C" w:rsidRPr="005D68A0" w:rsidRDefault="0084326C">
            <w:pPr>
              <w:spacing w:before="120" w:after="120"/>
              <w:rPr>
                <w:rFonts w:ascii="Arial Narrow" w:hAnsi="Arial Narrow"/>
                <w:noProof/>
                <w:color w:val="006100"/>
                <w:sz w:val="20"/>
              </w:rPr>
            </w:pPr>
            <w:r>
              <w:rPr>
                <w:rFonts w:ascii="Arial Narrow" w:hAnsi="Arial Narrow"/>
                <w:noProof/>
                <w:color w:val="006100"/>
                <w:sz w:val="20"/>
              </w:rPr>
              <w:t xml:space="preserve">Tööd jaotatakse järgmiselt: </w:t>
            </w:r>
          </w:p>
          <w:p w14:paraId="5AF1C5E9"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 Vähemalt 462 km ümberehitamise ja elektrifitseerimisega seotud sekkumisi peab hõlmama järgmisi liine:</w:t>
            </w:r>
          </w:p>
          <w:p w14:paraId="084254F6"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Molise maakond;</w:t>
            </w:r>
          </w:p>
          <w:p w14:paraId="73C2289F" w14:textId="2E9EBF32" w:rsidR="0084326C" w:rsidRPr="005D68A0" w:rsidRDefault="0084326C">
            <w:pPr>
              <w:pStyle w:val="ListParagraph"/>
              <w:numPr>
                <w:ilvl w:val="0"/>
                <w:numId w:val="48"/>
              </w:numPr>
              <w:ind w:left="535"/>
              <w:jc w:val="left"/>
              <w:rPr>
                <w:rFonts w:ascii="Arial Narrow" w:hAnsi="Arial Narrow"/>
                <w:noProof/>
                <w:color w:val="006100"/>
                <w:sz w:val="20"/>
                <w:szCs w:val="20"/>
              </w:rPr>
            </w:pPr>
            <w:r>
              <w:rPr>
                <w:rFonts w:ascii="Arial Narrow" w:hAnsi="Arial Narrow"/>
                <w:noProof/>
                <w:color w:val="006100"/>
                <w:sz w:val="20"/>
              </w:rPr>
              <w:t>Venafro-Campobasso-Termoli;</w:t>
            </w:r>
          </w:p>
          <w:p w14:paraId="7A9D51FF"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Puglia maakond:</w:t>
            </w:r>
          </w:p>
          <w:p w14:paraId="005F95C2" w14:textId="51C59545" w:rsidR="0084326C" w:rsidRPr="005D68A0" w:rsidRDefault="0084326C">
            <w:pPr>
              <w:pStyle w:val="ListParagraph"/>
              <w:numPr>
                <w:ilvl w:val="0"/>
                <w:numId w:val="48"/>
              </w:numPr>
              <w:ind w:left="535"/>
              <w:jc w:val="left"/>
              <w:rPr>
                <w:rFonts w:ascii="Arial Narrow" w:hAnsi="Arial Narrow"/>
                <w:noProof/>
                <w:color w:val="006100"/>
                <w:sz w:val="20"/>
                <w:szCs w:val="20"/>
              </w:rPr>
            </w:pPr>
            <w:r>
              <w:rPr>
                <w:rFonts w:ascii="Arial Narrow" w:hAnsi="Arial Narrow"/>
                <w:noProof/>
                <w:color w:val="006100"/>
                <w:sz w:val="20"/>
              </w:rPr>
              <w:t>Pescara-Foggia</w:t>
            </w:r>
          </w:p>
          <w:p w14:paraId="6E00D92A" w14:textId="77777777" w:rsidR="0084326C" w:rsidRPr="005D68A0" w:rsidRDefault="0084326C">
            <w:pPr>
              <w:pStyle w:val="ListParagraph"/>
              <w:numPr>
                <w:ilvl w:val="0"/>
                <w:numId w:val="48"/>
              </w:numPr>
              <w:ind w:left="535"/>
              <w:jc w:val="left"/>
              <w:rPr>
                <w:rFonts w:ascii="Arial Narrow" w:hAnsi="Arial Narrow"/>
                <w:noProof/>
                <w:color w:val="006100"/>
                <w:sz w:val="20"/>
                <w:szCs w:val="20"/>
              </w:rPr>
            </w:pPr>
            <w:r>
              <w:rPr>
                <w:rFonts w:ascii="Arial Narrow" w:hAnsi="Arial Narrow"/>
                <w:noProof/>
                <w:color w:val="006100"/>
                <w:sz w:val="20"/>
              </w:rPr>
              <w:t>Potenza-Foggia</w:t>
            </w:r>
          </w:p>
          <w:p w14:paraId="3198081C" w14:textId="77777777" w:rsidR="0084326C" w:rsidRPr="005D68A0" w:rsidRDefault="0084326C">
            <w:pPr>
              <w:pStyle w:val="ListParagraph"/>
              <w:numPr>
                <w:ilvl w:val="0"/>
                <w:numId w:val="48"/>
              </w:numPr>
              <w:ind w:left="535"/>
              <w:jc w:val="left"/>
              <w:rPr>
                <w:rFonts w:ascii="Arial Narrow" w:hAnsi="Arial Narrow"/>
                <w:noProof/>
                <w:color w:val="006100"/>
                <w:sz w:val="20"/>
                <w:szCs w:val="20"/>
              </w:rPr>
            </w:pPr>
            <w:r>
              <w:rPr>
                <w:rFonts w:ascii="Arial Narrow" w:hAnsi="Arial Narrow"/>
                <w:noProof/>
                <w:color w:val="006100"/>
                <w:sz w:val="20"/>
              </w:rPr>
              <w:t>Brindisi ühendused (kaasa arvatud ühendvedude keskus);</w:t>
            </w:r>
          </w:p>
          <w:p w14:paraId="307BF8F5" w14:textId="77777777" w:rsidR="0084326C" w:rsidRPr="005D68A0" w:rsidRDefault="0084326C">
            <w:pPr>
              <w:pStyle w:val="ListParagraph"/>
              <w:numPr>
                <w:ilvl w:val="0"/>
                <w:numId w:val="48"/>
              </w:numPr>
              <w:ind w:left="535"/>
              <w:jc w:val="left"/>
              <w:rPr>
                <w:rFonts w:ascii="Arial Narrow" w:hAnsi="Arial Narrow"/>
                <w:noProof/>
                <w:color w:val="006100"/>
                <w:sz w:val="20"/>
                <w:szCs w:val="20"/>
              </w:rPr>
            </w:pPr>
            <w:r>
              <w:rPr>
                <w:rFonts w:ascii="Arial Narrow" w:hAnsi="Arial Narrow"/>
                <w:noProof/>
                <w:color w:val="006100"/>
                <w:sz w:val="20"/>
              </w:rPr>
              <w:t>Taranto ühendused;</w:t>
            </w:r>
          </w:p>
          <w:p w14:paraId="1F0AA03A" w14:textId="77777777" w:rsidR="0084326C" w:rsidRPr="005D68A0" w:rsidRDefault="57538B10">
            <w:pPr>
              <w:pStyle w:val="ListParagraph"/>
              <w:numPr>
                <w:ilvl w:val="0"/>
                <w:numId w:val="48"/>
              </w:numPr>
              <w:ind w:left="535"/>
              <w:jc w:val="left"/>
              <w:rPr>
                <w:rFonts w:ascii="Arial Narrow" w:hAnsi="Arial Narrow"/>
                <w:noProof/>
                <w:color w:val="006100"/>
                <w:sz w:val="20"/>
                <w:szCs w:val="20"/>
              </w:rPr>
            </w:pPr>
            <w:r>
              <w:rPr>
                <w:rFonts w:ascii="Arial Narrow" w:hAnsi="Arial Narrow"/>
                <w:noProof/>
                <w:color w:val="006100"/>
                <w:sz w:val="20"/>
              </w:rPr>
              <w:t>Taranto-Brindisi</w:t>
            </w:r>
          </w:p>
          <w:p w14:paraId="75B1A703"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Calabria maakond;</w:t>
            </w:r>
          </w:p>
          <w:p w14:paraId="140B40A7" w14:textId="4256677F" w:rsidR="0084326C" w:rsidRPr="00994F5E" w:rsidRDefault="57538B10">
            <w:pPr>
              <w:spacing w:before="120" w:after="120"/>
              <w:rPr>
                <w:rFonts w:ascii="Arial Narrow" w:hAnsi="Arial Narrow"/>
                <w:noProof/>
                <w:color w:val="006100"/>
                <w:sz w:val="20"/>
                <w:szCs w:val="20"/>
              </w:rPr>
            </w:pPr>
            <w:r>
              <w:rPr>
                <w:rFonts w:ascii="Arial Narrow" w:hAnsi="Arial Narrow"/>
                <w:noProof/>
                <w:color w:val="006100"/>
                <w:sz w:val="20"/>
              </w:rPr>
              <w:t>Joonia liin Sibari-Melito Porto Salvo; Catanzaro Lido – Lamezia Terme ühendus Basilicata maakonnale</w:t>
            </w:r>
          </w:p>
          <w:p w14:paraId="0EBC0F5A" w14:textId="77777777" w:rsidR="0084326C" w:rsidRPr="005D68A0" w:rsidRDefault="57538B10">
            <w:pPr>
              <w:pStyle w:val="ListParagraph"/>
              <w:numPr>
                <w:ilvl w:val="0"/>
                <w:numId w:val="48"/>
              </w:numPr>
              <w:ind w:left="535"/>
              <w:jc w:val="left"/>
              <w:rPr>
                <w:rFonts w:ascii="Arial Narrow" w:hAnsi="Arial Narrow"/>
                <w:noProof/>
                <w:color w:val="006100"/>
                <w:sz w:val="20"/>
                <w:szCs w:val="20"/>
              </w:rPr>
            </w:pPr>
            <w:r>
              <w:rPr>
                <w:rFonts w:ascii="Arial Narrow" w:hAnsi="Arial Narrow"/>
                <w:noProof/>
                <w:color w:val="006100"/>
                <w:sz w:val="20"/>
              </w:rPr>
              <w:t>Ferrandina-Matera</w:t>
            </w:r>
          </w:p>
          <w:p w14:paraId="5FA5AA83"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Campania maakond;</w:t>
            </w:r>
          </w:p>
          <w:p w14:paraId="718B53FB" w14:textId="77777777" w:rsidR="0084326C" w:rsidRPr="005D68A0" w:rsidRDefault="57538B10">
            <w:pPr>
              <w:pStyle w:val="ListParagraph"/>
              <w:numPr>
                <w:ilvl w:val="0"/>
                <w:numId w:val="48"/>
              </w:numPr>
              <w:ind w:left="535"/>
              <w:jc w:val="left"/>
              <w:rPr>
                <w:rFonts w:ascii="Arial Narrow" w:hAnsi="Arial Narrow"/>
                <w:noProof/>
                <w:color w:val="006100"/>
                <w:sz w:val="20"/>
                <w:szCs w:val="20"/>
              </w:rPr>
            </w:pPr>
            <w:r>
              <w:rPr>
                <w:rFonts w:ascii="Arial Narrow" w:hAnsi="Arial Narrow"/>
                <w:noProof/>
                <w:color w:val="006100"/>
                <w:sz w:val="20"/>
              </w:rPr>
              <w:t>Salerno Arechi – Aeroporto Pontecagnano</w:t>
            </w:r>
          </w:p>
          <w:p w14:paraId="0921AFB6"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Sitsiilia maakond</w:t>
            </w:r>
          </w:p>
          <w:p w14:paraId="6C5E7F67" w14:textId="77777777" w:rsidR="0084326C" w:rsidRPr="005D68A0" w:rsidRDefault="57538B10">
            <w:pPr>
              <w:pStyle w:val="ListParagraph"/>
              <w:numPr>
                <w:ilvl w:val="0"/>
                <w:numId w:val="48"/>
              </w:numPr>
              <w:ind w:left="535"/>
              <w:jc w:val="left"/>
              <w:rPr>
                <w:rFonts w:ascii="Arial Narrow" w:hAnsi="Arial Narrow"/>
                <w:noProof/>
                <w:color w:val="006100"/>
                <w:sz w:val="20"/>
                <w:szCs w:val="20"/>
              </w:rPr>
            </w:pPr>
            <w:r>
              <w:rPr>
                <w:rFonts w:ascii="Arial Narrow" w:hAnsi="Arial Narrow"/>
                <w:noProof/>
                <w:color w:val="006100"/>
                <w:sz w:val="20"/>
              </w:rPr>
              <w:t>Agrigento – Porto Empedocle</w:t>
            </w:r>
          </w:p>
          <w:p w14:paraId="004A8BA8" w14:textId="77777777" w:rsidR="0084326C" w:rsidRPr="005D68A0" w:rsidRDefault="57538B10">
            <w:pPr>
              <w:pStyle w:val="ListParagraph"/>
              <w:numPr>
                <w:ilvl w:val="0"/>
                <w:numId w:val="48"/>
              </w:numPr>
              <w:ind w:left="535"/>
              <w:jc w:val="left"/>
              <w:rPr>
                <w:rFonts w:ascii="Arial Narrow" w:hAnsi="Arial Narrow"/>
                <w:noProof/>
                <w:color w:val="006100"/>
                <w:sz w:val="20"/>
                <w:szCs w:val="20"/>
              </w:rPr>
            </w:pPr>
            <w:r>
              <w:rPr>
                <w:rFonts w:ascii="Arial Narrow" w:hAnsi="Arial Narrow"/>
                <w:noProof/>
                <w:color w:val="006100"/>
                <w:sz w:val="20"/>
              </w:rPr>
              <w:t>Link Augusta sadamale</w:t>
            </w:r>
          </w:p>
          <w:p w14:paraId="46DC5B9C" w14:textId="77777777" w:rsidR="0084326C" w:rsidRPr="005D68A0" w:rsidRDefault="57538B10">
            <w:pPr>
              <w:pStyle w:val="ListParagraph"/>
              <w:numPr>
                <w:ilvl w:val="0"/>
                <w:numId w:val="48"/>
              </w:numPr>
              <w:ind w:left="535"/>
              <w:jc w:val="left"/>
              <w:rPr>
                <w:rFonts w:ascii="Arial Narrow" w:hAnsi="Arial Narrow"/>
                <w:noProof/>
                <w:color w:val="006100"/>
                <w:sz w:val="20"/>
                <w:szCs w:val="20"/>
              </w:rPr>
            </w:pPr>
            <w:r>
              <w:rPr>
                <w:rFonts w:ascii="Arial Narrow" w:hAnsi="Arial Narrow"/>
                <w:noProof/>
                <w:color w:val="006100"/>
                <w:sz w:val="20"/>
              </w:rPr>
              <w:t>Ühendus Trapani Birgi lennujaamaga</w:t>
            </w:r>
          </w:p>
          <w:p w14:paraId="0EB356A1"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Sardiinia maakond</w:t>
            </w:r>
          </w:p>
          <w:p w14:paraId="110F1005" w14:textId="77777777" w:rsidR="0084326C" w:rsidRPr="005D68A0" w:rsidRDefault="57538B10">
            <w:pPr>
              <w:pStyle w:val="ListParagraph"/>
              <w:numPr>
                <w:ilvl w:val="0"/>
                <w:numId w:val="48"/>
              </w:numPr>
              <w:ind w:left="677" w:hanging="458"/>
              <w:jc w:val="left"/>
              <w:rPr>
                <w:rFonts w:ascii="Arial Narrow" w:hAnsi="Arial Narrow"/>
                <w:noProof/>
                <w:color w:val="006100"/>
                <w:sz w:val="20"/>
                <w:szCs w:val="20"/>
              </w:rPr>
            </w:pPr>
            <w:r>
              <w:rPr>
                <w:rFonts w:ascii="Arial Narrow" w:hAnsi="Arial Narrow"/>
                <w:noProof/>
                <w:color w:val="006100"/>
                <w:sz w:val="20"/>
              </w:rPr>
              <w:t xml:space="preserve">Raudteeühendus Olbia lennujaamaga </w:t>
            </w:r>
          </w:p>
          <w:p w14:paraId="09E645C5" w14:textId="77777777" w:rsidR="0084326C" w:rsidRPr="005D68A0" w:rsidRDefault="0084326C">
            <w:pPr>
              <w:pStyle w:val="ListParagraph"/>
              <w:numPr>
                <w:ilvl w:val="0"/>
                <w:numId w:val="48"/>
              </w:numPr>
              <w:ind w:left="677" w:hanging="458"/>
              <w:jc w:val="left"/>
              <w:rPr>
                <w:rFonts w:ascii="Arial Narrow" w:hAnsi="Arial Narrow"/>
                <w:noProof/>
                <w:color w:val="006100"/>
                <w:sz w:val="20"/>
                <w:szCs w:val="20"/>
              </w:rPr>
            </w:pPr>
            <w:r>
              <w:rPr>
                <w:rFonts w:ascii="Arial Narrow" w:hAnsi="Arial Narrow"/>
                <w:noProof/>
                <w:color w:val="006100"/>
                <w:sz w:val="20"/>
              </w:rPr>
              <w:t>Rööbastee kahekordistamine Decimomannu-Villamassargia</w:t>
            </w:r>
          </w:p>
          <w:p w14:paraId="620F41A6"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Vähemalt 528 km pikkused vastupanuvõimega seotud sekkumised peavad hõlmama järgmisi liine: </w:t>
            </w:r>
          </w:p>
          <w:p w14:paraId="7E566826" w14:textId="77777777" w:rsidR="0084326C" w:rsidRPr="00994F5E" w:rsidRDefault="0084326C">
            <w:pPr>
              <w:rPr>
                <w:rFonts w:ascii="Arial Narrow" w:hAnsi="Arial Narrow"/>
                <w:noProof/>
                <w:color w:val="006100"/>
                <w:sz w:val="20"/>
                <w:szCs w:val="20"/>
              </w:rPr>
            </w:pPr>
            <w:r>
              <w:rPr>
                <w:rFonts w:ascii="Arial Narrow" w:hAnsi="Arial Narrow"/>
                <w:noProof/>
                <w:color w:val="006100"/>
                <w:sz w:val="20"/>
              </w:rPr>
              <w:t>Campania, Basilicata ja Calabria maakond:</w:t>
            </w:r>
          </w:p>
          <w:p w14:paraId="53E67AC1" w14:textId="5AC91B74" w:rsidR="0084326C" w:rsidRPr="00994F5E" w:rsidRDefault="0084326C">
            <w:pPr>
              <w:rPr>
                <w:rFonts w:ascii="Arial Narrow" w:hAnsi="Arial Narrow"/>
                <w:noProof/>
                <w:color w:val="006100"/>
                <w:sz w:val="20"/>
                <w:szCs w:val="20"/>
              </w:rPr>
            </w:pPr>
            <w:r>
              <w:rPr>
                <w:rFonts w:ascii="Arial Narrow" w:hAnsi="Arial Narrow"/>
                <w:noProof/>
                <w:color w:val="006100"/>
                <w:sz w:val="20"/>
              </w:rPr>
              <w:t>• Rooma – Napoli (AV,via Cassino, Formia kaudu);</w:t>
            </w:r>
          </w:p>
          <w:p w14:paraId="4C002F2E" w14:textId="5C14DF31" w:rsidR="0084326C" w:rsidRPr="00994F5E" w:rsidRDefault="0084326C">
            <w:pPr>
              <w:rPr>
                <w:rFonts w:ascii="Arial Narrow" w:hAnsi="Arial Narrow"/>
                <w:noProof/>
                <w:color w:val="006100"/>
                <w:sz w:val="20"/>
                <w:szCs w:val="20"/>
              </w:rPr>
            </w:pPr>
            <w:r>
              <w:rPr>
                <w:rFonts w:ascii="Arial Narrow" w:hAnsi="Arial Narrow"/>
                <w:noProof/>
                <w:color w:val="006100"/>
                <w:sz w:val="20"/>
              </w:rPr>
              <w:t>• Aversa – Caserta</w:t>
            </w:r>
          </w:p>
          <w:p w14:paraId="3E1ED539" w14:textId="0B0B981C" w:rsidR="0084326C" w:rsidRPr="00994F5E" w:rsidRDefault="0084326C">
            <w:pPr>
              <w:rPr>
                <w:rFonts w:ascii="Arial Narrow" w:hAnsi="Arial Narrow"/>
                <w:noProof/>
                <w:color w:val="006100"/>
                <w:sz w:val="20"/>
                <w:szCs w:val="20"/>
              </w:rPr>
            </w:pPr>
            <w:r>
              <w:rPr>
                <w:rFonts w:ascii="Arial Narrow" w:hAnsi="Arial Narrow"/>
                <w:noProof/>
                <w:color w:val="006100"/>
                <w:sz w:val="20"/>
              </w:rPr>
              <w:t xml:space="preserve">• Villa Literno – Napoli Gianturco; </w:t>
            </w:r>
          </w:p>
          <w:p w14:paraId="3FE6B98F" w14:textId="16906FDB" w:rsidR="0084326C" w:rsidRPr="00994F5E" w:rsidRDefault="0084326C">
            <w:pPr>
              <w:rPr>
                <w:rFonts w:ascii="Arial Narrow" w:hAnsi="Arial Narrow"/>
                <w:noProof/>
                <w:color w:val="006100"/>
                <w:sz w:val="20"/>
                <w:szCs w:val="20"/>
              </w:rPr>
            </w:pPr>
            <w:r>
              <w:rPr>
                <w:rFonts w:ascii="Arial Narrow" w:hAnsi="Arial Narrow"/>
                <w:noProof/>
                <w:color w:val="006100"/>
                <w:sz w:val="20"/>
              </w:rPr>
              <w:t>• Napoli – Salerno LMV Napoli – Salerno Storica;</w:t>
            </w:r>
          </w:p>
          <w:p w14:paraId="1169723A" w14:textId="6AFF7147" w:rsidR="0084326C" w:rsidRPr="00994F5E" w:rsidRDefault="0084326C">
            <w:pPr>
              <w:rPr>
                <w:rFonts w:ascii="Arial Narrow" w:hAnsi="Arial Narrow"/>
                <w:noProof/>
                <w:color w:val="006100"/>
                <w:sz w:val="20"/>
                <w:szCs w:val="20"/>
              </w:rPr>
            </w:pPr>
            <w:r>
              <w:rPr>
                <w:rFonts w:ascii="Arial Narrow" w:hAnsi="Arial Narrow"/>
                <w:noProof/>
                <w:color w:val="006100"/>
                <w:sz w:val="20"/>
              </w:rPr>
              <w:t>• Nocera Inferiore – Salerno;</w:t>
            </w:r>
          </w:p>
          <w:p w14:paraId="154FD54B" w14:textId="5B76C9B6" w:rsidR="0084326C" w:rsidRPr="00994F5E" w:rsidRDefault="0084326C">
            <w:pPr>
              <w:rPr>
                <w:rFonts w:ascii="Arial Narrow" w:hAnsi="Arial Narrow"/>
                <w:noProof/>
                <w:color w:val="006100"/>
                <w:sz w:val="20"/>
                <w:szCs w:val="20"/>
              </w:rPr>
            </w:pPr>
            <w:r>
              <w:rPr>
                <w:rFonts w:ascii="Arial Narrow" w:hAnsi="Arial Narrow"/>
                <w:noProof/>
                <w:color w:val="006100"/>
                <w:sz w:val="20"/>
              </w:rPr>
              <w:t xml:space="preserve">• Battipaglia – Paola; </w:t>
            </w:r>
          </w:p>
          <w:p w14:paraId="32B656E5" w14:textId="6A46574C" w:rsidR="0084326C" w:rsidRPr="00994F5E" w:rsidRDefault="0084326C">
            <w:pPr>
              <w:rPr>
                <w:rFonts w:ascii="Arial Narrow" w:hAnsi="Arial Narrow"/>
                <w:noProof/>
                <w:color w:val="006100"/>
                <w:sz w:val="20"/>
                <w:szCs w:val="20"/>
              </w:rPr>
            </w:pPr>
            <w:r>
              <w:rPr>
                <w:rFonts w:ascii="Arial Narrow" w:hAnsi="Arial Narrow"/>
                <w:noProof/>
                <w:color w:val="006100"/>
                <w:sz w:val="20"/>
              </w:rPr>
              <w:t xml:space="preserve">• Battipaglia – Potenza </w:t>
            </w:r>
          </w:p>
          <w:p w14:paraId="18304EF5" w14:textId="59DEC6DB" w:rsidR="0084326C" w:rsidRPr="00994F5E" w:rsidRDefault="0084326C">
            <w:pPr>
              <w:rPr>
                <w:rFonts w:ascii="Arial Narrow" w:hAnsi="Arial Narrow"/>
                <w:noProof/>
                <w:color w:val="006100"/>
                <w:sz w:val="20"/>
                <w:szCs w:val="20"/>
              </w:rPr>
            </w:pPr>
            <w:r>
              <w:rPr>
                <w:rFonts w:ascii="Arial Narrow" w:hAnsi="Arial Narrow"/>
                <w:noProof/>
                <w:color w:val="006100"/>
                <w:sz w:val="20"/>
              </w:rPr>
              <w:t>• Caserta – Battipaglia; Caserta – Foggia; Catanzaro – Reggio Calabria;</w:t>
            </w:r>
          </w:p>
          <w:p w14:paraId="1051D696" w14:textId="0426EFFD" w:rsidR="0084326C" w:rsidRPr="00994F5E" w:rsidRDefault="0084326C">
            <w:pPr>
              <w:rPr>
                <w:rFonts w:ascii="Arial Narrow" w:hAnsi="Arial Narrow"/>
                <w:noProof/>
                <w:color w:val="006100"/>
                <w:sz w:val="20"/>
                <w:szCs w:val="20"/>
              </w:rPr>
            </w:pPr>
            <w:r>
              <w:rPr>
                <w:rFonts w:ascii="Arial Narrow" w:hAnsi="Arial Narrow"/>
                <w:noProof/>
                <w:color w:val="006100"/>
                <w:sz w:val="20"/>
              </w:rPr>
              <w:t>• Paola – Regio Calabria; ning</w:t>
            </w:r>
          </w:p>
          <w:p w14:paraId="2EA1FA35" w14:textId="52FC4A30" w:rsidR="0084326C" w:rsidRPr="00994F5E" w:rsidRDefault="0084326C">
            <w:pPr>
              <w:rPr>
                <w:rFonts w:ascii="Arial Narrow" w:hAnsi="Arial Narrow"/>
                <w:noProof/>
                <w:color w:val="006100"/>
                <w:sz w:val="20"/>
                <w:szCs w:val="20"/>
              </w:rPr>
            </w:pPr>
            <w:r>
              <w:rPr>
                <w:rFonts w:ascii="Arial Narrow" w:hAnsi="Arial Narrow"/>
                <w:noProof/>
                <w:color w:val="006100"/>
                <w:sz w:val="20"/>
              </w:rPr>
              <w:t xml:space="preserve">• Paola – Cosenza – Sibari; </w:t>
            </w:r>
          </w:p>
          <w:p w14:paraId="17088232" w14:textId="77777777" w:rsidR="0084326C" w:rsidRPr="00994F5E" w:rsidRDefault="0084326C">
            <w:pPr>
              <w:rPr>
                <w:rFonts w:ascii="Arial Narrow" w:hAnsi="Arial Narrow"/>
                <w:noProof/>
                <w:color w:val="006100"/>
                <w:sz w:val="20"/>
                <w:szCs w:val="20"/>
              </w:rPr>
            </w:pPr>
            <w:r>
              <w:rPr>
                <w:rFonts w:ascii="Arial Narrow" w:hAnsi="Arial Narrow"/>
                <w:noProof/>
                <w:color w:val="006100"/>
                <w:sz w:val="20"/>
              </w:rPr>
              <w:t>Molise maakond;</w:t>
            </w:r>
          </w:p>
          <w:p w14:paraId="3C7781D2" w14:textId="0AAB5AA0" w:rsidR="0084326C" w:rsidRPr="00994F5E" w:rsidRDefault="0084326C">
            <w:pPr>
              <w:rPr>
                <w:rFonts w:ascii="Arial Narrow" w:hAnsi="Arial Narrow"/>
                <w:noProof/>
                <w:color w:val="006100"/>
                <w:sz w:val="20"/>
                <w:szCs w:val="20"/>
              </w:rPr>
            </w:pPr>
            <w:r>
              <w:rPr>
                <w:rFonts w:ascii="Arial Narrow" w:hAnsi="Arial Narrow"/>
                <w:noProof/>
                <w:color w:val="006100"/>
                <w:sz w:val="20"/>
              </w:rPr>
              <w:t xml:space="preserve">• Termoli – Campobasso. </w:t>
            </w:r>
          </w:p>
          <w:p w14:paraId="4FBC1DF8" w14:textId="77777777" w:rsidR="0084326C" w:rsidRPr="00994F5E" w:rsidRDefault="0084326C">
            <w:pPr>
              <w:rPr>
                <w:rFonts w:ascii="Arial Narrow" w:hAnsi="Arial Narrow"/>
                <w:noProof/>
                <w:color w:val="006100"/>
                <w:sz w:val="20"/>
                <w:szCs w:val="20"/>
                <w:lang w:val="it-IT"/>
              </w:rPr>
            </w:pPr>
          </w:p>
          <w:p w14:paraId="7ED69446" w14:textId="77777777" w:rsidR="0084326C" w:rsidRPr="00994F5E" w:rsidRDefault="0084326C">
            <w:pPr>
              <w:rPr>
                <w:rFonts w:ascii="Arial Narrow" w:hAnsi="Arial Narrow"/>
                <w:noProof/>
                <w:color w:val="006100"/>
                <w:sz w:val="20"/>
                <w:szCs w:val="20"/>
              </w:rPr>
            </w:pPr>
            <w:r>
              <w:rPr>
                <w:rFonts w:ascii="Arial Narrow" w:hAnsi="Arial Narrow"/>
                <w:noProof/>
                <w:color w:val="006100"/>
                <w:sz w:val="20"/>
              </w:rPr>
              <w:t>Puglia maakond:</w:t>
            </w:r>
          </w:p>
          <w:p w14:paraId="5A9B30CF" w14:textId="72F0C7EE" w:rsidR="0084326C" w:rsidRPr="00A86CDE" w:rsidRDefault="0084326C">
            <w:pPr>
              <w:rPr>
                <w:rFonts w:ascii="Arial Narrow" w:hAnsi="Arial Narrow"/>
                <w:noProof/>
                <w:color w:val="006100"/>
                <w:sz w:val="20"/>
                <w:szCs w:val="20"/>
              </w:rPr>
            </w:pPr>
            <w:r>
              <w:rPr>
                <w:rFonts w:ascii="Arial Narrow" w:hAnsi="Arial Narrow"/>
                <w:noProof/>
                <w:color w:val="006100"/>
                <w:sz w:val="20"/>
              </w:rPr>
              <w:t>•</w:t>
            </w:r>
            <w:r>
              <w:rPr>
                <w:noProof/>
              </w:rPr>
              <w:tab/>
            </w:r>
            <w:r>
              <w:rPr>
                <w:rFonts w:ascii="Arial Narrow" w:hAnsi="Arial Narrow"/>
                <w:noProof/>
                <w:color w:val="006100"/>
                <w:sz w:val="20"/>
              </w:rPr>
              <w:t xml:space="preserve">Bari – Taranto; </w:t>
            </w:r>
          </w:p>
          <w:p w14:paraId="0EAC6824" w14:textId="77777777" w:rsidR="0084326C" w:rsidRPr="00A86CDE" w:rsidRDefault="0084326C">
            <w:pPr>
              <w:rPr>
                <w:rFonts w:ascii="Arial Narrow" w:hAnsi="Arial Narrow"/>
                <w:noProof/>
                <w:color w:val="006100"/>
                <w:sz w:val="20"/>
                <w:szCs w:val="20"/>
              </w:rPr>
            </w:pPr>
            <w:r>
              <w:rPr>
                <w:rFonts w:ascii="Arial Narrow" w:hAnsi="Arial Narrow"/>
                <w:noProof/>
                <w:color w:val="006100"/>
                <w:sz w:val="20"/>
              </w:rPr>
              <w:t>•</w:t>
            </w:r>
            <w:r>
              <w:rPr>
                <w:noProof/>
              </w:rPr>
              <w:tab/>
            </w:r>
            <w:r>
              <w:rPr>
                <w:rFonts w:ascii="Arial Narrow" w:hAnsi="Arial Narrow"/>
                <w:noProof/>
                <w:color w:val="006100"/>
                <w:sz w:val="20"/>
              </w:rPr>
              <w:t>Taranto – Brindisi ning</w:t>
            </w:r>
          </w:p>
          <w:p w14:paraId="0723F8FC" w14:textId="77777777" w:rsidR="0084326C" w:rsidRPr="00994F5E" w:rsidRDefault="0084326C">
            <w:pPr>
              <w:rPr>
                <w:rFonts w:ascii="Arial Narrow" w:hAnsi="Arial Narrow"/>
                <w:noProof/>
                <w:color w:val="006100"/>
                <w:sz w:val="20"/>
                <w:szCs w:val="20"/>
              </w:rPr>
            </w:pPr>
            <w:r>
              <w:rPr>
                <w:rFonts w:ascii="Arial Narrow" w:hAnsi="Arial Narrow"/>
                <w:noProof/>
                <w:color w:val="006100"/>
                <w:sz w:val="20"/>
              </w:rPr>
              <w:t>•</w:t>
            </w:r>
            <w:r>
              <w:rPr>
                <w:noProof/>
              </w:rPr>
              <w:tab/>
            </w:r>
            <w:r>
              <w:rPr>
                <w:rFonts w:ascii="Arial Narrow" w:hAnsi="Arial Narrow"/>
                <w:noProof/>
                <w:color w:val="006100"/>
                <w:sz w:val="20"/>
              </w:rPr>
              <w:t>Barletta – Spinazzola.</w:t>
            </w:r>
          </w:p>
          <w:p w14:paraId="0A138F1A" w14:textId="77777777" w:rsidR="0084326C" w:rsidRPr="00994F5E" w:rsidRDefault="0084326C">
            <w:pPr>
              <w:rPr>
                <w:rFonts w:ascii="Arial Narrow" w:hAnsi="Arial Narrow"/>
                <w:noProof/>
                <w:color w:val="006100"/>
                <w:sz w:val="20"/>
                <w:szCs w:val="20"/>
                <w:lang w:val="it-IT"/>
              </w:rPr>
            </w:pPr>
          </w:p>
          <w:p w14:paraId="2B658AB9" w14:textId="77777777" w:rsidR="0084326C" w:rsidRPr="00A86CDE" w:rsidRDefault="0084326C">
            <w:pPr>
              <w:rPr>
                <w:rFonts w:ascii="Arial Narrow" w:hAnsi="Arial Narrow"/>
                <w:noProof/>
                <w:color w:val="006100"/>
                <w:sz w:val="20"/>
                <w:szCs w:val="20"/>
              </w:rPr>
            </w:pPr>
            <w:r>
              <w:rPr>
                <w:rFonts w:ascii="Arial Narrow" w:hAnsi="Arial Narrow"/>
                <w:noProof/>
                <w:color w:val="006100"/>
                <w:sz w:val="20"/>
              </w:rPr>
              <w:t>Sitsiilia maakond</w:t>
            </w:r>
          </w:p>
          <w:p w14:paraId="7187B079" w14:textId="65CC8D2F" w:rsidR="0084326C" w:rsidRPr="00A86CDE" w:rsidRDefault="0084326C">
            <w:pPr>
              <w:rPr>
                <w:rFonts w:ascii="Arial Narrow" w:hAnsi="Arial Narrow"/>
                <w:noProof/>
                <w:color w:val="006100"/>
                <w:sz w:val="20"/>
                <w:szCs w:val="20"/>
              </w:rPr>
            </w:pPr>
            <w:r>
              <w:rPr>
                <w:rFonts w:ascii="Arial Narrow" w:hAnsi="Arial Narrow"/>
                <w:noProof/>
                <w:color w:val="006100"/>
                <w:sz w:val="20"/>
              </w:rPr>
              <w:t>• Fiumetorto – Agrigento;</w:t>
            </w:r>
          </w:p>
          <w:p w14:paraId="3338540B" w14:textId="0E003D20" w:rsidR="0084326C" w:rsidRPr="00A86CDE" w:rsidRDefault="0084326C">
            <w:pPr>
              <w:rPr>
                <w:rFonts w:ascii="Arial Narrow" w:hAnsi="Arial Narrow"/>
                <w:noProof/>
                <w:color w:val="006100"/>
                <w:sz w:val="20"/>
                <w:szCs w:val="20"/>
              </w:rPr>
            </w:pPr>
            <w:r>
              <w:rPr>
                <w:rFonts w:ascii="Arial Narrow" w:hAnsi="Arial Narrow"/>
                <w:noProof/>
                <w:color w:val="006100"/>
                <w:sz w:val="20"/>
              </w:rPr>
              <w:t>• Lercara dir. – Bicocca;</w:t>
            </w:r>
          </w:p>
          <w:p w14:paraId="12FCE86A" w14:textId="395629E9" w:rsidR="0084326C" w:rsidRPr="00A86CDE" w:rsidRDefault="0084326C">
            <w:pPr>
              <w:rPr>
                <w:rFonts w:ascii="Arial Narrow" w:hAnsi="Arial Narrow"/>
                <w:noProof/>
                <w:color w:val="006100"/>
                <w:sz w:val="20"/>
                <w:szCs w:val="20"/>
              </w:rPr>
            </w:pPr>
            <w:r>
              <w:rPr>
                <w:rFonts w:ascii="Arial Narrow" w:hAnsi="Arial Narrow"/>
                <w:noProof/>
                <w:color w:val="006100"/>
                <w:sz w:val="20"/>
              </w:rPr>
              <w:t>• Messina – Catania – Siracusa;</w:t>
            </w:r>
          </w:p>
          <w:p w14:paraId="0B6CE9C0" w14:textId="46DF355D" w:rsidR="0084326C" w:rsidRPr="00A86CDE" w:rsidRDefault="0084326C">
            <w:pPr>
              <w:rPr>
                <w:rFonts w:ascii="Arial Narrow" w:hAnsi="Arial Narrow"/>
                <w:noProof/>
                <w:color w:val="006100"/>
                <w:sz w:val="20"/>
                <w:szCs w:val="20"/>
              </w:rPr>
            </w:pPr>
            <w:r>
              <w:rPr>
                <w:rFonts w:ascii="Arial Narrow" w:hAnsi="Arial Narrow"/>
                <w:noProof/>
                <w:color w:val="006100"/>
                <w:sz w:val="20"/>
              </w:rPr>
              <w:t>• Palermo – Messina; ning</w:t>
            </w:r>
          </w:p>
          <w:p w14:paraId="6C5029EA" w14:textId="65AA89BB" w:rsidR="0084326C" w:rsidRPr="00994F5E" w:rsidRDefault="0084326C">
            <w:pPr>
              <w:rPr>
                <w:rFonts w:ascii="Arial Narrow" w:hAnsi="Arial Narrow"/>
                <w:noProof/>
                <w:color w:val="006100"/>
                <w:sz w:val="20"/>
                <w:szCs w:val="20"/>
              </w:rPr>
            </w:pPr>
            <w:r>
              <w:rPr>
                <w:rFonts w:ascii="Arial Narrow" w:hAnsi="Arial Narrow"/>
                <w:noProof/>
                <w:color w:val="006100"/>
                <w:sz w:val="20"/>
              </w:rPr>
              <w:t>• Caltanissetta Xirbi – Canicattì – Aragona; Canicattì – Siracusa.</w:t>
            </w:r>
          </w:p>
          <w:p w14:paraId="5A64D491" w14:textId="77777777" w:rsidR="0084326C" w:rsidRPr="00994F5E" w:rsidRDefault="0084326C">
            <w:pPr>
              <w:rPr>
                <w:rFonts w:ascii="Arial Narrow" w:hAnsi="Arial Narrow"/>
                <w:noProof/>
                <w:color w:val="006100"/>
                <w:sz w:val="20"/>
                <w:szCs w:val="20"/>
                <w:lang w:val="it-IT"/>
              </w:rPr>
            </w:pPr>
          </w:p>
          <w:p w14:paraId="693BA181"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Eesmärk saavutatakse CLP-programmide (st „Codice Locale Progetto“) kaudu, mida ei toetata muudest ELi fondidest kui taaste- ja vastupidavusrahastu. </w:t>
            </w:r>
          </w:p>
        </w:tc>
      </w:tr>
      <w:tr w:rsidR="0084326C" w:rsidRPr="00D90835" w14:paraId="2048D194" w14:textId="77777777" w:rsidTr="19E35B1A">
        <w:trPr>
          <w:trHeight w:val="309"/>
          <w:jc w:val="right"/>
        </w:trPr>
        <w:tc>
          <w:tcPr>
            <w:tcW w:w="369" w:type="pct"/>
            <w:shd w:val="clear" w:color="auto" w:fill="C6EFCE"/>
            <w:noWrap/>
            <w:vAlign w:val="center"/>
          </w:tcPr>
          <w:p w14:paraId="04B6636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M3C1-18</w:t>
            </w:r>
          </w:p>
        </w:tc>
        <w:tc>
          <w:tcPr>
            <w:tcW w:w="511" w:type="pct"/>
            <w:shd w:val="clear" w:color="auto" w:fill="C6EFCE"/>
            <w:noWrap/>
            <w:vAlign w:val="center"/>
          </w:tcPr>
          <w:p w14:paraId="640FEE8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1.6. Piirkondlike liinide tugevdamine – Piirkondlike raudteede uuendamine (piirkondlike raudteede haldamine)</w:t>
            </w:r>
          </w:p>
        </w:tc>
        <w:tc>
          <w:tcPr>
            <w:tcW w:w="417" w:type="pct"/>
            <w:shd w:val="clear" w:color="auto" w:fill="C6EFCE"/>
            <w:noWrap/>
            <w:vAlign w:val="center"/>
          </w:tcPr>
          <w:p w14:paraId="523DE2B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464" w:type="pct"/>
            <w:shd w:val="clear" w:color="auto" w:fill="C6EFCE"/>
            <w:noWrap/>
            <w:vAlign w:val="center"/>
          </w:tcPr>
          <w:p w14:paraId="2B3073F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Ajakohastatud piirkondlikud liinid, loa andmise valmidus ja kasutusetapid</w:t>
            </w:r>
          </w:p>
        </w:tc>
        <w:tc>
          <w:tcPr>
            <w:tcW w:w="509" w:type="pct"/>
            <w:shd w:val="clear" w:color="auto" w:fill="C6EFCE"/>
            <w:noWrap/>
            <w:vAlign w:val="center"/>
          </w:tcPr>
          <w:p w14:paraId="7CDE3FA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25" w:type="pct"/>
            <w:shd w:val="clear" w:color="auto" w:fill="C6EFCE"/>
            <w:noWrap/>
            <w:vAlign w:val="center"/>
          </w:tcPr>
          <w:p w14:paraId="753D7B0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71" w:type="pct"/>
            <w:shd w:val="clear" w:color="auto" w:fill="C6EFCE"/>
            <w:noWrap/>
            <w:vAlign w:val="center"/>
          </w:tcPr>
          <w:p w14:paraId="52A4C72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279" w:type="pct"/>
            <w:shd w:val="clear" w:color="auto" w:fill="C6EFCE"/>
            <w:noWrap/>
            <w:vAlign w:val="center"/>
          </w:tcPr>
          <w:p w14:paraId="167A064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646</w:t>
            </w:r>
          </w:p>
        </w:tc>
        <w:tc>
          <w:tcPr>
            <w:tcW w:w="278" w:type="pct"/>
            <w:shd w:val="clear" w:color="auto" w:fill="C6EFCE"/>
            <w:noWrap/>
            <w:vAlign w:val="center"/>
          </w:tcPr>
          <w:p w14:paraId="624EBD9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278" w:type="pct"/>
            <w:shd w:val="clear" w:color="auto" w:fill="C6EFCE"/>
            <w:noWrap/>
            <w:vAlign w:val="center"/>
          </w:tcPr>
          <w:p w14:paraId="01CBF26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1198" w:type="pct"/>
            <w:shd w:val="clear" w:color="auto" w:fill="C6EFCE"/>
            <w:noWrap/>
            <w:vAlign w:val="center"/>
          </w:tcPr>
          <w:p w14:paraId="081ECA70" w14:textId="77777777" w:rsidR="0084326C" w:rsidRPr="005D68A0" w:rsidRDefault="0084326C">
            <w:pPr>
              <w:rPr>
                <w:rFonts w:ascii="Arial Narrow" w:hAnsi="Arial Narrow"/>
                <w:noProof/>
                <w:sz w:val="20"/>
                <w:szCs w:val="20"/>
              </w:rPr>
            </w:pPr>
            <w:r>
              <w:rPr>
                <w:rFonts w:ascii="Arial Narrow" w:hAnsi="Arial Narrow"/>
                <w:noProof/>
                <w:color w:val="006100"/>
                <w:sz w:val="20"/>
              </w:rPr>
              <w:t>646 km uuendatud piirkondlikke liine, mis on valmis loa andmiseks ja kasutusetapiks.</w:t>
            </w:r>
          </w:p>
        </w:tc>
      </w:tr>
      <w:tr w:rsidR="0084326C" w:rsidRPr="00D90835" w14:paraId="1F65CE74" w14:textId="77777777" w:rsidTr="19E35B1A">
        <w:trPr>
          <w:trHeight w:val="309"/>
          <w:jc w:val="right"/>
        </w:trPr>
        <w:tc>
          <w:tcPr>
            <w:tcW w:w="369" w:type="pct"/>
            <w:shd w:val="clear" w:color="auto" w:fill="C6EFCE"/>
            <w:noWrap/>
            <w:vAlign w:val="center"/>
          </w:tcPr>
          <w:p w14:paraId="249CEFA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M3C1-19</w:t>
            </w:r>
          </w:p>
        </w:tc>
        <w:tc>
          <w:tcPr>
            <w:tcW w:w="511" w:type="pct"/>
            <w:shd w:val="clear" w:color="auto" w:fill="C6EFCE"/>
            <w:noWrap/>
            <w:vAlign w:val="center"/>
          </w:tcPr>
          <w:p w14:paraId="33A29C8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1.8. Raudteejaamade ajakohastamine (RFI haldamine; lõunas)</w:t>
            </w:r>
          </w:p>
        </w:tc>
        <w:tc>
          <w:tcPr>
            <w:tcW w:w="417" w:type="pct"/>
            <w:shd w:val="clear" w:color="auto" w:fill="C6EFCE"/>
            <w:noWrap/>
            <w:vAlign w:val="center"/>
          </w:tcPr>
          <w:p w14:paraId="005C4B8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464" w:type="pct"/>
            <w:shd w:val="clear" w:color="auto" w:fill="C6EFCE"/>
            <w:noWrap/>
            <w:vAlign w:val="center"/>
          </w:tcPr>
          <w:p w14:paraId="6FCAB07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Ajakohastatud ja juurdepääsetavad raudteejaamad</w:t>
            </w:r>
          </w:p>
        </w:tc>
        <w:tc>
          <w:tcPr>
            <w:tcW w:w="509" w:type="pct"/>
            <w:shd w:val="clear" w:color="auto" w:fill="C6EFCE"/>
            <w:noWrap/>
            <w:vAlign w:val="center"/>
          </w:tcPr>
          <w:p w14:paraId="4DE046F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25" w:type="pct"/>
            <w:shd w:val="clear" w:color="auto" w:fill="C6EFCE"/>
            <w:noWrap/>
            <w:vAlign w:val="center"/>
          </w:tcPr>
          <w:p w14:paraId="30105DA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71" w:type="pct"/>
            <w:shd w:val="clear" w:color="auto" w:fill="C6EFCE"/>
            <w:noWrap/>
            <w:vAlign w:val="center"/>
          </w:tcPr>
          <w:p w14:paraId="7EE5D8A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279" w:type="pct"/>
            <w:shd w:val="clear" w:color="auto" w:fill="C6EFCE"/>
            <w:noWrap/>
            <w:vAlign w:val="center"/>
          </w:tcPr>
          <w:p w14:paraId="52B4C08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10</w:t>
            </w:r>
          </w:p>
        </w:tc>
        <w:tc>
          <w:tcPr>
            <w:tcW w:w="278" w:type="pct"/>
            <w:shd w:val="clear" w:color="auto" w:fill="C6EFCE"/>
            <w:noWrap/>
            <w:vAlign w:val="center"/>
          </w:tcPr>
          <w:p w14:paraId="7B4BCB3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78" w:type="pct"/>
            <w:shd w:val="clear" w:color="auto" w:fill="C6EFCE"/>
            <w:noWrap/>
            <w:vAlign w:val="center"/>
          </w:tcPr>
          <w:p w14:paraId="25C10A8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2024</w:t>
            </w:r>
          </w:p>
        </w:tc>
        <w:tc>
          <w:tcPr>
            <w:tcW w:w="1198" w:type="pct"/>
            <w:shd w:val="clear" w:color="auto" w:fill="C6EFCE"/>
            <w:noWrap/>
            <w:vAlign w:val="center"/>
          </w:tcPr>
          <w:p w14:paraId="79BE94F7"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Kümmet raudteejaama ajakohastatakse ja need on juurdepääsetavad kooskõlas komisjoni määrusega (EL) nr 1300/2014 ja ELi raudteeohutuseeskirjadega.</w:t>
            </w:r>
          </w:p>
        </w:tc>
      </w:tr>
      <w:tr w:rsidR="0084326C" w:rsidRPr="00D90835" w14:paraId="165E7EC4" w14:textId="77777777" w:rsidTr="19E35B1A">
        <w:trPr>
          <w:trHeight w:val="309"/>
          <w:jc w:val="right"/>
        </w:trPr>
        <w:tc>
          <w:tcPr>
            <w:tcW w:w="369" w:type="pct"/>
            <w:shd w:val="clear" w:color="auto" w:fill="C6EFCE"/>
            <w:noWrap/>
            <w:vAlign w:val="center"/>
          </w:tcPr>
          <w:p w14:paraId="1FAE026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M3C1-20</w:t>
            </w:r>
          </w:p>
        </w:tc>
        <w:tc>
          <w:tcPr>
            <w:tcW w:w="511" w:type="pct"/>
            <w:shd w:val="clear" w:color="auto" w:fill="C6EFCE"/>
            <w:noWrap/>
            <w:vAlign w:val="center"/>
          </w:tcPr>
          <w:p w14:paraId="719EB6C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1.8. Raudteejaamade ajakohastamine (RFI haldamine; lõunas)</w:t>
            </w:r>
          </w:p>
        </w:tc>
        <w:tc>
          <w:tcPr>
            <w:tcW w:w="417" w:type="pct"/>
            <w:shd w:val="clear" w:color="auto" w:fill="C6EFCE"/>
            <w:noWrap/>
            <w:vAlign w:val="center"/>
          </w:tcPr>
          <w:p w14:paraId="70D5F0B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464" w:type="pct"/>
            <w:shd w:val="clear" w:color="auto" w:fill="C6EFCE"/>
            <w:noWrap/>
            <w:vAlign w:val="center"/>
          </w:tcPr>
          <w:p w14:paraId="5A7F836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Ajakohastatud ja juurdepääsetavad raudteejaamad</w:t>
            </w:r>
          </w:p>
        </w:tc>
        <w:tc>
          <w:tcPr>
            <w:tcW w:w="509" w:type="pct"/>
            <w:shd w:val="clear" w:color="auto" w:fill="C6EFCE"/>
            <w:noWrap/>
            <w:vAlign w:val="center"/>
          </w:tcPr>
          <w:p w14:paraId="68E0DCC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25" w:type="pct"/>
            <w:shd w:val="clear" w:color="auto" w:fill="C6EFCE"/>
            <w:noWrap/>
            <w:vAlign w:val="center"/>
          </w:tcPr>
          <w:p w14:paraId="1583DB9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71" w:type="pct"/>
            <w:shd w:val="clear" w:color="auto" w:fill="C6EFCE"/>
            <w:noWrap/>
            <w:vAlign w:val="center"/>
          </w:tcPr>
          <w:p w14:paraId="7E8C53B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10</w:t>
            </w:r>
          </w:p>
        </w:tc>
        <w:tc>
          <w:tcPr>
            <w:tcW w:w="279" w:type="pct"/>
            <w:shd w:val="clear" w:color="auto" w:fill="C6EFCE"/>
            <w:noWrap/>
            <w:vAlign w:val="center"/>
          </w:tcPr>
          <w:p w14:paraId="6874C38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38</w:t>
            </w:r>
          </w:p>
        </w:tc>
        <w:tc>
          <w:tcPr>
            <w:tcW w:w="278" w:type="pct"/>
            <w:shd w:val="clear" w:color="auto" w:fill="C6EFCE"/>
            <w:noWrap/>
            <w:vAlign w:val="center"/>
          </w:tcPr>
          <w:p w14:paraId="627F3FC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278" w:type="pct"/>
            <w:shd w:val="clear" w:color="auto" w:fill="C6EFCE"/>
            <w:noWrap/>
            <w:vAlign w:val="center"/>
          </w:tcPr>
          <w:p w14:paraId="46BDC42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1198" w:type="pct"/>
            <w:shd w:val="clear" w:color="auto" w:fill="C6EFCE"/>
            <w:noWrap/>
            <w:vAlign w:val="center"/>
          </w:tcPr>
          <w:p w14:paraId="791ADB5D" w14:textId="77777777" w:rsidR="0084326C" w:rsidRPr="005D68A0" w:rsidRDefault="0084326C">
            <w:pPr>
              <w:spacing w:before="120"/>
              <w:rPr>
                <w:rFonts w:ascii="Arial Narrow" w:hAnsi="Arial Narrow"/>
                <w:noProof/>
                <w:sz w:val="20"/>
                <w:szCs w:val="20"/>
              </w:rPr>
            </w:pPr>
            <w:r>
              <w:rPr>
                <w:rFonts w:ascii="Arial Narrow" w:hAnsi="Arial Narrow"/>
                <w:noProof/>
                <w:color w:val="006100"/>
                <w:sz w:val="20"/>
              </w:rPr>
              <w:t>Kooskõlas komisjoni määrusega (EL) nr 1300/2014 ja ELi raudteeohutuseeskirjadega ajakohastatakse 38 raudteejaama ja on neile juurdepääs.</w:t>
            </w:r>
          </w:p>
        </w:tc>
      </w:tr>
      <w:tr w:rsidR="0084326C" w:rsidRPr="00D90835" w14:paraId="1CE8A233" w14:textId="77777777" w:rsidTr="19E35B1A">
        <w:trPr>
          <w:trHeight w:val="309"/>
          <w:jc w:val="right"/>
        </w:trPr>
        <w:tc>
          <w:tcPr>
            <w:tcW w:w="369" w:type="pct"/>
            <w:shd w:val="clear" w:color="auto" w:fill="C6EFCE"/>
            <w:noWrap/>
            <w:vAlign w:val="center"/>
          </w:tcPr>
          <w:p w14:paraId="4231E1F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M3C1-21</w:t>
            </w:r>
          </w:p>
        </w:tc>
        <w:tc>
          <w:tcPr>
            <w:tcW w:w="511" w:type="pct"/>
            <w:shd w:val="clear" w:color="auto" w:fill="C6EFCE"/>
            <w:noWrap/>
            <w:vAlign w:val="center"/>
          </w:tcPr>
          <w:p w14:paraId="0EB6CCD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Reform 2.1. Hiljutise „dekreetse lihtsustamise“ (mis muudeti 11. septembri 2020. aasta seaduseks nr 120) rakendamine, andes välja dekreedi „Riskide liigitamise ja juhtimise, julgeoleku hindamise ning olemasolevate sildade järelevalve suuniste“ vastuvõtmise kohta</w:t>
            </w:r>
          </w:p>
        </w:tc>
        <w:tc>
          <w:tcPr>
            <w:tcW w:w="417" w:type="pct"/>
            <w:shd w:val="clear" w:color="auto" w:fill="C6EFCE"/>
            <w:noWrap/>
            <w:vAlign w:val="center"/>
          </w:tcPr>
          <w:p w14:paraId="15DD6DF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464" w:type="pct"/>
            <w:shd w:val="clear" w:color="auto" w:fill="C6EFCE"/>
            <w:noWrap/>
            <w:vAlign w:val="center"/>
          </w:tcPr>
          <w:p w14:paraId="6ACF402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Dokumendi „Riskiklassifitseerimise ja -juhtimise, julgeoleku hindamise ning olemasolevate sildade seire suunised“ jõustumine</w:t>
            </w:r>
          </w:p>
        </w:tc>
        <w:tc>
          <w:tcPr>
            <w:tcW w:w="509" w:type="pct"/>
            <w:shd w:val="clear" w:color="auto" w:fill="C6EFCE"/>
            <w:noWrap/>
            <w:vAlign w:val="center"/>
          </w:tcPr>
          <w:p w14:paraId="2BDC888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Dekreedi säte, mis näitab, et jõustub dekreet, millega võetakse vastu „Riski klassifitseerimise ja juhtimise, turvalisuse hindamise ja olemasolevate sildade järelevalve suunised“</w:t>
            </w:r>
          </w:p>
        </w:tc>
        <w:tc>
          <w:tcPr>
            <w:tcW w:w="325" w:type="pct"/>
            <w:shd w:val="clear" w:color="auto" w:fill="C6EFCE"/>
            <w:noWrap/>
            <w:vAlign w:val="center"/>
          </w:tcPr>
          <w:p w14:paraId="466DBE9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71" w:type="pct"/>
            <w:shd w:val="clear" w:color="auto" w:fill="C6EFCE"/>
            <w:noWrap/>
            <w:vAlign w:val="center"/>
          </w:tcPr>
          <w:p w14:paraId="7B34844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279" w:type="pct"/>
            <w:shd w:val="clear" w:color="auto" w:fill="C6EFCE"/>
            <w:noWrap/>
            <w:vAlign w:val="center"/>
          </w:tcPr>
          <w:p w14:paraId="28C2D20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278" w:type="pct"/>
            <w:shd w:val="clear" w:color="auto" w:fill="C6EFCE"/>
            <w:noWrap/>
            <w:vAlign w:val="center"/>
          </w:tcPr>
          <w:p w14:paraId="5500791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78" w:type="pct"/>
            <w:shd w:val="clear" w:color="auto" w:fill="C6EFCE"/>
            <w:noWrap/>
            <w:vAlign w:val="center"/>
          </w:tcPr>
          <w:p w14:paraId="0E3133D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2021</w:t>
            </w:r>
          </w:p>
        </w:tc>
        <w:tc>
          <w:tcPr>
            <w:tcW w:w="1198" w:type="pct"/>
            <w:shd w:val="clear" w:color="auto" w:fill="C6EFCE"/>
            <w:noWrap/>
            <w:vAlign w:val="center"/>
          </w:tcPr>
          <w:p w14:paraId="109E1DC4"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Suunistes sätestatakse kogu riikliku teedevõrgu jaoks ühised standardid ja metoodikad riskide liigitamiseks ja juhtimiseks, turvalisuse hindamiseks ja olemasolevate sildade seireks.</w:t>
            </w:r>
          </w:p>
        </w:tc>
      </w:tr>
      <w:tr w:rsidR="0084326C" w:rsidRPr="00D90835" w14:paraId="47BA7E4F" w14:textId="77777777" w:rsidTr="19E35B1A">
        <w:trPr>
          <w:trHeight w:val="309"/>
          <w:jc w:val="right"/>
        </w:trPr>
        <w:tc>
          <w:tcPr>
            <w:tcW w:w="369" w:type="pct"/>
            <w:shd w:val="clear" w:color="auto" w:fill="C6EFCE"/>
            <w:noWrap/>
            <w:vAlign w:val="center"/>
          </w:tcPr>
          <w:p w14:paraId="23A348A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M3C1-22</w:t>
            </w:r>
          </w:p>
        </w:tc>
        <w:tc>
          <w:tcPr>
            <w:tcW w:w="511" w:type="pct"/>
            <w:shd w:val="clear" w:color="auto" w:fill="C6EFCE"/>
            <w:noWrap/>
            <w:vAlign w:val="center"/>
          </w:tcPr>
          <w:p w14:paraId="4A263AFA" w14:textId="4306A126"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Reform 2.2. Sil</w:t>
            </w:r>
            <w:r w:rsidR="00D76443">
              <w:rPr>
                <w:rFonts w:ascii="Arial Narrow" w:hAnsi="Arial Narrow"/>
                <w:noProof/>
                <w:color w:val="006100"/>
                <w:sz w:val="20"/>
              </w:rPr>
              <w:t>d</w:t>
            </w:r>
            <w:r>
              <w:rPr>
                <w:rFonts w:ascii="Arial Narrow" w:hAnsi="Arial Narrow"/>
                <w:noProof/>
                <w:color w:val="006100"/>
                <w:sz w:val="20"/>
              </w:rPr>
              <w:t>ade ja viaduktide vara üleviimine madalama astme teedelt kõrgema astme teedele</w:t>
            </w:r>
          </w:p>
        </w:tc>
        <w:tc>
          <w:tcPr>
            <w:tcW w:w="417" w:type="pct"/>
            <w:shd w:val="clear" w:color="auto" w:fill="C6EFCE"/>
            <w:noWrap/>
            <w:vAlign w:val="center"/>
          </w:tcPr>
          <w:p w14:paraId="37B177A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464" w:type="pct"/>
            <w:shd w:val="clear" w:color="auto" w:fill="C6EFCE"/>
            <w:noWrap/>
            <w:vAlign w:val="center"/>
          </w:tcPr>
          <w:p w14:paraId="2E479AD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Kanda sildade, viaduktide ja ülesõidukohtade omandiõigus madalama astme teedelt kõrgema astme teedele (kiirteed ja peamised riigimaanteed)</w:t>
            </w:r>
          </w:p>
        </w:tc>
        <w:tc>
          <w:tcPr>
            <w:tcW w:w="509" w:type="pct"/>
            <w:shd w:val="clear" w:color="auto" w:fill="C6EFCE"/>
            <w:noWrap/>
            <w:vAlign w:val="center"/>
          </w:tcPr>
          <w:p w14:paraId="0C0C99F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Asjaomase õigusakti säte, milles osutatakse sildade, viaduktide ja möödasõiduteede omandiõiguse ülemineku jõustumisele madalama astme teedelt kõrgema astme teedele (maanteed ja peamised riiklikud teed)</w:t>
            </w:r>
          </w:p>
        </w:tc>
        <w:tc>
          <w:tcPr>
            <w:tcW w:w="325" w:type="pct"/>
            <w:shd w:val="clear" w:color="auto" w:fill="C6EFCE"/>
            <w:noWrap/>
            <w:vAlign w:val="center"/>
          </w:tcPr>
          <w:p w14:paraId="5A7AE9A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71" w:type="pct"/>
            <w:shd w:val="clear" w:color="auto" w:fill="C6EFCE"/>
            <w:noWrap/>
            <w:vAlign w:val="center"/>
          </w:tcPr>
          <w:p w14:paraId="386368F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279" w:type="pct"/>
            <w:shd w:val="clear" w:color="auto" w:fill="C6EFCE"/>
            <w:noWrap/>
            <w:vAlign w:val="center"/>
          </w:tcPr>
          <w:p w14:paraId="58BF954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278" w:type="pct"/>
            <w:shd w:val="clear" w:color="auto" w:fill="C6EFCE"/>
            <w:noWrap/>
            <w:vAlign w:val="center"/>
          </w:tcPr>
          <w:p w14:paraId="48CE25F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78" w:type="pct"/>
            <w:shd w:val="clear" w:color="auto" w:fill="C6EFCE"/>
            <w:noWrap/>
            <w:vAlign w:val="center"/>
          </w:tcPr>
          <w:p w14:paraId="27948EB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2021</w:t>
            </w:r>
          </w:p>
        </w:tc>
        <w:tc>
          <w:tcPr>
            <w:tcW w:w="1198" w:type="pct"/>
            <w:shd w:val="clear" w:color="auto" w:fill="C6EFCE"/>
            <w:noWrap/>
            <w:vAlign w:val="center"/>
          </w:tcPr>
          <w:p w14:paraId="0934C01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Kunstiteoste omandiõiguse üleminek peab toimuma kuue kuu jooksul alates seaduse 120/20 jõustumisest. Eeldatakse, et see viiakse lõpule vastavalt seadusandliku dekreedi nr 285/1992 ja selle määruste (presidendi dekreet 495/92) eeskirjadele, millega nähakse ette sätted omandi ülemineku kohta teedeomanike vahel.</w:t>
            </w:r>
          </w:p>
        </w:tc>
      </w:tr>
    </w:tbl>
    <w:p w14:paraId="588C86DF" w14:textId="77777777" w:rsidR="0084326C" w:rsidRPr="00F33804" w:rsidRDefault="0084326C" w:rsidP="0084326C">
      <w:pPr>
        <w:spacing w:before="120" w:after="120"/>
        <w:jc w:val="both"/>
        <w:rPr>
          <w:noProof/>
        </w:rPr>
      </w:pPr>
    </w:p>
    <w:p w14:paraId="221F019D" w14:textId="77777777" w:rsidR="0084326C" w:rsidRPr="00F33804" w:rsidRDefault="0084326C" w:rsidP="0084326C">
      <w:pPr>
        <w:tabs>
          <w:tab w:val="left" w:pos="4252"/>
        </w:tabs>
        <w:rPr>
          <w:i/>
          <w:noProof/>
        </w:rPr>
      </w:pPr>
    </w:p>
    <w:p w14:paraId="1A8DAD64" w14:textId="77777777" w:rsidR="0084326C" w:rsidRPr="00F33804" w:rsidRDefault="0084326C" w:rsidP="0084326C">
      <w:pPr>
        <w:tabs>
          <w:tab w:val="left" w:pos="4252"/>
        </w:tabs>
        <w:rPr>
          <w:i/>
          <w:noProof/>
        </w:rPr>
      </w:pPr>
    </w:p>
    <w:p w14:paraId="4841A880" w14:textId="77777777" w:rsidR="0084326C" w:rsidRPr="00F33804" w:rsidRDefault="0084326C" w:rsidP="0084326C">
      <w:pPr>
        <w:spacing w:before="120" w:after="120"/>
        <w:jc w:val="both"/>
        <w:rPr>
          <w:b/>
          <w:bCs/>
          <w:noProof/>
          <w:u w:val="single"/>
        </w:rPr>
        <w:sectPr w:rsidR="0084326C" w:rsidRPr="00F33804">
          <w:headerReference w:type="even" r:id="rId224"/>
          <w:headerReference w:type="default" r:id="rId225"/>
          <w:footerReference w:type="even" r:id="rId226"/>
          <w:footerReference w:type="default" r:id="rId227"/>
          <w:headerReference w:type="first" r:id="rId228"/>
          <w:footerReference w:type="first" r:id="rId229"/>
          <w:pgSz w:w="16838" w:h="11907" w:orient="landscape" w:code="9"/>
          <w:pgMar w:top="1134" w:right="1134" w:bottom="1134" w:left="1134" w:header="567" w:footer="567" w:gutter="0"/>
          <w:cols w:space="720"/>
          <w:docGrid w:linePitch="360"/>
        </w:sectPr>
      </w:pPr>
    </w:p>
    <w:p w14:paraId="19EA01CE" w14:textId="77777777" w:rsidR="0084326C" w:rsidRPr="005D68A0" w:rsidRDefault="0084326C" w:rsidP="0084326C">
      <w:pPr>
        <w:pStyle w:val="Heading2"/>
        <w:numPr>
          <w:ilvl w:val="0"/>
          <w:numId w:val="0"/>
        </w:numPr>
        <w:ind w:left="850" w:hanging="850"/>
        <w:rPr>
          <w:noProof/>
        </w:rPr>
      </w:pPr>
      <w:r>
        <w:rPr>
          <w:noProof/>
        </w:rPr>
        <w:t>I. ÜLESANNE 3 KOMPONENT 2 – Intermodaalsus ja integreeritud logistika</w:t>
      </w:r>
    </w:p>
    <w:p w14:paraId="4154045E" w14:textId="77777777" w:rsidR="0084326C" w:rsidRPr="005D68A0" w:rsidRDefault="0084326C" w:rsidP="0084326C">
      <w:pPr>
        <w:tabs>
          <w:tab w:val="left" w:pos="1134"/>
        </w:tabs>
        <w:spacing w:before="120" w:after="120"/>
        <w:jc w:val="both"/>
        <w:rPr>
          <w:rFonts w:eastAsia="Calibri"/>
          <w:iCs/>
          <w:noProof/>
        </w:rPr>
      </w:pPr>
      <w:r>
        <w:rPr>
          <w:noProof/>
        </w:rPr>
        <w:t>Itaalia taaste- ja vastupidavuskava selle osa eesmärk on muuta Itaalia sadamad tõhusamaks ja konkurentsivõimelisemaks, energiatõhusamaks ja logistikaahelasse paremini integreerituks. Samuti on selle eesmärk digiteerida lennuliikluse korraldamise süsteem.</w:t>
      </w:r>
    </w:p>
    <w:p w14:paraId="4F385D65" w14:textId="77777777" w:rsidR="0084326C" w:rsidRPr="005D68A0" w:rsidRDefault="0084326C" w:rsidP="0084326C">
      <w:pPr>
        <w:tabs>
          <w:tab w:val="left" w:pos="1134"/>
        </w:tabs>
        <w:spacing w:before="120" w:after="120"/>
        <w:jc w:val="both"/>
        <w:rPr>
          <w:rFonts w:eastAsia="Calibri"/>
          <w:iCs/>
          <w:noProof/>
        </w:rPr>
      </w:pPr>
      <w:r>
        <w:rPr>
          <w:noProof/>
        </w:rPr>
        <w:t>Selleks hõlmab see ühelt poolt olulisi reforme, et lihtsustada protsesse, ajakohastada sadamaplaneerimist ja muuta kontsessioonid Itaalia sadamates konkurentsivõimelisemaks. Teiselt poolt mõned investeeringud, mille eesmärk on tagada transpordiliikide ühitamine Euroopa teabevahetuse põhisuundadega, arendades sidemeid merede ja Vahemere-sisese salakaubaveoga, suurendades Itaalia sadamasüsteemi dünaamilisust ja konkurentsivõimet, pidades samuti silmas kasvuhoonegaaside heitkoguste vähendamist. Eeldatakse, et selle komponendiga seotud investeeringud suurendavad oluliselt reisijate- ja kaubaveo mahtu Itaalia sadamates, avaldades positiivset mõju elavdavale majandustegevusele vastavates piirkondades ja kogu riigi majandusele.</w:t>
      </w:r>
    </w:p>
    <w:p w14:paraId="4063BDF7" w14:textId="77777777" w:rsidR="0084326C" w:rsidRPr="005D68A0" w:rsidRDefault="0084326C" w:rsidP="0084326C">
      <w:pPr>
        <w:tabs>
          <w:tab w:val="left" w:pos="1134"/>
        </w:tabs>
        <w:spacing w:before="120" w:after="120"/>
        <w:jc w:val="both"/>
        <w:rPr>
          <w:rFonts w:eastAsia="Calibri"/>
          <w:iCs/>
          <w:noProof/>
        </w:rPr>
      </w:pPr>
      <w:r>
        <w:rPr>
          <w:noProof/>
        </w:rPr>
        <w:t xml:space="preserve">Teisest küljest on see komponent seotud logistikasüsteemide, sealhulgas lennujaamasüsteemide digiteerimisega. Loodetakse muuta need sektorid konkurentsivõimelisemaks, kasutades uuenduslikke tehnoloogilisi lahendusi, et muuta süsteem tõhusamaks ja vähendada ka selle keskkonnamõju. </w:t>
      </w:r>
    </w:p>
    <w:p w14:paraId="4D7B7124" w14:textId="77777777" w:rsidR="0084326C" w:rsidRPr="005D68A0" w:rsidRDefault="0084326C" w:rsidP="0084326C">
      <w:pPr>
        <w:spacing w:before="120" w:after="120"/>
        <w:jc w:val="both"/>
        <w:rPr>
          <w:noProof/>
        </w:rPr>
      </w:pPr>
      <w:r>
        <w:rPr>
          <w:noProof/>
        </w:rPr>
        <w:t>See komponent on seotud 2019. aasta riigipõhise soovitusega nr 3, milles kutsutakse Itaaliat üles „keskenduma investeeringutega seotud majanduspoliitikas taristu kvaliteedile“, ja 2020. aasta riigipõhise soovitusega nr 3, milles soovitatakse „keskenduda investeeringute tegemisel üleminekule rohelisele majandusele ja digitaaltehnoloogiale, eelkõige energia puhtale ja tõhusale tootmisele ja kasutamisele, teadus- ja arendustegevusele, keskkonnahoidlikult ühistranspordile, jäätmekäitlusele ja veemajandusele ning paremale digitaristule, et tagada esmatähtsate teenuste pakkumine“.</w:t>
      </w:r>
    </w:p>
    <w:p w14:paraId="13B045B3" w14:textId="77777777" w:rsidR="0084326C" w:rsidRPr="005D68A0" w:rsidRDefault="0084326C" w:rsidP="0084326C">
      <w:pPr>
        <w:spacing w:before="120" w:after="120"/>
        <w:jc w:val="both"/>
        <w:rPr>
          <w:noProof/>
        </w:rPr>
      </w:pPr>
      <w:r>
        <w:rPr>
          <w:noProof/>
        </w:rPr>
        <w:t>Lähtudes meetmete kirjeldusest taaste- ja vastupidavuskavas ja võttes arvesse põhimõtte „Ei kahjusta oluliselt“ tehniliste suuniste (2021/C58/01) kohaseid leevendavaid samme, mis kavas on sätestatud, võib eeldada, et ükski selle komponendi meede ei kahjusta määruse (EL) 2020/852 artikli 17 tähenduses oluliselt keskkonnaeesmärke.</w:t>
      </w:r>
    </w:p>
    <w:p w14:paraId="6C6EB2C6" w14:textId="77777777" w:rsidR="0084326C" w:rsidRPr="005D68A0" w:rsidRDefault="0084326C" w:rsidP="0084326C">
      <w:pPr>
        <w:pStyle w:val="Heading3"/>
        <w:numPr>
          <w:ilvl w:val="0"/>
          <w:numId w:val="0"/>
        </w:numPr>
        <w:ind w:left="850" w:hanging="850"/>
        <w:rPr>
          <w:b/>
          <w:bCs w:val="0"/>
          <w:i w:val="0"/>
          <w:iCs/>
          <w:noProof/>
          <w:color w:val="4472C4" w:themeColor="accent1"/>
          <w:u w:val="single"/>
        </w:rPr>
      </w:pPr>
      <w:r>
        <w:rPr>
          <w:b/>
          <w:i w:val="0"/>
          <w:noProof/>
          <w:u w:val="single"/>
        </w:rPr>
        <w:t xml:space="preserve">I.1. </w:t>
      </w:r>
      <w:r>
        <w:rPr>
          <w:noProof/>
        </w:rPr>
        <w:tab/>
      </w:r>
      <w:r>
        <w:rPr>
          <w:b/>
          <w:i w:val="0"/>
          <w:noProof/>
          <w:u w:val="single"/>
        </w:rPr>
        <w:t>Tagastamatu rahalise toetusega seotud reformide ja investeeringute kirjeldus</w:t>
      </w:r>
    </w:p>
    <w:p w14:paraId="6DCD5275" w14:textId="77777777" w:rsidR="0084326C" w:rsidRPr="005D68A0" w:rsidRDefault="0084326C" w:rsidP="0084326C">
      <w:pPr>
        <w:spacing w:before="120" w:after="120" w:line="257" w:lineRule="auto"/>
        <w:jc w:val="both"/>
        <w:rPr>
          <w:b/>
          <w:bCs/>
          <w:noProof/>
        </w:rPr>
      </w:pPr>
      <w:r>
        <w:rPr>
          <w:b/>
          <w:noProof/>
        </w:rPr>
        <w:t>Reform 1.1. Strateegilise planeerimise menetluste lihtsustamine</w:t>
      </w:r>
    </w:p>
    <w:p w14:paraId="78E14E82" w14:textId="2B857DE4" w:rsidR="0084326C" w:rsidRPr="005D68A0" w:rsidRDefault="0084326C" w:rsidP="0084326C">
      <w:pPr>
        <w:spacing w:before="120" w:after="120" w:line="257" w:lineRule="auto"/>
        <w:jc w:val="both"/>
        <w:rPr>
          <w:bCs/>
          <w:noProof/>
        </w:rPr>
      </w:pPr>
      <w:r>
        <w:rPr>
          <w:noProof/>
        </w:rPr>
        <w:t>Selle meetmega nähakse ette sadama planeerimise ajakohastamine, et tagada Itaalia sadamasüsteemi strateegiline visioon. Reformiga reguleeritakse vähemalt i) sadamasüsteemi asutuste arengueesmärke; ii) täpselt sadama- ja tagasadamafunktsioonide jaoks kindlaks määratud ja visandatud alad, iii) maantee- ja raudteeinfrastruktuuri viimase etapi ühendused sadamatega, iv)</w:t>
      </w:r>
      <w:r w:rsidR="003A2B99">
        <w:rPr>
          <w:noProof/>
        </w:rPr>
        <w:t> </w:t>
      </w:r>
      <w:r>
        <w:rPr>
          <w:noProof/>
        </w:rPr>
        <w:t>planeerimise sisu kindlaksmääramisel järgitavad kriteeriumid ning v) sadama reguleerimiskavade koostamise suunised, eeskirjad ja menetlused tuleb üheselt kindlaks määrata.</w:t>
      </w:r>
    </w:p>
    <w:p w14:paraId="768DC2BD" w14:textId="77777777" w:rsidR="0084326C" w:rsidRPr="005D68A0" w:rsidRDefault="0084326C" w:rsidP="0084326C">
      <w:pPr>
        <w:spacing w:before="120" w:after="120" w:line="257" w:lineRule="auto"/>
        <w:jc w:val="both"/>
        <w:rPr>
          <w:b/>
          <w:bCs/>
          <w:noProof/>
        </w:rPr>
      </w:pPr>
      <w:r>
        <w:rPr>
          <w:b/>
          <w:noProof/>
        </w:rPr>
        <w:t xml:space="preserve">Reform 1.2. Konkurentsipõhiste kontsessioonide andmine Itaalia sadamates  </w:t>
      </w:r>
    </w:p>
    <w:p w14:paraId="3774D40E" w14:textId="77777777" w:rsidR="0084326C" w:rsidRPr="005D68A0" w:rsidRDefault="0084326C" w:rsidP="0084326C">
      <w:pPr>
        <w:spacing w:before="120" w:after="120"/>
        <w:jc w:val="both"/>
        <w:rPr>
          <w:rFonts w:eastAsia="Calibri"/>
          <w:noProof/>
        </w:rPr>
      </w:pPr>
      <w:r>
        <w:rPr>
          <w:noProof/>
        </w:rPr>
        <w:t>Meetme eesmärk on määrata kindlaks tingimused, mis on seotud kontsessiooni kestuse, abi andvate asutuste järelevalve- ja kontrollivolituste, uuendamise menetluste, rajatiste uuele kontsessionäärile üleandmisega kontsessiooni lõppedes ning kontsessionääridelt nõutavate tasude miinimummäärade kindlaksmääramisega.</w:t>
      </w:r>
    </w:p>
    <w:p w14:paraId="17F7FF9F" w14:textId="77777777" w:rsidR="0084326C" w:rsidRPr="00F33804" w:rsidRDefault="0084326C" w:rsidP="0084326C">
      <w:pPr>
        <w:spacing w:before="120" w:after="120"/>
        <w:jc w:val="both"/>
        <w:rPr>
          <w:rFonts w:eastAsia="Calibri"/>
          <w:noProof/>
        </w:rPr>
      </w:pPr>
    </w:p>
    <w:p w14:paraId="201624C5" w14:textId="77777777" w:rsidR="0084326C" w:rsidRPr="005D68A0" w:rsidRDefault="0084326C" w:rsidP="0084326C">
      <w:pPr>
        <w:spacing w:before="120" w:after="120"/>
        <w:jc w:val="both"/>
        <w:rPr>
          <w:rFonts w:eastAsia="Calibri"/>
          <w:b/>
          <w:noProof/>
        </w:rPr>
      </w:pPr>
      <w:r>
        <w:rPr>
          <w:b/>
          <w:noProof/>
        </w:rPr>
        <w:t xml:space="preserve">Reform 1.3. Triikimislubade andmise korra lihtsustamine Itaalia sadamates  </w:t>
      </w:r>
    </w:p>
    <w:p w14:paraId="0C8D6147" w14:textId="77777777" w:rsidR="0084326C" w:rsidRPr="005D68A0" w:rsidRDefault="0084326C" w:rsidP="0084326C">
      <w:pPr>
        <w:spacing w:before="120" w:after="120"/>
        <w:jc w:val="both"/>
        <w:rPr>
          <w:rFonts w:eastAsia="Calibri"/>
          <w:noProof/>
        </w:rPr>
      </w:pPr>
      <w:r>
        <w:rPr>
          <w:noProof/>
        </w:rPr>
        <w:t>See meede peaks lihtsustama ja vähendama lubade andmise menetlust seoses riikliku elektriülekandevõrgu jaamade ehitamisega, et varustada laevade elektrivarustussüsteeme (</w:t>
      </w:r>
      <w:r>
        <w:rPr>
          <w:i/>
          <w:noProof/>
        </w:rPr>
        <w:t>külm triikimine</w:t>
      </w:r>
      <w:r>
        <w:rPr>
          <w:noProof/>
        </w:rPr>
        <w:t>).</w:t>
      </w:r>
    </w:p>
    <w:p w14:paraId="26D98DC0" w14:textId="77777777" w:rsidR="0084326C" w:rsidRPr="005D68A0" w:rsidRDefault="0084326C" w:rsidP="0084326C">
      <w:pPr>
        <w:spacing w:before="120" w:after="120"/>
        <w:jc w:val="both"/>
        <w:rPr>
          <w:rFonts w:eastAsia="Calibri"/>
          <w:noProof/>
        </w:rPr>
      </w:pPr>
      <w:r>
        <w:rPr>
          <w:noProof/>
        </w:rPr>
        <w:t xml:space="preserve">Infrastruktuuri- ja transpordiministeerium teeb ettepaneku loa andmise menetluse lihtsustamiseks. Eelkõige tehakse ettepanek, et külmtriikimise projekte hindaksid piirkondlikud bürood, kes annavad aru majandusarengu ministeeriumile, kes võiksid projekte lähemal ajal uurida ja anda neile loa. Lisaks nähakse ette reguleeriv sekkumine, et määrata kindlaks ühtne loa andmise menetlus projektidele, mille pinge on suurem kui 132 kV ja ülejäänu, et kasutada ära protsessi sünergiat. </w:t>
      </w:r>
    </w:p>
    <w:p w14:paraId="031FD7FE" w14:textId="77777777" w:rsidR="0084326C" w:rsidRPr="005D68A0" w:rsidRDefault="0084326C" w:rsidP="0084326C">
      <w:pPr>
        <w:spacing w:before="120" w:after="120"/>
        <w:jc w:val="both"/>
        <w:rPr>
          <w:rFonts w:eastAsia="Calibri"/>
          <w:b/>
          <w:noProof/>
        </w:rPr>
      </w:pPr>
      <w:r>
        <w:rPr>
          <w:b/>
          <w:noProof/>
        </w:rPr>
        <w:t>Reform 2.1. Ühtse tolliliidese („Sportello Unico Doganale“) rakendamine</w:t>
      </w:r>
    </w:p>
    <w:p w14:paraId="77ADEB8F" w14:textId="77777777" w:rsidR="0084326C" w:rsidRPr="005D68A0" w:rsidRDefault="0084326C" w:rsidP="0084326C">
      <w:pPr>
        <w:spacing w:before="120" w:after="120"/>
        <w:jc w:val="both"/>
        <w:rPr>
          <w:noProof/>
        </w:rPr>
      </w:pPr>
      <w:r>
        <w:rPr>
          <w:noProof/>
        </w:rPr>
        <w:t>Eesmärk on luua ühtse kontrollipunkti jaoks spetsiaalne portaal, mis võimaldab koostalitlust riiklike andmebaasidega ja tolli kontrollitegevuse koordineerimist.</w:t>
      </w:r>
    </w:p>
    <w:p w14:paraId="6632C74F" w14:textId="77777777" w:rsidR="0084326C" w:rsidRPr="005D68A0" w:rsidRDefault="0084326C" w:rsidP="0084326C">
      <w:pPr>
        <w:spacing w:before="120" w:after="120"/>
        <w:jc w:val="both"/>
        <w:rPr>
          <w:b/>
          <w:noProof/>
        </w:rPr>
      </w:pPr>
      <w:r>
        <w:rPr>
          <w:b/>
          <w:noProof/>
        </w:rPr>
        <w:t>Investeering 2.1. Logistikaahela digiteerimine</w:t>
      </w:r>
    </w:p>
    <w:p w14:paraId="451503EE" w14:textId="77777777" w:rsidR="0084326C" w:rsidRPr="005D68A0" w:rsidRDefault="0084326C" w:rsidP="0084326C">
      <w:pPr>
        <w:spacing w:before="120" w:after="120"/>
        <w:jc w:val="both"/>
        <w:rPr>
          <w:noProof/>
        </w:rPr>
      </w:pPr>
      <w:r>
        <w:rPr>
          <w:noProof/>
        </w:rPr>
        <w:t>See investeering peaks suurendama riikliku logistika konkurentsivõimet, luues kaubaveo ja logistika valdkonnas avaliku ja erasektori osalejate vahel koostalitlusvõimelise digitaalse süsteemi, mis lihtsustab menetlusi, protsesse ja kontrolle, keskendudes dokumentide dematerialiseerimisele ning andmete ja teabe vahetamisele.</w:t>
      </w:r>
    </w:p>
    <w:p w14:paraId="5244A052" w14:textId="77777777" w:rsidR="0084326C" w:rsidRPr="005D68A0" w:rsidRDefault="0084326C" w:rsidP="0084326C">
      <w:pPr>
        <w:spacing w:before="120" w:after="120"/>
        <w:jc w:val="both"/>
        <w:rPr>
          <w:rFonts w:eastAsia="Calibri"/>
          <w:b/>
          <w:bCs/>
          <w:noProof/>
        </w:rPr>
      </w:pPr>
      <w:r>
        <w:rPr>
          <w:b/>
          <w:noProof/>
        </w:rPr>
        <w:t>Investeering 2.2. Lennuliikluse korraldamise digiteerimine</w:t>
      </w:r>
    </w:p>
    <w:p w14:paraId="2DC741FB" w14:textId="77777777" w:rsidR="0084326C" w:rsidRPr="005D68A0" w:rsidRDefault="0084326C" w:rsidP="0084326C">
      <w:pPr>
        <w:spacing w:before="120" w:after="120"/>
        <w:jc w:val="both"/>
        <w:rPr>
          <w:rFonts w:eastAsia="Calibri"/>
          <w:noProof/>
        </w:rPr>
      </w:pPr>
      <w:r>
        <w:rPr>
          <w:noProof/>
        </w:rPr>
        <w:t xml:space="preserve">Selle investeeringu eesmärk on sektori digitaalne ajakohastamine, mis hõlmab nii aeronavigatsiooniteabe digiteerimise uute vahendite väljatöötamist kui ka mehitamata õhusõidukite platvormide ja teenuste rakendamist. </w:t>
      </w:r>
    </w:p>
    <w:p w14:paraId="503B0C01" w14:textId="77777777" w:rsidR="0084326C" w:rsidRPr="005D68A0" w:rsidRDefault="0084326C" w:rsidP="0084326C">
      <w:pPr>
        <w:spacing w:before="120" w:after="120"/>
        <w:jc w:val="both"/>
        <w:rPr>
          <w:rFonts w:eastAsia="Calibri"/>
          <w:noProof/>
        </w:rPr>
      </w:pPr>
      <w:r>
        <w:rPr>
          <w:noProof/>
        </w:rPr>
        <w:t>Projektid hõlmavad mehitamata liikluse juhtimissüsteemi (UTMS) arendamist ja ühenduvust, aeronavigatsiooniteabe digiteerimist ja uue hooldusmudeli määratlemist.</w:t>
      </w:r>
    </w:p>
    <w:p w14:paraId="044869B2" w14:textId="77777777" w:rsidR="0084326C" w:rsidRPr="005D68A0" w:rsidRDefault="0084326C" w:rsidP="0084326C">
      <w:pPr>
        <w:pStyle w:val="paragraph"/>
        <w:spacing w:before="0" w:beforeAutospacing="0" w:after="0" w:afterAutospacing="0"/>
        <w:jc w:val="both"/>
        <w:textAlignment w:val="baseline"/>
        <w:rPr>
          <w:rFonts w:ascii="Segoe UI" w:hAnsi="Segoe UI" w:cs="Segoe UI"/>
          <w:noProof/>
          <w:sz w:val="18"/>
          <w:szCs w:val="18"/>
        </w:rPr>
      </w:pPr>
      <w:r>
        <w:rPr>
          <w:rStyle w:val="normaltextrun"/>
          <w:b/>
          <w:noProof/>
        </w:rPr>
        <w:t>Investeering 2.3. Külm triikimine</w:t>
      </w:r>
      <w:r>
        <w:rPr>
          <w:rStyle w:val="eop"/>
          <w:noProof/>
        </w:rPr>
        <w:t xml:space="preserve"> </w:t>
      </w:r>
    </w:p>
    <w:p w14:paraId="690B7148" w14:textId="77777777" w:rsidR="0084326C" w:rsidRPr="005D68A0" w:rsidRDefault="0084326C" w:rsidP="0084326C">
      <w:pPr>
        <w:pStyle w:val="paragraph"/>
        <w:spacing w:before="0" w:beforeAutospacing="0" w:after="0" w:afterAutospacing="0"/>
        <w:jc w:val="both"/>
        <w:textAlignment w:val="baseline"/>
        <w:rPr>
          <w:rStyle w:val="eop"/>
          <w:noProof/>
        </w:rPr>
      </w:pPr>
      <w:r>
        <w:rPr>
          <w:rStyle w:val="normaltextrun"/>
          <w:noProof/>
        </w:rPr>
        <w:t>See investeering seisneb sadamapiirkonnas elektriga varustamise võrgu (dokid) rajamises ja sellega seotud infrastruktuuris riikliku ülekandevõrguga. Kooskõlas alternatiivkütuste taristu määrusega peab kaldaäärne elektritoide võimaldama ka elektrilaevade laadimist.</w:t>
      </w:r>
      <w:r>
        <w:rPr>
          <w:rStyle w:val="eop"/>
          <w:noProof/>
        </w:rPr>
        <w:t xml:space="preserve"> </w:t>
      </w:r>
    </w:p>
    <w:p w14:paraId="7705CA05" w14:textId="77777777" w:rsidR="0084326C" w:rsidRPr="00F33804" w:rsidRDefault="0084326C" w:rsidP="0084326C">
      <w:pPr>
        <w:pStyle w:val="paragraph"/>
        <w:spacing w:before="0" w:beforeAutospacing="0" w:after="0" w:afterAutospacing="0"/>
        <w:jc w:val="both"/>
        <w:textAlignment w:val="baseline"/>
        <w:rPr>
          <w:rFonts w:ascii="Segoe UI" w:hAnsi="Segoe UI" w:cs="Segoe UI"/>
          <w:noProof/>
          <w:sz w:val="18"/>
          <w:szCs w:val="18"/>
        </w:rPr>
      </w:pPr>
    </w:p>
    <w:p w14:paraId="34240D1D" w14:textId="77777777" w:rsidR="0084326C" w:rsidRPr="005D68A0" w:rsidRDefault="0084326C" w:rsidP="0084326C">
      <w:pPr>
        <w:pStyle w:val="Heading3"/>
        <w:numPr>
          <w:ilvl w:val="0"/>
          <w:numId w:val="0"/>
        </w:numPr>
        <w:ind w:left="850" w:hanging="850"/>
        <w:rPr>
          <w:b/>
          <w:bCs w:val="0"/>
          <w:i w:val="0"/>
          <w:iCs/>
          <w:noProof/>
          <w:u w:val="single"/>
        </w:rPr>
      </w:pPr>
      <w:r>
        <w:rPr>
          <w:b/>
          <w:i w:val="0"/>
          <w:noProof/>
          <w:u w:val="single"/>
        </w:rPr>
        <w:t xml:space="preserve">I.2. </w:t>
      </w:r>
      <w:r>
        <w:rPr>
          <w:noProof/>
        </w:rPr>
        <w:tab/>
      </w:r>
      <w:r>
        <w:rPr>
          <w:b/>
          <w:i w:val="0"/>
          <w:noProof/>
          <w:u w:val="single"/>
        </w:rPr>
        <w:t>Tagastamatu rahalise toetuse eesmärgid, sihid, näitajad ning seire ja rakendamise ajakava</w:t>
      </w:r>
    </w:p>
    <w:p w14:paraId="6617EF91" w14:textId="77777777" w:rsidR="0084326C" w:rsidRPr="00F33804" w:rsidRDefault="0084326C" w:rsidP="0084326C">
      <w:pPr>
        <w:spacing w:before="120" w:after="120"/>
        <w:ind w:left="709"/>
        <w:jc w:val="both"/>
        <w:rPr>
          <w:noProof/>
        </w:rPr>
        <w:sectPr w:rsidR="0084326C" w:rsidRPr="00F33804">
          <w:headerReference w:type="even" r:id="rId230"/>
          <w:headerReference w:type="default" r:id="rId231"/>
          <w:footerReference w:type="even" r:id="rId232"/>
          <w:footerReference w:type="default" r:id="rId233"/>
          <w:headerReference w:type="first" r:id="rId234"/>
          <w:footerReference w:type="first" r:id="rId235"/>
          <w:pgSz w:w="11907" w:h="16839"/>
          <w:pgMar w:top="1134" w:right="1134" w:bottom="1134" w:left="1134" w:header="567" w:footer="567" w:gutter="0"/>
          <w:cols w:space="720"/>
          <w:docGrid w:linePitch="360"/>
        </w:sectPr>
      </w:pPr>
    </w:p>
    <w:tbl>
      <w:tblPr>
        <w:tblW w:w="5451" w:type="pct"/>
        <w:jc w:val="center"/>
        <w:tblLook w:val="04A0" w:firstRow="1" w:lastRow="0" w:firstColumn="1" w:lastColumn="0" w:noHBand="0" w:noVBand="1"/>
      </w:tblPr>
      <w:tblGrid>
        <w:gridCol w:w="1130"/>
        <w:gridCol w:w="1612"/>
        <w:gridCol w:w="1066"/>
        <w:gridCol w:w="2004"/>
        <w:gridCol w:w="1976"/>
        <w:gridCol w:w="973"/>
        <w:gridCol w:w="1096"/>
        <w:gridCol w:w="973"/>
        <w:gridCol w:w="916"/>
        <w:gridCol w:w="666"/>
        <w:gridCol w:w="4231"/>
      </w:tblGrid>
      <w:tr w:rsidR="0084326C" w:rsidRPr="00D90835" w14:paraId="18C1FD2D" w14:textId="77777777">
        <w:trPr>
          <w:trHeight w:val="927"/>
          <w:tblHeader/>
          <w:jc w:val="center"/>
        </w:trPr>
        <w:tc>
          <w:tcPr>
            <w:tcW w:w="113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F4E8C4E" w14:textId="3B3B4DC0" w:rsidR="0084326C" w:rsidRPr="005D68A0" w:rsidRDefault="0084326C">
            <w:pPr>
              <w:jc w:val="center"/>
              <w:rPr>
                <w:rFonts w:ascii="Arial Narrow" w:hAnsi="Arial Narrow"/>
                <w:b/>
                <w:noProof/>
                <w:sz w:val="20"/>
                <w:szCs w:val="20"/>
              </w:rPr>
            </w:pPr>
            <w:r>
              <w:rPr>
                <w:rFonts w:ascii="Arial Narrow" w:hAnsi="Arial Narrow"/>
                <w:b/>
                <w:noProof/>
                <w:sz w:val="20"/>
              </w:rPr>
              <w:t>Järjekorra</w:t>
            </w:r>
            <w:r w:rsidR="003A2B99">
              <w:rPr>
                <w:rFonts w:ascii="Arial Narrow" w:hAnsi="Arial Narrow"/>
                <w:b/>
                <w:noProof/>
                <w:sz w:val="20"/>
              </w:rPr>
              <w:t>-</w:t>
            </w:r>
            <w:r>
              <w:rPr>
                <w:rFonts w:ascii="Arial Narrow" w:hAnsi="Arial Narrow"/>
                <w:b/>
                <w:noProof/>
                <w:sz w:val="20"/>
              </w:rPr>
              <w:t>number</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3696520" w14:textId="77777777" w:rsidR="0084326C" w:rsidRPr="005D68A0" w:rsidRDefault="0084326C">
            <w:pPr>
              <w:jc w:val="center"/>
              <w:rPr>
                <w:rFonts w:ascii="Arial Narrow" w:hAnsi="Arial Narrow"/>
                <w:b/>
                <w:noProof/>
                <w:sz w:val="20"/>
                <w:szCs w:val="20"/>
              </w:rPr>
            </w:pPr>
            <w:r>
              <w:rPr>
                <w:rFonts w:ascii="Arial Narrow" w:hAnsi="Arial Narrow"/>
                <w:b/>
                <w:noProof/>
                <w:sz w:val="20"/>
              </w:rPr>
              <w:t>Seotud meede (reform või investeering)</w:t>
            </w:r>
          </w:p>
        </w:tc>
        <w:tc>
          <w:tcPr>
            <w:tcW w:w="106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D595FD5" w14:textId="77777777" w:rsidR="0084326C" w:rsidRPr="005D68A0" w:rsidRDefault="0084326C">
            <w:pPr>
              <w:jc w:val="center"/>
              <w:rPr>
                <w:rFonts w:ascii="Arial Narrow" w:hAnsi="Arial Narrow"/>
                <w:b/>
                <w:noProof/>
                <w:sz w:val="20"/>
                <w:szCs w:val="20"/>
              </w:rPr>
            </w:pPr>
            <w:r>
              <w:rPr>
                <w:rFonts w:ascii="Arial Narrow" w:hAnsi="Arial Narrow"/>
                <w:b/>
                <w:noProof/>
                <w:sz w:val="20"/>
              </w:rPr>
              <w:t>Eesmärk / siht</w:t>
            </w:r>
          </w:p>
        </w:tc>
        <w:tc>
          <w:tcPr>
            <w:tcW w:w="1627" w:type="dxa"/>
            <w:vMerge w:val="restart"/>
            <w:tcBorders>
              <w:top w:val="single" w:sz="4" w:space="0" w:color="auto"/>
              <w:left w:val="nil"/>
              <w:bottom w:val="single" w:sz="4" w:space="0" w:color="auto"/>
              <w:right w:val="single" w:sz="4" w:space="0" w:color="auto"/>
            </w:tcBorders>
            <w:shd w:val="clear" w:color="auto" w:fill="BDD7EE"/>
            <w:vAlign w:val="center"/>
            <w:hideMark/>
          </w:tcPr>
          <w:p w14:paraId="28BE34BD" w14:textId="77777777" w:rsidR="0084326C" w:rsidRPr="005D68A0" w:rsidRDefault="0084326C">
            <w:pPr>
              <w:jc w:val="center"/>
              <w:rPr>
                <w:rFonts w:ascii="Arial Narrow" w:hAnsi="Arial Narrow"/>
                <w:b/>
                <w:noProof/>
                <w:sz w:val="20"/>
                <w:szCs w:val="20"/>
              </w:rPr>
            </w:pPr>
            <w:r>
              <w:rPr>
                <w:rFonts w:ascii="Arial Narrow" w:hAnsi="Arial Narrow"/>
                <w:b/>
                <w:noProof/>
                <w:sz w:val="20"/>
              </w:rPr>
              <w:t>Nimi</w:t>
            </w:r>
          </w:p>
        </w:tc>
        <w:tc>
          <w:tcPr>
            <w:tcW w:w="177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3F9FFA4" w14:textId="77777777" w:rsidR="0084326C" w:rsidRPr="005D68A0" w:rsidRDefault="0084326C">
            <w:pPr>
              <w:jc w:val="center"/>
              <w:rPr>
                <w:rFonts w:ascii="Arial Narrow" w:hAnsi="Arial Narrow"/>
                <w:b/>
                <w:noProof/>
                <w:sz w:val="20"/>
                <w:szCs w:val="20"/>
              </w:rPr>
            </w:pPr>
            <w:r>
              <w:rPr>
                <w:rFonts w:ascii="Arial Narrow" w:hAnsi="Arial Narrow"/>
                <w:b/>
                <w:noProof/>
                <w:sz w:val="20"/>
              </w:rPr>
              <w:t>Kvalitatiivsed näitajad</w:t>
            </w:r>
            <w:r>
              <w:rPr>
                <w:noProof/>
              </w:rPr>
              <w:t xml:space="preserve"> </w:t>
            </w:r>
            <w:r>
              <w:rPr>
                <w:noProof/>
              </w:rPr>
              <w:br/>
            </w:r>
            <w:r>
              <w:rPr>
                <w:rFonts w:ascii="Arial Narrow" w:hAnsi="Arial Narrow"/>
                <w:b/>
                <w:noProof/>
                <w:sz w:val="20"/>
              </w:rPr>
              <w:t>(eesmärkide puhul)</w:t>
            </w:r>
          </w:p>
        </w:tc>
        <w:tc>
          <w:tcPr>
            <w:tcW w:w="2900" w:type="dxa"/>
            <w:gridSpan w:val="3"/>
            <w:tcBorders>
              <w:top w:val="single" w:sz="4" w:space="0" w:color="auto"/>
              <w:left w:val="nil"/>
              <w:bottom w:val="single" w:sz="4" w:space="0" w:color="auto"/>
              <w:right w:val="single" w:sz="4" w:space="0" w:color="auto"/>
            </w:tcBorders>
            <w:shd w:val="clear" w:color="auto" w:fill="BDD7EE"/>
            <w:vAlign w:val="center"/>
            <w:hideMark/>
          </w:tcPr>
          <w:p w14:paraId="48D10D45" w14:textId="77777777" w:rsidR="0084326C" w:rsidRPr="005D68A0" w:rsidRDefault="0084326C">
            <w:pPr>
              <w:jc w:val="center"/>
              <w:rPr>
                <w:rFonts w:ascii="Arial Narrow" w:hAnsi="Arial Narrow"/>
                <w:b/>
                <w:noProof/>
                <w:sz w:val="20"/>
                <w:szCs w:val="20"/>
              </w:rPr>
            </w:pPr>
            <w:r>
              <w:rPr>
                <w:rFonts w:ascii="Arial Narrow" w:hAnsi="Arial Narrow"/>
                <w:b/>
                <w:noProof/>
                <w:sz w:val="20"/>
              </w:rPr>
              <w:t xml:space="preserve">Kvantitatiivsed näitajad </w:t>
            </w:r>
            <w:r>
              <w:rPr>
                <w:noProof/>
              </w:rPr>
              <w:br/>
            </w:r>
            <w:r>
              <w:rPr>
                <w:rFonts w:ascii="Arial Narrow" w:hAnsi="Arial Narrow"/>
                <w:b/>
                <w:noProof/>
                <w:sz w:val="20"/>
              </w:rPr>
              <w:t>(sihtide puhul)</w:t>
            </w:r>
          </w:p>
        </w:tc>
        <w:tc>
          <w:tcPr>
            <w:tcW w:w="1582" w:type="dxa"/>
            <w:gridSpan w:val="2"/>
            <w:tcBorders>
              <w:top w:val="single" w:sz="4" w:space="0" w:color="auto"/>
              <w:left w:val="nil"/>
              <w:bottom w:val="single" w:sz="4" w:space="0" w:color="auto"/>
              <w:right w:val="single" w:sz="4" w:space="0" w:color="auto"/>
            </w:tcBorders>
            <w:shd w:val="clear" w:color="auto" w:fill="BDD7EE"/>
            <w:vAlign w:val="center"/>
            <w:hideMark/>
          </w:tcPr>
          <w:p w14:paraId="16F6EFFA" w14:textId="77777777" w:rsidR="0084326C" w:rsidRPr="005D68A0" w:rsidRDefault="0084326C">
            <w:pPr>
              <w:jc w:val="center"/>
              <w:rPr>
                <w:rFonts w:ascii="Arial Narrow" w:hAnsi="Arial Narrow"/>
                <w:b/>
                <w:noProof/>
                <w:sz w:val="20"/>
                <w:szCs w:val="20"/>
              </w:rPr>
            </w:pPr>
            <w:r>
              <w:rPr>
                <w:rFonts w:ascii="Arial Narrow" w:hAnsi="Arial Narrow"/>
                <w:b/>
                <w:noProof/>
                <w:sz w:val="20"/>
              </w:rPr>
              <w:t>Lõpuleviimise soovituslik ajakava</w:t>
            </w:r>
          </w:p>
        </w:tc>
        <w:tc>
          <w:tcPr>
            <w:tcW w:w="423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A61107B" w14:textId="77777777" w:rsidR="0084326C" w:rsidRPr="005D68A0" w:rsidRDefault="0084326C">
            <w:pPr>
              <w:jc w:val="center"/>
              <w:rPr>
                <w:rFonts w:ascii="Arial Narrow" w:hAnsi="Arial Narrow"/>
                <w:b/>
                <w:noProof/>
                <w:sz w:val="20"/>
                <w:szCs w:val="20"/>
              </w:rPr>
            </w:pPr>
            <w:r>
              <w:rPr>
                <w:rFonts w:ascii="Arial Narrow" w:hAnsi="Arial Narrow"/>
                <w:b/>
                <w:noProof/>
                <w:sz w:val="20"/>
              </w:rPr>
              <w:t>Iga eesmärgi ja sihi kirjeldus</w:t>
            </w:r>
          </w:p>
        </w:tc>
      </w:tr>
      <w:tr w:rsidR="0084326C" w:rsidRPr="005D68A0" w14:paraId="5B08F691" w14:textId="77777777">
        <w:trPr>
          <w:trHeight w:val="1013"/>
          <w:jc w:val="center"/>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651A6D8E" w14:textId="77777777" w:rsidR="0084326C" w:rsidRPr="00F33804" w:rsidRDefault="0084326C">
            <w:pPr>
              <w:jc w:val="center"/>
              <w:rPr>
                <w:rFonts w:ascii="Arial Narrow" w:hAnsi="Arial Narrow"/>
                <w:b/>
                <w:bCs/>
                <w:noProof/>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1E9C1FE" w14:textId="77777777" w:rsidR="0084326C" w:rsidRPr="00F33804" w:rsidRDefault="0084326C">
            <w:pPr>
              <w:jc w:val="center"/>
              <w:rPr>
                <w:rFonts w:ascii="Arial Narrow" w:hAnsi="Arial Narrow"/>
                <w:b/>
                <w:bCs/>
                <w:noProof/>
                <w:sz w:val="20"/>
                <w:szCs w:val="20"/>
              </w:rPr>
            </w:pPr>
          </w:p>
        </w:tc>
        <w:tc>
          <w:tcPr>
            <w:tcW w:w="1066" w:type="dxa"/>
            <w:vMerge/>
            <w:tcBorders>
              <w:top w:val="single" w:sz="4" w:space="0" w:color="auto"/>
              <w:left w:val="single" w:sz="4" w:space="0" w:color="auto"/>
              <w:bottom w:val="single" w:sz="4" w:space="0" w:color="auto"/>
              <w:right w:val="single" w:sz="4" w:space="0" w:color="auto"/>
            </w:tcBorders>
            <w:vAlign w:val="center"/>
            <w:hideMark/>
          </w:tcPr>
          <w:p w14:paraId="3FC40C35" w14:textId="77777777" w:rsidR="0084326C" w:rsidRPr="00F33804" w:rsidRDefault="0084326C">
            <w:pPr>
              <w:jc w:val="center"/>
              <w:rPr>
                <w:rFonts w:ascii="Arial Narrow" w:hAnsi="Arial Narrow"/>
                <w:b/>
                <w:bCs/>
                <w:noProof/>
                <w:sz w:val="20"/>
                <w:szCs w:val="20"/>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14:paraId="5F152C69" w14:textId="77777777" w:rsidR="0084326C" w:rsidRPr="00F33804" w:rsidRDefault="0084326C">
            <w:pPr>
              <w:jc w:val="center"/>
              <w:rPr>
                <w:rFonts w:ascii="Arial Narrow" w:hAnsi="Arial Narrow"/>
                <w:b/>
                <w:bCs/>
                <w:noProof/>
                <w:sz w:val="20"/>
                <w:szCs w:val="20"/>
              </w:rPr>
            </w:pPr>
          </w:p>
        </w:tc>
        <w:tc>
          <w:tcPr>
            <w:tcW w:w="1777" w:type="dxa"/>
            <w:vMerge/>
            <w:tcBorders>
              <w:top w:val="single" w:sz="4" w:space="0" w:color="auto"/>
              <w:left w:val="single" w:sz="4" w:space="0" w:color="auto"/>
              <w:bottom w:val="single" w:sz="4" w:space="0" w:color="auto"/>
              <w:right w:val="single" w:sz="4" w:space="0" w:color="auto"/>
            </w:tcBorders>
            <w:vAlign w:val="center"/>
            <w:hideMark/>
          </w:tcPr>
          <w:p w14:paraId="4A55AC35" w14:textId="77777777" w:rsidR="0084326C" w:rsidRPr="00F33804" w:rsidRDefault="0084326C">
            <w:pPr>
              <w:jc w:val="center"/>
              <w:rPr>
                <w:rFonts w:ascii="Arial Narrow" w:hAnsi="Arial Narrow"/>
                <w:b/>
                <w:bCs/>
                <w:noProof/>
                <w:sz w:val="20"/>
                <w:szCs w:val="20"/>
              </w:rPr>
            </w:pPr>
          </w:p>
        </w:tc>
        <w:tc>
          <w:tcPr>
            <w:tcW w:w="926"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53BC54F4" w14:textId="77777777" w:rsidR="0084326C" w:rsidRPr="005D68A0" w:rsidRDefault="0084326C">
            <w:pPr>
              <w:jc w:val="center"/>
              <w:rPr>
                <w:rFonts w:ascii="Arial Narrow" w:hAnsi="Arial Narrow"/>
                <w:b/>
                <w:noProof/>
                <w:sz w:val="20"/>
                <w:szCs w:val="20"/>
              </w:rPr>
            </w:pPr>
            <w:r>
              <w:rPr>
                <w:rFonts w:ascii="Arial Narrow" w:hAnsi="Arial Narrow"/>
                <w:b/>
                <w:noProof/>
                <w:sz w:val="20"/>
              </w:rPr>
              <w:t>Mõõtühik</w:t>
            </w:r>
          </w:p>
        </w:tc>
        <w:tc>
          <w:tcPr>
            <w:tcW w:w="1096" w:type="dxa"/>
            <w:tcBorders>
              <w:top w:val="single" w:sz="4" w:space="0" w:color="auto"/>
              <w:left w:val="nil"/>
              <w:bottom w:val="single" w:sz="4" w:space="0" w:color="auto"/>
              <w:right w:val="single" w:sz="4" w:space="0" w:color="auto"/>
            </w:tcBorders>
            <w:shd w:val="clear" w:color="auto" w:fill="BDD7EE"/>
            <w:vAlign w:val="center"/>
            <w:hideMark/>
          </w:tcPr>
          <w:p w14:paraId="7B13FD76" w14:textId="77777777" w:rsidR="0084326C" w:rsidRPr="005D68A0" w:rsidRDefault="0084326C">
            <w:pPr>
              <w:jc w:val="center"/>
              <w:rPr>
                <w:rFonts w:ascii="Arial Narrow" w:hAnsi="Arial Narrow"/>
                <w:b/>
                <w:noProof/>
                <w:sz w:val="20"/>
                <w:szCs w:val="20"/>
              </w:rPr>
            </w:pPr>
            <w:r>
              <w:rPr>
                <w:rFonts w:ascii="Arial Narrow" w:hAnsi="Arial Narrow"/>
                <w:b/>
                <w:noProof/>
                <w:sz w:val="20"/>
              </w:rPr>
              <w:t>Lähtetase</w:t>
            </w:r>
          </w:p>
        </w:tc>
        <w:tc>
          <w:tcPr>
            <w:tcW w:w="878" w:type="dxa"/>
            <w:tcBorders>
              <w:top w:val="single" w:sz="4" w:space="0" w:color="auto"/>
              <w:left w:val="nil"/>
              <w:bottom w:val="single" w:sz="4" w:space="0" w:color="auto"/>
              <w:right w:val="single" w:sz="4" w:space="0" w:color="auto"/>
            </w:tcBorders>
            <w:shd w:val="clear" w:color="auto" w:fill="BDD7EE"/>
            <w:vAlign w:val="center"/>
            <w:hideMark/>
          </w:tcPr>
          <w:p w14:paraId="48EF9C7D" w14:textId="77777777" w:rsidR="0084326C" w:rsidRPr="005D68A0" w:rsidRDefault="0084326C">
            <w:pPr>
              <w:jc w:val="center"/>
              <w:rPr>
                <w:rFonts w:ascii="Arial Narrow" w:hAnsi="Arial Narrow"/>
                <w:b/>
                <w:noProof/>
                <w:sz w:val="20"/>
                <w:szCs w:val="20"/>
              </w:rPr>
            </w:pPr>
            <w:r>
              <w:rPr>
                <w:rFonts w:ascii="Arial Narrow" w:hAnsi="Arial Narrow"/>
                <w:b/>
                <w:noProof/>
                <w:sz w:val="20"/>
              </w:rPr>
              <w:t>Eesmärk</w:t>
            </w:r>
          </w:p>
        </w:tc>
        <w:tc>
          <w:tcPr>
            <w:tcW w:w="916" w:type="dxa"/>
            <w:tcBorders>
              <w:top w:val="single" w:sz="4" w:space="0" w:color="auto"/>
              <w:left w:val="nil"/>
              <w:bottom w:val="single" w:sz="4" w:space="0" w:color="auto"/>
              <w:right w:val="single" w:sz="4" w:space="0" w:color="auto"/>
            </w:tcBorders>
            <w:shd w:val="clear" w:color="auto" w:fill="BDD7EE"/>
            <w:vAlign w:val="center"/>
            <w:hideMark/>
          </w:tcPr>
          <w:p w14:paraId="2B5354BB" w14:textId="77777777" w:rsidR="0084326C" w:rsidRPr="005D68A0" w:rsidRDefault="0084326C">
            <w:pPr>
              <w:jc w:val="center"/>
              <w:rPr>
                <w:rFonts w:ascii="Arial Narrow" w:hAnsi="Arial Narrow"/>
                <w:b/>
                <w:noProof/>
                <w:sz w:val="20"/>
                <w:szCs w:val="20"/>
              </w:rPr>
            </w:pPr>
            <w:r>
              <w:rPr>
                <w:rFonts w:ascii="Arial Narrow" w:hAnsi="Arial Narrow"/>
                <w:b/>
                <w:noProof/>
                <w:sz w:val="20"/>
              </w:rPr>
              <w:t>Kvartal</w:t>
            </w:r>
          </w:p>
        </w:tc>
        <w:tc>
          <w:tcPr>
            <w:tcW w:w="666" w:type="dxa"/>
            <w:tcBorders>
              <w:top w:val="single" w:sz="4" w:space="0" w:color="auto"/>
              <w:left w:val="nil"/>
              <w:bottom w:val="single" w:sz="4" w:space="0" w:color="auto"/>
              <w:right w:val="single" w:sz="4" w:space="0" w:color="auto"/>
            </w:tcBorders>
            <w:shd w:val="clear" w:color="auto" w:fill="BDD7EE"/>
            <w:vAlign w:val="center"/>
            <w:hideMark/>
          </w:tcPr>
          <w:p w14:paraId="36E6644C" w14:textId="77777777" w:rsidR="0084326C" w:rsidRPr="005D68A0" w:rsidRDefault="0084326C">
            <w:pPr>
              <w:jc w:val="center"/>
              <w:rPr>
                <w:rFonts w:ascii="Arial Narrow" w:hAnsi="Arial Narrow"/>
                <w:b/>
                <w:noProof/>
                <w:sz w:val="20"/>
                <w:szCs w:val="20"/>
              </w:rPr>
            </w:pPr>
            <w:r>
              <w:rPr>
                <w:rFonts w:ascii="Arial Narrow" w:hAnsi="Arial Narrow"/>
                <w:b/>
                <w:noProof/>
                <w:sz w:val="20"/>
              </w:rPr>
              <w:t>Aasta</w:t>
            </w:r>
          </w:p>
        </w:tc>
        <w:tc>
          <w:tcPr>
            <w:tcW w:w="4231" w:type="dxa"/>
            <w:vMerge/>
            <w:tcBorders>
              <w:top w:val="single" w:sz="4" w:space="0" w:color="auto"/>
              <w:bottom w:val="single" w:sz="4" w:space="0" w:color="auto"/>
              <w:right w:val="single" w:sz="4" w:space="0" w:color="auto"/>
            </w:tcBorders>
            <w:vAlign w:val="center"/>
            <w:hideMark/>
          </w:tcPr>
          <w:p w14:paraId="3FA293B2" w14:textId="77777777" w:rsidR="0084326C" w:rsidRPr="005D68A0" w:rsidRDefault="0084326C">
            <w:pPr>
              <w:rPr>
                <w:rFonts w:ascii="Arial Narrow" w:hAnsi="Arial Narrow"/>
                <w:b/>
                <w:bCs/>
                <w:noProof/>
                <w:sz w:val="20"/>
                <w:szCs w:val="20"/>
                <w:lang w:val="en-GB"/>
              </w:rPr>
            </w:pPr>
          </w:p>
        </w:tc>
      </w:tr>
      <w:tr w:rsidR="0084326C" w:rsidRPr="00D90835" w14:paraId="2D4020B7" w14:textId="77777777">
        <w:trPr>
          <w:trHeight w:val="309"/>
          <w:jc w:val="center"/>
        </w:trPr>
        <w:tc>
          <w:tcPr>
            <w:tcW w:w="1130"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1E80FE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M3C2-1</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3EB650EE" w14:textId="77777777" w:rsidR="0084326C" w:rsidRPr="005D68A0" w:rsidRDefault="0084326C">
            <w:pPr>
              <w:spacing w:line="257" w:lineRule="auto"/>
              <w:jc w:val="center"/>
              <w:rPr>
                <w:rFonts w:ascii="Arial Narrow" w:hAnsi="Arial Narrow"/>
                <w:noProof/>
                <w:color w:val="006100"/>
                <w:sz w:val="20"/>
                <w:szCs w:val="20"/>
              </w:rPr>
            </w:pPr>
            <w:r>
              <w:rPr>
                <w:rFonts w:ascii="Arial Narrow" w:hAnsi="Arial Narrow"/>
                <w:noProof/>
                <w:color w:val="006100"/>
                <w:sz w:val="20"/>
              </w:rPr>
              <w:t>Reform 1.1. Strateegilise planeerimise menetluste lihtsustamine</w:t>
            </w:r>
          </w:p>
        </w:tc>
        <w:tc>
          <w:tcPr>
            <w:tcW w:w="1066" w:type="dxa"/>
            <w:tcBorders>
              <w:top w:val="single" w:sz="4" w:space="0" w:color="auto"/>
              <w:left w:val="nil"/>
              <w:bottom w:val="single" w:sz="4" w:space="0" w:color="auto"/>
              <w:right w:val="single" w:sz="4" w:space="0" w:color="auto"/>
            </w:tcBorders>
            <w:shd w:val="clear" w:color="auto" w:fill="C6EFCE"/>
            <w:noWrap/>
            <w:vAlign w:val="center"/>
          </w:tcPr>
          <w:p w14:paraId="734B8FA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1627" w:type="dxa"/>
            <w:tcBorders>
              <w:top w:val="single" w:sz="4" w:space="0" w:color="auto"/>
              <w:left w:val="nil"/>
              <w:bottom w:val="single" w:sz="4" w:space="0" w:color="auto"/>
              <w:right w:val="single" w:sz="4" w:space="0" w:color="auto"/>
            </w:tcBorders>
            <w:shd w:val="clear" w:color="auto" w:fill="C6EFCE"/>
            <w:noWrap/>
            <w:vAlign w:val="center"/>
          </w:tcPr>
          <w:p w14:paraId="34D2FEA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Strateegilise planeerimise menetluste lihtsustamisega seotud õigusaktide muudatuste jõustumine</w:t>
            </w:r>
          </w:p>
        </w:tc>
        <w:tc>
          <w:tcPr>
            <w:tcW w:w="1777" w:type="dxa"/>
            <w:tcBorders>
              <w:top w:val="single" w:sz="4" w:space="0" w:color="auto"/>
              <w:left w:val="nil"/>
              <w:bottom w:val="single" w:sz="4" w:space="0" w:color="auto"/>
              <w:right w:val="single" w:sz="4" w:space="0" w:color="auto"/>
            </w:tcBorders>
            <w:shd w:val="clear" w:color="auto" w:fill="C6EFCE"/>
            <w:noWrap/>
            <w:vAlign w:val="center"/>
          </w:tcPr>
          <w:p w14:paraId="1D80A97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Õigusakti(de) säte, milles osutatakse strateegilise planeerimise menetluste lihtsustamisega seotud seadusandlike muudatuste jõustumisele</w:t>
            </w:r>
          </w:p>
        </w:tc>
        <w:tc>
          <w:tcPr>
            <w:tcW w:w="926" w:type="dxa"/>
            <w:tcBorders>
              <w:top w:val="single" w:sz="4" w:space="0" w:color="auto"/>
              <w:left w:val="nil"/>
              <w:bottom w:val="single" w:sz="4" w:space="0" w:color="auto"/>
              <w:right w:val="single" w:sz="4" w:space="0" w:color="auto"/>
            </w:tcBorders>
            <w:shd w:val="clear" w:color="auto" w:fill="C6EFCE"/>
            <w:noWrap/>
            <w:vAlign w:val="center"/>
          </w:tcPr>
          <w:p w14:paraId="6BF2B8D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096" w:type="dxa"/>
            <w:tcBorders>
              <w:top w:val="nil"/>
              <w:left w:val="nil"/>
              <w:bottom w:val="single" w:sz="4" w:space="0" w:color="auto"/>
              <w:right w:val="single" w:sz="4" w:space="0" w:color="auto"/>
            </w:tcBorders>
            <w:shd w:val="clear" w:color="auto" w:fill="C6EFCE"/>
            <w:noWrap/>
            <w:vAlign w:val="center"/>
          </w:tcPr>
          <w:p w14:paraId="59A9CBD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878" w:type="dxa"/>
            <w:tcBorders>
              <w:top w:val="nil"/>
              <w:left w:val="nil"/>
              <w:bottom w:val="single" w:sz="4" w:space="0" w:color="auto"/>
              <w:right w:val="single" w:sz="4" w:space="0" w:color="auto"/>
            </w:tcBorders>
            <w:shd w:val="clear" w:color="auto" w:fill="C6EFCE"/>
            <w:noWrap/>
            <w:vAlign w:val="center"/>
          </w:tcPr>
          <w:p w14:paraId="61FD2EA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916" w:type="dxa"/>
            <w:tcBorders>
              <w:top w:val="nil"/>
              <w:left w:val="nil"/>
              <w:bottom w:val="single" w:sz="4" w:space="0" w:color="auto"/>
              <w:right w:val="single" w:sz="4" w:space="0" w:color="auto"/>
            </w:tcBorders>
            <w:shd w:val="clear" w:color="auto" w:fill="C6EFCE"/>
            <w:noWrap/>
            <w:vAlign w:val="center"/>
          </w:tcPr>
          <w:p w14:paraId="48F37DB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666" w:type="dxa"/>
            <w:tcBorders>
              <w:top w:val="nil"/>
              <w:left w:val="nil"/>
              <w:bottom w:val="single" w:sz="4" w:space="0" w:color="auto"/>
              <w:right w:val="single" w:sz="4" w:space="0" w:color="auto"/>
            </w:tcBorders>
            <w:shd w:val="clear" w:color="auto" w:fill="C6EFCE"/>
            <w:noWrap/>
            <w:vAlign w:val="center"/>
          </w:tcPr>
          <w:p w14:paraId="402A55B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2022</w:t>
            </w:r>
          </w:p>
        </w:tc>
        <w:tc>
          <w:tcPr>
            <w:tcW w:w="4231" w:type="dxa"/>
            <w:tcBorders>
              <w:top w:val="single" w:sz="4" w:space="0" w:color="auto"/>
              <w:left w:val="nil"/>
              <w:bottom w:val="single" w:sz="4" w:space="0" w:color="auto"/>
              <w:right w:val="single" w:sz="4" w:space="0" w:color="auto"/>
            </w:tcBorders>
            <w:shd w:val="clear" w:color="auto" w:fill="C6EFCE"/>
            <w:noWrap/>
            <w:vAlign w:val="center"/>
          </w:tcPr>
          <w:p w14:paraId="3326C923"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Muudetud õigusraamistikus sätestatakse, et:</w:t>
            </w:r>
          </w:p>
          <w:p w14:paraId="71FF0905" w14:textId="77777777" w:rsidR="0084326C" w:rsidRPr="00F33804" w:rsidRDefault="0084326C">
            <w:pPr>
              <w:rPr>
                <w:rFonts w:ascii="Arial Narrow" w:hAnsi="Arial Narrow"/>
                <w:noProof/>
                <w:color w:val="006100"/>
                <w:sz w:val="20"/>
                <w:szCs w:val="20"/>
              </w:rPr>
            </w:pPr>
          </w:p>
          <w:p w14:paraId="600A05B1"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Kõik sadamavaldajad võtavad vastu oma süsteemi strateegilise planeerimise dokumendid ja sadamate reguleerimiskavad, võttes täielikult arvesse Itaalia 2016. aasta sadamasüsteemide reformi, mis kiideti heaks 4. augusti 2016. aasta seadusandliku dekreediga nr 169.</w:t>
            </w:r>
          </w:p>
          <w:p w14:paraId="7B894152" w14:textId="77777777" w:rsidR="0084326C" w:rsidRPr="00F33804" w:rsidRDefault="0084326C">
            <w:pPr>
              <w:rPr>
                <w:rFonts w:ascii="Arial Narrow" w:hAnsi="Arial Narrow"/>
                <w:noProof/>
                <w:color w:val="006100"/>
                <w:sz w:val="20"/>
                <w:szCs w:val="20"/>
              </w:rPr>
            </w:pPr>
          </w:p>
          <w:p w14:paraId="5B9BE7D0" w14:textId="1E634E50" w:rsidR="0084326C" w:rsidRPr="005D68A0" w:rsidRDefault="0084326C">
            <w:pPr>
              <w:rPr>
                <w:rFonts w:ascii="Arial Narrow" w:hAnsi="Arial Narrow"/>
                <w:noProof/>
                <w:color w:val="006100"/>
                <w:sz w:val="20"/>
                <w:szCs w:val="20"/>
              </w:rPr>
            </w:pPr>
            <w:r>
              <w:rPr>
                <w:rFonts w:ascii="Arial Narrow" w:hAnsi="Arial Narrow"/>
                <w:noProof/>
                <w:color w:val="006100"/>
                <w:sz w:val="20"/>
              </w:rPr>
              <w:t>DPSS reguleerib vähemalt järgmisi elemente.</w:t>
            </w:r>
          </w:p>
          <w:p w14:paraId="07190EAD" w14:textId="77777777" w:rsidR="0084326C" w:rsidRPr="005D68A0" w:rsidRDefault="0084326C">
            <w:pPr>
              <w:rPr>
                <w:rFonts w:ascii="Arial Narrow" w:hAnsi="Arial Narrow"/>
                <w:noProof/>
                <w:color w:val="006100"/>
                <w:sz w:val="20"/>
                <w:szCs w:val="20"/>
                <w:lang w:val="en-GB"/>
              </w:rPr>
            </w:pPr>
          </w:p>
          <w:p w14:paraId="6754BCD7"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Sadamasüsteemi asutuste arengueesmärke;</w:t>
            </w:r>
          </w:p>
          <w:p w14:paraId="22CDF788"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täpselt sadama- ja tagasadamafunktsioonide jaoks kindlaks määratud ja visandatud alad,</w:t>
            </w:r>
          </w:p>
          <w:p w14:paraId="0E61BE91"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maantee- ja raudteeinfrastruktuuri viimase etapi ühendused sadamatega</w:t>
            </w:r>
          </w:p>
          <w:p w14:paraId="486893CA"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planeerimise sisu kindlaksmääramisel järgitavad kriteeriumid</w:t>
            </w:r>
          </w:p>
          <w:p w14:paraId="1B948F0A"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sadama reguleerimiskavade koostamise suunised, eeskirjad ja menetlused tuleb üheselt kindlaks määrata.</w:t>
            </w:r>
          </w:p>
        </w:tc>
      </w:tr>
      <w:tr w:rsidR="0084326C" w:rsidRPr="00D90835" w14:paraId="13B63F62" w14:textId="77777777">
        <w:trPr>
          <w:trHeight w:val="309"/>
          <w:jc w:val="center"/>
        </w:trPr>
        <w:tc>
          <w:tcPr>
            <w:tcW w:w="1130" w:type="dxa"/>
            <w:tcBorders>
              <w:top w:val="nil"/>
              <w:left w:val="single" w:sz="4" w:space="0" w:color="auto"/>
              <w:bottom w:val="single" w:sz="4" w:space="0" w:color="auto"/>
              <w:right w:val="single" w:sz="4" w:space="0" w:color="auto"/>
            </w:tcBorders>
            <w:shd w:val="clear" w:color="auto" w:fill="C6EFCE"/>
            <w:noWrap/>
            <w:vAlign w:val="center"/>
          </w:tcPr>
          <w:p w14:paraId="1033DB2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M3C2-2</w:t>
            </w:r>
          </w:p>
        </w:tc>
        <w:tc>
          <w:tcPr>
            <w:tcW w:w="1560" w:type="dxa"/>
            <w:tcBorders>
              <w:top w:val="nil"/>
              <w:left w:val="nil"/>
              <w:bottom w:val="single" w:sz="4" w:space="0" w:color="auto"/>
              <w:right w:val="single" w:sz="4" w:space="0" w:color="auto"/>
            </w:tcBorders>
            <w:shd w:val="clear" w:color="auto" w:fill="C6EFCE"/>
            <w:noWrap/>
            <w:vAlign w:val="center"/>
          </w:tcPr>
          <w:p w14:paraId="306B5CB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Reform 1.2. Konkurentsipõhiste kontsessioonide andmine Itaalia sadamates</w:t>
            </w:r>
          </w:p>
        </w:tc>
        <w:tc>
          <w:tcPr>
            <w:tcW w:w="1066" w:type="dxa"/>
            <w:tcBorders>
              <w:top w:val="nil"/>
              <w:left w:val="nil"/>
              <w:bottom w:val="single" w:sz="4" w:space="0" w:color="auto"/>
              <w:right w:val="single" w:sz="4" w:space="0" w:color="auto"/>
            </w:tcBorders>
            <w:shd w:val="clear" w:color="auto" w:fill="C6EFCE"/>
            <w:noWrap/>
            <w:vAlign w:val="center"/>
          </w:tcPr>
          <w:p w14:paraId="21D14B8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1627" w:type="dxa"/>
            <w:tcBorders>
              <w:top w:val="nil"/>
              <w:left w:val="nil"/>
              <w:bottom w:val="single" w:sz="4" w:space="0" w:color="auto"/>
              <w:right w:val="single" w:sz="4" w:space="0" w:color="auto"/>
            </w:tcBorders>
            <w:shd w:val="clear" w:color="auto" w:fill="C6EFCE"/>
            <w:noWrap/>
            <w:vAlign w:val="center"/>
          </w:tcPr>
          <w:p w14:paraId="754C1CF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Sadamakontsessioonide määruse jõustumine</w:t>
            </w:r>
          </w:p>
        </w:tc>
        <w:tc>
          <w:tcPr>
            <w:tcW w:w="1777" w:type="dxa"/>
            <w:tcBorders>
              <w:top w:val="nil"/>
              <w:left w:val="nil"/>
              <w:bottom w:val="single" w:sz="4" w:space="0" w:color="auto"/>
              <w:right w:val="single" w:sz="4" w:space="0" w:color="auto"/>
            </w:tcBorders>
            <w:shd w:val="clear" w:color="auto" w:fill="C6EFCE"/>
            <w:noWrap/>
            <w:vAlign w:val="center"/>
          </w:tcPr>
          <w:p w14:paraId="0400FBA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Määruse säte, milles osutatakse sadamakontsessioonide määruse jõustumisele</w:t>
            </w:r>
          </w:p>
        </w:tc>
        <w:tc>
          <w:tcPr>
            <w:tcW w:w="926" w:type="dxa"/>
            <w:tcBorders>
              <w:top w:val="nil"/>
              <w:left w:val="nil"/>
              <w:bottom w:val="single" w:sz="4" w:space="0" w:color="auto"/>
              <w:right w:val="single" w:sz="4" w:space="0" w:color="auto"/>
            </w:tcBorders>
            <w:shd w:val="clear" w:color="auto" w:fill="C6EFCE"/>
            <w:noWrap/>
            <w:vAlign w:val="center"/>
          </w:tcPr>
          <w:p w14:paraId="34C3760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096" w:type="dxa"/>
            <w:tcBorders>
              <w:top w:val="nil"/>
              <w:left w:val="nil"/>
              <w:bottom w:val="single" w:sz="4" w:space="0" w:color="auto"/>
              <w:right w:val="single" w:sz="4" w:space="0" w:color="auto"/>
            </w:tcBorders>
            <w:shd w:val="clear" w:color="auto" w:fill="C6EFCE"/>
            <w:noWrap/>
            <w:vAlign w:val="center"/>
          </w:tcPr>
          <w:p w14:paraId="49930EF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878" w:type="dxa"/>
            <w:tcBorders>
              <w:top w:val="nil"/>
              <w:left w:val="nil"/>
              <w:bottom w:val="single" w:sz="4" w:space="0" w:color="auto"/>
              <w:right w:val="single" w:sz="4" w:space="0" w:color="auto"/>
            </w:tcBorders>
            <w:shd w:val="clear" w:color="auto" w:fill="C6EFCE"/>
            <w:noWrap/>
            <w:vAlign w:val="center"/>
          </w:tcPr>
          <w:p w14:paraId="29B28E5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916" w:type="dxa"/>
            <w:tcBorders>
              <w:top w:val="nil"/>
              <w:left w:val="nil"/>
              <w:bottom w:val="single" w:sz="4" w:space="0" w:color="auto"/>
              <w:right w:val="single" w:sz="4" w:space="0" w:color="auto"/>
            </w:tcBorders>
            <w:shd w:val="clear" w:color="auto" w:fill="C6EFCE"/>
            <w:noWrap/>
            <w:vAlign w:val="center"/>
          </w:tcPr>
          <w:p w14:paraId="420CAE8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666" w:type="dxa"/>
            <w:tcBorders>
              <w:top w:val="nil"/>
              <w:left w:val="nil"/>
              <w:bottom w:val="single" w:sz="4" w:space="0" w:color="auto"/>
              <w:right w:val="single" w:sz="4" w:space="0" w:color="auto"/>
            </w:tcBorders>
            <w:shd w:val="clear" w:color="auto" w:fill="C6EFCE"/>
            <w:noWrap/>
            <w:vAlign w:val="center"/>
          </w:tcPr>
          <w:p w14:paraId="7B90269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2022</w:t>
            </w:r>
          </w:p>
        </w:tc>
        <w:tc>
          <w:tcPr>
            <w:tcW w:w="4231" w:type="dxa"/>
            <w:tcBorders>
              <w:top w:val="nil"/>
              <w:left w:val="nil"/>
              <w:bottom w:val="single" w:sz="4" w:space="0" w:color="auto"/>
              <w:right w:val="single" w:sz="4" w:space="0" w:color="auto"/>
            </w:tcBorders>
            <w:shd w:val="clear" w:color="auto" w:fill="C6EFCE"/>
            <w:noWrap/>
            <w:vAlign w:val="center"/>
          </w:tcPr>
          <w:p w14:paraId="6426505E" w14:textId="0050F990" w:rsidR="0084326C" w:rsidRPr="005D68A0" w:rsidRDefault="0084326C">
            <w:pPr>
              <w:rPr>
                <w:rFonts w:ascii="Arial Narrow" w:hAnsi="Arial Narrow"/>
                <w:noProof/>
                <w:color w:val="006100"/>
                <w:sz w:val="20"/>
                <w:szCs w:val="20"/>
              </w:rPr>
            </w:pPr>
            <w:r>
              <w:rPr>
                <w:rFonts w:ascii="Arial Narrow" w:hAnsi="Arial Narrow"/>
                <w:noProof/>
                <w:color w:val="006100"/>
                <w:sz w:val="20"/>
              </w:rPr>
              <w:t>Uues määruses määratakse kindlaks sadamakontsessioonide andmise raamtingimused. Määruses sätestatakse vähemalt:</w:t>
            </w:r>
          </w:p>
          <w:p w14:paraId="2CE5FF64" w14:textId="77777777" w:rsidR="0084326C" w:rsidRPr="00F33804" w:rsidRDefault="0084326C">
            <w:pPr>
              <w:rPr>
                <w:rFonts w:ascii="Arial Narrow" w:hAnsi="Arial Narrow"/>
                <w:noProof/>
                <w:color w:val="006100"/>
                <w:sz w:val="20"/>
                <w:szCs w:val="20"/>
              </w:rPr>
            </w:pPr>
          </w:p>
          <w:p w14:paraId="60F80464"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tingimused, mis on seotud kontsessiooni kestusega,</w:t>
            </w:r>
          </w:p>
          <w:p w14:paraId="53325C4C"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abi andvate asutuste järelevalve- ja kontrollivolitustega,</w:t>
            </w:r>
          </w:p>
          <w:p w14:paraId="301196B8"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uuendamismeetoditega,</w:t>
            </w:r>
          </w:p>
          <w:p w14:paraId="19BC0C28"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rajatiste uuele kontsessionäärile üleandmisega kontsessiooni lõppedes</w:t>
            </w:r>
          </w:p>
          <w:p w14:paraId="3893A88F"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kontsessionääridelt nõutavate tasude miinimummäärade kindlaksmääramisega</w:t>
            </w:r>
          </w:p>
        </w:tc>
      </w:tr>
      <w:tr w:rsidR="0084326C" w:rsidRPr="00D90835" w14:paraId="1BE4EBAE" w14:textId="77777777">
        <w:trPr>
          <w:trHeight w:val="309"/>
          <w:jc w:val="center"/>
        </w:trPr>
        <w:tc>
          <w:tcPr>
            <w:tcW w:w="1130" w:type="dxa"/>
            <w:tcBorders>
              <w:top w:val="nil"/>
              <w:left w:val="single" w:sz="4" w:space="0" w:color="auto"/>
              <w:bottom w:val="single" w:sz="4" w:space="0" w:color="auto"/>
              <w:right w:val="single" w:sz="4" w:space="0" w:color="auto"/>
            </w:tcBorders>
            <w:shd w:val="clear" w:color="auto" w:fill="C6EFCE"/>
            <w:noWrap/>
            <w:vAlign w:val="center"/>
          </w:tcPr>
          <w:p w14:paraId="51AA4660" w14:textId="77777777" w:rsidR="0084326C" w:rsidRPr="005D68A0" w:rsidRDefault="0084326C">
            <w:pPr>
              <w:jc w:val="center"/>
              <w:rPr>
                <w:rFonts w:ascii="Arial Narrow" w:hAnsi="Arial Narrow"/>
                <w:noProof/>
                <w:color w:val="006100"/>
                <w:sz w:val="20"/>
                <w:szCs w:val="20"/>
              </w:rPr>
            </w:pPr>
            <w:r>
              <w:rPr>
                <w:rStyle w:val="normaltextrun"/>
                <w:rFonts w:ascii="Arial Narrow" w:hAnsi="Arial Narrow"/>
                <w:noProof/>
                <w:color w:val="006100"/>
                <w:sz w:val="20"/>
              </w:rPr>
              <w:t>M3C2-3</w:t>
            </w:r>
            <w:r>
              <w:rPr>
                <w:rStyle w:val="eop"/>
                <w:rFonts w:ascii="Arial Narrow" w:hAnsi="Arial Narrow"/>
                <w:noProof/>
                <w:color w:val="006100"/>
                <w:sz w:val="20"/>
              </w:rPr>
              <w:t xml:space="preserve"> </w:t>
            </w:r>
          </w:p>
        </w:tc>
        <w:tc>
          <w:tcPr>
            <w:tcW w:w="1560" w:type="dxa"/>
            <w:tcBorders>
              <w:top w:val="nil"/>
              <w:left w:val="nil"/>
              <w:bottom w:val="single" w:sz="4" w:space="0" w:color="auto"/>
              <w:right w:val="single" w:sz="4" w:space="0" w:color="auto"/>
            </w:tcBorders>
            <w:shd w:val="clear" w:color="auto" w:fill="C6EFCE"/>
            <w:noWrap/>
            <w:vAlign w:val="center"/>
          </w:tcPr>
          <w:p w14:paraId="0C5ABE6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Reform 2.1. Ühtse tolliliidese („Sportello Unico Doganale“) rakendamine </w:t>
            </w:r>
          </w:p>
        </w:tc>
        <w:tc>
          <w:tcPr>
            <w:tcW w:w="1066" w:type="dxa"/>
            <w:tcBorders>
              <w:top w:val="nil"/>
              <w:left w:val="nil"/>
              <w:bottom w:val="single" w:sz="4" w:space="0" w:color="auto"/>
              <w:right w:val="single" w:sz="4" w:space="0" w:color="auto"/>
            </w:tcBorders>
            <w:shd w:val="clear" w:color="auto" w:fill="C6EFCE"/>
            <w:noWrap/>
            <w:vAlign w:val="center"/>
          </w:tcPr>
          <w:p w14:paraId="1047FE2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 </w:t>
            </w:r>
          </w:p>
        </w:tc>
        <w:tc>
          <w:tcPr>
            <w:tcW w:w="1627" w:type="dxa"/>
            <w:tcBorders>
              <w:top w:val="nil"/>
              <w:left w:val="nil"/>
              <w:bottom w:val="single" w:sz="4" w:space="0" w:color="auto"/>
              <w:right w:val="single" w:sz="4" w:space="0" w:color="auto"/>
            </w:tcBorders>
            <w:shd w:val="clear" w:color="auto" w:fill="C6EFCE"/>
            <w:noWrap/>
            <w:vAlign w:val="center"/>
          </w:tcPr>
          <w:p w14:paraId="34ED7ACE" w14:textId="77777777" w:rsidR="0084326C" w:rsidRPr="005D68A0" w:rsidRDefault="0084326C">
            <w:pPr>
              <w:pStyle w:val="paragraph"/>
              <w:spacing w:before="0" w:beforeAutospacing="0" w:after="0" w:afterAutospacing="0"/>
              <w:jc w:val="center"/>
              <w:textAlignment w:val="baseline"/>
              <w:rPr>
                <w:rFonts w:ascii="Arial Narrow" w:hAnsi="Arial Narrow"/>
                <w:noProof/>
                <w:color w:val="006100"/>
                <w:sz w:val="20"/>
                <w:szCs w:val="20"/>
              </w:rPr>
            </w:pPr>
            <w:r>
              <w:rPr>
                <w:rFonts w:ascii="Arial Narrow" w:hAnsi="Arial Narrow"/>
                <w:noProof/>
                <w:color w:val="006100"/>
                <w:sz w:val="20"/>
              </w:rPr>
              <w:t xml:space="preserve">Ühtset tolli käsitleva dekreedi jõustumine </w:t>
            </w:r>
          </w:p>
          <w:p w14:paraId="158CEE8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Töölaud (Sportello Unico Doganale) </w:t>
            </w:r>
          </w:p>
        </w:tc>
        <w:tc>
          <w:tcPr>
            <w:tcW w:w="1777" w:type="dxa"/>
            <w:tcBorders>
              <w:top w:val="nil"/>
              <w:left w:val="nil"/>
              <w:bottom w:val="single" w:sz="4" w:space="0" w:color="auto"/>
              <w:right w:val="single" w:sz="4" w:space="0" w:color="auto"/>
            </w:tcBorders>
            <w:shd w:val="clear" w:color="auto" w:fill="C6EFCE"/>
            <w:noWrap/>
            <w:vAlign w:val="center"/>
          </w:tcPr>
          <w:p w14:paraId="5AA6912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Määrus, millega nähakse ette ühtset tollipunkti (Sportello Unico Doganale) käsitleva määruse jõustumine </w:t>
            </w:r>
          </w:p>
        </w:tc>
        <w:tc>
          <w:tcPr>
            <w:tcW w:w="926" w:type="dxa"/>
            <w:tcBorders>
              <w:top w:val="nil"/>
              <w:left w:val="nil"/>
              <w:bottom w:val="single" w:sz="4" w:space="0" w:color="auto"/>
              <w:right w:val="single" w:sz="4" w:space="0" w:color="auto"/>
            </w:tcBorders>
            <w:shd w:val="clear" w:color="auto" w:fill="C6EFCE"/>
            <w:noWrap/>
            <w:vAlign w:val="center"/>
          </w:tcPr>
          <w:p w14:paraId="431B20D1"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Ei kohaldata </w:t>
            </w:r>
          </w:p>
        </w:tc>
        <w:tc>
          <w:tcPr>
            <w:tcW w:w="1096" w:type="dxa"/>
            <w:tcBorders>
              <w:top w:val="nil"/>
              <w:left w:val="nil"/>
              <w:bottom w:val="single" w:sz="4" w:space="0" w:color="auto"/>
              <w:right w:val="single" w:sz="4" w:space="0" w:color="auto"/>
            </w:tcBorders>
            <w:shd w:val="clear" w:color="auto" w:fill="C6EFCE"/>
            <w:noWrap/>
            <w:vAlign w:val="center"/>
          </w:tcPr>
          <w:p w14:paraId="02C6CCBE"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Ei kohaldata </w:t>
            </w:r>
          </w:p>
        </w:tc>
        <w:tc>
          <w:tcPr>
            <w:tcW w:w="878" w:type="dxa"/>
            <w:tcBorders>
              <w:top w:val="nil"/>
              <w:left w:val="nil"/>
              <w:bottom w:val="single" w:sz="4" w:space="0" w:color="auto"/>
              <w:right w:val="single" w:sz="4" w:space="0" w:color="auto"/>
            </w:tcBorders>
            <w:shd w:val="clear" w:color="auto" w:fill="C6EFCE"/>
            <w:noWrap/>
            <w:vAlign w:val="center"/>
          </w:tcPr>
          <w:p w14:paraId="1FA94E32"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Ei kohaldata </w:t>
            </w:r>
          </w:p>
        </w:tc>
        <w:tc>
          <w:tcPr>
            <w:tcW w:w="916" w:type="dxa"/>
            <w:tcBorders>
              <w:top w:val="nil"/>
              <w:left w:val="nil"/>
              <w:bottom w:val="single" w:sz="4" w:space="0" w:color="auto"/>
              <w:right w:val="single" w:sz="4" w:space="0" w:color="auto"/>
            </w:tcBorders>
            <w:shd w:val="clear" w:color="auto" w:fill="C6EFCE"/>
            <w:noWrap/>
            <w:vAlign w:val="center"/>
          </w:tcPr>
          <w:p w14:paraId="3D299E59"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4. kv </w:t>
            </w:r>
          </w:p>
        </w:tc>
        <w:tc>
          <w:tcPr>
            <w:tcW w:w="666" w:type="dxa"/>
            <w:tcBorders>
              <w:top w:val="nil"/>
              <w:left w:val="nil"/>
              <w:bottom w:val="single" w:sz="4" w:space="0" w:color="auto"/>
              <w:right w:val="single" w:sz="4" w:space="0" w:color="auto"/>
            </w:tcBorders>
            <w:shd w:val="clear" w:color="auto" w:fill="C6EFCE"/>
            <w:noWrap/>
            <w:vAlign w:val="center"/>
          </w:tcPr>
          <w:p w14:paraId="00AC8012" w14:textId="77777777" w:rsidR="0084326C" w:rsidRPr="005D68A0" w:rsidRDefault="0084326C">
            <w:pPr>
              <w:jc w:val="center"/>
              <w:rPr>
                <w:rFonts w:ascii="Arial Narrow" w:hAnsi="Arial Narrow"/>
                <w:noProof/>
                <w:color w:val="006100"/>
                <w:sz w:val="20"/>
              </w:rPr>
            </w:pPr>
            <w:r>
              <w:rPr>
                <w:rFonts w:ascii="Arial Narrow" w:hAnsi="Arial Narrow"/>
                <w:noProof/>
                <w:color w:val="006100"/>
                <w:sz w:val="20"/>
              </w:rPr>
              <w:t>2021 </w:t>
            </w:r>
          </w:p>
        </w:tc>
        <w:tc>
          <w:tcPr>
            <w:tcW w:w="4231" w:type="dxa"/>
            <w:tcBorders>
              <w:top w:val="nil"/>
              <w:left w:val="nil"/>
              <w:bottom w:val="single" w:sz="4" w:space="0" w:color="auto"/>
              <w:right w:val="single" w:sz="4" w:space="0" w:color="auto"/>
            </w:tcBorders>
            <w:shd w:val="clear" w:color="auto" w:fill="C6EFCE"/>
            <w:noWrap/>
            <w:vAlign w:val="center"/>
          </w:tcPr>
          <w:p w14:paraId="74B9EDCE"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Dekreedis määratakse kindlaks ühtse tollipunkti meetodid ja spetsifikatsioonid kooskõlas määrusega (EL) 1239/2019 Euroopa merenduse ühtse kontaktpunkti rakendamise kohta ning Euroopa Parlamendi ja nõukogu 15. juuli 2020. aasta määrusega (EL) 2020/1056 elektroonilise kaubaveoteabe (eFTI) kohta. </w:t>
            </w:r>
          </w:p>
        </w:tc>
      </w:tr>
      <w:tr w:rsidR="0084326C" w:rsidRPr="00D90835" w14:paraId="731AD93A" w14:textId="77777777">
        <w:trPr>
          <w:trHeight w:val="309"/>
          <w:jc w:val="center"/>
        </w:trPr>
        <w:tc>
          <w:tcPr>
            <w:tcW w:w="1130" w:type="dxa"/>
            <w:tcBorders>
              <w:top w:val="nil"/>
              <w:left w:val="single" w:sz="4" w:space="0" w:color="auto"/>
              <w:bottom w:val="single" w:sz="4" w:space="0" w:color="auto"/>
              <w:right w:val="single" w:sz="4" w:space="0" w:color="auto"/>
            </w:tcBorders>
            <w:shd w:val="clear" w:color="auto" w:fill="C6EFCE"/>
            <w:noWrap/>
            <w:vAlign w:val="center"/>
          </w:tcPr>
          <w:p w14:paraId="38322A2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M3C2-4</w:t>
            </w:r>
          </w:p>
        </w:tc>
        <w:tc>
          <w:tcPr>
            <w:tcW w:w="1560" w:type="dxa"/>
            <w:tcBorders>
              <w:top w:val="nil"/>
              <w:left w:val="nil"/>
              <w:bottom w:val="single" w:sz="4" w:space="0" w:color="auto"/>
              <w:right w:val="single" w:sz="4" w:space="0" w:color="auto"/>
            </w:tcBorders>
            <w:shd w:val="clear" w:color="auto" w:fill="C6EFCE"/>
            <w:noWrap/>
            <w:vAlign w:val="center"/>
          </w:tcPr>
          <w:p w14:paraId="77891AD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Reform 1.3. Külm triikimistehaste loamenetluste lihtsustamine</w:t>
            </w:r>
          </w:p>
        </w:tc>
        <w:tc>
          <w:tcPr>
            <w:tcW w:w="1066" w:type="dxa"/>
            <w:tcBorders>
              <w:top w:val="nil"/>
              <w:left w:val="nil"/>
              <w:bottom w:val="single" w:sz="4" w:space="0" w:color="auto"/>
              <w:right w:val="single" w:sz="4" w:space="0" w:color="auto"/>
            </w:tcBorders>
            <w:shd w:val="clear" w:color="auto" w:fill="C6EFCE"/>
            <w:noWrap/>
            <w:vAlign w:val="center"/>
          </w:tcPr>
          <w:p w14:paraId="61D7E58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1627" w:type="dxa"/>
            <w:tcBorders>
              <w:top w:val="nil"/>
              <w:left w:val="nil"/>
              <w:bottom w:val="single" w:sz="4" w:space="0" w:color="auto"/>
              <w:right w:val="single" w:sz="4" w:space="0" w:color="auto"/>
            </w:tcBorders>
            <w:shd w:val="clear" w:color="auto" w:fill="C6EFCE"/>
            <w:noWrap/>
            <w:vAlign w:val="center"/>
          </w:tcPr>
          <w:p w14:paraId="328C4448" w14:textId="77777777" w:rsidR="0084326C" w:rsidRPr="005D68A0" w:rsidRDefault="0084326C">
            <w:pPr>
              <w:spacing w:line="257" w:lineRule="auto"/>
              <w:jc w:val="center"/>
              <w:rPr>
                <w:rFonts w:ascii="Arial Narrow" w:hAnsi="Arial Narrow"/>
                <w:noProof/>
                <w:color w:val="006100"/>
                <w:sz w:val="20"/>
                <w:szCs w:val="20"/>
              </w:rPr>
            </w:pPr>
            <w:r>
              <w:rPr>
                <w:rFonts w:ascii="Arial Narrow" w:hAnsi="Arial Narrow"/>
                <w:noProof/>
                <w:color w:val="006100"/>
                <w:sz w:val="20"/>
              </w:rPr>
              <w:t>Külmtriikimistehaste loamenetluste lihtsustamise jõustumine</w:t>
            </w:r>
          </w:p>
        </w:tc>
        <w:tc>
          <w:tcPr>
            <w:tcW w:w="1777" w:type="dxa"/>
            <w:tcBorders>
              <w:top w:val="nil"/>
              <w:left w:val="nil"/>
              <w:bottom w:val="single" w:sz="4" w:space="0" w:color="auto"/>
              <w:right w:val="single" w:sz="4" w:space="0" w:color="auto"/>
            </w:tcBorders>
            <w:shd w:val="clear" w:color="auto" w:fill="C6EFCE"/>
            <w:noWrap/>
            <w:vAlign w:val="center"/>
          </w:tcPr>
          <w:p w14:paraId="4A243D65" w14:textId="6342161F"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Õigussäte, mis viitab külmtriikimistehaste loamenetluste lihtsustamise jõustumisele </w:t>
            </w:r>
          </w:p>
        </w:tc>
        <w:tc>
          <w:tcPr>
            <w:tcW w:w="926" w:type="dxa"/>
            <w:tcBorders>
              <w:top w:val="nil"/>
              <w:left w:val="nil"/>
              <w:bottom w:val="single" w:sz="4" w:space="0" w:color="auto"/>
              <w:right w:val="single" w:sz="4" w:space="0" w:color="auto"/>
            </w:tcBorders>
            <w:shd w:val="clear" w:color="auto" w:fill="C6EFCE"/>
            <w:noWrap/>
            <w:vAlign w:val="center"/>
          </w:tcPr>
          <w:p w14:paraId="6B54313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096" w:type="dxa"/>
            <w:tcBorders>
              <w:top w:val="nil"/>
              <w:left w:val="nil"/>
              <w:bottom w:val="single" w:sz="4" w:space="0" w:color="auto"/>
              <w:right w:val="single" w:sz="4" w:space="0" w:color="auto"/>
            </w:tcBorders>
            <w:shd w:val="clear" w:color="auto" w:fill="C6EFCE"/>
            <w:noWrap/>
            <w:vAlign w:val="center"/>
          </w:tcPr>
          <w:p w14:paraId="17F10FE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878" w:type="dxa"/>
            <w:tcBorders>
              <w:top w:val="nil"/>
              <w:left w:val="nil"/>
              <w:bottom w:val="single" w:sz="4" w:space="0" w:color="auto"/>
              <w:right w:val="single" w:sz="4" w:space="0" w:color="auto"/>
            </w:tcBorders>
            <w:shd w:val="clear" w:color="auto" w:fill="C6EFCE"/>
            <w:noWrap/>
            <w:vAlign w:val="center"/>
          </w:tcPr>
          <w:p w14:paraId="15FBF3C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916" w:type="dxa"/>
            <w:tcBorders>
              <w:top w:val="nil"/>
              <w:left w:val="nil"/>
              <w:bottom w:val="single" w:sz="4" w:space="0" w:color="auto"/>
              <w:right w:val="single" w:sz="4" w:space="0" w:color="auto"/>
            </w:tcBorders>
            <w:shd w:val="clear" w:color="auto" w:fill="C6EFCE"/>
            <w:noWrap/>
            <w:vAlign w:val="center"/>
          </w:tcPr>
          <w:p w14:paraId="7DC2D6A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666" w:type="dxa"/>
            <w:tcBorders>
              <w:top w:val="nil"/>
              <w:left w:val="nil"/>
              <w:bottom w:val="single" w:sz="4" w:space="0" w:color="auto"/>
              <w:right w:val="single" w:sz="4" w:space="0" w:color="auto"/>
            </w:tcBorders>
            <w:shd w:val="clear" w:color="auto" w:fill="C6EFCE"/>
            <w:noWrap/>
            <w:vAlign w:val="center"/>
          </w:tcPr>
          <w:p w14:paraId="36B0BC1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2022</w:t>
            </w:r>
          </w:p>
        </w:tc>
        <w:tc>
          <w:tcPr>
            <w:tcW w:w="4231" w:type="dxa"/>
            <w:tcBorders>
              <w:top w:val="nil"/>
              <w:left w:val="nil"/>
              <w:bottom w:val="single" w:sz="4" w:space="0" w:color="auto"/>
              <w:right w:val="single" w:sz="4" w:space="0" w:color="auto"/>
            </w:tcBorders>
            <w:shd w:val="clear" w:color="auto" w:fill="C6EFCE"/>
            <w:noWrap/>
            <w:vAlign w:val="center"/>
          </w:tcPr>
          <w:p w14:paraId="352BF9CC"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Lihtsustada lubade andmise menetlust, et lühendada lubade andmise aega kuni 12 kuuni selliste energiatranspordi infrastruktuuride ehitamiseks, mille eesmärk on tarnida maismaalt elektrienergiat laevadele sildumisetapis (selliste sekkumiste puhul, mille suhtes ei kohaldata keskkonnamõju hindamist).</w:t>
            </w:r>
          </w:p>
        </w:tc>
      </w:tr>
      <w:tr w:rsidR="0084326C" w:rsidRPr="00D90835" w14:paraId="195B1B2B" w14:textId="77777777">
        <w:trPr>
          <w:trHeight w:val="309"/>
          <w:jc w:val="center"/>
        </w:trPr>
        <w:tc>
          <w:tcPr>
            <w:tcW w:w="1130" w:type="dxa"/>
            <w:tcBorders>
              <w:top w:val="nil"/>
              <w:left w:val="single" w:sz="4" w:space="0" w:color="auto"/>
              <w:bottom w:val="single" w:sz="4" w:space="0" w:color="auto"/>
              <w:right w:val="single" w:sz="4" w:space="0" w:color="auto"/>
            </w:tcBorders>
            <w:shd w:val="clear" w:color="auto" w:fill="C6EFCE"/>
            <w:noWrap/>
            <w:vAlign w:val="center"/>
          </w:tcPr>
          <w:p w14:paraId="680C894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M3C2-5</w:t>
            </w:r>
          </w:p>
        </w:tc>
        <w:tc>
          <w:tcPr>
            <w:tcW w:w="1560" w:type="dxa"/>
            <w:tcBorders>
              <w:top w:val="nil"/>
              <w:left w:val="nil"/>
              <w:bottom w:val="single" w:sz="4" w:space="0" w:color="auto"/>
              <w:right w:val="single" w:sz="4" w:space="0" w:color="auto"/>
            </w:tcBorders>
            <w:shd w:val="clear" w:color="auto" w:fill="C6EFCE"/>
            <w:noWrap/>
            <w:vAlign w:val="center"/>
          </w:tcPr>
          <w:p w14:paraId="43FAF80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2.1. Logistikaahela digiteerimine</w:t>
            </w:r>
          </w:p>
        </w:tc>
        <w:tc>
          <w:tcPr>
            <w:tcW w:w="1066" w:type="dxa"/>
            <w:tcBorders>
              <w:top w:val="nil"/>
              <w:left w:val="nil"/>
              <w:bottom w:val="single" w:sz="4" w:space="0" w:color="auto"/>
              <w:right w:val="single" w:sz="4" w:space="0" w:color="auto"/>
            </w:tcBorders>
            <w:shd w:val="clear" w:color="auto" w:fill="C6EFCE"/>
            <w:noWrap/>
            <w:vAlign w:val="center"/>
          </w:tcPr>
          <w:p w14:paraId="0E09135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1627" w:type="dxa"/>
            <w:tcBorders>
              <w:top w:val="nil"/>
              <w:left w:val="nil"/>
              <w:bottom w:val="single" w:sz="4" w:space="0" w:color="auto"/>
              <w:right w:val="single" w:sz="4" w:space="0" w:color="auto"/>
            </w:tcBorders>
            <w:shd w:val="clear" w:color="auto" w:fill="C6EFCE"/>
            <w:noWrap/>
            <w:vAlign w:val="center"/>
          </w:tcPr>
          <w:p w14:paraId="0D377CF9" w14:textId="77777777" w:rsidR="0084326C" w:rsidRPr="005D68A0" w:rsidRDefault="0084326C">
            <w:pPr>
              <w:spacing w:line="257" w:lineRule="auto"/>
              <w:jc w:val="center"/>
              <w:rPr>
                <w:rFonts w:ascii="Arial Narrow" w:hAnsi="Arial Narrow"/>
                <w:noProof/>
                <w:color w:val="006100"/>
                <w:sz w:val="20"/>
                <w:szCs w:val="20"/>
              </w:rPr>
            </w:pPr>
            <w:r>
              <w:rPr>
                <w:rFonts w:ascii="Arial Narrow" w:hAnsi="Arial Narrow"/>
                <w:noProof/>
                <w:color w:val="006100"/>
                <w:sz w:val="20"/>
              </w:rPr>
              <w:t>Logistikaahela digiteerimine</w:t>
            </w:r>
          </w:p>
        </w:tc>
        <w:tc>
          <w:tcPr>
            <w:tcW w:w="1777" w:type="dxa"/>
            <w:tcBorders>
              <w:top w:val="nil"/>
              <w:left w:val="nil"/>
              <w:bottom w:val="single" w:sz="4" w:space="0" w:color="auto"/>
              <w:right w:val="single" w:sz="4" w:space="0" w:color="auto"/>
            </w:tcBorders>
            <w:shd w:val="clear" w:color="auto" w:fill="C6EFCE"/>
            <w:noWrap/>
            <w:vAlign w:val="center"/>
          </w:tcPr>
          <w:p w14:paraId="24C20ED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926" w:type="dxa"/>
            <w:tcBorders>
              <w:top w:val="nil"/>
              <w:left w:val="nil"/>
              <w:bottom w:val="single" w:sz="4" w:space="0" w:color="auto"/>
              <w:right w:val="single" w:sz="4" w:space="0" w:color="auto"/>
            </w:tcBorders>
            <w:shd w:val="clear" w:color="auto" w:fill="C6EFCE"/>
            <w:noWrap/>
            <w:vAlign w:val="center"/>
          </w:tcPr>
          <w:p w14:paraId="43BEF77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Protsent</w:t>
            </w:r>
          </w:p>
        </w:tc>
        <w:tc>
          <w:tcPr>
            <w:tcW w:w="1096" w:type="dxa"/>
            <w:tcBorders>
              <w:top w:val="nil"/>
              <w:left w:val="nil"/>
              <w:bottom w:val="single" w:sz="4" w:space="0" w:color="auto"/>
              <w:right w:val="single" w:sz="4" w:space="0" w:color="auto"/>
            </w:tcBorders>
            <w:shd w:val="clear" w:color="auto" w:fill="C6EFCE"/>
            <w:noWrap/>
            <w:vAlign w:val="center"/>
          </w:tcPr>
          <w:p w14:paraId="10274E2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878" w:type="dxa"/>
            <w:tcBorders>
              <w:top w:val="nil"/>
              <w:left w:val="nil"/>
              <w:bottom w:val="single" w:sz="4" w:space="0" w:color="auto"/>
              <w:right w:val="single" w:sz="4" w:space="0" w:color="auto"/>
            </w:tcBorders>
            <w:shd w:val="clear" w:color="auto" w:fill="C6EFCE"/>
            <w:noWrap/>
            <w:vAlign w:val="center"/>
          </w:tcPr>
          <w:p w14:paraId="4EEE903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70</w:t>
            </w:r>
          </w:p>
        </w:tc>
        <w:tc>
          <w:tcPr>
            <w:tcW w:w="916" w:type="dxa"/>
            <w:tcBorders>
              <w:top w:val="nil"/>
              <w:left w:val="nil"/>
              <w:bottom w:val="single" w:sz="4" w:space="0" w:color="auto"/>
              <w:right w:val="single" w:sz="4" w:space="0" w:color="auto"/>
            </w:tcBorders>
            <w:shd w:val="clear" w:color="auto" w:fill="C6EFCE"/>
            <w:noWrap/>
            <w:vAlign w:val="center"/>
          </w:tcPr>
          <w:p w14:paraId="311FDB4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666" w:type="dxa"/>
            <w:tcBorders>
              <w:top w:val="nil"/>
              <w:left w:val="nil"/>
              <w:bottom w:val="single" w:sz="4" w:space="0" w:color="auto"/>
              <w:right w:val="single" w:sz="4" w:space="0" w:color="auto"/>
            </w:tcBorders>
            <w:shd w:val="clear" w:color="auto" w:fill="C6EFCE"/>
            <w:noWrap/>
            <w:vAlign w:val="center"/>
          </w:tcPr>
          <w:p w14:paraId="2E2C4DA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2024</w:t>
            </w:r>
          </w:p>
        </w:tc>
        <w:tc>
          <w:tcPr>
            <w:tcW w:w="4231" w:type="dxa"/>
            <w:tcBorders>
              <w:top w:val="nil"/>
              <w:left w:val="nil"/>
              <w:bottom w:val="single" w:sz="4" w:space="0" w:color="auto"/>
              <w:right w:val="single" w:sz="4" w:space="0" w:color="auto"/>
            </w:tcBorders>
            <w:shd w:val="clear" w:color="auto" w:fill="C6EFCE"/>
            <w:noWrap/>
            <w:vAlign w:val="center"/>
          </w:tcPr>
          <w:p w14:paraId="74AC8444"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Vähemalt 70 % sadamasüsteemi asutustest peavad olema varustatud PCS-standardteenustega (sadamakogukonna süsteem), mis on koostalitlusvõimelised asjaomaste haldusasutustega ning on kooskõlas ELi määrusega (EL) nr 1056/2020 ja uue Poola zlotiga (riiklik digitaalne logistikaplatvorm). </w:t>
            </w:r>
          </w:p>
        </w:tc>
      </w:tr>
      <w:tr w:rsidR="0084326C" w:rsidRPr="00D90835" w14:paraId="4AA48236" w14:textId="77777777">
        <w:trPr>
          <w:trHeight w:val="309"/>
          <w:jc w:val="center"/>
        </w:trPr>
        <w:tc>
          <w:tcPr>
            <w:tcW w:w="1130" w:type="dxa"/>
            <w:tcBorders>
              <w:top w:val="nil"/>
              <w:left w:val="single" w:sz="4" w:space="0" w:color="auto"/>
              <w:bottom w:val="single" w:sz="4" w:space="0" w:color="auto"/>
              <w:right w:val="single" w:sz="4" w:space="0" w:color="auto"/>
            </w:tcBorders>
            <w:shd w:val="clear" w:color="auto" w:fill="C6EFCE"/>
            <w:noWrap/>
            <w:vAlign w:val="center"/>
          </w:tcPr>
          <w:p w14:paraId="572DFAD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M3C2-6</w:t>
            </w:r>
          </w:p>
        </w:tc>
        <w:tc>
          <w:tcPr>
            <w:tcW w:w="1560" w:type="dxa"/>
            <w:tcBorders>
              <w:top w:val="nil"/>
              <w:left w:val="nil"/>
              <w:bottom w:val="single" w:sz="4" w:space="0" w:color="auto"/>
              <w:right w:val="single" w:sz="4" w:space="0" w:color="auto"/>
            </w:tcBorders>
            <w:shd w:val="clear" w:color="auto" w:fill="C6EFCE"/>
            <w:noWrap/>
            <w:vAlign w:val="center"/>
          </w:tcPr>
          <w:p w14:paraId="19FCE91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2.2. Lennuliikluse korraldamise digiteerimine</w:t>
            </w:r>
          </w:p>
        </w:tc>
        <w:tc>
          <w:tcPr>
            <w:tcW w:w="1066" w:type="dxa"/>
            <w:tcBorders>
              <w:top w:val="nil"/>
              <w:left w:val="nil"/>
              <w:bottom w:val="single" w:sz="4" w:space="0" w:color="auto"/>
              <w:right w:val="single" w:sz="4" w:space="0" w:color="auto"/>
            </w:tcBorders>
            <w:shd w:val="clear" w:color="auto" w:fill="C6EFCE"/>
            <w:noWrap/>
            <w:vAlign w:val="center"/>
          </w:tcPr>
          <w:p w14:paraId="1687E3AA" w14:textId="38ED376A"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1627" w:type="dxa"/>
            <w:tcBorders>
              <w:top w:val="nil"/>
              <w:left w:val="nil"/>
              <w:bottom w:val="single" w:sz="4" w:space="0" w:color="auto"/>
              <w:right w:val="single" w:sz="4" w:space="0" w:color="auto"/>
            </w:tcBorders>
            <w:shd w:val="clear" w:color="auto" w:fill="C6EFCE"/>
            <w:noWrap/>
            <w:vAlign w:val="center"/>
          </w:tcPr>
          <w:p w14:paraId="7635BA5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Lennuliikluse korraldamise digiteerimine: uute vahendite kasutuselevõtmine</w:t>
            </w:r>
          </w:p>
        </w:tc>
        <w:tc>
          <w:tcPr>
            <w:tcW w:w="1777" w:type="dxa"/>
            <w:tcBorders>
              <w:top w:val="nil"/>
              <w:left w:val="nil"/>
              <w:bottom w:val="single" w:sz="4" w:space="0" w:color="auto"/>
              <w:right w:val="single" w:sz="4" w:space="0" w:color="auto"/>
            </w:tcBorders>
            <w:shd w:val="clear" w:color="auto" w:fill="C6EFCE"/>
            <w:noWrap/>
            <w:vAlign w:val="center"/>
          </w:tcPr>
          <w:p w14:paraId="063A5D5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TOCi, digitaalse aeronavigatsiooniteabe ja UMSi sertifikaadid</w:t>
            </w:r>
          </w:p>
        </w:tc>
        <w:tc>
          <w:tcPr>
            <w:tcW w:w="926" w:type="dxa"/>
            <w:tcBorders>
              <w:top w:val="nil"/>
              <w:left w:val="nil"/>
              <w:bottom w:val="single" w:sz="4" w:space="0" w:color="auto"/>
              <w:right w:val="single" w:sz="4" w:space="0" w:color="auto"/>
            </w:tcBorders>
            <w:shd w:val="clear" w:color="auto" w:fill="C6EFCE"/>
            <w:noWrap/>
            <w:vAlign w:val="center"/>
          </w:tcPr>
          <w:p w14:paraId="081AD1C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096" w:type="dxa"/>
            <w:tcBorders>
              <w:top w:val="nil"/>
              <w:left w:val="nil"/>
              <w:bottom w:val="single" w:sz="4" w:space="0" w:color="auto"/>
              <w:right w:val="single" w:sz="4" w:space="0" w:color="auto"/>
            </w:tcBorders>
            <w:shd w:val="clear" w:color="auto" w:fill="C6EFCE"/>
            <w:noWrap/>
            <w:vAlign w:val="center"/>
          </w:tcPr>
          <w:p w14:paraId="07EF9C7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Ei kohaldata </w:t>
            </w:r>
          </w:p>
        </w:tc>
        <w:tc>
          <w:tcPr>
            <w:tcW w:w="878" w:type="dxa"/>
            <w:tcBorders>
              <w:top w:val="nil"/>
              <w:left w:val="nil"/>
              <w:bottom w:val="single" w:sz="4" w:space="0" w:color="auto"/>
              <w:right w:val="single" w:sz="4" w:space="0" w:color="auto"/>
            </w:tcBorders>
            <w:shd w:val="clear" w:color="auto" w:fill="C6EFCE"/>
            <w:noWrap/>
            <w:vAlign w:val="center"/>
          </w:tcPr>
          <w:p w14:paraId="0E521F6E" w14:textId="77777777" w:rsidR="0084326C" w:rsidRPr="005D68A0" w:rsidRDefault="0084326C">
            <w:pPr>
              <w:jc w:val="center"/>
              <w:rPr>
                <w:rFonts w:ascii="Arial Narrow" w:hAnsi="Arial Narrow"/>
                <w:noProof/>
                <w:color w:val="006100"/>
                <w:sz w:val="20"/>
                <w:szCs w:val="20"/>
                <w:lang w:val="en-GB"/>
              </w:rPr>
            </w:pPr>
          </w:p>
          <w:p w14:paraId="7F8C7A27" w14:textId="7F73B492"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p w14:paraId="4B37170A" w14:textId="77777777" w:rsidR="0084326C" w:rsidRPr="005D68A0" w:rsidRDefault="0084326C">
            <w:pPr>
              <w:jc w:val="center"/>
              <w:rPr>
                <w:rFonts w:ascii="Arial Narrow" w:hAnsi="Arial Narrow"/>
                <w:noProof/>
                <w:color w:val="006100"/>
                <w:sz w:val="20"/>
                <w:szCs w:val="20"/>
                <w:lang w:val="en-GB"/>
              </w:rPr>
            </w:pPr>
          </w:p>
        </w:tc>
        <w:tc>
          <w:tcPr>
            <w:tcW w:w="916" w:type="dxa"/>
            <w:tcBorders>
              <w:top w:val="nil"/>
              <w:left w:val="nil"/>
              <w:bottom w:val="single" w:sz="4" w:space="0" w:color="auto"/>
              <w:right w:val="single" w:sz="4" w:space="0" w:color="auto"/>
            </w:tcBorders>
            <w:shd w:val="clear" w:color="auto" w:fill="C6EFCE"/>
            <w:noWrap/>
            <w:vAlign w:val="center"/>
          </w:tcPr>
          <w:p w14:paraId="1B7BB1A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 kv</w:t>
            </w:r>
          </w:p>
        </w:tc>
        <w:tc>
          <w:tcPr>
            <w:tcW w:w="666" w:type="dxa"/>
            <w:tcBorders>
              <w:top w:val="nil"/>
              <w:left w:val="nil"/>
              <w:bottom w:val="single" w:sz="4" w:space="0" w:color="auto"/>
              <w:right w:val="single" w:sz="4" w:space="0" w:color="auto"/>
            </w:tcBorders>
            <w:shd w:val="clear" w:color="auto" w:fill="C6EFCE"/>
            <w:noWrap/>
            <w:vAlign w:val="center"/>
          </w:tcPr>
          <w:p w14:paraId="735A1C8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4231" w:type="dxa"/>
            <w:tcBorders>
              <w:top w:val="nil"/>
              <w:left w:val="nil"/>
              <w:bottom w:val="single" w:sz="4" w:space="0" w:color="auto"/>
              <w:right w:val="single" w:sz="4" w:space="0" w:color="auto"/>
            </w:tcBorders>
            <w:shd w:val="clear" w:color="auto" w:fill="C6EFCE"/>
            <w:noWrap/>
            <w:vAlign w:val="center"/>
          </w:tcPr>
          <w:p w14:paraId="6305DD08" w14:textId="77777777" w:rsidR="0084326C" w:rsidRPr="005D68A0" w:rsidRDefault="0084326C">
            <w:pPr>
              <w:jc w:val="both"/>
              <w:rPr>
                <w:rFonts w:ascii="Arial Narrow" w:hAnsi="Arial Narrow"/>
                <w:noProof/>
                <w:color w:val="006100"/>
                <w:sz w:val="20"/>
                <w:szCs w:val="20"/>
              </w:rPr>
            </w:pPr>
            <w:r>
              <w:rPr>
                <w:rFonts w:ascii="Arial Narrow" w:hAnsi="Arial Narrow"/>
                <w:noProof/>
                <w:color w:val="006100"/>
                <w:sz w:val="20"/>
              </w:rPr>
              <w:t xml:space="preserve">Järgmise kolme projekti käivitamine: </w:t>
            </w:r>
          </w:p>
          <w:p w14:paraId="72FD6255" w14:textId="77777777" w:rsidR="0084326C" w:rsidRPr="005D68A0" w:rsidRDefault="0084326C">
            <w:pPr>
              <w:jc w:val="both"/>
              <w:rPr>
                <w:rFonts w:ascii="Arial Narrow" w:hAnsi="Arial Narrow"/>
                <w:noProof/>
                <w:color w:val="006100"/>
                <w:sz w:val="20"/>
                <w:szCs w:val="20"/>
              </w:rPr>
            </w:pPr>
            <w:r>
              <w:rPr>
                <w:rFonts w:ascii="Arial Narrow" w:hAnsi="Arial Narrow"/>
                <w:noProof/>
                <w:color w:val="006100"/>
                <w:sz w:val="20"/>
              </w:rPr>
              <w:t xml:space="preserve">a) Tehniliste operatsioonide keskus (TOC) ja vähemalt kaks lennuliikluse korraldamise süsteemi </w:t>
            </w:r>
          </w:p>
          <w:p w14:paraId="7DB23C54" w14:textId="77777777" w:rsidR="0084326C" w:rsidRPr="005D68A0" w:rsidRDefault="0084326C">
            <w:pPr>
              <w:jc w:val="both"/>
              <w:rPr>
                <w:rFonts w:ascii="Arial Narrow" w:hAnsi="Arial Narrow"/>
                <w:noProof/>
                <w:color w:val="006100"/>
                <w:sz w:val="20"/>
                <w:szCs w:val="20"/>
              </w:rPr>
            </w:pPr>
            <w:r>
              <w:rPr>
                <w:rFonts w:ascii="Arial Narrow" w:hAnsi="Arial Narrow"/>
                <w:noProof/>
                <w:color w:val="006100"/>
                <w:sz w:val="20"/>
              </w:rPr>
              <w:t xml:space="preserve">b) digitaliseeritud lennundusteave </w:t>
            </w:r>
          </w:p>
          <w:p w14:paraId="39C1609F"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c) mehitamata liikluskorraldussüsteem ja ühenduvus (UTMS).</w:t>
            </w:r>
          </w:p>
        </w:tc>
      </w:tr>
      <w:tr w:rsidR="0084326C" w:rsidRPr="00D90835" w14:paraId="7D542221" w14:textId="77777777">
        <w:trPr>
          <w:trHeight w:val="309"/>
          <w:jc w:val="center"/>
        </w:trPr>
        <w:tc>
          <w:tcPr>
            <w:tcW w:w="113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4243247" w14:textId="77777777" w:rsidR="0084326C" w:rsidRPr="005D68A0" w:rsidRDefault="0084326C">
            <w:pPr>
              <w:jc w:val="center"/>
              <w:rPr>
                <w:rFonts w:ascii="Arial Narrow" w:hAnsi="Arial Narrow"/>
                <w:noProof/>
                <w:color w:val="006100"/>
                <w:sz w:val="20"/>
                <w:szCs w:val="20"/>
              </w:rPr>
            </w:pPr>
            <w:r>
              <w:rPr>
                <w:rStyle w:val="normaltextrun"/>
                <w:rFonts w:ascii="Arial Narrow" w:hAnsi="Arial Narrow"/>
                <w:noProof/>
                <w:color w:val="006100"/>
                <w:sz w:val="20"/>
              </w:rPr>
              <w:t>M3C2-7</w:t>
            </w:r>
            <w:r>
              <w:rPr>
                <w:rStyle w:val="eop"/>
                <w:rFonts w:ascii="Arial Narrow" w:hAnsi="Arial Narrow"/>
                <w:noProof/>
                <w:color w:val="006100"/>
                <w:sz w:val="20"/>
              </w:rPr>
              <w:t xml:space="preserve"> </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1BA98D69" w14:textId="77777777" w:rsidR="0084326C" w:rsidRPr="005D68A0" w:rsidRDefault="0084326C">
            <w:pPr>
              <w:jc w:val="center"/>
              <w:rPr>
                <w:rFonts w:ascii="Arial Narrow" w:hAnsi="Arial Narrow"/>
                <w:noProof/>
                <w:color w:val="006100"/>
                <w:sz w:val="20"/>
                <w:szCs w:val="20"/>
              </w:rPr>
            </w:pPr>
            <w:r>
              <w:rPr>
                <w:rStyle w:val="normaltextrun"/>
                <w:rFonts w:ascii="Arial Narrow" w:hAnsi="Arial Narrow"/>
                <w:noProof/>
                <w:color w:val="006100"/>
                <w:sz w:val="20"/>
              </w:rPr>
              <w:t>Investeering 2.3. Külm triikimine</w:t>
            </w:r>
            <w:r>
              <w:rPr>
                <w:rStyle w:val="eop"/>
                <w:rFonts w:ascii="Arial Narrow" w:hAnsi="Arial Narrow"/>
                <w:noProof/>
                <w:color w:val="006100"/>
                <w:sz w:val="20"/>
              </w:rPr>
              <w:t xml:space="preserve"> </w:t>
            </w:r>
          </w:p>
        </w:tc>
        <w:tc>
          <w:tcPr>
            <w:tcW w:w="1066" w:type="dxa"/>
            <w:tcBorders>
              <w:top w:val="single" w:sz="4" w:space="0" w:color="auto"/>
              <w:left w:val="nil"/>
              <w:bottom w:val="single" w:sz="4" w:space="0" w:color="auto"/>
              <w:right w:val="single" w:sz="4" w:space="0" w:color="auto"/>
            </w:tcBorders>
            <w:shd w:val="clear" w:color="auto" w:fill="C6EFCE"/>
            <w:noWrap/>
            <w:vAlign w:val="center"/>
          </w:tcPr>
          <w:p w14:paraId="52A2B0C9" w14:textId="77777777" w:rsidR="0084326C" w:rsidRPr="005D68A0" w:rsidRDefault="0084326C">
            <w:pPr>
              <w:jc w:val="center"/>
              <w:rPr>
                <w:rFonts w:ascii="Arial Narrow" w:hAnsi="Arial Narrow"/>
                <w:noProof/>
                <w:color w:val="006100"/>
                <w:sz w:val="20"/>
                <w:szCs w:val="20"/>
              </w:rPr>
            </w:pPr>
            <w:r>
              <w:rPr>
                <w:rStyle w:val="normaltextrun"/>
                <w:rFonts w:ascii="Arial Narrow" w:hAnsi="Arial Narrow"/>
                <w:noProof/>
                <w:color w:val="006100"/>
                <w:sz w:val="20"/>
              </w:rPr>
              <w:t>Eesmärk</w:t>
            </w:r>
            <w:r>
              <w:rPr>
                <w:rStyle w:val="eop"/>
                <w:rFonts w:ascii="Arial Narrow" w:hAnsi="Arial Narrow"/>
                <w:noProof/>
                <w:color w:val="006100"/>
                <w:sz w:val="20"/>
              </w:rPr>
              <w:t xml:space="preserve"> </w:t>
            </w:r>
          </w:p>
        </w:tc>
        <w:tc>
          <w:tcPr>
            <w:tcW w:w="1627" w:type="dxa"/>
            <w:tcBorders>
              <w:top w:val="single" w:sz="4" w:space="0" w:color="auto"/>
              <w:left w:val="nil"/>
              <w:bottom w:val="single" w:sz="4" w:space="0" w:color="auto"/>
              <w:right w:val="single" w:sz="4" w:space="0" w:color="auto"/>
            </w:tcBorders>
            <w:shd w:val="clear" w:color="auto" w:fill="C6EFCE"/>
            <w:noWrap/>
            <w:vAlign w:val="center"/>
          </w:tcPr>
          <w:p w14:paraId="4664FF56" w14:textId="77777777" w:rsidR="0084326C" w:rsidRPr="005D68A0" w:rsidRDefault="0084326C">
            <w:pPr>
              <w:jc w:val="center"/>
              <w:rPr>
                <w:rFonts w:ascii="Arial Narrow" w:hAnsi="Arial Narrow"/>
                <w:noProof/>
                <w:color w:val="006100"/>
                <w:sz w:val="20"/>
                <w:szCs w:val="20"/>
              </w:rPr>
            </w:pPr>
            <w:r>
              <w:rPr>
                <w:rStyle w:val="normaltextrun"/>
                <w:rFonts w:ascii="Arial Narrow" w:hAnsi="Arial Narrow"/>
                <w:noProof/>
                <w:color w:val="006100"/>
                <w:sz w:val="20"/>
              </w:rPr>
              <w:t>Kõigi riigihankelepingute sõlmimine</w:t>
            </w:r>
            <w:r>
              <w:rPr>
                <w:rStyle w:val="eop"/>
                <w:rFonts w:ascii="Arial Narrow" w:hAnsi="Arial Narrow"/>
                <w:noProof/>
                <w:color w:val="006100"/>
                <w:sz w:val="20"/>
              </w:rPr>
              <w:t xml:space="preserve"> </w:t>
            </w:r>
          </w:p>
        </w:tc>
        <w:tc>
          <w:tcPr>
            <w:tcW w:w="1777" w:type="dxa"/>
            <w:tcBorders>
              <w:top w:val="single" w:sz="4" w:space="0" w:color="auto"/>
              <w:left w:val="nil"/>
              <w:bottom w:val="single" w:sz="4" w:space="0" w:color="auto"/>
              <w:right w:val="single" w:sz="4" w:space="0" w:color="auto"/>
            </w:tcBorders>
            <w:shd w:val="clear" w:color="auto" w:fill="C6EFCE"/>
            <w:noWrap/>
            <w:vAlign w:val="center"/>
          </w:tcPr>
          <w:p w14:paraId="2BA46ACC" w14:textId="77777777" w:rsidR="0084326C" w:rsidRPr="005D68A0" w:rsidRDefault="0084326C">
            <w:pPr>
              <w:jc w:val="center"/>
              <w:rPr>
                <w:rFonts w:ascii="Arial Narrow" w:hAnsi="Arial Narrow"/>
                <w:noProof/>
                <w:color w:val="006100"/>
                <w:sz w:val="20"/>
                <w:szCs w:val="20"/>
              </w:rPr>
            </w:pPr>
            <w:r>
              <w:rPr>
                <w:rStyle w:val="normaltextrun"/>
                <w:rFonts w:ascii="Arial Narrow" w:hAnsi="Arial Narrow"/>
                <w:noProof/>
                <w:color w:val="006100"/>
                <w:sz w:val="20"/>
              </w:rPr>
              <w:t>Teade kõigi riigihankelepingute sõlmimise kohta vähemalt 15 külma triikimistehase ehitamiseks</w:t>
            </w:r>
            <w:r>
              <w:rPr>
                <w:rStyle w:val="eop"/>
                <w:rFonts w:ascii="Arial Narrow" w:hAnsi="Arial Narrow"/>
                <w:noProof/>
                <w:color w:val="006100"/>
                <w:sz w:val="20"/>
              </w:rPr>
              <w:t xml:space="preserve"> </w:t>
            </w:r>
          </w:p>
        </w:tc>
        <w:tc>
          <w:tcPr>
            <w:tcW w:w="926" w:type="dxa"/>
            <w:tcBorders>
              <w:top w:val="single" w:sz="4" w:space="0" w:color="auto"/>
              <w:left w:val="nil"/>
              <w:bottom w:val="single" w:sz="4" w:space="0" w:color="auto"/>
              <w:right w:val="single" w:sz="4" w:space="0" w:color="auto"/>
            </w:tcBorders>
            <w:shd w:val="clear" w:color="auto" w:fill="C6EFCE"/>
            <w:noWrap/>
            <w:vAlign w:val="center"/>
          </w:tcPr>
          <w:p w14:paraId="5DA1E4CE" w14:textId="77777777" w:rsidR="0084326C" w:rsidRPr="005D68A0" w:rsidRDefault="0084326C">
            <w:pPr>
              <w:jc w:val="center"/>
              <w:rPr>
                <w:rFonts w:ascii="Arial Narrow" w:hAnsi="Arial Narrow"/>
                <w:noProof/>
                <w:color w:val="006100"/>
                <w:sz w:val="20"/>
                <w:szCs w:val="20"/>
              </w:rPr>
            </w:pPr>
            <w:r>
              <w:rPr>
                <w:rStyle w:val="normaltextrun"/>
                <w:rFonts w:ascii="Arial Narrow" w:hAnsi="Arial Narrow"/>
                <w:noProof/>
                <w:color w:val="006100"/>
                <w:sz w:val="20"/>
              </w:rPr>
              <w:t>Ei kohaldata</w:t>
            </w:r>
            <w:r>
              <w:rPr>
                <w:rStyle w:val="eop"/>
                <w:rFonts w:ascii="Arial Narrow" w:hAnsi="Arial Narrow"/>
                <w:noProof/>
                <w:color w:val="006100"/>
                <w:sz w:val="20"/>
              </w:rPr>
              <w:t xml:space="preserve"> </w:t>
            </w:r>
          </w:p>
        </w:tc>
        <w:tc>
          <w:tcPr>
            <w:tcW w:w="1096" w:type="dxa"/>
            <w:tcBorders>
              <w:top w:val="single" w:sz="4" w:space="0" w:color="auto"/>
              <w:left w:val="nil"/>
              <w:bottom w:val="single" w:sz="4" w:space="0" w:color="auto"/>
              <w:right w:val="single" w:sz="4" w:space="0" w:color="auto"/>
            </w:tcBorders>
            <w:shd w:val="clear" w:color="auto" w:fill="C6EFCE"/>
            <w:noWrap/>
            <w:vAlign w:val="center"/>
          </w:tcPr>
          <w:p w14:paraId="26D3A4BB" w14:textId="77777777" w:rsidR="0084326C" w:rsidRPr="005D68A0" w:rsidRDefault="0084326C">
            <w:pPr>
              <w:jc w:val="center"/>
              <w:rPr>
                <w:rFonts w:ascii="Arial Narrow" w:hAnsi="Arial Narrow"/>
                <w:noProof/>
                <w:color w:val="006100"/>
                <w:sz w:val="20"/>
                <w:szCs w:val="20"/>
              </w:rPr>
            </w:pPr>
            <w:r>
              <w:rPr>
                <w:rStyle w:val="normaltextrun"/>
                <w:rFonts w:ascii="Arial Narrow" w:hAnsi="Arial Narrow"/>
                <w:noProof/>
                <w:color w:val="006100"/>
                <w:sz w:val="20"/>
              </w:rPr>
              <w:t>Ei kohaldata</w:t>
            </w:r>
            <w:r>
              <w:rPr>
                <w:rStyle w:val="eop"/>
                <w:rFonts w:ascii="Arial Narrow" w:hAnsi="Arial Narrow"/>
                <w:noProof/>
                <w:color w:val="006100"/>
                <w:sz w:val="20"/>
              </w:rPr>
              <w:t xml:space="preserve"> </w:t>
            </w:r>
          </w:p>
        </w:tc>
        <w:tc>
          <w:tcPr>
            <w:tcW w:w="878" w:type="dxa"/>
            <w:tcBorders>
              <w:top w:val="single" w:sz="4" w:space="0" w:color="auto"/>
              <w:left w:val="nil"/>
              <w:bottom w:val="single" w:sz="4" w:space="0" w:color="auto"/>
              <w:right w:val="single" w:sz="4" w:space="0" w:color="auto"/>
            </w:tcBorders>
            <w:shd w:val="clear" w:color="auto" w:fill="C6EFCE"/>
            <w:noWrap/>
            <w:vAlign w:val="center"/>
          </w:tcPr>
          <w:p w14:paraId="20635102" w14:textId="77777777" w:rsidR="0084326C" w:rsidRPr="005D68A0" w:rsidRDefault="0084326C">
            <w:pPr>
              <w:jc w:val="center"/>
              <w:rPr>
                <w:rFonts w:ascii="Arial Narrow" w:hAnsi="Arial Narrow"/>
                <w:noProof/>
                <w:color w:val="006100"/>
                <w:sz w:val="20"/>
                <w:szCs w:val="20"/>
              </w:rPr>
            </w:pPr>
            <w:r>
              <w:rPr>
                <w:rStyle w:val="normaltextrun"/>
                <w:rFonts w:ascii="Arial Narrow" w:hAnsi="Arial Narrow"/>
                <w:noProof/>
                <w:color w:val="006100"/>
                <w:sz w:val="20"/>
              </w:rPr>
              <w:t>Ei kohaldata</w:t>
            </w:r>
            <w:r>
              <w:rPr>
                <w:rStyle w:val="eop"/>
                <w:rFonts w:ascii="Arial Narrow" w:hAnsi="Arial Narrow"/>
                <w:noProof/>
                <w:color w:val="006100"/>
                <w:sz w:val="20"/>
              </w:rPr>
              <w:t xml:space="preserve"> </w:t>
            </w:r>
          </w:p>
        </w:tc>
        <w:tc>
          <w:tcPr>
            <w:tcW w:w="916" w:type="dxa"/>
            <w:tcBorders>
              <w:top w:val="single" w:sz="4" w:space="0" w:color="auto"/>
              <w:left w:val="nil"/>
              <w:bottom w:val="single" w:sz="4" w:space="0" w:color="auto"/>
              <w:right w:val="single" w:sz="4" w:space="0" w:color="auto"/>
            </w:tcBorders>
            <w:shd w:val="clear" w:color="auto" w:fill="C6EFCE"/>
            <w:noWrap/>
            <w:vAlign w:val="center"/>
          </w:tcPr>
          <w:p w14:paraId="1D27809C" w14:textId="77777777" w:rsidR="0084326C" w:rsidRPr="005D68A0" w:rsidRDefault="0084326C">
            <w:pPr>
              <w:jc w:val="center"/>
              <w:rPr>
                <w:rFonts w:ascii="Arial Narrow" w:hAnsi="Arial Narrow"/>
                <w:noProof/>
                <w:color w:val="006100"/>
                <w:sz w:val="20"/>
                <w:szCs w:val="20"/>
              </w:rPr>
            </w:pPr>
            <w:r>
              <w:rPr>
                <w:rStyle w:val="normaltextrun"/>
                <w:rFonts w:ascii="Arial Narrow" w:hAnsi="Arial Narrow"/>
                <w:noProof/>
                <w:color w:val="006100"/>
                <w:sz w:val="20"/>
              </w:rPr>
              <w:t>3. kv</w:t>
            </w:r>
            <w:r>
              <w:rPr>
                <w:rStyle w:val="eop"/>
                <w:rFonts w:ascii="Arial Narrow" w:hAnsi="Arial Narrow"/>
                <w:noProof/>
                <w:color w:val="006100"/>
                <w:sz w:val="20"/>
              </w:rPr>
              <w:t xml:space="preserve"> </w:t>
            </w:r>
          </w:p>
        </w:tc>
        <w:tc>
          <w:tcPr>
            <w:tcW w:w="666" w:type="dxa"/>
            <w:tcBorders>
              <w:top w:val="single" w:sz="4" w:space="0" w:color="auto"/>
              <w:left w:val="nil"/>
              <w:bottom w:val="single" w:sz="4" w:space="0" w:color="auto"/>
              <w:right w:val="single" w:sz="4" w:space="0" w:color="auto"/>
            </w:tcBorders>
            <w:shd w:val="clear" w:color="auto" w:fill="C6EFCE"/>
            <w:noWrap/>
            <w:vAlign w:val="center"/>
          </w:tcPr>
          <w:p w14:paraId="0F7DB412" w14:textId="77777777" w:rsidR="0084326C" w:rsidRPr="005D68A0" w:rsidRDefault="0084326C">
            <w:pPr>
              <w:jc w:val="center"/>
              <w:rPr>
                <w:rFonts w:ascii="Arial Narrow" w:hAnsi="Arial Narrow"/>
                <w:noProof/>
                <w:color w:val="006100"/>
                <w:sz w:val="20"/>
                <w:szCs w:val="20"/>
              </w:rPr>
            </w:pPr>
            <w:r>
              <w:rPr>
                <w:rStyle w:val="normaltextrun"/>
                <w:rFonts w:ascii="Arial Narrow" w:hAnsi="Arial Narrow"/>
                <w:noProof/>
                <w:color w:val="006100"/>
                <w:sz w:val="20"/>
              </w:rPr>
              <w:t>2024</w:t>
            </w:r>
            <w:r>
              <w:rPr>
                <w:rStyle w:val="eop"/>
                <w:rFonts w:ascii="Arial Narrow" w:hAnsi="Arial Narrow"/>
                <w:noProof/>
                <w:color w:val="006100"/>
                <w:sz w:val="20"/>
              </w:rPr>
              <w:t xml:space="preserve"> </w:t>
            </w:r>
          </w:p>
        </w:tc>
        <w:tc>
          <w:tcPr>
            <w:tcW w:w="4231" w:type="dxa"/>
            <w:tcBorders>
              <w:top w:val="single" w:sz="4" w:space="0" w:color="auto"/>
              <w:left w:val="nil"/>
              <w:bottom w:val="single" w:sz="4" w:space="0" w:color="auto"/>
              <w:right w:val="single" w:sz="4" w:space="0" w:color="auto"/>
            </w:tcBorders>
            <w:shd w:val="clear" w:color="auto" w:fill="C6EFCE"/>
            <w:noWrap/>
            <w:vAlign w:val="center"/>
          </w:tcPr>
          <w:p w14:paraId="6471D062" w14:textId="77777777" w:rsidR="0084326C" w:rsidRPr="005D68A0" w:rsidRDefault="0084326C">
            <w:pPr>
              <w:jc w:val="both"/>
              <w:rPr>
                <w:rFonts w:ascii="Arial Narrow" w:hAnsi="Arial Narrow"/>
                <w:noProof/>
                <w:color w:val="006100"/>
                <w:sz w:val="20"/>
                <w:szCs w:val="20"/>
              </w:rPr>
            </w:pPr>
            <w:r>
              <w:rPr>
                <w:rStyle w:val="normaltextrun"/>
                <w:rFonts w:ascii="Arial Narrow" w:hAnsi="Arial Narrow"/>
                <w:noProof/>
                <w:color w:val="006100"/>
                <w:sz w:val="20"/>
              </w:rPr>
              <w:t>Pakkumiskutse avaldamine ja kõigi lepingute sõlmimine vähemalt 15 elektrit pakkuva külmtriikimistehase ehitamiseks vähemalt kümnes sadamas.</w:t>
            </w:r>
            <w:r>
              <w:rPr>
                <w:rStyle w:val="eop"/>
                <w:rFonts w:ascii="Arial Narrow" w:hAnsi="Arial Narrow"/>
                <w:noProof/>
                <w:color w:val="006100"/>
                <w:sz w:val="20"/>
              </w:rPr>
              <w:t xml:space="preserve"> </w:t>
            </w:r>
          </w:p>
        </w:tc>
      </w:tr>
      <w:tr w:rsidR="0084326C" w:rsidRPr="00D90835" w14:paraId="296E9618" w14:textId="77777777">
        <w:trPr>
          <w:trHeight w:val="309"/>
          <w:jc w:val="center"/>
        </w:trPr>
        <w:tc>
          <w:tcPr>
            <w:tcW w:w="113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AE46B9" w14:textId="77777777" w:rsidR="0084326C" w:rsidRPr="005D68A0" w:rsidRDefault="0084326C">
            <w:pPr>
              <w:jc w:val="center"/>
              <w:rPr>
                <w:rFonts w:ascii="Arial Narrow" w:hAnsi="Arial Narrow"/>
                <w:noProof/>
                <w:color w:val="006100"/>
                <w:sz w:val="20"/>
                <w:szCs w:val="20"/>
              </w:rPr>
            </w:pPr>
            <w:r>
              <w:rPr>
                <w:rStyle w:val="normaltextrun"/>
                <w:rFonts w:ascii="Arial Narrow" w:hAnsi="Arial Narrow"/>
                <w:noProof/>
                <w:color w:val="006100"/>
                <w:sz w:val="20"/>
              </w:rPr>
              <w:t>M3C2-12</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7BDBEF0F" w14:textId="6E45E8DF" w:rsidR="0084326C" w:rsidRPr="005D68A0" w:rsidRDefault="0084326C">
            <w:pPr>
              <w:jc w:val="center"/>
              <w:rPr>
                <w:rFonts w:ascii="Arial Narrow" w:hAnsi="Arial Narrow"/>
                <w:noProof/>
                <w:color w:val="006100"/>
                <w:sz w:val="20"/>
                <w:szCs w:val="20"/>
              </w:rPr>
            </w:pPr>
            <w:r>
              <w:rPr>
                <w:rStyle w:val="normaltextrun"/>
                <w:rFonts w:ascii="Arial Narrow" w:hAnsi="Arial Narrow"/>
                <w:noProof/>
                <w:color w:val="006100"/>
                <w:sz w:val="20"/>
              </w:rPr>
              <w:t>Investeering 2.3. Külm triikimine</w:t>
            </w:r>
            <w:r>
              <w:rPr>
                <w:rStyle w:val="eop"/>
                <w:rFonts w:ascii="Arial Narrow" w:hAnsi="Arial Narrow"/>
                <w:noProof/>
                <w:color w:val="006100"/>
                <w:sz w:val="20"/>
              </w:rPr>
              <w:t xml:space="preserve"> </w:t>
            </w:r>
          </w:p>
        </w:tc>
        <w:tc>
          <w:tcPr>
            <w:tcW w:w="1066" w:type="dxa"/>
            <w:tcBorders>
              <w:top w:val="single" w:sz="4" w:space="0" w:color="auto"/>
              <w:left w:val="nil"/>
              <w:bottom w:val="single" w:sz="4" w:space="0" w:color="auto"/>
              <w:right w:val="single" w:sz="4" w:space="0" w:color="auto"/>
            </w:tcBorders>
            <w:shd w:val="clear" w:color="auto" w:fill="C6EFCE"/>
            <w:noWrap/>
            <w:vAlign w:val="center"/>
          </w:tcPr>
          <w:p w14:paraId="3F6F1A12" w14:textId="77777777" w:rsidR="0084326C" w:rsidRPr="005D68A0" w:rsidRDefault="0084326C">
            <w:pPr>
              <w:jc w:val="center"/>
              <w:rPr>
                <w:rFonts w:ascii="Arial Narrow" w:hAnsi="Arial Narrow"/>
                <w:noProof/>
                <w:color w:val="006100"/>
                <w:sz w:val="20"/>
                <w:szCs w:val="20"/>
              </w:rPr>
            </w:pPr>
            <w:r>
              <w:rPr>
                <w:rStyle w:val="normaltextrun"/>
                <w:rFonts w:ascii="Arial Narrow" w:hAnsi="Arial Narrow"/>
                <w:noProof/>
                <w:color w:val="006100"/>
                <w:sz w:val="20"/>
              </w:rPr>
              <w:t>Siht</w:t>
            </w:r>
            <w:r>
              <w:rPr>
                <w:rStyle w:val="eop"/>
                <w:rFonts w:ascii="Arial Narrow" w:hAnsi="Arial Narrow"/>
                <w:noProof/>
                <w:color w:val="006100"/>
                <w:sz w:val="20"/>
              </w:rPr>
              <w:t xml:space="preserve"> </w:t>
            </w:r>
          </w:p>
        </w:tc>
        <w:tc>
          <w:tcPr>
            <w:tcW w:w="1627" w:type="dxa"/>
            <w:tcBorders>
              <w:top w:val="single" w:sz="4" w:space="0" w:color="auto"/>
              <w:left w:val="nil"/>
              <w:bottom w:val="single" w:sz="4" w:space="0" w:color="auto"/>
              <w:right w:val="single" w:sz="4" w:space="0" w:color="auto"/>
            </w:tcBorders>
            <w:shd w:val="clear" w:color="auto" w:fill="C6EFCE"/>
            <w:noWrap/>
            <w:vAlign w:val="center"/>
          </w:tcPr>
          <w:p w14:paraId="2447F5B0" w14:textId="77777777" w:rsidR="0084326C" w:rsidRPr="005D68A0" w:rsidRDefault="0084326C">
            <w:pPr>
              <w:jc w:val="center"/>
              <w:rPr>
                <w:rFonts w:ascii="Arial Narrow" w:hAnsi="Arial Narrow"/>
                <w:noProof/>
                <w:color w:val="006100"/>
                <w:sz w:val="20"/>
                <w:szCs w:val="20"/>
              </w:rPr>
            </w:pPr>
            <w:r>
              <w:rPr>
                <w:rStyle w:val="normaltextrun"/>
                <w:rFonts w:ascii="Arial Narrow" w:hAnsi="Arial Narrow"/>
                <w:noProof/>
                <w:color w:val="006100"/>
                <w:sz w:val="20"/>
              </w:rPr>
              <w:t>Külma triikimistaristu kasutuselevõtmine.</w:t>
            </w:r>
            <w:r>
              <w:rPr>
                <w:rStyle w:val="eop"/>
                <w:rFonts w:ascii="Arial Narrow" w:hAnsi="Arial Narrow"/>
                <w:noProof/>
                <w:color w:val="006100"/>
                <w:sz w:val="20"/>
              </w:rPr>
              <w:t xml:space="preserve"> </w:t>
            </w:r>
          </w:p>
        </w:tc>
        <w:tc>
          <w:tcPr>
            <w:tcW w:w="1777" w:type="dxa"/>
            <w:tcBorders>
              <w:top w:val="single" w:sz="4" w:space="0" w:color="auto"/>
              <w:left w:val="nil"/>
              <w:bottom w:val="single" w:sz="4" w:space="0" w:color="auto"/>
              <w:right w:val="single" w:sz="4" w:space="0" w:color="auto"/>
            </w:tcBorders>
            <w:shd w:val="clear" w:color="auto" w:fill="C6EFCE"/>
            <w:noWrap/>
            <w:vAlign w:val="center"/>
          </w:tcPr>
          <w:p w14:paraId="77A92FE9" w14:textId="77777777" w:rsidR="0084326C" w:rsidRPr="005D68A0" w:rsidRDefault="0084326C">
            <w:pPr>
              <w:jc w:val="center"/>
              <w:rPr>
                <w:rFonts w:ascii="Arial Narrow" w:hAnsi="Arial Narrow"/>
                <w:noProof/>
                <w:color w:val="006100"/>
                <w:sz w:val="20"/>
                <w:szCs w:val="20"/>
              </w:rPr>
            </w:pPr>
            <w:r>
              <w:rPr>
                <w:rStyle w:val="eop"/>
                <w:rFonts w:ascii="Arial Narrow" w:hAnsi="Arial Narrow"/>
                <w:noProof/>
                <w:color w:val="006100"/>
                <w:sz w:val="20"/>
              </w:rPr>
              <w:t xml:space="preserve"> </w:t>
            </w:r>
          </w:p>
        </w:tc>
        <w:tc>
          <w:tcPr>
            <w:tcW w:w="926" w:type="dxa"/>
            <w:tcBorders>
              <w:top w:val="single" w:sz="4" w:space="0" w:color="auto"/>
              <w:left w:val="nil"/>
              <w:bottom w:val="single" w:sz="4" w:space="0" w:color="auto"/>
              <w:right w:val="single" w:sz="4" w:space="0" w:color="auto"/>
            </w:tcBorders>
            <w:shd w:val="clear" w:color="auto" w:fill="C6EFCE"/>
            <w:noWrap/>
            <w:vAlign w:val="center"/>
          </w:tcPr>
          <w:p w14:paraId="309FE8B8" w14:textId="77777777" w:rsidR="0084326C" w:rsidRPr="005D68A0" w:rsidRDefault="0084326C">
            <w:pPr>
              <w:jc w:val="center"/>
              <w:rPr>
                <w:rFonts w:ascii="Arial Narrow" w:hAnsi="Arial Narrow"/>
                <w:noProof/>
                <w:color w:val="006100"/>
                <w:sz w:val="20"/>
                <w:szCs w:val="20"/>
              </w:rPr>
            </w:pPr>
            <w:r>
              <w:rPr>
                <w:rStyle w:val="normaltextrun"/>
                <w:rFonts w:ascii="Arial Narrow" w:hAnsi="Arial Narrow"/>
                <w:noProof/>
                <w:color w:val="006100"/>
                <w:sz w:val="20"/>
              </w:rPr>
              <w:t>Arv</w:t>
            </w:r>
            <w:r>
              <w:rPr>
                <w:rStyle w:val="eop"/>
                <w:rFonts w:ascii="Arial Narrow" w:hAnsi="Arial Narrow"/>
                <w:noProof/>
                <w:color w:val="006100"/>
                <w:sz w:val="20"/>
              </w:rPr>
              <w:t xml:space="preserve"> </w:t>
            </w:r>
          </w:p>
        </w:tc>
        <w:tc>
          <w:tcPr>
            <w:tcW w:w="1096" w:type="dxa"/>
            <w:tcBorders>
              <w:top w:val="single" w:sz="4" w:space="0" w:color="auto"/>
              <w:left w:val="nil"/>
              <w:bottom w:val="single" w:sz="4" w:space="0" w:color="auto"/>
              <w:right w:val="single" w:sz="4" w:space="0" w:color="auto"/>
            </w:tcBorders>
            <w:shd w:val="clear" w:color="auto" w:fill="C6EFCE"/>
            <w:noWrap/>
            <w:vAlign w:val="center"/>
          </w:tcPr>
          <w:p w14:paraId="01AFA40E" w14:textId="77777777" w:rsidR="0084326C" w:rsidRPr="005D68A0" w:rsidRDefault="0084326C">
            <w:pPr>
              <w:jc w:val="center"/>
              <w:rPr>
                <w:rFonts w:ascii="Arial Narrow" w:hAnsi="Arial Narrow"/>
                <w:noProof/>
                <w:color w:val="006100"/>
                <w:sz w:val="20"/>
                <w:szCs w:val="20"/>
              </w:rPr>
            </w:pPr>
            <w:r>
              <w:rPr>
                <w:rStyle w:val="normaltextrun"/>
                <w:rFonts w:ascii="Arial Narrow" w:hAnsi="Arial Narrow"/>
                <w:noProof/>
                <w:color w:val="006100"/>
                <w:sz w:val="20"/>
              </w:rPr>
              <w:t>0</w:t>
            </w:r>
            <w:r>
              <w:rPr>
                <w:rStyle w:val="eop"/>
                <w:rFonts w:ascii="Arial Narrow" w:hAnsi="Arial Narrow"/>
                <w:noProof/>
                <w:color w:val="006100"/>
                <w:sz w:val="20"/>
              </w:rPr>
              <w:t xml:space="preserve"> </w:t>
            </w:r>
          </w:p>
        </w:tc>
        <w:tc>
          <w:tcPr>
            <w:tcW w:w="878" w:type="dxa"/>
            <w:tcBorders>
              <w:top w:val="single" w:sz="4" w:space="0" w:color="auto"/>
              <w:left w:val="nil"/>
              <w:bottom w:val="single" w:sz="4" w:space="0" w:color="auto"/>
              <w:right w:val="single" w:sz="4" w:space="0" w:color="auto"/>
            </w:tcBorders>
            <w:shd w:val="clear" w:color="auto" w:fill="C6EFCE"/>
            <w:noWrap/>
            <w:vAlign w:val="center"/>
          </w:tcPr>
          <w:p w14:paraId="4A354BF5" w14:textId="77777777" w:rsidR="0084326C" w:rsidRPr="005D68A0" w:rsidRDefault="0084326C">
            <w:pPr>
              <w:jc w:val="center"/>
              <w:rPr>
                <w:rFonts w:ascii="Arial Narrow" w:hAnsi="Arial Narrow"/>
                <w:noProof/>
                <w:color w:val="006100"/>
                <w:sz w:val="20"/>
                <w:szCs w:val="20"/>
              </w:rPr>
            </w:pPr>
            <w:r>
              <w:rPr>
                <w:rStyle w:val="normaltextrun"/>
                <w:rFonts w:ascii="Arial Narrow" w:hAnsi="Arial Narrow"/>
                <w:noProof/>
                <w:color w:val="006100"/>
                <w:sz w:val="20"/>
              </w:rPr>
              <w:t>15</w:t>
            </w:r>
            <w:r>
              <w:rPr>
                <w:rStyle w:val="eop"/>
                <w:rFonts w:ascii="Arial Narrow" w:hAnsi="Arial Narrow"/>
                <w:noProof/>
                <w:color w:val="006100"/>
                <w:sz w:val="20"/>
              </w:rPr>
              <w:t xml:space="preserve"> </w:t>
            </w:r>
          </w:p>
        </w:tc>
        <w:tc>
          <w:tcPr>
            <w:tcW w:w="916" w:type="dxa"/>
            <w:tcBorders>
              <w:top w:val="single" w:sz="4" w:space="0" w:color="auto"/>
              <w:left w:val="nil"/>
              <w:bottom w:val="single" w:sz="4" w:space="0" w:color="auto"/>
              <w:right w:val="single" w:sz="4" w:space="0" w:color="auto"/>
            </w:tcBorders>
            <w:shd w:val="clear" w:color="auto" w:fill="C6EFCE"/>
            <w:noWrap/>
            <w:vAlign w:val="center"/>
          </w:tcPr>
          <w:p w14:paraId="79AFC98C" w14:textId="77777777" w:rsidR="0084326C" w:rsidRPr="005D68A0" w:rsidRDefault="0084326C">
            <w:pPr>
              <w:jc w:val="center"/>
              <w:rPr>
                <w:rFonts w:ascii="Arial Narrow" w:hAnsi="Arial Narrow"/>
                <w:noProof/>
                <w:color w:val="006100"/>
                <w:sz w:val="20"/>
                <w:szCs w:val="20"/>
              </w:rPr>
            </w:pPr>
            <w:r>
              <w:rPr>
                <w:rStyle w:val="normaltextrun"/>
                <w:rFonts w:ascii="Arial Narrow" w:hAnsi="Arial Narrow"/>
                <w:noProof/>
                <w:color w:val="006100"/>
                <w:sz w:val="20"/>
              </w:rPr>
              <w:t>1. kv</w:t>
            </w:r>
            <w:r>
              <w:rPr>
                <w:rStyle w:val="eop"/>
                <w:rFonts w:ascii="Arial Narrow" w:hAnsi="Arial Narrow"/>
                <w:noProof/>
                <w:color w:val="006100"/>
                <w:sz w:val="20"/>
              </w:rPr>
              <w:t xml:space="preserve"> </w:t>
            </w:r>
          </w:p>
        </w:tc>
        <w:tc>
          <w:tcPr>
            <w:tcW w:w="666" w:type="dxa"/>
            <w:tcBorders>
              <w:top w:val="single" w:sz="4" w:space="0" w:color="auto"/>
              <w:left w:val="nil"/>
              <w:bottom w:val="single" w:sz="4" w:space="0" w:color="auto"/>
              <w:right w:val="single" w:sz="4" w:space="0" w:color="auto"/>
            </w:tcBorders>
            <w:shd w:val="clear" w:color="auto" w:fill="C6EFCE"/>
            <w:noWrap/>
            <w:vAlign w:val="center"/>
          </w:tcPr>
          <w:p w14:paraId="67D40501" w14:textId="77777777" w:rsidR="0084326C" w:rsidRPr="005D68A0" w:rsidRDefault="0084326C">
            <w:pPr>
              <w:jc w:val="center"/>
              <w:rPr>
                <w:rFonts w:ascii="Arial Narrow" w:hAnsi="Arial Narrow"/>
                <w:noProof/>
                <w:color w:val="006100"/>
                <w:sz w:val="20"/>
                <w:szCs w:val="20"/>
              </w:rPr>
            </w:pPr>
            <w:r>
              <w:rPr>
                <w:rStyle w:val="normaltextrun"/>
                <w:rFonts w:ascii="Arial Narrow" w:hAnsi="Arial Narrow"/>
                <w:noProof/>
                <w:color w:val="006100"/>
                <w:sz w:val="20"/>
              </w:rPr>
              <w:t>2026</w:t>
            </w:r>
            <w:r>
              <w:rPr>
                <w:rStyle w:val="eop"/>
                <w:rFonts w:ascii="Arial Narrow" w:hAnsi="Arial Narrow"/>
                <w:noProof/>
                <w:color w:val="006100"/>
                <w:sz w:val="20"/>
              </w:rPr>
              <w:t xml:space="preserve"> </w:t>
            </w:r>
          </w:p>
        </w:tc>
        <w:tc>
          <w:tcPr>
            <w:tcW w:w="4231" w:type="dxa"/>
            <w:tcBorders>
              <w:top w:val="single" w:sz="4" w:space="0" w:color="auto"/>
              <w:left w:val="nil"/>
              <w:bottom w:val="single" w:sz="4" w:space="0" w:color="auto"/>
              <w:right w:val="single" w:sz="4" w:space="0" w:color="auto"/>
            </w:tcBorders>
            <w:shd w:val="clear" w:color="auto" w:fill="C6EFCE"/>
            <w:noWrap/>
            <w:vAlign w:val="center"/>
          </w:tcPr>
          <w:p w14:paraId="4BD0EF06" w14:textId="77777777" w:rsidR="0084326C" w:rsidRPr="005D68A0" w:rsidRDefault="0084326C">
            <w:pPr>
              <w:jc w:val="both"/>
              <w:rPr>
                <w:rFonts w:ascii="Arial Narrow" w:hAnsi="Arial Narrow"/>
                <w:noProof/>
                <w:color w:val="006100"/>
                <w:sz w:val="20"/>
                <w:szCs w:val="20"/>
              </w:rPr>
            </w:pPr>
            <w:r>
              <w:rPr>
                <w:rStyle w:val="normaltextrun"/>
                <w:rFonts w:ascii="Arial Narrow" w:hAnsi="Arial Narrow"/>
                <w:noProof/>
                <w:color w:val="006100"/>
                <w:sz w:val="20"/>
              </w:rPr>
              <w:t>Elektritoitega vähemalt 15 külma triikimistaristu kasutuselevõtmine vähemalt 10 sadamas.</w:t>
            </w:r>
            <w:r>
              <w:rPr>
                <w:rStyle w:val="eop"/>
                <w:rFonts w:ascii="Arial Narrow" w:hAnsi="Arial Narrow"/>
                <w:noProof/>
                <w:color w:val="006100"/>
                <w:sz w:val="20"/>
              </w:rPr>
              <w:t xml:space="preserve"> </w:t>
            </w:r>
          </w:p>
        </w:tc>
      </w:tr>
    </w:tbl>
    <w:p w14:paraId="1280D330" w14:textId="77777777" w:rsidR="0084326C" w:rsidRPr="00F33804" w:rsidRDefault="0084326C" w:rsidP="0084326C">
      <w:pPr>
        <w:spacing w:before="120" w:after="120"/>
        <w:jc w:val="both"/>
        <w:rPr>
          <w:noProof/>
        </w:rPr>
      </w:pPr>
    </w:p>
    <w:p w14:paraId="7332A250" w14:textId="77777777" w:rsidR="0084326C" w:rsidRPr="00F33804" w:rsidRDefault="0084326C" w:rsidP="0084326C">
      <w:pPr>
        <w:spacing w:before="120" w:after="120"/>
        <w:ind w:left="709"/>
        <w:jc w:val="both"/>
        <w:rPr>
          <w:noProof/>
        </w:rPr>
      </w:pPr>
    </w:p>
    <w:p w14:paraId="7889DB02" w14:textId="77777777" w:rsidR="0084326C" w:rsidRPr="00F33804" w:rsidRDefault="0084326C" w:rsidP="0084326C">
      <w:pPr>
        <w:spacing w:before="120" w:after="120"/>
        <w:ind w:left="709"/>
        <w:jc w:val="both"/>
        <w:rPr>
          <w:noProof/>
        </w:rPr>
        <w:sectPr w:rsidR="0084326C" w:rsidRPr="00F33804">
          <w:headerReference w:type="even" r:id="rId236"/>
          <w:headerReference w:type="default" r:id="rId237"/>
          <w:footerReference w:type="even" r:id="rId238"/>
          <w:footerReference w:type="default" r:id="rId239"/>
          <w:headerReference w:type="first" r:id="rId240"/>
          <w:footerReference w:type="first" r:id="rId241"/>
          <w:pgSz w:w="16839" w:h="11907" w:orient="landscape"/>
          <w:pgMar w:top="1134" w:right="1134" w:bottom="1134" w:left="1134" w:header="567" w:footer="567" w:gutter="0"/>
          <w:cols w:space="720"/>
          <w:docGrid w:linePitch="360"/>
        </w:sectPr>
      </w:pPr>
    </w:p>
    <w:p w14:paraId="5BA3D6FB" w14:textId="77777777" w:rsidR="0084326C" w:rsidRPr="005D68A0" w:rsidRDefault="0084326C" w:rsidP="0084326C">
      <w:pPr>
        <w:pStyle w:val="Heading3"/>
        <w:numPr>
          <w:ilvl w:val="0"/>
          <w:numId w:val="0"/>
        </w:numPr>
        <w:ind w:left="850" w:hanging="850"/>
        <w:rPr>
          <w:b/>
          <w:bCs w:val="0"/>
          <w:i w:val="0"/>
          <w:iCs/>
          <w:noProof/>
          <w:color w:val="4472C4" w:themeColor="accent1"/>
          <w:u w:val="single"/>
        </w:rPr>
      </w:pPr>
      <w:r>
        <w:rPr>
          <w:b/>
          <w:i w:val="0"/>
          <w:noProof/>
          <w:u w:val="single"/>
        </w:rPr>
        <w:t xml:space="preserve">I.3. </w:t>
      </w:r>
      <w:r>
        <w:rPr>
          <w:noProof/>
        </w:rPr>
        <w:tab/>
      </w:r>
      <w:r>
        <w:rPr>
          <w:b/>
          <w:i w:val="0"/>
          <w:noProof/>
          <w:u w:val="single"/>
        </w:rPr>
        <w:t xml:space="preserve">Laenuga seotud reformide ja investeeringute kirjeldus </w:t>
      </w:r>
    </w:p>
    <w:p w14:paraId="377B53BE" w14:textId="77777777" w:rsidR="0084326C" w:rsidRPr="005D68A0" w:rsidRDefault="0084326C" w:rsidP="0084326C">
      <w:pPr>
        <w:spacing w:before="120" w:after="120"/>
        <w:jc w:val="both"/>
        <w:rPr>
          <w:rFonts w:eastAsia="Calibri"/>
          <w:b/>
          <w:noProof/>
        </w:rPr>
      </w:pPr>
      <w:r>
        <w:rPr>
          <w:b/>
          <w:noProof/>
        </w:rPr>
        <w:t>Investeering 1.1. Rohelised sadamad: taastuvenergia ja energiatõhususega seotud sekkumismeetmed sadamates</w:t>
      </w:r>
    </w:p>
    <w:p w14:paraId="114883D5" w14:textId="5FDDB1B6" w:rsidR="0084326C" w:rsidRPr="005D68A0" w:rsidRDefault="0084326C" w:rsidP="0084326C">
      <w:pPr>
        <w:spacing w:before="120" w:after="120"/>
        <w:jc w:val="both"/>
        <w:rPr>
          <w:rFonts w:eastAsia="Calibri"/>
          <w:noProof/>
        </w:rPr>
      </w:pPr>
      <w:r>
        <w:rPr>
          <w:noProof/>
        </w:rPr>
        <w:t>Selle meetme peamine eesmärk on vähendada CO</w:t>
      </w:r>
      <w:r w:rsidRPr="003A2B99">
        <w:rPr>
          <w:noProof/>
          <w:vertAlign w:val="subscript"/>
        </w:rPr>
        <w:t>2</w:t>
      </w:r>
      <w:r w:rsidR="003A2B99">
        <w:rPr>
          <w:noProof/>
        </w:rPr>
        <w:t xml:space="preserve"> </w:t>
      </w:r>
      <w:r>
        <w:rPr>
          <w:noProof/>
        </w:rPr>
        <w:t>heidet ja parandada sadamalinnade õhukvaliteeti meetmete abil, mis on suunatud energiatõhususele ja taastuvenergia kasutamise edendamisele sadamates. Eesmärk on aidata vähendada CO</w:t>
      </w:r>
      <w:r w:rsidRPr="003A2B99">
        <w:rPr>
          <w:noProof/>
          <w:vertAlign w:val="subscript"/>
        </w:rPr>
        <w:t>2</w:t>
      </w:r>
      <w:r>
        <w:rPr>
          <w:noProof/>
        </w:rPr>
        <w:t xml:space="preserve"> aastast koguheidet asjaomases sadamapiirkonnas. Projektid valitakse nende hulgast, millele sadamasüsteemi ametiasutused on viidanud oma sadamasüsteemi keskkonna energiaplaneerimise dokumentides (DEASP). Programmi „Rohelised sadamad“ abil loodetakse vähendada märkimisväärselt ka muid põlemisel tekkivaid saasteaineid, mis on sadamalinnade õhukvaliteedi halvenemise peamine põhjus. See investeering hõlmab heitevabade sõidukite ja teeninduspaatide ostmist või fossiilkütuseid kasutavate sõidukite ja teeninduspaatide muutmist heitevabadeks sõidukiteks.</w:t>
      </w:r>
    </w:p>
    <w:p w14:paraId="25F633C2" w14:textId="77777777" w:rsidR="0084326C" w:rsidRPr="005D68A0" w:rsidRDefault="0084326C" w:rsidP="0084326C">
      <w:pPr>
        <w:spacing w:before="120" w:after="120"/>
        <w:jc w:val="both"/>
        <w:rPr>
          <w:b/>
          <w:noProof/>
        </w:rPr>
      </w:pPr>
      <w:r>
        <w:rPr>
          <w:b/>
          <w:noProof/>
        </w:rPr>
        <w:t>Reform 2.2. Riikliku digilogistikaplatvormi loomine, et võtta kasutusele kaubaveo- ja/või reisijateveoteenuste digiteerimine</w:t>
      </w:r>
    </w:p>
    <w:p w14:paraId="712C67D9" w14:textId="77777777" w:rsidR="0084326C" w:rsidRPr="005D68A0" w:rsidRDefault="0084326C" w:rsidP="0084326C">
      <w:pPr>
        <w:spacing w:before="120" w:after="120"/>
        <w:jc w:val="both"/>
        <w:rPr>
          <w:noProof/>
        </w:rPr>
      </w:pPr>
      <w:r>
        <w:rPr>
          <w:noProof/>
        </w:rPr>
        <w:t xml:space="preserve">Reformi eesmärk on muuta üksikute sadamasüsteemi asutuste sadamakogukonna süsteemid koostalitlusvõimeliseks riikliku digitaalse logistika platvormiga. </w:t>
      </w:r>
    </w:p>
    <w:p w14:paraId="4F98EFE2" w14:textId="77777777" w:rsidR="0084326C" w:rsidRPr="005D68A0" w:rsidRDefault="0084326C" w:rsidP="0084326C">
      <w:pPr>
        <w:pStyle w:val="Heading3"/>
        <w:numPr>
          <w:ilvl w:val="0"/>
          <w:numId w:val="0"/>
        </w:numPr>
        <w:ind w:left="850" w:hanging="850"/>
        <w:rPr>
          <w:b/>
          <w:bCs w:val="0"/>
          <w:i w:val="0"/>
          <w:iCs/>
          <w:noProof/>
          <w:u w:val="single"/>
        </w:rPr>
      </w:pPr>
      <w:r>
        <w:rPr>
          <w:b/>
          <w:i w:val="0"/>
          <w:noProof/>
          <w:u w:val="single"/>
        </w:rPr>
        <w:t xml:space="preserve">I.4. </w:t>
      </w:r>
      <w:r>
        <w:rPr>
          <w:noProof/>
        </w:rPr>
        <w:tab/>
      </w:r>
      <w:r>
        <w:rPr>
          <w:b/>
          <w:i w:val="0"/>
          <w:noProof/>
          <w:u w:val="single"/>
        </w:rPr>
        <w:t xml:space="preserve">Laenu eesmärgid, sihid, näitajad ning seire ja rakendamise ajakava </w:t>
      </w:r>
    </w:p>
    <w:p w14:paraId="39379B47" w14:textId="77777777" w:rsidR="0084326C" w:rsidRPr="00F33804" w:rsidRDefault="0084326C" w:rsidP="0084326C">
      <w:pPr>
        <w:spacing w:before="120" w:after="120"/>
        <w:ind w:left="709"/>
        <w:contextualSpacing/>
        <w:jc w:val="both"/>
        <w:rPr>
          <w:noProof/>
        </w:rPr>
        <w:sectPr w:rsidR="0084326C" w:rsidRPr="00F33804">
          <w:headerReference w:type="even" r:id="rId242"/>
          <w:headerReference w:type="default" r:id="rId243"/>
          <w:footerReference w:type="even" r:id="rId244"/>
          <w:footerReference w:type="default" r:id="rId245"/>
          <w:headerReference w:type="first" r:id="rId246"/>
          <w:footerReference w:type="first" r:id="rId247"/>
          <w:pgSz w:w="11907" w:h="16839"/>
          <w:pgMar w:top="1134" w:right="1134" w:bottom="1134" w:left="1134" w:header="567" w:footer="567" w:gutter="0"/>
          <w:cols w:space="720"/>
          <w:docGrid w:linePitch="360"/>
        </w:sectPr>
      </w:pPr>
    </w:p>
    <w:tbl>
      <w:tblPr>
        <w:tblW w:w="53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5"/>
        <w:gridCol w:w="1572"/>
        <w:gridCol w:w="1275"/>
        <w:gridCol w:w="1418"/>
        <w:gridCol w:w="1559"/>
        <w:gridCol w:w="1276"/>
        <w:gridCol w:w="1276"/>
        <w:gridCol w:w="710"/>
        <w:gridCol w:w="708"/>
        <w:gridCol w:w="710"/>
        <w:gridCol w:w="3401"/>
      </w:tblGrid>
      <w:tr w:rsidR="0084326C" w:rsidRPr="00D90835" w14:paraId="7EA71B3A" w14:textId="77777777">
        <w:trPr>
          <w:trHeight w:val="939"/>
          <w:tblHeader/>
          <w:jc w:val="center"/>
        </w:trPr>
        <w:tc>
          <w:tcPr>
            <w:tcW w:w="1115" w:type="dxa"/>
            <w:vMerge w:val="restart"/>
            <w:shd w:val="clear" w:color="auto" w:fill="BDD7EE"/>
            <w:vAlign w:val="center"/>
            <w:hideMark/>
          </w:tcPr>
          <w:p w14:paraId="254CB508" w14:textId="77777777" w:rsidR="0084326C" w:rsidRPr="005D68A0" w:rsidRDefault="0084326C">
            <w:pPr>
              <w:jc w:val="center"/>
              <w:rPr>
                <w:rFonts w:ascii="Arial Narrow" w:hAnsi="Arial Narrow"/>
                <w:b/>
                <w:noProof/>
                <w:sz w:val="20"/>
                <w:szCs w:val="20"/>
              </w:rPr>
            </w:pPr>
            <w:r>
              <w:rPr>
                <w:rFonts w:ascii="Arial Narrow" w:hAnsi="Arial Narrow"/>
                <w:b/>
                <w:noProof/>
                <w:sz w:val="20"/>
              </w:rPr>
              <w:t>Järjekorranumber</w:t>
            </w:r>
          </w:p>
        </w:tc>
        <w:tc>
          <w:tcPr>
            <w:tcW w:w="1572" w:type="dxa"/>
            <w:vMerge w:val="restart"/>
            <w:shd w:val="clear" w:color="auto" w:fill="BDD7EE"/>
            <w:vAlign w:val="center"/>
            <w:hideMark/>
          </w:tcPr>
          <w:p w14:paraId="0AC9BD44" w14:textId="77777777" w:rsidR="0084326C" w:rsidRPr="005D68A0" w:rsidRDefault="0084326C">
            <w:pPr>
              <w:jc w:val="center"/>
              <w:rPr>
                <w:rFonts w:ascii="Arial Narrow" w:hAnsi="Arial Narrow"/>
                <w:b/>
                <w:noProof/>
                <w:sz w:val="20"/>
                <w:szCs w:val="20"/>
              </w:rPr>
            </w:pPr>
            <w:r>
              <w:rPr>
                <w:rFonts w:ascii="Arial Narrow" w:hAnsi="Arial Narrow"/>
                <w:b/>
                <w:noProof/>
                <w:sz w:val="20"/>
              </w:rPr>
              <w:t>Seotud meede (reform või investeering)</w:t>
            </w:r>
          </w:p>
        </w:tc>
        <w:tc>
          <w:tcPr>
            <w:tcW w:w="1275" w:type="dxa"/>
            <w:vMerge w:val="restart"/>
            <w:shd w:val="clear" w:color="auto" w:fill="BDD7EE"/>
            <w:vAlign w:val="center"/>
            <w:hideMark/>
          </w:tcPr>
          <w:p w14:paraId="786E8682" w14:textId="77777777" w:rsidR="0084326C" w:rsidRPr="005D68A0" w:rsidRDefault="0084326C">
            <w:pPr>
              <w:jc w:val="center"/>
              <w:rPr>
                <w:rFonts w:ascii="Arial Narrow" w:hAnsi="Arial Narrow"/>
                <w:b/>
                <w:noProof/>
                <w:sz w:val="20"/>
                <w:szCs w:val="20"/>
              </w:rPr>
            </w:pPr>
            <w:r>
              <w:rPr>
                <w:rFonts w:ascii="Arial Narrow" w:hAnsi="Arial Narrow"/>
                <w:b/>
                <w:noProof/>
                <w:sz w:val="20"/>
              </w:rPr>
              <w:t>Eesmärk / siht</w:t>
            </w:r>
          </w:p>
        </w:tc>
        <w:tc>
          <w:tcPr>
            <w:tcW w:w="1418" w:type="dxa"/>
            <w:vMerge w:val="restart"/>
            <w:shd w:val="clear" w:color="auto" w:fill="BDD7EE"/>
            <w:vAlign w:val="center"/>
            <w:hideMark/>
          </w:tcPr>
          <w:p w14:paraId="432B1AE5" w14:textId="77777777" w:rsidR="0084326C" w:rsidRPr="005D68A0" w:rsidRDefault="0084326C">
            <w:pPr>
              <w:jc w:val="center"/>
              <w:rPr>
                <w:rFonts w:ascii="Arial Narrow" w:hAnsi="Arial Narrow"/>
                <w:b/>
                <w:noProof/>
                <w:sz w:val="20"/>
                <w:szCs w:val="20"/>
              </w:rPr>
            </w:pPr>
            <w:r>
              <w:rPr>
                <w:rFonts w:ascii="Arial Narrow" w:hAnsi="Arial Narrow"/>
                <w:b/>
                <w:noProof/>
                <w:sz w:val="20"/>
              </w:rPr>
              <w:t>Nimi</w:t>
            </w:r>
          </w:p>
        </w:tc>
        <w:tc>
          <w:tcPr>
            <w:tcW w:w="1559" w:type="dxa"/>
            <w:vMerge w:val="restart"/>
            <w:shd w:val="clear" w:color="auto" w:fill="BDD7EE"/>
            <w:vAlign w:val="center"/>
            <w:hideMark/>
          </w:tcPr>
          <w:p w14:paraId="67B38BCB" w14:textId="77777777" w:rsidR="0084326C" w:rsidRPr="005D68A0" w:rsidRDefault="0084326C">
            <w:pPr>
              <w:jc w:val="center"/>
              <w:rPr>
                <w:rFonts w:ascii="Arial Narrow" w:hAnsi="Arial Narrow"/>
                <w:b/>
                <w:noProof/>
                <w:sz w:val="20"/>
                <w:szCs w:val="20"/>
              </w:rPr>
            </w:pPr>
            <w:r>
              <w:rPr>
                <w:rFonts w:ascii="Arial Narrow" w:hAnsi="Arial Narrow"/>
                <w:b/>
                <w:noProof/>
                <w:sz w:val="20"/>
              </w:rPr>
              <w:t>Kvalitatiivsed näitajad</w:t>
            </w:r>
            <w:r>
              <w:rPr>
                <w:noProof/>
              </w:rPr>
              <w:t xml:space="preserve"> </w:t>
            </w:r>
            <w:r>
              <w:rPr>
                <w:noProof/>
              </w:rPr>
              <w:br/>
            </w:r>
            <w:r>
              <w:rPr>
                <w:rFonts w:ascii="Arial Narrow" w:hAnsi="Arial Narrow"/>
                <w:b/>
                <w:noProof/>
                <w:sz w:val="20"/>
              </w:rPr>
              <w:t>(eesmärkide puhul)</w:t>
            </w:r>
          </w:p>
        </w:tc>
        <w:tc>
          <w:tcPr>
            <w:tcW w:w="3262" w:type="dxa"/>
            <w:gridSpan w:val="3"/>
            <w:shd w:val="clear" w:color="auto" w:fill="BDD7EE"/>
            <w:vAlign w:val="center"/>
            <w:hideMark/>
          </w:tcPr>
          <w:p w14:paraId="6E06EB52" w14:textId="77777777" w:rsidR="0084326C" w:rsidRPr="005D68A0" w:rsidRDefault="0084326C">
            <w:pPr>
              <w:jc w:val="center"/>
              <w:rPr>
                <w:rFonts w:ascii="Arial Narrow" w:hAnsi="Arial Narrow"/>
                <w:b/>
                <w:noProof/>
                <w:sz w:val="20"/>
                <w:szCs w:val="20"/>
              </w:rPr>
            </w:pPr>
            <w:r>
              <w:rPr>
                <w:rFonts w:ascii="Arial Narrow" w:hAnsi="Arial Narrow"/>
                <w:b/>
                <w:noProof/>
                <w:sz w:val="20"/>
              </w:rPr>
              <w:t xml:space="preserve">Kvantitatiivsed näitajad </w:t>
            </w:r>
            <w:r>
              <w:rPr>
                <w:noProof/>
              </w:rPr>
              <w:br/>
            </w:r>
            <w:r>
              <w:rPr>
                <w:rFonts w:ascii="Arial Narrow" w:hAnsi="Arial Narrow"/>
                <w:b/>
                <w:noProof/>
                <w:sz w:val="20"/>
              </w:rPr>
              <w:t>(sihtide puhul)</w:t>
            </w:r>
          </w:p>
        </w:tc>
        <w:tc>
          <w:tcPr>
            <w:tcW w:w="1418" w:type="dxa"/>
            <w:gridSpan w:val="2"/>
            <w:shd w:val="clear" w:color="auto" w:fill="BDD7EE"/>
            <w:vAlign w:val="center"/>
            <w:hideMark/>
          </w:tcPr>
          <w:p w14:paraId="1A7E9D4E" w14:textId="77777777" w:rsidR="0084326C" w:rsidRPr="005D68A0" w:rsidRDefault="0084326C">
            <w:pPr>
              <w:jc w:val="center"/>
              <w:rPr>
                <w:rFonts w:ascii="Arial Narrow" w:hAnsi="Arial Narrow"/>
                <w:b/>
                <w:noProof/>
                <w:sz w:val="20"/>
                <w:szCs w:val="20"/>
              </w:rPr>
            </w:pPr>
            <w:r>
              <w:rPr>
                <w:rFonts w:ascii="Arial Narrow" w:hAnsi="Arial Narrow"/>
                <w:b/>
                <w:noProof/>
                <w:sz w:val="20"/>
              </w:rPr>
              <w:t xml:space="preserve">Lõpuleviimise soovituslik ajakava </w:t>
            </w:r>
          </w:p>
        </w:tc>
        <w:tc>
          <w:tcPr>
            <w:tcW w:w="3401" w:type="dxa"/>
            <w:vMerge w:val="restart"/>
            <w:shd w:val="clear" w:color="auto" w:fill="BDD7EE"/>
            <w:vAlign w:val="center"/>
            <w:hideMark/>
          </w:tcPr>
          <w:p w14:paraId="06657E33" w14:textId="77777777" w:rsidR="0084326C" w:rsidRPr="005D68A0" w:rsidRDefault="0084326C">
            <w:pPr>
              <w:jc w:val="center"/>
              <w:rPr>
                <w:rFonts w:ascii="Arial Narrow" w:hAnsi="Arial Narrow"/>
                <w:b/>
                <w:noProof/>
                <w:sz w:val="20"/>
                <w:szCs w:val="20"/>
              </w:rPr>
            </w:pPr>
            <w:r>
              <w:rPr>
                <w:rFonts w:ascii="Arial Narrow" w:hAnsi="Arial Narrow"/>
                <w:b/>
                <w:noProof/>
                <w:sz w:val="20"/>
              </w:rPr>
              <w:t>Iga eesmärgi ja sihi kirjeldus</w:t>
            </w:r>
          </w:p>
        </w:tc>
      </w:tr>
      <w:tr w:rsidR="0084326C" w:rsidRPr="005D68A0" w14:paraId="496C4F1F" w14:textId="77777777">
        <w:trPr>
          <w:trHeight w:val="1027"/>
          <w:jc w:val="center"/>
        </w:trPr>
        <w:tc>
          <w:tcPr>
            <w:tcW w:w="1115" w:type="dxa"/>
            <w:vMerge/>
            <w:vAlign w:val="center"/>
            <w:hideMark/>
          </w:tcPr>
          <w:p w14:paraId="6BCC82D1" w14:textId="77777777" w:rsidR="0084326C" w:rsidRPr="00F33804" w:rsidRDefault="0084326C">
            <w:pPr>
              <w:rPr>
                <w:rFonts w:ascii="Arial Narrow" w:hAnsi="Arial Narrow"/>
                <w:b/>
                <w:bCs/>
                <w:noProof/>
                <w:sz w:val="20"/>
                <w:szCs w:val="20"/>
              </w:rPr>
            </w:pPr>
          </w:p>
        </w:tc>
        <w:tc>
          <w:tcPr>
            <w:tcW w:w="1572" w:type="dxa"/>
            <w:vMerge/>
            <w:vAlign w:val="center"/>
            <w:hideMark/>
          </w:tcPr>
          <w:p w14:paraId="1FC38AC8" w14:textId="77777777" w:rsidR="0084326C" w:rsidRPr="00F33804" w:rsidRDefault="0084326C">
            <w:pPr>
              <w:rPr>
                <w:rFonts w:ascii="Arial Narrow" w:hAnsi="Arial Narrow"/>
                <w:b/>
                <w:bCs/>
                <w:noProof/>
                <w:sz w:val="20"/>
                <w:szCs w:val="20"/>
              </w:rPr>
            </w:pPr>
          </w:p>
        </w:tc>
        <w:tc>
          <w:tcPr>
            <w:tcW w:w="1275" w:type="dxa"/>
            <w:vMerge/>
            <w:vAlign w:val="center"/>
            <w:hideMark/>
          </w:tcPr>
          <w:p w14:paraId="2BAFE211" w14:textId="77777777" w:rsidR="0084326C" w:rsidRPr="00F33804" w:rsidRDefault="0084326C">
            <w:pPr>
              <w:rPr>
                <w:rFonts w:ascii="Arial Narrow" w:hAnsi="Arial Narrow"/>
                <w:b/>
                <w:bCs/>
                <w:noProof/>
                <w:sz w:val="20"/>
                <w:szCs w:val="20"/>
              </w:rPr>
            </w:pPr>
          </w:p>
        </w:tc>
        <w:tc>
          <w:tcPr>
            <w:tcW w:w="1418" w:type="dxa"/>
            <w:vMerge/>
            <w:vAlign w:val="center"/>
            <w:hideMark/>
          </w:tcPr>
          <w:p w14:paraId="15805DA0" w14:textId="77777777" w:rsidR="0084326C" w:rsidRPr="00F33804" w:rsidRDefault="0084326C">
            <w:pPr>
              <w:rPr>
                <w:rFonts w:ascii="Arial Narrow" w:hAnsi="Arial Narrow"/>
                <w:b/>
                <w:bCs/>
                <w:noProof/>
                <w:sz w:val="20"/>
                <w:szCs w:val="20"/>
              </w:rPr>
            </w:pPr>
          </w:p>
        </w:tc>
        <w:tc>
          <w:tcPr>
            <w:tcW w:w="1559" w:type="dxa"/>
            <w:vMerge/>
            <w:vAlign w:val="center"/>
            <w:hideMark/>
          </w:tcPr>
          <w:p w14:paraId="7894867B" w14:textId="77777777" w:rsidR="0084326C" w:rsidRPr="00F33804" w:rsidRDefault="0084326C">
            <w:pPr>
              <w:rPr>
                <w:rFonts w:ascii="Arial Narrow" w:hAnsi="Arial Narrow"/>
                <w:b/>
                <w:bCs/>
                <w:noProof/>
                <w:sz w:val="20"/>
                <w:szCs w:val="20"/>
              </w:rPr>
            </w:pPr>
          </w:p>
        </w:tc>
        <w:tc>
          <w:tcPr>
            <w:tcW w:w="1276" w:type="dxa"/>
            <w:shd w:val="clear" w:color="auto" w:fill="BDD7EE"/>
            <w:vAlign w:val="center"/>
            <w:hideMark/>
          </w:tcPr>
          <w:p w14:paraId="74F82832" w14:textId="77777777" w:rsidR="0084326C" w:rsidRPr="005D68A0" w:rsidRDefault="0084326C">
            <w:pPr>
              <w:jc w:val="center"/>
              <w:rPr>
                <w:rFonts w:ascii="Arial Narrow" w:hAnsi="Arial Narrow"/>
                <w:b/>
                <w:noProof/>
                <w:sz w:val="20"/>
                <w:szCs w:val="20"/>
              </w:rPr>
            </w:pPr>
            <w:r>
              <w:rPr>
                <w:rFonts w:ascii="Arial Narrow" w:hAnsi="Arial Narrow"/>
                <w:b/>
                <w:noProof/>
                <w:sz w:val="20"/>
              </w:rPr>
              <w:t>Mõõtühik</w:t>
            </w:r>
          </w:p>
        </w:tc>
        <w:tc>
          <w:tcPr>
            <w:tcW w:w="1276" w:type="dxa"/>
            <w:shd w:val="clear" w:color="auto" w:fill="BDD7EE"/>
            <w:vAlign w:val="center"/>
            <w:hideMark/>
          </w:tcPr>
          <w:p w14:paraId="6F2B0EC1" w14:textId="77777777" w:rsidR="0084326C" w:rsidRPr="005D68A0" w:rsidRDefault="0084326C">
            <w:pPr>
              <w:jc w:val="center"/>
              <w:rPr>
                <w:rFonts w:ascii="Arial Narrow" w:hAnsi="Arial Narrow"/>
                <w:b/>
                <w:noProof/>
                <w:sz w:val="20"/>
                <w:szCs w:val="20"/>
              </w:rPr>
            </w:pPr>
            <w:r>
              <w:rPr>
                <w:rFonts w:ascii="Arial Narrow" w:hAnsi="Arial Narrow"/>
                <w:b/>
                <w:noProof/>
                <w:sz w:val="20"/>
              </w:rPr>
              <w:t xml:space="preserve">Lähtetase </w:t>
            </w:r>
          </w:p>
        </w:tc>
        <w:tc>
          <w:tcPr>
            <w:tcW w:w="710" w:type="dxa"/>
            <w:shd w:val="clear" w:color="auto" w:fill="BDD7EE"/>
            <w:vAlign w:val="center"/>
            <w:hideMark/>
          </w:tcPr>
          <w:p w14:paraId="61E20769" w14:textId="77777777" w:rsidR="0084326C" w:rsidRPr="005D68A0" w:rsidRDefault="0084326C">
            <w:pPr>
              <w:jc w:val="center"/>
              <w:rPr>
                <w:rFonts w:ascii="Arial Narrow" w:hAnsi="Arial Narrow"/>
                <w:b/>
                <w:noProof/>
                <w:sz w:val="20"/>
                <w:szCs w:val="20"/>
              </w:rPr>
            </w:pPr>
            <w:r>
              <w:rPr>
                <w:rFonts w:ascii="Arial Narrow" w:hAnsi="Arial Narrow"/>
                <w:b/>
                <w:noProof/>
                <w:sz w:val="20"/>
              </w:rPr>
              <w:t xml:space="preserve">Eesmärk </w:t>
            </w:r>
          </w:p>
        </w:tc>
        <w:tc>
          <w:tcPr>
            <w:tcW w:w="708" w:type="dxa"/>
            <w:shd w:val="clear" w:color="auto" w:fill="BDD7EE"/>
            <w:vAlign w:val="center"/>
            <w:hideMark/>
          </w:tcPr>
          <w:p w14:paraId="37432661" w14:textId="77777777" w:rsidR="0084326C" w:rsidRPr="005D68A0" w:rsidRDefault="0084326C">
            <w:pPr>
              <w:jc w:val="center"/>
              <w:rPr>
                <w:rFonts w:ascii="Arial Narrow" w:hAnsi="Arial Narrow"/>
                <w:b/>
                <w:noProof/>
                <w:sz w:val="20"/>
                <w:szCs w:val="20"/>
              </w:rPr>
            </w:pPr>
            <w:r>
              <w:rPr>
                <w:rFonts w:ascii="Arial Narrow" w:hAnsi="Arial Narrow"/>
                <w:b/>
                <w:noProof/>
                <w:sz w:val="20"/>
              </w:rPr>
              <w:t>Kvartal</w:t>
            </w:r>
          </w:p>
        </w:tc>
        <w:tc>
          <w:tcPr>
            <w:tcW w:w="710" w:type="dxa"/>
            <w:shd w:val="clear" w:color="auto" w:fill="BDD7EE"/>
            <w:vAlign w:val="center"/>
            <w:hideMark/>
          </w:tcPr>
          <w:p w14:paraId="26242BE9" w14:textId="77777777" w:rsidR="0084326C" w:rsidRPr="005D68A0" w:rsidRDefault="0084326C">
            <w:pPr>
              <w:jc w:val="center"/>
              <w:rPr>
                <w:rFonts w:ascii="Arial Narrow" w:hAnsi="Arial Narrow"/>
                <w:b/>
                <w:noProof/>
                <w:sz w:val="20"/>
                <w:szCs w:val="20"/>
              </w:rPr>
            </w:pPr>
            <w:r>
              <w:rPr>
                <w:rFonts w:ascii="Arial Narrow" w:hAnsi="Arial Narrow"/>
                <w:b/>
                <w:noProof/>
                <w:sz w:val="20"/>
              </w:rPr>
              <w:t>Aasta</w:t>
            </w:r>
          </w:p>
        </w:tc>
        <w:tc>
          <w:tcPr>
            <w:tcW w:w="3401" w:type="dxa"/>
            <w:vMerge/>
            <w:vAlign w:val="center"/>
            <w:hideMark/>
          </w:tcPr>
          <w:p w14:paraId="54B546DC" w14:textId="77777777" w:rsidR="0084326C" w:rsidRPr="005D68A0" w:rsidRDefault="0084326C">
            <w:pPr>
              <w:rPr>
                <w:rFonts w:ascii="Arial Narrow" w:hAnsi="Arial Narrow"/>
                <w:b/>
                <w:bCs/>
                <w:noProof/>
                <w:sz w:val="20"/>
                <w:szCs w:val="20"/>
                <w:lang w:val="en-GB"/>
              </w:rPr>
            </w:pPr>
          </w:p>
        </w:tc>
      </w:tr>
      <w:tr w:rsidR="0084326C" w:rsidRPr="00D90835" w14:paraId="69E926DE" w14:textId="77777777">
        <w:trPr>
          <w:trHeight w:val="313"/>
          <w:jc w:val="center"/>
        </w:trPr>
        <w:tc>
          <w:tcPr>
            <w:tcW w:w="1115" w:type="dxa"/>
            <w:shd w:val="clear" w:color="auto" w:fill="C6EFCE"/>
            <w:noWrap/>
            <w:vAlign w:val="center"/>
          </w:tcPr>
          <w:p w14:paraId="5B24330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M3C2-8</w:t>
            </w:r>
          </w:p>
        </w:tc>
        <w:tc>
          <w:tcPr>
            <w:tcW w:w="1572" w:type="dxa"/>
            <w:shd w:val="clear" w:color="auto" w:fill="C6EFCE"/>
            <w:noWrap/>
            <w:vAlign w:val="center"/>
          </w:tcPr>
          <w:p w14:paraId="16C55F9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1.1. Rohelised sadamad: taastuvenergia ja energiatõhususega seotud sekkumismeetmed sadamates</w:t>
            </w:r>
          </w:p>
        </w:tc>
        <w:tc>
          <w:tcPr>
            <w:tcW w:w="1275" w:type="dxa"/>
            <w:shd w:val="clear" w:color="auto" w:fill="C6EFCE"/>
            <w:noWrap/>
            <w:vAlign w:val="center"/>
          </w:tcPr>
          <w:p w14:paraId="2CF00BF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1418" w:type="dxa"/>
            <w:shd w:val="clear" w:color="auto" w:fill="C6EFCE"/>
            <w:noWrap/>
            <w:vAlign w:val="center"/>
          </w:tcPr>
          <w:p w14:paraId="1008488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Rohelised sadamad: tööde loovutamine</w:t>
            </w:r>
          </w:p>
        </w:tc>
        <w:tc>
          <w:tcPr>
            <w:tcW w:w="1559" w:type="dxa"/>
            <w:shd w:val="clear" w:color="auto" w:fill="C6EFCE"/>
            <w:noWrap/>
            <w:vAlign w:val="center"/>
          </w:tcPr>
          <w:p w14:paraId="28D3C45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276" w:type="dxa"/>
            <w:shd w:val="clear" w:color="auto" w:fill="C6EFCE"/>
            <w:noWrap/>
            <w:vAlign w:val="center"/>
          </w:tcPr>
          <w:p w14:paraId="5F2091F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1276" w:type="dxa"/>
            <w:shd w:val="clear" w:color="auto" w:fill="C6EFCE"/>
            <w:noWrap/>
            <w:vAlign w:val="center"/>
          </w:tcPr>
          <w:p w14:paraId="7F8C0EA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710" w:type="dxa"/>
            <w:shd w:val="clear" w:color="auto" w:fill="C6EFCE"/>
            <w:noWrap/>
            <w:vAlign w:val="center"/>
          </w:tcPr>
          <w:p w14:paraId="3B1A6A9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7</w:t>
            </w:r>
          </w:p>
        </w:tc>
        <w:tc>
          <w:tcPr>
            <w:tcW w:w="708" w:type="dxa"/>
            <w:shd w:val="clear" w:color="auto" w:fill="C6EFCE"/>
            <w:noWrap/>
            <w:vAlign w:val="center"/>
          </w:tcPr>
          <w:p w14:paraId="7F78FC5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710" w:type="dxa"/>
            <w:shd w:val="clear" w:color="auto" w:fill="C6EFCE"/>
            <w:noWrap/>
            <w:vAlign w:val="center"/>
          </w:tcPr>
          <w:p w14:paraId="5F75D11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2022</w:t>
            </w:r>
          </w:p>
        </w:tc>
        <w:tc>
          <w:tcPr>
            <w:tcW w:w="3401" w:type="dxa"/>
            <w:shd w:val="clear" w:color="auto" w:fill="C6EFCE"/>
            <w:noWrap/>
            <w:vAlign w:val="center"/>
          </w:tcPr>
          <w:p w14:paraId="45E2B1B9" w14:textId="77777777" w:rsidR="0084326C" w:rsidRPr="005D68A0" w:rsidRDefault="0084326C">
            <w:pPr>
              <w:jc w:val="both"/>
              <w:rPr>
                <w:rFonts w:ascii="Arial Narrow" w:hAnsi="Arial Narrow"/>
                <w:noProof/>
                <w:color w:val="006100"/>
                <w:sz w:val="20"/>
                <w:szCs w:val="20"/>
              </w:rPr>
            </w:pPr>
            <w:r>
              <w:rPr>
                <w:rFonts w:ascii="Arial Narrow" w:hAnsi="Arial Narrow"/>
                <w:noProof/>
                <w:color w:val="006100"/>
                <w:sz w:val="20"/>
              </w:rPr>
              <w:t xml:space="preserve">Tööde määramine vähemalt seitsmele sadamasüsteemi ametiasutusele. Tööde määramise valikumenetlus hõlmab järgmist: </w:t>
            </w:r>
          </w:p>
          <w:p w14:paraId="24C8EEA9" w14:textId="77777777" w:rsidR="0084326C" w:rsidRPr="00F33804" w:rsidRDefault="0084326C">
            <w:pPr>
              <w:jc w:val="both"/>
              <w:rPr>
                <w:rFonts w:ascii="Arial Narrow" w:hAnsi="Arial Narrow"/>
                <w:noProof/>
                <w:color w:val="006100"/>
                <w:sz w:val="20"/>
                <w:szCs w:val="20"/>
              </w:rPr>
            </w:pPr>
          </w:p>
          <w:p w14:paraId="4B7884D0" w14:textId="77777777" w:rsidR="0084326C" w:rsidRPr="005D68A0" w:rsidRDefault="0084326C">
            <w:pPr>
              <w:jc w:val="both"/>
              <w:rPr>
                <w:rFonts w:ascii="Arial Narrow" w:hAnsi="Arial Narrow"/>
                <w:noProof/>
                <w:color w:val="006100"/>
                <w:sz w:val="20"/>
                <w:szCs w:val="20"/>
              </w:rPr>
            </w:pPr>
            <w:r>
              <w:rPr>
                <w:rFonts w:ascii="Arial Narrow" w:hAnsi="Arial Narrow"/>
                <w:noProof/>
                <w:color w:val="006100"/>
                <w:sz w:val="20"/>
              </w:rPr>
              <w:t>a) Abikõlblikkuskriteeriumid, millega tagatakse, et tööd vastavad tehnilisele juhendile „Mitte tekitada olulist kahju“ (2021/C58/01) ning asjakohastele ELi ja riiklikele keskkonnaalastele õigusaktidele.</w:t>
            </w:r>
          </w:p>
          <w:p w14:paraId="3A281360" w14:textId="77777777" w:rsidR="0084326C" w:rsidRPr="005D68A0" w:rsidRDefault="0084326C">
            <w:pPr>
              <w:jc w:val="both"/>
              <w:rPr>
                <w:rFonts w:ascii="Arial Narrow" w:hAnsi="Arial Narrow"/>
                <w:noProof/>
                <w:color w:val="006100"/>
                <w:sz w:val="20"/>
                <w:szCs w:val="20"/>
              </w:rPr>
            </w:pPr>
            <w:r>
              <w:rPr>
                <w:rFonts w:ascii="Arial Narrow" w:hAnsi="Arial Narrow"/>
                <w:noProof/>
                <w:color w:val="006100"/>
                <w:sz w:val="20"/>
              </w:rPr>
              <w:t>b) Kohustus, et määruse (EL) 2021/241 VI lisas sätestatud metoodika kohane investeeringu panus kliimameetmetesse moodustab vähemalt 79 % taaste- ja vastupidavusrahastust toetatavate investeeringute kogukuludest.</w:t>
            </w:r>
          </w:p>
          <w:p w14:paraId="2E7C1973" w14:textId="77777777" w:rsidR="0084326C" w:rsidRPr="005D68A0" w:rsidRDefault="0084326C">
            <w:pPr>
              <w:jc w:val="both"/>
              <w:rPr>
                <w:rFonts w:ascii="Arial Narrow" w:hAnsi="Arial Narrow"/>
                <w:noProof/>
                <w:color w:val="006100"/>
                <w:sz w:val="20"/>
                <w:szCs w:val="20"/>
              </w:rPr>
            </w:pPr>
            <w:r>
              <w:rPr>
                <w:rFonts w:ascii="Arial Narrow" w:hAnsi="Arial Narrow"/>
                <w:noProof/>
                <w:color w:val="006100"/>
                <w:sz w:val="20"/>
              </w:rPr>
              <w:t>c) Kohustus esitada aruanne meetme rakendamise kohta kava kehtivusaja keskel ja kava lõppedes.</w:t>
            </w:r>
          </w:p>
        </w:tc>
      </w:tr>
      <w:tr w:rsidR="0084326C" w:rsidRPr="00D90835" w14:paraId="3E9BDC8C" w14:textId="77777777">
        <w:trPr>
          <w:trHeight w:val="313"/>
          <w:jc w:val="center"/>
        </w:trPr>
        <w:tc>
          <w:tcPr>
            <w:tcW w:w="1115" w:type="dxa"/>
            <w:shd w:val="clear" w:color="auto" w:fill="C6EFCE"/>
            <w:noWrap/>
            <w:vAlign w:val="center"/>
          </w:tcPr>
          <w:p w14:paraId="3085078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M3C2-9 </w:t>
            </w:r>
          </w:p>
        </w:tc>
        <w:tc>
          <w:tcPr>
            <w:tcW w:w="1572" w:type="dxa"/>
            <w:shd w:val="clear" w:color="auto" w:fill="C6EFCE"/>
            <w:noWrap/>
            <w:vAlign w:val="center"/>
          </w:tcPr>
          <w:p w14:paraId="7A7EFA6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1.1. Rohelised sadamad: taastuvenergia ja energiatõhususega seotud sekkumismeetmed sadamates </w:t>
            </w:r>
          </w:p>
        </w:tc>
        <w:tc>
          <w:tcPr>
            <w:tcW w:w="1275" w:type="dxa"/>
            <w:shd w:val="clear" w:color="auto" w:fill="C6EFCE"/>
            <w:noWrap/>
            <w:vAlign w:val="center"/>
          </w:tcPr>
          <w:p w14:paraId="7458D68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 </w:t>
            </w:r>
          </w:p>
        </w:tc>
        <w:tc>
          <w:tcPr>
            <w:tcW w:w="1418" w:type="dxa"/>
            <w:shd w:val="clear" w:color="auto" w:fill="C6EFCE"/>
            <w:noWrap/>
            <w:vAlign w:val="center"/>
          </w:tcPr>
          <w:p w14:paraId="0F2B9B65" w14:textId="0B03A0B6"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Rohelised sadamad: tööde lõpetamine </w:t>
            </w:r>
          </w:p>
        </w:tc>
        <w:tc>
          <w:tcPr>
            <w:tcW w:w="1559" w:type="dxa"/>
            <w:shd w:val="clear" w:color="auto" w:fill="C6EFCE"/>
            <w:noWrap/>
            <w:vAlign w:val="center"/>
          </w:tcPr>
          <w:p w14:paraId="16F51FC6" w14:textId="25391699"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276" w:type="dxa"/>
            <w:shd w:val="clear" w:color="auto" w:fill="C6EFCE"/>
            <w:noWrap/>
            <w:vAlign w:val="center"/>
          </w:tcPr>
          <w:p w14:paraId="54D0BD9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1276" w:type="dxa"/>
            <w:shd w:val="clear" w:color="auto" w:fill="C6EFCE"/>
            <w:noWrap/>
            <w:vAlign w:val="center"/>
          </w:tcPr>
          <w:p w14:paraId="6706B28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710" w:type="dxa"/>
            <w:shd w:val="clear" w:color="auto" w:fill="C6EFCE"/>
            <w:noWrap/>
            <w:vAlign w:val="center"/>
          </w:tcPr>
          <w:p w14:paraId="06FAFED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75</w:t>
            </w:r>
          </w:p>
        </w:tc>
        <w:tc>
          <w:tcPr>
            <w:tcW w:w="708" w:type="dxa"/>
            <w:shd w:val="clear" w:color="auto" w:fill="C6EFCE"/>
            <w:noWrap/>
            <w:vAlign w:val="center"/>
          </w:tcPr>
          <w:p w14:paraId="660F613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 </w:t>
            </w:r>
          </w:p>
        </w:tc>
        <w:tc>
          <w:tcPr>
            <w:tcW w:w="710" w:type="dxa"/>
            <w:shd w:val="clear" w:color="auto" w:fill="C6EFCE"/>
            <w:noWrap/>
            <w:vAlign w:val="center"/>
          </w:tcPr>
          <w:p w14:paraId="7712208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2026 </w:t>
            </w:r>
          </w:p>
        </w:tc>
        <w:tc>
          <w:tcPr>
            <w:tcW w:w="3401" w:type="dxa"/>
            <w:shd w:val="clear" w:color="auto" w:fill="C6EFCE"/>
            <w:noWrap/>
            <w:vAlign w:val="center"/>
          </w:tcPr>
          <w:p w14:paraId="0D778E54" w14:textId="77777777" w:rsidR="0084326C" w:rsidRPr="005D68A0" w:rsidRDefault="0084326C">
            <w:pPr>
              <w:jc w:val="both"/>
              <w:rPr>
                <w:rFonts w:ascii="Arial Narrow" w:hAnsi="Arial Narrow"/>
                <w:noProof/>
                <w:color w:val="006100"/>
                <w:sz w:val="20"/>
                <w:szCs w:val="20"/>
              </w:rPr>
            </w:pPr>
            <w:r>
              <w:rPr>
                <w:rFonts w:ascii="Arial Narrow" w:hAnsi="Arial Narrow"/>
                <w:noProof/>
                <w:color w:val="006100"/>
                <w:sz w:val="20"/>
              </w:rPr>
              <w:t>Sadamavaldajate vähemalt 75 projekti lõpuleviimine. Vähemalt 79 % taaste- ja vastupidavusrahastu investeeringute kogukuludest läheb kliimaeesmärki toetavatele tegevustele vastavalt määruse (EL) 2021/241 VI lisas esitatud metoodikale. </w:t>
            </w:r>
          </w:p>
        </w:tc>
      </w:tr>
      <w:tr w:rsidR="0084326C" w:rsidRPr="00D90835" w14:paraId="3006B2FD" w14:textId="77777777">
        <w:trPr>
          <w:trHeight w:val="313"/>
          <w:jc w:val="center"/>
        </w:trPr>
        <w:tc>
          <w:tcPr>
            <w:tcW w:w="1115" w:type="dxa"/>
            <w:shd w:val="clear" w:color="auto" w:fill="C6EFCE"/>
            <w:noWrap/>
            <w:vAlign w:val="center"/>
          </w:tcPr>
          <w:p w14:paraId="7C68AAE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M3C2-10</w:t>
            </w:r>
          </w:p>
        </w:tc>
        <w:tc>
          <w:tcPr>
            <w:tcW w:w="1572" w:type="dxa"/>
            <w:shd w:val="clear" w:color="auto" w:fill="C6EFCE"/>
            <w:noWrap/>
            <w:vAlign w:val="center"/>
          </w:tcPr>
          <w:p w14:paraId="5670EA5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Reform 2.2. Riikliku digilogistikaplatvormi loomine, et võtta kasutusele kaubaveo- ja/või reisijateveoteenuste digiteerimine</w:t>
            </w:r>
          </w:p>
        </w:tc>
        <w:tc>
          <w:tcPr>
            <w:tcW w:w="1275" w:type="dxa"/>
            <w:shd w:val="clear" w:color="auto" w:fill="C6EFCE"/>
            <w:noWrap/>
            <w:vAlign w:val="center"/>
          </w:tcPr>
          <w:p w14:paraId="44DAA24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vAlign w:val="center"/>
          </w:tcPr>
          <w:p w14:paraId="12918BF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Riiklik digilogistikaplatvorm </w:t>
            </w:r>
          </w:p>
        </w:tc>
        <w:tc>
          <w:tcPr>
            <w:tcW w:w="1559" w:type="dxa"/>
            <w:shd w:val="clear" w:color="auto" w:fill="C6EFCE"/>
            <w:noWrap/>
            <w:vAlign w:val="center"/>
          </w:tcPr>
          <w:p w14:paraId="74B33F5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Õigusakti säte, mis näitab õigusakti jõustumist   </w:t>
            </w:r>
          </w:p>
        </w:tc>
        <w:tc>
          <w:tcPr>
            <w:tcW w:w="1276" w:type="dxa"/>
            <w:shd w:val="clear" w:color="auto" w:fill="C6EFCE"/>
            <w:noWrap/>
            <w:vAlign w:val="center"/>
          </w:tcPr>
          <w:p w14:paraId="1B92112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276" w:type="dxa"/>
            <w:shd w:val="clear" w:color="auto" w:fill="C6EFCE"/>
            <w:noWrap/>
            <w:vAlign w:val="center"/>
          </w:tcPr>
          <w:p w14:paraId="4DA8B42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710" w:type="dxa"/>
            <w:shd w:val="clear" w:color="auto" w:fill="C6EFCE"/>
            <w:noWrap/>
            <w:vAlign w:val="center"/>
          </w:tcPr>
          <w:p w14:paraId="5C13EB5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708" w:type="dxa"/>
            <w:shd w:val="clear" w:color="auto" w:fill="C6EFCE"/>
            <w:noWrap/>
            <w:vAlign w:val="center"/>
          </w:tcPr>
          <w:p w14:paraId="033985F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710" w:type="dxa"/>
            <w:shd w:val="clear" w:color="auto" w:fill="C6EFCE"/>
            <w:noWrap/>
            <w:vAlign w:val="center"/>
          </w:tcPr>
          <w:p w14:paraId="50D5F2A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2024</w:t>
            </w:r>
          </w:p>
        </w:tc>
        <w:tc>
          <w:tcPr>
            <w:tcW w:w="3401" w:type="dxa"/>
            <w:shd w:val="clear" w:color="auto" w:fill="C6EFCE"/>
            <w:noWrap/>
            <w:vAlign w:val="center"/>
          </w:tcPr>
          <w:p w14:paraId="3ACAF645" w14:textId="77777777" w:rsidR="0084326C" w:rsidRPr="005D68A0" w:rsidRDefault="0084326C">
            <w:pPr>
              <w:jc w:val="both"/>
              <w:rPr>
                <w:rFonts w:ascii="Arial Narrow" w:hAnsi="Arial Narrow"/>
                <w:noProof/>
                <w:color w:val="006100"/>
                <w:sz w:val="20"/>
                <w:szCs w:val="20"/>
              </w:rPr>
            </w:pPr>
            <w:r>
              <w:rPr>
                <w:rFonts w:ascii="Arial Narrow" w:hAnsi="Arial Narrow"/>
                <w:noProof/>
                <w:color w:val="006100"/>
                <w:sz w:val="20"/>
              </w:rPr>
              <w:t>Jõustub õigusakt, millega tagatakse sadamakogukonna süsteemide koostalitlusvõime riikliku digitaalse logistikaplatvormiga.</w:t>
            </w:r>
          </w:p>
          <w:p w14:paraId="17567A61" w14:textId="77777777" w:rsidR="0084326C" w:rsidRPr="00F33804" w:rsidRDefault="0084326C">
            <w:pPr>
              <w:jc w:val="both"/>
              <w:rPr>
                <w:rFonts w:ascii="Arial Narrow" w:hAnsi="Arial Narrow"/>
                <w:noProof/>
                <w:color w:val="006100"/>
                <w:sz w:val="20"/>
                <w:szCs w:val="20"/>
              </w:rPr>
            </w:pPr>
          </w:p>
          <w:p w14:paraId="6BA18F63" w14:textId="77777777" w:rsidR="0084326C" w:rsidRPr="005D68A0" w:rsidRDefault="0084326C">
            <w:pPr>
              <w:jc w:val="both"/>
              <w:rPr>
                <w:rFonts w:ascii="Arial Narrow" w:hAnsi="Arial Narrow"/>
                <w:noProof/>
                <w:color w:val="006100"/>
                <w:sz w:val="20"/>
                <w:szCs w:val="20"/>
              </w:rPr>
            </w:pPr>
            <w:r>
              <w:rPr>
                <w:rFonts w:ascii="Arial Narrow" w:hAnsi="Arial Narrow"/>
                <w:noProof/>
                <w:color w:val="006100"/>
                <w:sz w:val="20"/>
              </w:rPr>
              <w:t>Lisaks nähakse õigusaktiga ette, et sadamasüsteemi asutused varustatakse sadamasüsteemi standardteenustega (sadamakogukonna süsteem), mis on koostalitlusvõimelised asjaomaste haldusasutustega ning on kooskõlas ELi määrusega (EL) nr 1056/2020 ja riikliku digitaalse logistika platvormiga.</w:t>
            </w:r>
          </w:p>
        </w:tc>
      </w:tr>
    </w:tbl>
    <w:p w14:paraId="0C0D6EA7" w14:textId="77777777" w:rsidR="0084326C" w:rsidRPr="00F33804" w:rsidRDefault="0084326C" w:rsidP="0084326C">
      <w:pPr>
        <w:tabs>
          <w:tab w:val="left" w:pos="4252"/>
        </w:tabs>
        <w:rPr>
          <w:i/>
          <w:noProof/>
        </w:rPr>
        <w:sectPr w:rsidR="0084326C" w:rsidRPr="00F33804">
          <w:headerReference w:type="even" r:id="rId248"/>
          <w:headerReference w:type="default" r:id="rId249"/>
          <w:footerReference w:type="even" r:id="rId250"/>
          <w:footerReference w:type="default" r:id="rId251"/>
          <w:headerReference w:type="first" r:id="rId252"/>
          <w:footerReference w:type="first" r:id="rId253"/>
          <w:pgSz w:w="16839" w:h="11907" w:orient="landscape"/>
          <w:pgMar w:top="1440" w:right="1440" w:bottom="1440" w:left="1440" w:header="567" w:footer="567" w:gutter="0"/>
          <w:cols w:space="720"/>
          <w:docGrid w:linePitch="360"/>
        </w:sectPr>
      </w:pPr>
    </w:p>
    <w:p w14:paraId="7A5AAEDE" w14:textId="77777777" w:rsidR="0084326C" w:rsidRPr="005D68A0" w:rsidRDefault="0084326C" w:rsidP="0084326C">
      <w:pPr>
        <w:pStyle w:val="Heading2"/>
        <w:numPr>
          <w:ilvl w:val="1"/>
          <w:numId w:val="0"/>
        </w:numPr>
        <w:ind w:left="850" w:hanging="850"/>
        <w:rPr>
          <w:noProof/>
        </w:rPr>
      </w:pPr>
      <w:r>
        <w:rPr>
          <w:noProof/>
        </w:rPr>
        <w:t xml:space="preserve">ÜLESANNE 4 KOMPONENT 1. Haridusteenuste osutamise tõhustamine: lasteaedadest ülikoolideni </w:t>
      </w:r>
    </w:p>
    <w:p w14:paraId="03F36F51" w14:textId="2E573C6D" w:rsidR="0084326C" w:rsidRPr="005D68A0" w:rsidRDefault="0084326C" w:rsidP="0084326C">
      <w:pPr>
        <w:spacing w:before="120" w:after="120"/>
        <w:jc w:val="both"/>
        <w:rPr>
          <w:noProof/>
        </w:rPr>
      </w:pPr>
      <w:r>
        <w:rPr>
          <w:noProof/>
        </w:rPr>
        <w:t>Itaalia taaste- ja vastupidavuskava see komponent hõlmab nelja sekkumisvaldkonda: i)</w:t>
      </w:r>
      <w:r w:rsidR="003A2B99">
        <w:rPr>
          <w:noProof/>
        </w:rPr>
        <w:t> </w:t>
      </w:r>
      <w:r>
        <w:rPr>
          <w:noProof/>
        </w:rPr>
        <w:t>Kvaliteedi parandamine ning haridus- ja koolitusteenuste kvantitatiivne laiendamine – lasteaedadest ülikoolini; ii) Õpetajate kutseala reform, eelkõige seoses värbamis- ja koolitusprotsessidega, et suurendada õpetajate oskusi ja tegeleda territoriaalse mittevastavuse probleemiga; iii) taristu oskuste täiendamine ja ajakohastamine digi-, loodusteaduste, tehnoloogia, inseneriteaduste ja matemaatika (STEM) ning mitmekeelsuse õpetamise edendamiseks, parandades samal ajal koolihoonete turvalisust ja energiatõhusust; iv)</w:t>
      </w:r>
      <w:r w:rsidR="003A2B99">
        <w:rPr>
          <w:noProof/>
        </w:rPr>
        <w:t> </w:t>
      </w:r>
      <w:r>
        <w:rPr>
          <w:noProof/>
        </w:rPr>
        <w:t xml:space="preserve">Akadeemiliste kraadide ja doktorikraadiprogrammide reform eesmärgiga edendada rakendusuuringuid ja suurendada doktorikraadiga seotud stipendiumide arvu. </w:t>
      </w:r>
    </w:p>
    <w:p w14:paraId="2D0222DC" w14:textId="77777777" w:rsidR="0084326C" w:rsidRPr="005D68A0" w:rsidRDefault="0084326C" w:rsidP="0084326C">
      <w:pPr>
        <w:spacing w:before="120" w:after="120"/>
        <w:jc w:val="both"/>
        <w:rPr>
          <w:noProof/>
        </w:rPr>
      </w:pPr>
      <w:r>
        <w:rPr>
          <w:noProof/>
        </w:rPr>
        <w:t xml:space="preserve">Selle komponendi meetmete eesmärk on tegeleda Itaalia haridus-, koolitus- ja teadussüsteemi puudustega, et parandada Itaalia õpilaste haridustulemusi ja tööalast konkurentsivõimet. </w:t>
      </w:r>
    </w:p>
    <w:p w14:paraId="460020BF" w14:textId="77777777" w:rsidR="0084326C" w:rsidRPr="005D68A0" w:rsidRDefault="0084326C" w:rsidP="0084326C">
      <w:pPr>
        <w:spacing w:before="120" w:after="120"/>
        <w:jc w:val="both"/>
        <w:rPr>
          <w:noProof/>
        </w:rPr>
      </w:pPr>
      <w:r>
        <w:rPr>
          <w:noProof/>
        </w:rPr>
        <w:t>Selle komponendi alla kuuluvad investeeringud ja reformid aitavad täita Itaaliale 2020. ja 2019. aastal esitatud riigipõhiseid soovitusi vajaduse kohta „toetada naiste osalemist tööturul tervikliku strateegia kaudu, sealhulgas juurdepääsu kaudu kvaliteetsele lapsehoiule“ (riigipõhine soovitus 2, 2019), „parandada haridustulemusi, muu hulgas piisavate ja sihipäraste investeeringute kaudu, ning edendada oskuste täiendamist, sealhulgas digioskuste tugevdamise kaudu“ (riigipõhine soovitus 2, 2019), edendada teadusuuringuid ja innovatsiooni (riigipõhine soovitus 3, 2019), „tugevdada kaugõpet ja -oskusi, sealhulgas digioskusi“ (riigipõhine soovitus 2, 2020) ning suunata investeeringuid teadusuuringutesse ja innovatsiooni (riigipõhine soovitus 3, 2020).</w:t>
      </w:r>
    </w:p>
    <w:p w14:paraId="0DF51C87" w14:textId="77777777" w:rsidR="0084326C" w:rsidRPr="005D68A0" w:rsidRDefault="0084326C" w:rsidP="0084326C">
      <w:pPr>
        <w:pStyle w:val="Heading3"/>
        <w:numPr>
          <w:ilvl w:val="0"/>
          <w:numId w:val="0"/>
        </w:numPr>
        <w:ind w:left="850" w:hanging="850"/>
        <w:rPr>
          <w:b/>
          <w:bCs w:val="0"/>
          <w:i w:val="0"/>
          <w:iCs/>
          <w:noProof/>
          <w:u w:val="single"/>
        </w:rPr>
      </w:pPr>
      <w:r>
        <w:rPr>
          <w:b/>
          <w:i w:val="0"/>
          <w:noProof/>
          <w:u w:val="single"/>
        </w:rPr>
        <w:t xml:space="preserve">J.1. </w:t>
      </w:r>
      <w:r>
        <w:rPr>
          <w:noProof/>
        </w:rPr>
        <w:tab/>
      </w:r>
      <w:r>
        <w:rPr>
          <w:b/>
          <w:i w:val="0"/>
          <w:noProof/>
          <w:u w:val="single"/>
        </w:rPr>
        <w:t>Tagastamatu rahalise toetusega seotud reformide ja investeeringute kirjeldus</w:t>
      </w:r>
    </w:p>
    <w:p w14:paraId="0F54120E" w14:textId="77777777" w:rsidR="0084326C" w:rsidRPr="005D68A0" w:rsidRDefault="0084326C" w:rsidP="0084326C">
      <w:pPr>
        <w:spacing w:before="120" w:after="120"/>
        <w:jc w:val="both"/>
        <w:rPr>
          <w:b/>
          <w:bCs/>
          <w:noProof/>
        </w:rPr>
      </w:pPr>
      <w:r>
        <w:rPr>
          <w:b/>
          <w:noProof/>
        </w:rPr>
        <w:t xml:space="preserve">Investeering 1.1. Lasteaedu, eelkoole ning alusharidust ja lastehoiuteenuseid käsitlev kava </w:t>
      </w:r>
    </w:p>
    <w:p w14:paraId="2745609B" w14:textId="77777777" w:rsidR="0084326C" w:rsidRPr="005D68A0" w:rsidRDefault="0084326C" w:rsidP="0084326C">
      <w:pPr>
        <w:spacing w:before="120" w:after="120"/>
        <w:jc w:val="both"/>
        <w:rPr>
          <w:noProof/>
        </w:rPr>
      </w:pPr>
      <w:r>
        <w:rPr>
          <w:noProof/>
        </w:rPr>
        <w:t>0–6aastaste vanuserühma investeerimiskava eesmärk on suurendada lastehoiuasutuste pakkumist, ehitades ja renoveerides lasteaedu ja eelkoole ning tagades nende ohutuse, et tagada 0–6aastaste vanuserühmale pakutavate haridusvõimaluste ja vabade kohtade arvu suurenemine ning seega parandada õpetamise kvaliteeti. Meede peaks soodustama naiste osalemist tööturul ning toetama hooldajaid pere- ja tööelu ühitamisel.</w:t>
      </w:r>
    </w:p>
    <w:p w14:paraId="2B97D2A8" w14:textId="77777777" w:rsidR="0084326C" w:rsidRPr="005D68A0" w:rsidRDefault="0084326C" w:rsidP="0084326C">
      <w:pPr>
        <w:spacing w:before="120" w:after="120"/>
        <w:jc w:val="both"/>
        <w:rPr>
          <w:noProof/>
          <w:color w:val="006100"/>
        </w:rPr>
      </w:pPr>
      <w:r>
        <w:rPr>
          <w:noProof/>
        </w:rPr>
        <w:t>Tagamaks, et meede vastab „ei kahjusta oluliselt“ tehnilistele suunistele (2021/C58/01), jäetakse tulevaste projektikonkursside juhendites sisalduvatest rahastamiskõlblikkuse kriteeriumidest välja järgmised tegevused: i) fossiilkütustega seotud tegevus, sealhulgas allkasutus tootmisahela järgmistes etappides</w:t>
      </w:r>
      <w:r w:rsidRPr="005D68A0">
        <w:rPr>
          <w:rStyle w:val="FootnoteReference"/>
          <w:noProof/>
          <w:lang w:val="en-GB"/>
        </w:rPr>
        <w:footnoteReference w:id="63"/>
      </w:r>
      <w:r>
        <w:rPr>
          <w:noProof/>
        </w:rPr>
        <w:t>; ii) ELi heitkogustega kauplemise süsteemi (HKS) raames toimuv tegevus, mille prognoositav kasvuhoonegaaside heide ei ole asjaomastest võrdlusalustest</w:t>
      </w:r>
      <w:r w:rsidRPr="005D68A0">
        <w:rPr>
          <w:rStyle w:val="FootnoteReference"/>
          <w:noProof/>
          <w:lang w:val="en-GB"/>
        </w:rPr>
        <w:footnoteReference w:id="64"/>
      </w:r>
      <w:r>
        <w:rPr>
          <w:noProof/>
        </w:rPr>
        <w:t xml:space="preserve"> madalam; iii) prügilate, jäätmepõletustehaste</w:t>
      </w:r>
      <w:r w:rsidRPr="005D68A0">
        <w:rPr>
          <w:rStyle w:val="FootnoteReference"/>
          <w:noProof/>
          <w:lang w:val="en-GB"/>
        </w:rPr>
        <w:footnoteReference w:id="65"/>
      </w:r>
      <w:r>
        <w:rPr>
          <w:noProof/>
        </w:rPr>
        <w:t xml:space="preserve"> ja mehhaanilis-bioloogilise töötlemise jaamadega</w:t>
      </w:r>
      <w:r w:rsidRPr="005D68A0">
        <w:rPr>
          <w:rStyle w:val="FootnoteReference"/>
          <w:noProof/>
          <w:lang w:val="en-GB"/>
        </w:rPr>
        <w:footnoteReference w:id="66"/>
      </w:r>
      <w:r>
        <w:rPr>
          <w:noProof/>
        </w:rPr>
        <w:t xml:space="preserve"> seotud tegevus; iv) tegevused, mille puhul jäätmete pikaajaline kõrvaldamine võib kahjustada keskkonda. Lisaks nõutakse tingimustes, et valitakse ainult tegevused, mis on kooskõlas asjakohaste ELi ja riiklike keskkonnaalaste õigusaktidega.</w:t>
      </w:r>
    </w:p>
    <w:p w14:paraId="7A794148" w14:textId="77777777" w:rsidR="0084326C" w:rsidRPr="005D68A0" w:rsidRDefault="0084326C" w:rsidP="0084326C">
      <w:pPr>
        <w:spacing w:before="120" w:after="120"/>
        <w:jc w:val="both"/>
        <w:rPr>
          <w:b/>
          <w:bCs/>
          <w:noProof/>
        </w:rPr>
      </w:pPr>
      <w:r>
        <w:rPr>
          <w:b/>
          <w:noProof/>
        </w:rPr>
        <w:t>Investeering 1.2. Täistööajaga töötamise pikendamise kava</w:t>
      </w:r>
    </w:p>
    <w:p w14:paraId="18CA6796" w14:textId="476FFC5C" w:rsidR="0084326C" w:rsidRPr="005D68A0" w:rsidRDefault="0084326C" w:rsidP="0084326C">
      <w:pPr>
        <w:spacing w:before="120" w:after="120"/>
        <w:jc w:val="both"/>
        <w:rPr>
          <w:noProof/>
        </w:rPr>
      </w:pPr>
      <w:r>
        <w:rPr>
          <w:noProof/>
        </w:rPr>
        <w:t>Meetme eesmärk on rahastada kooliaja pikendamist, et suurendada koolide hariduspakkumist ja muuta need pärast koolitunde piirkonnale avatuks. Selle meetmega nähakse ette söökla ruumide ehitamine või renoveerimine vähemalt 1 000 rajatise jaoks, et võimaldada kooliaja pikendamist. Pikematel koolitundidel on eeldatavasti positiivne mõju koolist väljalangemise vastasele võitlusele.</w:t>
      </w:r>
    </w:p>
    <w:p w14:paraId="27F4A5DB" w14:textId="77777777" w:rsidR="0084326C" w:rsidRPr="005D68A0" w:rsidRDefault="0084326C" w:rsidP="0084326C">
      <w:pPr>
        <w:spacing w:before="120" w:after="120"/>
        <w:jc w:val="both"/>
        <w:rPr>
          <w:b/>
          <w:noProof/>
        </w:rPr>
      </w:pPr>
      <w:r>
        <w:rPr>
          <w:b/>
          <w:noProof/>
        </w:rPr>
        <w:t>Investeering 1.3. Koolispordi infrastruktuuri edendamise kava</w:t>
      </w:r>
    </w:p>
    <w:p w14:paraId="6F8B9D85" w14:textId="77777777" w:rsidR="0084326C" w:rsidRPr="005D68A0" w:rsidRDefault="0084326C" w:rsidP="0084326C">
      <w:pPr>
        <w:spacing w:before="120" w:after="120"/>
        <w:jc w:val="both"/>
        <w:rPr>
          <w:noProof/>
        </w:rPr>
      </w:pPr>
      <w:r>
        <w:rPr>
          <w:noProof/>
        </w:rPr>
        <w:t>Sporditegevuse tugevdamine aitab eeldatavasti võidelda koolist väljalangemise vastu, suurendada sotsiaalset kaasatust ja tugevdada isiklikke võimeid. Investeeringuga uuendatakse koolide juurde kuuluvaid spordirajatisi ja spordisaale, et tagada hariduse pakkumise kasv ja kooliaja pikendamine.</w:t>
      </w:r>
    </w:p>
    <w:p w14:paraId="5A26E4C9" w14:textId="77777777" w:rsidR="0084326C" w:rsidRPr="005D68A0" w:rsidRDefault="0084326C" w:rsidP="0084326C">
      <w:pPr>
        <w:spacing w:before="120" w:after="120"/>
        <w:jc w:val="both"/>
        <w:rPr>
          <w:noProof/>
          <w:color w:val="006100"/>
        </w:rPr>
      </w:pPr>
      <w:r>
        <w:rPr>
          <w:noProof/>
        </w:rPr>
        <w:t>Investeeringuga ajakohastatakse spordirajatisi ja koolidega seotud spordisaale, et tagada hariduspakkumise suurenemine ja edendada kooliaja pikenemist. Tagamaks, et meede vastab „ei kahjusta oluliselt“ tehnilistele suunistele (2021/C58/01), jäetakse tulevaste projektikonkursside juhendites sisalduvatest rahastamiskõlblikkuse kriteeriumidest välja järgmised tegevused: i) fossiilkütustega seotud tegevus, sealhulgas allkasutus tootmisahela järgmistes etappides</w:t>
      </w:r>
      <w:r w:rsidRPr="005D68A0">
        <w:rPr>
          <w:rStyle w:val="FootnoteReference"/>
          <w:noProof/>
          <w:lang w:val="en-GB"/>
        </w:rPr>
        <w:footnoteReference w:id="67"/>
      </w:r>
      <w:r>
        <w:rPr>
          <w:noProof/>
        </w:rPr>
        <w:t>; ii) ELi heitkogustega kauplemise süsteemi (HKS) raames toimuv tegevus, mille prognoositav kasvuhoonegaaside heide ei ole asjaomastest võrdlusalustest</w:t>
      </w:r>
      <w:r w:rsidRPr="005D68A0">
        <w:rPr>
          <w:rStyle w:val="FootnoteReference"/>
          <w:noProof/>
          <w:lang w:val="en-GB"/>
        </w:rPr>
        <w:footnoteReference w:id="68"/>
      </w:r>
      <w:r>
        <w:rPr>
          <w:noProof/>
        </w:rPr>
        <w:t xml:space="preserve"> madalam; iii) prügilate, jäätmepõletustehaste</w:t>
      </w:r>
      <w:r w:rsidRPr="005D68A0">
        <w:rPr>
          <w:rStyle w:val="FootnoteReference"/>
          <w:noProof/>
          <w:lang w:val="en-GB"/>
        </w:rPr>
        <w:footnoteReference w:id="69"/>
      </w:r>
      <w:r>
        <w:rPr>
          <w:noProof/>
        </w:rPr>
        <w:t xml:space="preserve"> ja mehhaanilis-bioloogilise töötlemise jaamadega</w:t>
      </w:r>
      <w:r w:rsidRPr="005D68A0">
        <w:rPr>
          <w:rStyle w:val="FootnoteReference"/>
          <w:noProof/>
          <w:lang w:val="en-GB"/>
        </w:rPr>
        <w:footnoteReference w:id="70"/>
      </w:r>
      <w:r>
        <w:rPr>
          <w:noProof/>
        </w:rPr>
        <w:t xml:space="preserve"> seotud tegevus; iv) tegevused, mille puhul jäätmete pikaajaline kõrvaldamine võib kahjustada keskkonda. Lisaks nõutakse tingimustes, et valitakse ainult tegevused, mis on kooskõlas asjakohaste ELi ja riiklike keskkonnaalaste õigusaktidega.</w:t>
      </w:r>
    </w:p>
    <w:p w14:paraId="2123DB66" w14:textId="77777777" w:rsidR="0084326C" w:rsidRPr="005D68A0" w:rsidRDefault="0084326C" w:rsidP="0084326C">
      <w:pPr>
        <w:spacing w:before="120" w:after="120"/>
        <w:jc w:val="both"/>
        <w:rPr>
          <w:b/>
          <w:bCs/>
          <w:noProof/>
        </w:rPr>
      </w:pPr>
      <w:r>
        <w:rPr>
          <w:b/>
          <w:noProof/>
        </w:rPr>
        <w:t>Investeering 1.4. Erakorraline sekkumine, mille eesmärk on vähendada territoriaalseid erinevusi keskkooli I ja II tsüklis ning võidelda koolist väljalangemise vastu</w:t>
      </w:r>
    </w:p>
    <w:p w14:paraId="77A48C80" w14:textId="77777777" w:rsidR="0084326C" w:rsidRPr="005D68A0" w:rsidRDefault="0084326C" w:rsidP="0084326C">
      <w:pPr>
        <w:spacing w:before="120" w:after="120"/>
        <w:jc w:val="both"/>
        <w:rPr>
          <w:noProof/>
        </w:rPr>
      </w:pPr>
      <w:r>
        <w:rPr>
          <w:noProof/>
        </w:rPr>
        <w:t>Meetme eesmärk on tagada õpilastele piisavad põhioskused, muu hulgas ühtse riikliku veebikoolituse portaali väljatöötamise kaudu. Erilist tähelepanu pööratakse koolidele, kus tulemuslikkusega seoses on esinenud suuremaid raskusi, kohandades sekkumismeetmeid vastavalt õpilaste vajadustele – kus koolijuht toetab koolivälist juhendajat ning kõige kriitilisematel juhtudel vähemalt ühe täiendava personaliüksuse olemasolu õppeaine kohta (itaalia, matemaatika ja inglise keel) ja vähemalt kahe aasta jooksul. Investeeringuga edendatakse mentorlusmeetmete rakendamist vähemalt 820</w:t>
      </w:r>
      <w:r>
        <w:rPr>
          <w:rFonts w:ascii="Arial Narrow" w:hAnsi="Arial Narrow"/>
          <w:noProof/>
          <w:color w:val="006100"/>
          <w:sz w:val="20"/>
        </w:rPr>
        <w:t> </w:t>
      </w:r>
      <w:r>
        <w:rPr>
          <w:noProof/>
        </w:rPr>
        <w:t>000 koolist väljalangemise ohus oleva ja juba koolist väljalangenud noore jaoks. Selles nähakse ette veebiplatvormi kasutamine mentorlus- ja koolitustegevuseks.</w:t>
      </w:r>
    </w:p>
    <w:p w14:paraId="7EAF1065" w14:textId="77777777" w:rsidR="0084326C" w:rsidRPr="005D68A0" w:rsidRDefault="0084326C" w:rsidP="0084326C">
      <w:pPr>
        <w:spacing w:before="120" w:after="120"/>
        <w:jc w:val="both"/>
        <w:rPr>
          <w:noProof/>
        </w:rPr>
      </w:pPr>
      <w:r>
        <w:rPr>
          <w:noProof/>
        </w:rPr>
        <w:t xml:space="preserve">Sekkumine peaks edendama soolist võrdõiguslikkust ja aitama kaasa ebavõrdsuse, sealhulgas territoriaalsete erinevuste kaotamisele juurdepääsul haridusele. </w:t>
      </w:r>
    </w:p>
    <w:p w14:paraId="1D14E350" w14:textId="77777777" w:rsidR="0084326C" w:rsidRPr="005D68A0" w:rsidRDefault="0084326C" w:rsidP="0084326C">
      <w:pPr>
        <w:spacing w:before="120" w:after="120"/>
        <w:jc w:val="both"/>
        <w:rPr>
          <w:b/>
          <w:noProof/>
        </w:rPr>
      </w:pPr>
      <w:r>
        <w:rPr>
          <w:b/>
          <w:noProof/>
        </w:rPr>
        <w:t>Reform 1.1. Tehniliste ja kutseinstituutide reform</w:t>
      </w:r>
    </w:p>
    <w:p w14:paraId="456127D7" w14:textId="77777777" w:rsidR="0084326C" w:rsidRPr="005D68A0" w:rsidRDefault="0084326C" w:rsidP="0084326C">
      <w:pPr>
        <w:spacing w:before="120" w:after="120"/>
        <w:jc w:val="both"/>
        <w:rPr>
          <w:noProof/>
        </w:rPr>
      </w:pPr>
      <w:r>
        <w:rPr>
          <w:noProof/>
        </w:rPr>
        <w:t>Reformi eesmärk on viia tehniliste ja kutseinstituutide õppekavad kooskõlla Itaalia tootmissüsteemi jaoks vajalike pädevustega, sealhulgas kohalikul tasandil. Eelkõige viiakse reformiga tehniline ja kutseharidus kooskõlla tööstuse 4.0 ja digitaalse innovatsiooniga.</w:t>
      </w:r>
    </w:p>
    <w:p w14:paraId="3B422A4A" w14:textId="77777777" w:rsidR="0084326C" w:rsidRPr="005D68A0" w:rsidRDefault="0084326C" w:rsidP="0084326C">
      <w:pPr>
        <w:spacing w:before="120" w:after="120"/>
        <w:jc w:val="both"/>
        <w:rPr>
          <w:b/>
          <w:noProof/>
        </w:rPr>
      </w:pPr>
      <w:r>
        <w:rPr>
          <w:b/>
          <w:noProof/>
        </w:rPr>
        <w:t>Reform 1.2. Kolmanda taseme kutseõppe reform</w:t>
      </w:r>
    </w:p>
    <w:p w14:paraId="745D21C9" w14:textId="77777777" w:rsidR="0084326C" w:rsidRPr="005D68A0" w:rsidRDefault="0084326C" w:rsidP="0084326C">
      <w:pPr>
        <w:spacing w:before="120" w:after="120"/>
        <w:jc w:val="both"/>
        <w:rPr>
          <w:noProof/>
        </w:rPr>
      </w:pPr>
      <w:r>
        <w:rPr>
          <w:noProof/>
        </w:rPr>
        <w:t xml:space="preserve">Reformi eesmärk on tugevdada kolmanda taseme kutseõppesüsteemi, lihtsustades intelligentsete transpordisüsteemide juhtimist, et suurendada instituutide ja liitujate arvu, pidades silmas kohalikku territooriumi. </w:t>
      </w:r>
    </w:p>
    <w:p w14:paraId="33E6121C" w14:textId="77777777" w:rsidR="0084326C" w:rsidRPr="005D68A0" w:rsidRDefault="0084326C" w:rsidP="0084326C">
      <w:pPr>
        <w:spacing w:before="120" w:after="120"/>
        <w:jc w:val="both"/>
        <w:rPr>
          <w:noProof/>
        </w:rPr>
      </w:pPr>
      <w:r>
        <w:rPr>
          <w:noProof/>
        </w:rPr>
        <w:t xml:space="preserve">Reform peaks kaotama ebakõla tööjõu pakkumise ja nõudluse vahel. </w:t>
      </w:r>
    </w:p>
    <w:p w14:paraId="1C5179D7" w14:textId="77777777" w:rsidR="0084326C" w:rsidRPr="005D68A0" w:rsidRDefault="0084326C" w:rsidP="0084326C">
      <w:pPr>
        <w:spacing w:before="120" w:after="120"/>
        <w:jc w:val="both"/>
        <w:rPr>
          <w:b/>
          <w:bCs/>
          <w:noProof/>
        </w:rPr>
      </w:pPr>
      <w:r>
        <w:rPr>
          <w:b/>
          <w:noProof/>
        </w:rPr>
        <w:t>Investeering 1.5. Kolmanda taseme kutseõppesüsteemi arendamine</w:t>
      </w:r>
    </w:p>
    <w:p w14:paraId="7CBBF363" w14:textId="77777777" w:rsidR="0084326C" w:rsidRPr="005D68A0" w:rsidRDefault="0084326C" w:rsidP="0084326C">
      <w:pPr>
        <w:spacing w:before="120" w:after="120"/>
        <w:jc w:val="both"/>
        <w:rPr>
          <w:noProof/>
        </w:rPr>
      </w:pPr>
      <w:r>
        <w:rPr>
          <w:noProof/>
        </w:rPr>
        <w:t xml:space="preserve">Meede täiendab kolmanda taseme kutseõppe reformi 1.2, mille eesmärk on tugevdada kutseõppeasutuste pakutavat haridust. See aitab suurendada kutseõppeasutuste haridusvõimalusi ja ettevõtete osalemist haridusprotsessides, et luua parem ühendus ettevõtjate võrgustikuga. Samuti peaks meede vähendama noorte töötust, tegeledes tööjõu nõudluse ja pakkumise vahelise oskuste mittevastavusega. </w:t>
      </w:r>
    </w:p>
    <w:p w14:paraId="51750557" w14:textId="77777777" w:rsidR="0084326C" w:rsidRPr="005D68A0" w:rsidRDefault="0084326C" w:rsidP="0084326C">
      <w:pPr>
        <w:spacing w:before="120" w:after="120"/>
        <w:jc w:val="both"/>
        <w:rPr>
          <w:noProof/>
        </w:rPr>
      </w:pPr>
      <w:r>
        <w:rPr>
          <w:noProof/>
        </w:rPr>
        <w:t xml:space="preserve">Investeeringuga suurendatakse intelligentsete transpordisüsteemide kursustel osalevate üliõpilaste arvu ja tugevdatakse laboristruktuure (võttes kasutusele uuenduslikud tehnoloogiad 4.0), investeerides samal ajal õpetajate oskustesse. Kavas on aktiveerida riiklik digitaalne platvorm, mis võimaldab õpilastel tunda kutsekvalifikatsiooni omandanute tööpakkumisi. </w:t>
      </w:r>
    </w:p>
    <w:p w14:paraId="115AB57F" w14:textId="77777777" w:rsidR="0084326C" w:rsidRPr="005D68A0" w:rsidRDefault="0084326C" w:rsidP="0084326C">
      <w:pPr>
        <w:spacing w:before="120" w:after="120"/>
        <w:jc w:val="both"/>
        <w:rPr>
          <w:b/>
          <w:bCs/>
          <w:noProof/>
        </w:rPr>
      </w:pPr>
      <w:r>
        <w:rPr>
          <w:b/>
          <w:noProof/>
        </w:rPr>
        <w:t>Reform 1.3. Koolisüsteemi ümberkorraldamine</w:t>
      </w:r>
    </w:p>
    <w:p w14:paraId="5FF18946" w14:textId="77777777" w:rsidR="0084326C" w:rsidRPr="005D68A0" w:rsidRDefault="0084326C" w:rsidP="0084326C">
      <w:pPr>
        <w:spacing w:before="120" w:after="120"/>
        <w:jc w:val="both"/>
        <w:rPr>
          <w:noProof/>
        </w:rPr>
      </w:pPr>
      <w:r>
        <w:rPr>
          <w:noProof/>
        </w:rPr>
        <w:t xml:space="preserve">Reformil on kaks eesmärki: </w:t>
      </w:r>
    </w:p>
    <w:p w14:paraId="502C2EDA" w14:textId="77777777" w:rsidR="0084326C" w:rsidRPr="005D68A0" w:rsidRDefault="0084326C" w:rsidP="0084326C">
      <w:pPr>
        <w:pStyle w:val="ListParagraph"/>
        <w:numPr>
          <w:ilvl w:val="0"/>
          <w:numId w:val="57"/>
        </w:numPr>
        <w:ind w:left="360"/>
        <w:rPr>
          <w:noProof/>
        </w:rPr>
      </w:pPr>
      <w:r>
        <w:rPr>
          <w:noProof/>
        </w:rPr>
        <w:t xml:space="preserve">Õpilaste arvu kohandamine klassi kohta. </w:t>
      </w:r>
    </w:p>
    <w:p w14:paraId="4A0E34AA" w14:textId="77777777" w:rsidR="0084326C" w:rsidRPr="005D68A0" w:rsidRDefault="0084326C" w:rsidP="0084326C">
      <w:pPr>
        <w:spacing w:before="120" w:after="120"/>
        <w:jc w:val="both"/>
        <w:rPr>
          <w:noProof/>
        </w:rPr>
      </w:pPr>
      <w:r>
        <w:rPr>
          <w:noProof/>
        </w:rPr>
        <w:t>Õpetajate arv määratakse kindlaks samal tasemel nagu 2020/2021. õppeaastal, pidades silmas rahvastiku vähenemist ja selleks, et vähendada õpilaste arvu klassi kohta ning järk-järgult parandada õpilaste arvu ja ühistel ametikohtadel töötavate õpetajate arvu suhet. Sekkumise rakendamine ei suurenda olemasolevate hoonete arvu. Algatuses pööratakse individuaalset tähelepanu üksikutele õpilastele, eelkõige kõige haavatavamatele ja kindlasti puuetega õpilastele.  Eeldatakse, et õpilaste/õpetajate suhtarvu paranemine toob kasu õpetamise kvaliteedile ja ressursside kättesaadavusele koolihoonete jaoks.</w:t>
      </w:r>
    </w:p>
    <w:p w14:paraId="1E0744F0" w14:textId="77777777" w:rsidR="0084326C" w:rsidRPr="005D68A0" w:rsidRDefault="0084326C" w:rsidP="0084326C">
      <w:pPr>
        <w:pStyle w:val="ListParagraph"/>
        <w:numPr>
          <w:ilvl w:val="0"/>
          <w:numId w:val="57"/>
        </w:numPr>
        <w:ind w:left="360"/>
        <w:rPr>
          <w:noProof/>
        </w:rPr>
      </w:pPr>
      <w:r>
        <w:rPr>
          <w:noProof/>
        </w:rPr>
        <w:t xml:space="preserve">Koolimaja suuruse reeglite ülevaatamine. </w:t>
      </w:r>
    </w:p>
    <w:p w14:paraId="17EC633D" w14:textId="77777777" w:rsidR="0084326C" w:rsidRPr="005D68A0" w:rsidRDefault="0084326C" w:rsidP="0084326C">
      <w:pPr>
        <w:spacing w:before="120" w:after="120"/>
        <w:jc w:val="both"/>
        <w:rPr>
          <w:noProof/>
        </w:rPr>
      </w:pPr>
      <w:r>
        <w:rPr>
          <w:noProof/>
        </w:rPr>
        <w:t>Piirkondlik koolipopulatsioon võetakse vastu „tõhusa parameetrina“, et teha kindlaks juhtivtöötaja ja juhtivtöötajaga haridusasutused, mitte konkreetse kooli elanikkond, nagu on sätestatud kehtivates õigusaktides.</w:t>
      </w:r>
    </w:p>
    <w:p w14:paraId="62A7C98A" w14:textId="77777777" w:rsidR="0084326C" w:rsidRPr="005D68A0" w:rsidRDefault="0084326C" w:rsidP="0084326C">
      <w:pPr>
        <w:spacing w:before="120" w:after="120"/>
        <w:jc w:val="both"/>
        <w:rPr>
          <w:b/>
          <w:noProof/>
        </w:rPr>
      </w:pPr>
      <w:r>
        <w:rPr>
          <w:b/>
          <w:noProof/>
        </w:rPr>
        <w:t xml:space="preserve">Reform 1.4. „Suunitlusega“ süsteemi reform  </w:t>
      </w:r>
    </w:p>
    <w:p w14:paraId="59EB9DAE" w14:textId="77777777" w:rsidR="0084326C" w:rsidRPr="005D68A0" w:rsidRDefault="0084326C" w:rsidP="0084326C">
      <w:pPr>
        <w:spacing w:before="120" w:after="120"/>
        <w:jc w:val="both"/>
        <w:rPr>
          <w:noProof/>
        </w:rPr>
      </w:pPr>
      <w:r>
        <w:rPr>
          <w:noProof/>
        </w:rPr>
        <w:t>Reformi eesmärk on võtta kasutusele orientatsioonimoodulid (vähemalt 30 tundi aastas) neljanda ja viienda keskkooliklassi jaoks. Peamine eesmärk on aidata õpilastel enne tööturule integreerumist teha teadlik valik õpingute jätkamise või täiendkutseõppe vahel. Reformiga nähakse ette ka digitaalse orientatsiooni platvormi loomine, mis on seotud ülikoolide ja kutseõppeasutuste (ITS) kolmanda taseme hariduse pakkumisega.</w:t>
      </w:r>
    </w:p>
    <w:p w14:paraId="3F0D014A" w14:textId="77777777" w:rsidR="0084326C" w:rsidRPr="005D68A0" w:rsidRDefault="0084326C" w:rsidP="0084326C">
      <w:pPr>
        <w:spacing w:before="120" w:after="120"/>
        <w:jc w:val="both"/>
        <w:rPr>
          <w:b/>
          <w:noProof/>
        </w:rPr>
      </w:pPr>
      <w:r>
        <w:rPr>
          <w:b/>
          <w:noProof/>
        </w:rPr>
        <w:t>Investeering 1.6. Aktiivne orientatsioon üleminekul kooli-ülikooli vahel</w:t>
      </w:r>
    </w:p>
    <w:p w14:paraId="70F74EFE" w14:textId="77777777" w:rsidR="0084326C" w:rsidRPr="005D68A0" w:rsidRDefault="0084326C" w:rsidP="0084326C">
      <w:pPr>
        <w:spacing w:before="120" w:after="120"/>
        <w:jc w:val="both"/>
        <w:rPr>
          <w:noProof/>
        </w:rPr>
      </w:pPr>
      <w:r>
        <w:rPr>
          <w:noProof/>
        </w:rPr>
        <w:t>Meetme eesmärk on hõlbustada ja soodustada üleminekut keskkoolist ülikooli ning vähendada ülikoolist väljalangejate arvu, aidates seega suurendada lõpetajate arvu. Investeeringuga loodetakse tõsta edunäitajaid (kooliskäimine, õpitaseme tõstmine, järgmisel õppeaastal vastu võetud üliõpilaste arv jne) ning vähendada soolist ebavõrdsust nii tööhõives kui ka kõrghariduses osalemises kõigis valdkondades.</w:t>
      </w:r>
    </w:p>
    <w:p w14:paraId="5A9E61AE" w14:textId="77777777" w:rsidR="0084326C" w:rsidRPr="005D68A0" w:rsidRDefault="0084326C" w:rsidP="0084326C">
      <w:pPr>
        <w:spacing w:before="120" w:after="120"/>
        <w:jc w:val="both"/>
        <w:rPr>
          <w:noProof/>
        </w:rPr>
      </w:pPr>
      <w:r>
        <w:rPr>
          <w:noProof/>
        </w:rPr>
        <w:t>Algatusega nähakse ette kursuste pakkumine kõigile keskkooliõpilastele, et toetada neid kolmanda taseme hariduse valikul, hõlbustades ettevalmistuse ja kutseõppe paremat sobitamist ning aidates õpilastel kooli ja ülikooli vahelisele üleminekule suunata. Loenguid korraldavad kõrgharidusprofessorid ja neid korraldatakse keskkooliõpilastele. Jätkusuutlikkuse saavutamiseks laiendatakse koolitust keskkooliprofessoritele nii, et selle kolmeaastase programmi kohaselt on suunised kättesaadavad ka kõrgkoolide sisetöötajatele.</w:t>
      </w:r>
    </w:p>
    <w:p w14:paraId="09163059" w14:textId="77777777" w:rsidR="0084326C" w:rsidRPr="005D68A0" w:rsidRDefault="0084326C" w:rsidP="0084326C">
      <w:pPr>
        <w:spacing w:before="120" w:after="120"/>
        <w:jc w:val="both"/>
        <w:rPr>
          <w:b/>
          <w:bCs/>
          <w:noProof/>
        </w:rPr>
      </w:pPr>
      <w:r>
        <w:rPr>
          <w:b/>
          <w:noProof/>
        </w:rPr>
        <w:t>Investeering 1.7. Stipendiumid ülikoolidesse pääsemiseks</w:t>
      </w:r>
    </w:p>
    <w:p w14:paraId="33497B88" w14:textId="77777777" w:rsidR="0084326C" w:rsidRPr="005D68A0" w:rsidRDefault="0084326C" w:rsidP="0084326C">
      <w:pPr>
        <w:spacing w:before="120" w:after="120"/>
        <w:jc w:val="both"/>
        <w:rPr>
          <w:noProof/>
        </w:rPr>
      </w:pPr>
      <w:r>
        <w:rPr>
          <w:noProof/>
        </w:rPr>
        <w:t>Meetme eesmärk on tagada võrdne juurdepääs haridusele, lihtsustades sotsiaal-majanduslikes raskustes olevate üliõpilaste juurdepääsu kolmanda taseme haridusele, mille puhul kõrgtasemel õpingutega kaasnevad suhteliselt suured alternatiivkulud, võrreldes varase üleminekuga tööturul. Eelkõige saavutatakse see taaste- ja vastupidavusrahastu toetuse raames üliõpilastele antavate stipendiumide arvu suurendamisega.</w:t>
      </w:r>
    </w:p>
    <w:p w14:paraId="2514E8E6" w14:textId="30538A7D" w:rsidR="0084326C" w:rsidRPr="005D68A0" w:rsidRDefault="0084326C" w:rsidP="0084326C">
      <w:pPr>
        <w:jc w:val="both"/>
        <w:rPr>
          <w:rFonts w:ascii="Segoe UI" w:eastAsia="Segoe UI" w:hAnsi="Segoe UI" w:cs="Segoe UI"/>
          <w:noProof/>
          <w:color w:val="000000" w:themeColor="text1"/>
          <w:sz w:val="20"/>
          <w:szCs w:val="20"/>
        </w:rPr>
      </w:pPr>
      <w:r>
        <w:rPr>
          <w:noProof/>
        </w:rPr>
        <w:t>Seda meedet täiendab React-EU, mis peaks 2023. aastal rahastama 13 000 stipendiumi ülikoolidele juurdepääsuks lõunapoolsetes piirkondades.</w:t>
      </w:r>
    </w:p>
    <w:p w14:paraId="2E3786E3" w14:textId="77777777" w:rsidR="0084326C" w:rsidRPr="005D68A0" w:rsidRDefault="0084326C" w:rsidP="0084326C">
      <w:pPr>
        <w:spacing w:before="120" w:after="120"/>
        <w:jc w:val="both"/>
        <w:rPr>
          <w:b/>
          <w:noProof/>
        </w:rPr>
      </w:pPr>
      <w:r>
        <w:rPr>
          <w:b/>
          <w:noProof/>
        </w:rPr>
        <w:t>Reform 1.5. Kõrgkoolide kraadirühmade reformid</w:t>
      </w:r>
    </w:p>
    <w:p w14:paraId="233E894F" w14:textId="13E0F431" w:rsidR="0084326C" w:rsidRPr="005D68A0" w:rsidRDefault="0084326C" w:rsidP="0084326C">
      <w:pPr>
        <w:spacing w:before="120" w:after="120"/>
        <w:jc w:val="both"/>
        <w:rPr>
          <w:noProof/>
          <w:color w:val="006100"/>
        </w:rPr>
      </w:pPr>
      <w:r>
        <w:rPr>
          <w:noProof/>
        </w:rPr>
        <w:t>Reformiga nähakse ette ülikoolide õppekavade ajakohastamine, vähendades olemasolevaid jäika piire, mis piiravad oluliselt valdkondadevaheliste radade loomise võimalust. Samuti eeldatakse, et reformiga laiendatakse kutseõppeprogrammide rakendamise võimalust, võttes kasutusele uuenduslikud töökohale suunatud kraadiõppe kursused.</w:t>
      </w:r>
    </w:p>
    <w:p w14:paraId="3126632F" w14:textId="77777777" w:rsidR="0084326C" w:rsidRPr="005D68A0" w:rsidRDefault="0084326C" w:rsidP="0084326C">
      <w:pPr>
        <w:spacing w:before="120" w:after="120"/>
        <w:jc w:val="both"/>
        <w:rPr>
          <w:b/>
          <w:noProof/>
        </w:rPr>
      </w:pPr>
      <w:r>
        <w:rPr>
          <w:b/>
          <w:noProof/>
        </w:rPr>
        <w:t xml:space="preserve">Reform 1.6. Ülikoolidiplomi reformi võimaldamine </w:t>
      </w:r>
    </w:p>
    <w:p w14:paraId="28B7C07E" w14:textId="77777777" w:rsidR="0084326C" w:rsidRPr="005D68A0" w:rsidRDefault="0084326C" w:rsidP="0084326C">
      <w:pPr>
        <w:spacing w:before="120" w:after="120"/>
        <w:jc w:val="both"/>
        <w:rPr>
          <w:noProof/>
        </w:rPr>
      </w:pPr>
      <w:r>
        <w:rPr>
          <w:noProof/>
        </w:rPr>
        <w:t xml:space="preserve">Reformiga nähakse ette selliste kutsealadele juurdepääsu menetluse lihtsustamine, mis eeldavad kutsetellimusel registreerumist spetsiaalse kutseeksami abil. Meede aitab ühtlustada iga riikliku kraadi lõpueksami vastava kutseeksamiga, pakkudes sellega üldisi ja selgeid eeskirju ja asendamist. </w:t>
      </w:r>
    </w:p>
    <w:p w14:paraId="2C606104" w14:textId="77777777" w:rsidR="0084326C" w:rsidRPr="005D68A0" w:rsidRDefault="0084326C" w:rsidP="0084326C">
      <w:pPr>
        <w:spacing w:before="120" w:after="120"/>
        <w:jc w:val="both"/>
        <w:rPr>
          <w:b/>
          <w:noProof/>
        </w:rPr>
      </w:pPr>
      <w:r>
        <w:rPr>
          <w:b/>
          <w:noProof/>
        </w:rPr>
        <w:t>Reform 2.1. Õpetajate värbamine</w:t>
      </w:r>
    </w:p>
    <w:p w14:paraId="0876959F" w14:textId="77777777" w:rsidR="0084326C" w:rsidRPr="005D68A0" w:rsidRDefault="0084326C" w:rsidP="0084326C">
      <w:pPr>
        <w:spacing w:before="120" w:after="120"/>
        <w:jc w:val="both"/>
        <w:rPr>
          <w:noProof/>
        </w:rPr>
      </w:pPr>
      <w:r>
        <w:rPr>
          <w:noProof/>
        </w:rPr>
        <w:t xml:space="preserve">Reformi eesmärk on luua uus õpetajate töölevõtmise mudel, mis on seotud õpetajate esialgse koolituse ümberhindamisega kogu nende karjääri jooksul. Selle meetme strateegiline eesmärk on oluliselt parandada Itaalia haridussüsteemi kvaliteeti. Eelkõige lihtsustatakse reformiga praegusi avaliku konkursi menetlusi. Meetmetega kehtestatakse rangemad nõuded õpetajakutsele juurdepääsuks, tõhusam õpetajate liikuvuse raamistik, liigse liikuvuse piiramine ning selge seos karjääri edenemise ja tulemuslikkuse hindamise ning pideva kutsealase arengu vahel.  </w:t>
      </w:r>
    </w:p>
    <w:p w14:paraId="4856ACF5" w14:textId="77777777" w:rsidR="0084326C" w:rsidRPr="005D68A0" w:rsidRDefault="0084326C" w:rsidP="0084326C">
      <w:pPr>
        <w:spacing w:before="120" w:after="120"/>
        <w:jc w:val="both"/>
        <w:rPr>
          <w:b/>
          <w:bCs/>
          <w:noProof/>
        </w:rPr>
      </w:pPr>
      <w:r>
        <w:rPr>
          <w:b/>
          <w:noProof/>
        </w:rPr>
        <w:t>Reform 2.2. Kolmanda taseme haridus ja kohustuslik koolitus koolijuhtidele, õpetajatele, haldus- ja tehnilistele töötajatele</w:t>
      </w:r>
    </w:p>
    <w:p w14:paraId="403615AF" w14:textId="77777777" w:rsidR="0084326C" w:rsidRPr="005D68A0" w:rsidRDefault="0084326C" w:rsidP="0084326C">
      <w:pPr>
        <w:spacing w:before="120" w:after="120"/>
        <w:jc w:val="both"/>
        <w:rPr>
          <w:noProof/>
        </w:rPr>
      </w:pPr>
      <w:r>
        <w:rPr>
          <w:noProof/>
        </w:rPr>
        <w:t>Reformi eesmärk on luua koolitöötajatele kvaliteetne koolitussüsteem pidevaks ametialaseks ja karjääriarenguks. Sellega nähakse ette Euroopa standarditele vastavate suuniste avaldamise eest vastutava kvalifitseeritud organi loomine ning koolitusalgatuste valimine ja koordineerimine, sidudes need võimaluse korral karjääri edenemisega, nagu on ette nähtud värbamisreformis – reform 2.1: Õpetajate värbamine, mis on kavas ette nähtud.</w:t>
      </w:r>
    </w:p>
    <w:p w14:paraId="75EABCE1" w14:textId="77777777" w:rsidR="0084326C" w:rsidRPr="005D68A0" w:rsidRDefault="0084326C" w:rsidP="0084326C">
      <w:pPr>
        <w:spacing w:before="120" w:after="120"/>
        <w:jc w:val="both"/>
        <w:rPr>
          <w:b/>
          <w:bCs/>
          <w:noProof/>
        </w:rPr>
      </w:pPr>
      <w:r>
        <w:rPr>
          <w:b/>
          <w:noProof/>
        </w:rPr>
        <w:t xml:space="preserve">Investeering 2.1. Integreeritud digitaalne õpetamine ja koolitöötajate koolitamine digiülemineku valdkonnas </w:t>
      </w:r>
    </w:p>
    <w:p w14:paraId="495CE991" w14:textId="77777777" w:rsidR="0084326C" w:rsidRPr="005D68A0" w:rsidRDefault="0084326C" w:rsidP="0084326C">
      <w:pPr>
        <w:spacing w:before="120" w:after="120"/>
        <w:jc w:val="both"/>
        <w:rPr>
          <w:noProof/>
        </w:rPr>
      </w:pPr>
      <w:r>
        <w:rPr>
          <w:noProof/>
        </w:rPr>
        <w:t xml:space="preserve">Meetme eesmärk on luua alaline süsteem digitaalse didaktika ning kooli töötajate digitaalsete ja õpetamisoskuste arendamiseks.  Sekkumisega nähakse ette:  </w:t>
      </w:r>
    </w:p>
    <w:p w14:paraId="0C7933D3" w14:textId="77777777" w:rsidR="0084326C" w:rsidRPr="005D68A0" w:rsidRDefault="57538B10" w:rsidP="0084326C">
      <w:pPr>
        <w:pStyle w:val="ListParagraph"/>
        <w:numPr>
          <w:ilvl w:val="0"/>
          <w:numId w:val="48"/>
        </w:numPr>
        <w:ind w:left="360"/>
        <w:rPr>
          <w:noProof/>
        </w:rPr>
      </w:pPr>
      <w:r>
        <w:rPr>
          <w:noProof/>
        </w:rPr>
        <w:t>süsteemi loomine õpetajate ja koolipersonali pidevaks koolitamiseks digiülemineku eesmärgil;</w:t>
      </w:r>
    </w:p>
    <w:p w14:paraId="20C5D875" w14:textId="547C4BE3" w:rsidR="0084326C" w:rsidRPr="005D68A0" w:rsidRDefault="003A2B99" w:rsidP="0084326C">
      <w:pPr>
        <w:pStyle w:val="ListParagraph"/>
        <w:numPr>
          <w:ilvl w:val="0"/>
          <w:numId w:val="48"/>
        </w:numPr>
        <w:ind w:left="360"/>
        <w:rPr>
          <w:rStyle w:val="normaltextrun"/>
          <w:noProof/>
        </w:rPr>
      </w:pPr>
      <w:r>
        <w:rPr>
          <w:rStyle w:val="normaltextrun"/>
          <w:noProof/>
          <w:shd w:val="clear" w:color="auto" w:fill="FFFFFF"/>
        </w:rPr>
        <w:t>v</w:t>
      </w:r>
      <w:r w:rsidR="57538B10">
        <w:rPr>
          <w:rStyle w:val="normaltextrun"/>
          <w:noProof/>
          <w:shd w:val="clear" w:color="auto" w:fill="FFFFFF"/>
        </w:rPr>
        <w:t>õtta vastu integreeritud digitaalse õpetamise riiklik võrdlusraamistik, et edendada digipädevuse õppekavade vastuvõtmist kõigis koolides.</w:t>
      </w:r>
    </w:p>
    <w:p w14:paraId="610DB9D3" w14:textId="3BDF354C" w:rsidR="0084326C" w:rsidRPr="005D68A0" w:rsidRDefault="0084326C" w:rsidP="0084326C">
      <w:pPr>
        <w:spacing w:before="120" w:after="120"/>
        <w:jc w:val="both"/>
        <w:rPr>
          <w:noProof/>
        </w:rPr>
      </w:pPr>
      <w:r>
        <w:rPr>
          <w:noProof/>
        </w:rPr>
        <w:t>Tegevussuund näeb ette umbes 650 000 õpetaja ja koolitöötaja koolitamist, umbes 20 000 koolituskursuse loomist viie aasta jooksul ja kohalike koolituskeskuste loomist. Koolitusprojektidesse kaasatakse kõik Itaalia enam kui 8 000 haridusasutust.</w:t>
      </w:r>
    </w:p>
    <w:p w14:paraId="669EABC4" w14:textId="77777777" w:rsidR="0084326C" w:rsidRPr="005D68A0" w:rsidRDefault="0084326C" w:rsidP="0084326C">
      <w:pPr>
        <w:spacing w:before="120" w:after="120"/>
        <w:jc w:val="both"/>
        <w:rPr>
          <w:b/>
          <w:noProof/>
        </w:rPr>
      </w:pPr>
      <w:r>
        <w:rPr>
          <w:b/>
          <w:noProof/>
        </w:rPr>
        <w:t>Investeering 3.1. Uued oskused ja keeled</w:t>
      </w:r>
    </w:p>
    <w:p w14:paraId="70306F6B" w14:textId="77777777" w:rsidR="0084326C" w:rsidRPr="005D68A0" w:rsidRDefault="0084326C" w:rsidP="0084326C">
      <w:pPr>
        <w:spacing w:before="120" w:after="120"/>
        <w:jc w:val="both"/>
        <w:rPr>
          <w:noProof/>
        </w:rPr>
      </w:pPr>
      <w:r>
        <w:rPr>
          <w:noProof/>
        </w:rPr>
        <w:t>Sekkumise eesmärk on integreerida koolide kõikidesse tasanditesse loodusteaduste, tehnoloogia, inseneriteaduste ja matemaatika valdkonna ning digi- ja innovatsioonioskuste tugevdamiseks kavandatud õppekavad, metoodikad ja sisu. Meede keskendub naisüliõpilastele ja näeb ette täieliku interdistsiplinaarse lähenemisviisi. Sekkumise eesmärk on tagada võrdsed võimalused ja sooline võrdõiguslikkus seoses metodoloogilise lähenemisviisi ja STEM-valdkonna suunitlusega tegevustega.</w:t>
      </w:r>
    </w:p>
    <w:p w14:paraId="0D2F4752" w14:textId="3F783701" w:rsidR="0084326C" w:rsidRPr="005D68A0" w:rsidRDefault="0084326C" w:rsidP="0084326C">
      <w:pPr>
        <w:spacing w:before="120" w:after="120"/>
        <w:jc w:val="both"/>
        <w:rPr>
          <w:noProof/>
        </w:rPr>
      </w:pPr>
      <w:r>
        <w:rPr>
          <w:noProof/>
        </w:rPr>
        <w:t xml:space="preserve">Meede peaks parandama õpilaste ja õpetajate mitmekeelseid oskusi, laiendades programmi „Erasmus+“ käsitlevate konsultatsiooni- ja teabeprogramme programmi „Erasmus+“ riikliku dokumentatsiooni-, innovatsiooni- ja haridusuuringute instituudi (INDIRE) ja selle saadikute võrgustiku toel. </w:t>
      </w:r>
    </w:p>
    <w:p w14:paraId="69CFDA8C" w14:textId="77777777" w:rsidR="0084326C" w:rsidRPr="005D68A0" w:rsidRDefault="0084326C" w:rsidP="0084326C">
      <w:pPr>
        <w:spacing w:before="120" w:after="120"/>
        <w:jc w:val="both"/>
        <w:rPr>
          <w:noProof/>
        </w:rPr>
      </w:pPr>
      <w:r>
        <w:rPr>
          <w:noProof/>
        </w:rPr>
        <w:t xml:space="preserve">Samuti töötatakse asjaomaste sertifitseerijate toel välja digitaalne süsteem keeleoskuse jälgimiseks riigi tasandil. </w:t>
      </w:r>
    </w:p>
    <w:p w14:paraId="66000AD1" w14:textId="77777777" w:rsidR="0084326C" w:rsidRPr="005D68A0" w:rsidRDefault="0084326C" w:rsidP="0084326C">
      <w:pPr>
        <w:spacing w:before="120" w:after="120"/>
        <w:jc w:val="both"/>
        <w:rPr>
          <w:b/>
          <w:noProof/>
        </w:rPr>
      </w:pPr>
      <w:r>
        <w:rPr>
          <w:b/>
          <w:noProof/>
        </w:rPr>
        <w:t>Investeering 3.2. Kool 4.0: innovaatilised koolid, juhtmestik, uued klassiruumid ja õpikojad</w:t>
      </w:r>
    </w:p>
    <w:p w14:paraId="2AABEB96" w14:textId="77777777" w:rsidR="0084326C" w:rsidRPr="005D68A0" w:rsidRDefault="0084326C" w:rsidP="0084326C">
      <w:pPr>
        <w:spacing w:before="120" w:after="120"/>
        <w:jc w:val="both"/>
        <w:rPr>
          <w:noProof/>
        </w:rPr>
      </w:pPr>
      <w:r>
        <w:rPr>
          <w:noProof/>
        </w:rPr>
        <w:t>Meetme eesmärk on ajakohastada koolirajatisi kohanemisvõimeliseks, paindlikuks ja digitaalseks õpikeskkonnaks, kasutades tehnoloogiliselt arenenud õpikodasid ja töölõppimist. Selle meetmega kiirendatakse Itaalia koolisüsteemi digiüleminekut nelja algatusega:</w:t>
      </w:r>
    </w:p>
    <w:p w14:paraId="2079B668" w14:textId="64FF8091" w:rsidR="0084326C" w:rsidRPr="005D68A0" w:rsidRDefault="57538B10" w:rsidP="0084326C">
      <w:pPr>
        <w:pStyle w:val="ListParagraph"/>
        <w:numPr>
          <w:ilvl w:val="0"/>
          <w:numId w:val="48"/>
        </w:numPr>
        <w:ind w:left="360"/>
        <w:rPr>
          <w:noProof/>
        </w:rPr>
      </w:pPr>
      <w:r>
        <w:rPr>
          <w:noProof/>
        </w:rPr>
        <w:t>Ligikaudu 100 000 traditsioonilise klassi muutmine ühendatud õpikeskkondadeks koos sellega seotud õppevahendite kasutuselevõtuga</w:t>
      </w:r>
    </w:p>
    <w:p w14:paraId="7857703F" w14:textId="77777777" w:rsidR="0084326C" w:rsidRPr="005D68A0" w:rsidRDefault="57538B10" w:rsidP="0084326C">
      <w:pPr>
        <w:pStyle w:val="ListParagraph"/>
        <w:numPr>
          <w:ilvl w:val="0"/>
          <w:numId w:val="48"/>
        </w:numPr>
        <w:ind w:left="360"/>
        <w:rPr>
          <w:noProof/>
        </w:rPr>
      </w:pPr>
      <w:r>
        <w:rPr>
          <w:noProof/>
        </w:rPr>
        <w:t>Teise tsükli digitaalvaldkonna elukutsete õpikodade loomine</w:t>
      </w:r>
    </w:p>
    <w:p w14:paraId="4D7A1121" w14:textId="77777777" w:rsidR="0084326C" w:rsidRPr="005D68A0" w:rsidRDefault="57538B10" w:rsidP="0084326C">
      <w:pPr>
        <w:pStyle w:val="ListParagraph"/>
        <w:numPr>
          <w:ilvl w:val="0"/>
          <w:numId w:val="48"/>
        </w:numPr>
        <w:ind w:left="360"/>
        <w:rPr>
          <w:noProof/>
        </w:rPr>
      </w:pPr>
      <w:r>
        <w:rPr>
          <w:noProof/>
        </w:rPr>
        <w:t>Koolide haldusasutuste digiüleminek</w:t>
      </w:r>
    </w:p>
    <w:p w14:paraId="5EEFFCB9" w14:textId="08844974" w:rsidR="0084326C" w:rsidRPr="005D68A0" w:rsidRDefault="57538B10" w:rsidP="0084326C">
      <w:pPr>
        <w:pStyle w:val="ListParagraph"/>
        <w:numPr>
          <w:ilvl w:val="0"/>
          <w:numId w:val="48"/>
        </w:numPr>
        <w:ind w:left="360"/>
        <w:rPr>
          <w:noProof/>
        </w:rPr>
      </w:pPr>
      <w:r>
        <w:rPr>
          <w:noProof/>
        </w:rPr>
        <w:t>Ligikaudu 40 000 koolimaja ja seonduvate seadmete sisemine juhtmestik</w:t>
      </w:r>
    </w:p>
    <w:p w14:paraId="37BF27F7" w14:textId="77777777" w:rsidR="0084326C" w:rsidRPr="005D68A0" w:rsidRDefault="0084326C" w:rsidP="0084326C">
      <w:pPr>
        <w:spacing w:before="120" w:after="120"/>
        <w:jc w:val="both"/>
        <w:rPr>
          <w:b/>
          <w:bCs/>
          <w:noProof/>
        </w:rPr>
      </w:pPr>
      <w:r>
        <w:rPr>
          <w:b/>
          <w:noProof/>
        </w:rPr>
        <w:t>Investeering 3.3. Koolihoonete turvalisuse ja struktuurilise taastamise kava</w:t>
      </w:r>
    </w:p>
    <w:p w14:paraId="3B6CF1A4" w14:textId="7C50059C" w:rsidR="0084326C" w:rsidRPr="005D68A0" w:rsidRDefault="0084326C" w:rsidP="0084326C">
      <w:pPr>
        <w:spacing w:before="120" w:after="120"/>
        <w:jc w:val="both"/>
        <w:rPr>
          <w:noProof/>
        </w:rPr>
      </w:pPr>
      <w:r>
        <w:rPr>
          <w:noProof/>
        </w:rPr>
        <w:t>Meetme peamine eesmärk on aidata kaasa kliimamuutustest taastumisele, suurendades koolihoonete ohutust ja energiatarbimist. Eelkõige aitab meede kaasa energiaklasside parandamisele ning vähendab tarbimist ja CO</w:t>
      </w:r>
      <w:r w:rsidRPr="003A2B99">
        <w:rPr>
          <w:noProof/>
          <w:vertAlign w:val="subscript"/>
        </w:rPr>
        <w:t>2</w:t>
      </w:r>
      <w:r w:rsidR="003A2B99">
        <w:rPr>
          <w:noProof/>
        </w:rPr>
        <w:t xml:space="preserve"> </w:t>
      </w:r>
      <w:r>
        <w:rPr>
          <w:noProof/>
        </w:rPr>
        <w:t>heidet ning suurendab hoonete struktuurset ohutust. Erilist tähelepanu pööratakse kõige ebasoodsamas olukorras olevatele piirkondadele, et vähendada ja kõrvaldada majanduslikku ja sotsiaalset tasakaalustamatust. Investeering ei hõlma maagaasikatelde hankimist.</w:t>
      </w:r>
    </w:p>
    <w:p w14:paraId="5D7F0248" w14:textId="77777777" w:rsidR="0084326C" w:rsidRPr="005D68A0" w:rsidRDefault="0084326C" w:rsidP="0084326C">
      <w:pPr>
        <w:spacing w:before="120" w:after="120"/>
        <w:jc w:val="both"/>
        <w:rPr>
          <w:b/>
          <w:bCs/>
          <w:noProof/>
        </w:rPr>
      </w:pPr>
      <w:r>
        <w:rPr>
          <w:b/>
          <w:noProof/>
        </w:rPr>
        <w:t>Investeering 3.4. Õpetamise ja kõrgema taseme ülikooli oskused</w:t>
      </w:r>
    </w:p>
    <w:p w14:paraId="6C877EF6" w14:textId="77777777" w:rsidR="0084326C" w:rsidRPr="005D68A0" w:rsidRDefault="0084326C" w:rsidP="0084326C">
      <w:pPr>
        <w:spacing w:before="120" w:after="120"/>
        <w:jc w:val="both"/>
        <w:rPr>
          <w:noProof/>
        </w:rPr>
      </w:pPr>
      <w:r>
        <w:rPr>
          <w:noProof/>
        </w:rPr>
        <w:t xml:space="preserve">Meetme eesmärk on ülikooliprogrammide (sealhulgas doktoriõppe programmide) kvalifitseerimine ja uuendamine kolme strateegilise eesmärgi kaudu: digiteerimine; „innovatsioonikultuur“; rahvusvahelistumine. </w:t>
      </w:r>
    </w:p>
    <w:p w14:paraId="251E9868" w14:textId="77777777" w:rsidR="0084326C" w:rsidRPr="005D68A0" w:rsidRDefault="0084326C" w:rsidP="0084326C">
      <w:pPr>
        <w:spacing w:before="120" w:after="120"/>
        <w:jc w:val="both"/>
        <w:rPr>
          <w:noProof/>
        </w:rPr>
      </w:pPr>
      <w:r>
        <w:rPr>
          <w:noProof/>
        </w:rPr>
        <w:t xml:space="preserve">Eelkõige rakendatakse järgmisi osameetmeid: </w:t>
      </w:r>
    </w:p>
    <w:p w14:paraId="21C99D22" w14:textId="77777777" w:rsidR="0084326C" w:rsidRPr="005D68A0" w:rsidRDefault="57538B10" w:rsidP="0084326C">
      <w:pPr>
        <w:pStyle w:val="ListParagraph"/>
        <w:numPr>
          <w:ilvl w:val="0"/>
          <w:numId w:val="48"/>
        </w:numPr>
        <w:ind w:left="360"/>
        <w:rPr>
          <w:noProof/>
        </w:rPr>
      </w:pPr>
      <w:r>
        <w:rPr>
          <w:noProof/>
        </w:rPr>
        <w:t>Kuni 500 doktoriõppe üliõpilast kantakse kolme aasta jooksul (100+ 200+ 200) digi- ja keskkonnaülemineku programmidesse.</w:t>
      </w:r>
    </w:p>
    <w:p w14:paraId="4E9DE28A" w14:textId="77777777" w:rsidR="0084326C" w:rsidRPr="005D68A0" w:rsidRDefault="57538B10" w:rsidP="0084326C">
      <w:pPr>
        <w:pStyle w:val="ListParagraph"/>
        <w:numPr>
          <w:ilvl w:val="0"/>
          <w:numId w:val="48"/>
        </w:numPr>
        <w:ind w:left="360"/>
        <w:rPr>
          <w:noProof/>
        </w:rPr>
      </w:pPr>
      <w:r>
        <w:rPr>
          <w:noProof/>
        </w:rPr>
        <w:t>Kolme digiõppekeskuse loomine, et parandada kõrgharidussüsteemi suutlikkust pakkuda üliõpilastele ja ülikoolitöötajatele digitaalharidust;</w:t>
      </w:r>
    </w:p>
    <w:p w14:paraId="1A08A306" w14:textId="77777777" w:rsidR="0084326C" w:rsidRPr="005D68A0" w:rsidRDefault="57538B10" w:rsidP="0084326C">
      <w:pPr>
        <w:pStyle w:val="ListParagraph"/>
        <w:numPr>
          <w:ilvl w:val="0"/>
          <w:numId w:val="48"/>
        </w:numPr>
        <w:ind w:left="360"/>
        <w:rPr>
          <w:noProof/>
        </w:rPr>
      </w:pPr>
      <w:r>
        <w:rPr>
          <w:noProof/>
        </w:rPr>
        <w:t>Kõrgharidusasutuste tugevdamine</w:t>
      </w:r>
    </w:p>
    <w:p w14:paraId="5862DD51" w14:textId="77777777" w:rsidR="0084326C" w:rsidRPr="005D68A0" w:rsidRDefault="57538B10" w:rsidP="0084326C">
      <w:pPr>
        <w:pStyle w:val="ListParagraph"/>
        <w:numPr>
          <w:ilvl w:val="0"/>
          <w:numId w:val="48"/>
        </w:numPr>
        <w:ind w:left="360"/>
        <w:rPr>
          <w:noProof/>
        </w:rPr>
      </w:pPr>
      <w:r>
        <w:rPr>
          <w:noProof/>
        </w:rPr>
        <w:t>Kümne riikidevahelise haridusalgatuse rakendamine – riikide lähetatud eksperdid – koostöös välis- ja rahvusvahelise koostöö ministeeriumiga</w:t>
      </w:r>
    </w:p>
    <w:p w14:paraId="63D158D8" w14:textId="77777777" w:rsidR="0084326C" w:rsidRPr="005D68A0" w:rsidRDefault="57538B10" w:rsidP="0084326C">
      <w:pPr>
        <w:pStyle w:val="ListParagraph"/>
        <w:numPr>
          <w:ilvl w:val="0"/>
          <w:numId w:val="48"/>
        </w:numPr>
        <w:ind w:left="360"/>
        <w:rPr>
          <w:noProof/>
        </w:rPr>
      </w:pPr>
      <w:r>
        <w:rPr>
          <w:noProof/>
        </w:rPr>
        <w:t>Kunsti- ja muusikakõrgkoolide (AFAM) rahvusvahelistumine, toetades 15 AFAM-asutuste rahvusvahelistumise projekti, et edendada nende rolli välismaal Itaalia kultuuri säilitamisel ja edendamisel</w:t>
      </w:r>
    </w:p>
    <w:p w14:paraId="714A504D" w14:textId="77777777" w:rsidR="0084326C" w:rsidRPr="005D68A0" w:rsidRDefault="0084326C" w:rsidP="0084326C">
      <w:pPr>
        <w:spacing w:before="120" w:after="120"/>
        <w:jc w:val="both"/>
        <w:rPr>
          <w:b/>
          <w:noProof/>
        </w:rPr>
      </w:pPr>
      <w:r>
        <w:rPr>
          <w:b/>
          <w:noProof/>
        </w:rPr>
        <w:t xml:space="preserve">Reform 4.1. Doktoriõppe reformimise programm  </w:t>
      </w:r>
    </w:p>
    <w:p w14:paraId="4AF78126" w14:textId="77777777" w:rsidR="0084326C" w:rsidRPr="005D68A0" w:rsidRDefault="0084326C" w:rsidP="0084326C">
      <w:pPr>
        <w:spacing w:before="120" w:after="120"/>
        <w:jc w:val="both"/>
        <w:rPr>
          <w:noProof/>
        </w:rPr>
      </w:pPr>
      <w:r>
        <w:rPr>
          <w:noProof/>
        </w:rPr>
        <w:t>Reformi eesmärk on ajakohastada doktoriõppe programme käsitlevat määrust, lihtsustada ettevõtete, uurimiskeskuste ja doktoriõppe programmidesse kaasamise menetlusi ning tugevdada rakendusuuringuid. Kavandatava reformiga ühendatakse kõik investeeringud, mis on seotud doktoriõppe programmidega sihtvaldkonnas „Haridus ja teadustegevus“.</w:t>
      </w:r>
    </w:p>
    <w:p w14:paraId="14226D4B" w14:textId="77777777" w:rsidR="0084326C" w:rsidRPr="005D68A0" w:rsidRDefault="0084326C" w:rsidP="0084326C">
      <w:pPr>
        <w:spacing w:before="120" w:after="120"/>
        <w:jc w:val="both"/>
        <w:rPr>
          <w:b/>
          <w:bCs/>
          <w:noProof/>
        </w:rPr>
      </w:pPr>
      <w:r>
        <w:rPr>
          <w:b/>
          <w:noProof/>
        </w:rPr>
        <w:t xml:space="preserve">Investeering 4.1. Doktorikraadide arvu ja karjäärivõimaluste laiendamine (teadusuuringutele suunatud, avalik haldus ja kultuuripärand)  </w:t>
      </w:r>
    </w:p>
    <w:p w14:paraId="07C78B99" w14:textId="6A6CA89C" w:rsidR="0084326C" w:rsidRPr="005D68A0" w:rsidRDefault="0084326C" w:rsidP="0084326C">
      <w:pPr>
        <w:spacing w:before="120" w:after="120"/>
        <w:jc w:val="both"/>
        <w:rPr>
          <w:noProof/>
        </w:rPr>
      </w:pPr>
      <w:r>
        <w:rPr>
          <w:noProof/>
        </w:rPr>
        <w:t xml:space="preserve">Meetme eesmärk on suurendada teadusuuringutele, avalikule haldusele ja kultuuripärandile suunatud inimkapitali. Investeeringuga nähakse ette 1 200 täiendava üldise doktoriõppe stipendiumiprogrammi loomine aastas (kolme aasta jooksul), 1 000 täiendavat doktoriõppe stipendiumiprogrammi avaliku halduse kohta antakse aastas (kolme aasta jooksul) ja vähemalt 200 uue doktorikraadi stipendiumiprogrammi loomine kultuuripärandit antakse aastas (üle kolme aasta). </w:t>
      </w:r>
    </w:p>
    <w:p w14:paraId="0D432CA6" w14:textId="77777777" w:rsidR="0084326C" w:rsidRPr="005D68A0" w:rsidRDefault="0084326C" w:rsidP="0084326C">
      <w:pPr>
        <w:pStyle w:val="Heading3"/>
        <w:numPr>
          <w:ilvl w:val="0"/>
          <w:numId w:val="0"/>
        </w:numPr>
        <w:ind w:left="850" w:hanging="850"/>
        <w:rPr>
          <w:b/>
          <w:bCs w:val="0"/>
          <w:i w:val="0"/>
          <w:iCs/>
          <w:noProof/>
          <w:u w:val="single"/>
        </w:rPr>
      </w:pPr>
      <w:r>
        <w:rPr>
          <w:b/>
          <w:i w:val="0"/>
          <w:noProof/>
          <w:u w:val="single"/>
        </w:rPr>
        <w:t xml:space="preserve">J.2. </w:t>
      </w:r>
      <w:r>
        <w:rPr>
          <w:noProof/>
        </w:rPr>
        <w:tab/>
      </w:r>
      <w:r>
        <w:rPr>
          <w:b/>
          <w:i w:val="0"/>
          <w:noProof/>
          <w:u w:val="single"/>
        </w:rPr>
        <w:t>Tagastamatu rahalise toetuse eesmärgid, sihid, näitajad ning seire ja rakendamise ajakava</w:t>
      </w:r>
    </w:p>
    <w:p w14:paraId="65149B64" w14:textId="77777777" w:rsidR="0084326C" w:rsidRPr="00F33804" w:rsidRDefault="0084326C" w:rsidP="0084326C">
      <w:pPr>
        <w:spacing w:before="120" w:after="120"/>
        <w:ind w:left="709"/>
        <w:jc w:val="both"/>
        <w:rPr>
          <w:noProof/>
        </w:rPr>
        <w:sectPr w:rsidR="0084326C" w:rsidRPr="00F33804">
          <w:headerReference w:type="even" r:id="rId254"/>
          <w:headerReference w:type="default" r:id="rId255"/>
          <w:footerReference w:type="even" r:id="rId256"/>
          <w:footerReference w:type="default" r:id="rId257"/>
          <w:headerReference w:type="first" r:id="rId258"/>
          <w:footerReference w:type="first" r:id="rId259"/>
          <w:pgSz w:w="11907" w:h="16839"/>
          <w:pgMar w:top="1440" w:right="1440" w:bottom="1440" w:left="1440" w:header="567" w:footer="567" w:gutter="0"/>
          <w:cols w:space="720"/>
          <w:docGrid w:linePitch="360"/>
        </w:sectPr>
      </w:pP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1488"/>
        <w:gridCol w:w="1065"/>
        <w:gridCol w:w="1702"/>
        <w:gridCol w:w="1428"/>
        <w:gridCol w:w="1256"/>
        <w:gridCol w:w="1116"/>
        <w:gridCol w:w="1021"/>
        <w:gridCol w:w="851"/>
        <w:gridCol w:w="708"/>
        <w:gridCol w:w="3112"/>
      </w:tblGrid>
      <w:tr w:rsidR="0084326C" w:rsidRPr="00D90835" w14:paraId="00341706" w14:textId="77777777">
        <w:trPr>
          <w:trHeight w:val="927"/>
          <w:tblHeader/>
        </w:trPr>
        <w:tc>
          <w:tcPr>
            <w:tcW w:w="380" w:type="pct"/>
            <w:vMerge w:val="restart"/>
            <w:shd w:val="clear" w:color="auto" w:fill="BDD7EE"/>
            <w:vAlign w:val="center"/>
            <w:hideMark/>
          </w:tcPr>
          <w:p w14:paraId="629A4948" w14:textId="77777777" w:rsidR="0084326C" w:rsidRPr="005D68A0" w:rsidRDefault="0084326C">
            <w:pPr>
              <w:jc w:val="center"/>
              <w:rPr>
                <w:rFonts w:ascii="Arial Narrow" w:hAnsi="Arial Narrow"/>
                <w:b/>
                <w:noProof/>
                <w:sz w:val="20"/>
                <w:szCs w:val="20"/>
              </w:rPr>
            </w:pPr>
            <w:r>
              <w:rPr>
                <w:rFonts w:ascii="Arial Narrow" w:hAnsi="Arial Narrow"/>
                <w:b/>
                <w:noProof/>
                <w:sz w:val="20"/>
              </w:rPr>
              <w:t>Järjekorranumber</w:t>
            </w:r>
          </w:p>
        </w:tc>
        <w:tc>
          <w:tcPr>
            <w:tcW w:w="500" w:type="pct"/>
            <w:vMerge w:val="restart"/>
            <w:shd w:val="clear" w:color="auto" w:fill="BDD7EE"/>
            <w:vAlign w:val="center"/>
            <w:hideMark/>
          </w:tcPr>
          <w:p w14:paraId="53FA35F5" w14:textId="77777777" w:rsidR="0084326C" w:rsidRPr="005D68A0" w:rsidRDefault="0084326C">
            <w:pPr>
              <w:jc w:val="center"/>
              <w:rPr>
                <w:rFonts w:ascii="Arial Narrow" w:hAnsi="Arial Narrow"/>
                <w:b/>
                <w:noProof/>
                <w:sz w:val="20"/>
                <w:szCs w:val="20"/>
              </w:rPr>
            </w:pPr>
            <w:r>
              <w:rPr>
                <w:rFonts w:ascii="Arial Narrow" w:hAnsi="Arial Narrow"/>
                <w:b/>
                <w:noProof/>
                <w:sz w:val="20"/>
              </w:rPr>
              <w:t>Seotud meede (reform või investeering)</w:t>
            </w:r>
          </w:p>
        </w:tc>
        <w:tc>
          <w:tcPr>
            <w:tcW w:w="358" w:type="pct"/>
            <w:vMerge w:val="restart"/>
            <w:shd w:val="clear" w:color="auto" w:fill="BDD7EE"/>
            <w:vAlign w:val="center"/>
            <w:hideMark/>
          </w:tcPr>
          <w:p w14:paraId="40F4D9EF" w14:textId="77777777" w:rsidR="0084326C" w:rsidRPr="005D68A0" w:rsidRDefault="0084326C">
            <w:pPr>
              <w:jc w:val="center"/>
              <w:rPr>
                <w:rFonts w:ascii="Arial Narrow" w:hAnsi="Arial Narrow"/>
                <w:b/>
                <w:noProof/>
                <w:sz w:val="20"/>
                <w:szCs w:val="20"/>
              </w:rPr>
            </w:pPr>
            <w:r>
              <w:rPr>
                <w:rFonts w:ascii="Arial Narrow" w:hAnsi="Arial Narrow"/>
                <w:b/>
                <w:noProof/>
                <w:sz w:val="20"/>
              </w:rPr>
              <w:t>Eesmärk / siht</w:t>
            </w:r>
          </w:p>
        </w:tc>
        <w:tc>
          <w:tcPr>
            <w:tcW w:w="572" w:type="pct"/>
            <w:vMerge w:val="restart"/>
            <w:shd w:val="clear" w:color="auto" w:fill="BDD7EE"/>
            <w:vAlign w:val="center"/>
            <w:hideMark/>
          </w:tcPr>
          <w:p w14:paraId="0C598F2D" w14:textId="77777777" w:rsidR="0084326C" w:rsidRPr="005D68A0" w:rsidRDefault="0084326C">
            <w:pPr>
              <w:jc w:val="center"/>
              <w:rPr>
                <w:rFonts w:ascii="Arial Narrow" w:hAnsi="Arial Narrow"/>
                <w:b/>
                <w:noProof/>
                <w:sz w:val="20"/>
                <w:szCs w:val="20"/>
              </w:rPr>
            </w:pPr>
            <w:r>
              <w:rPr>
                <w:rFonts w:ascii="Arial Narrow" w:hAnsi="Arial Narrow"/>
                <w:b/>
                <w:noProof/>
                <w:sz w:val="20"/>
              </w:rPr>
              <w:t>Nimi</w:t>
            </w:r>
          </w:p>
        </w:tc>
        <w:tc>
          <w:tcPr>
            <w:tcW w:w="480" w:type="pct"/>
            <w:vMerge w:val="restart"/>
            <w:shd w:val="clear" w:color="auto" w:fill="BDD7EE"/>
            <w:vAlign w:val="center"/>
            <w:hideMark/>
          </w:tcPr>
          <w:p w14:paraId="62D673A8" w14:textId="77777777" w:rsidR="0084326C" w:rsidRPr="005D68A0" w:rsidRDefault="0084326C">
            <w:pPr>
              <w:jc w:val="center"/>
              <w:rPr>
                <w:rFonts w:ascii="Arial Narrow" w:hAnsi="Arial Narrow"/>
                <w:b/>
                <w:noProof/>
                <w:sz w:val="20"/>
                <w:szCs w:val="20"/>
              </w:rPr>
            </w:pPr>
            <w:r>
              <w:rPr>
                <w:rFonts w:ascii="Arial Narrow" w:hAnsi="Arial Narrow"/>
                <w:b/>
                <w:noProof/>
                <w:sz w:val="20"/>
              </w:rPr>
              <w:t>Kvalitatiivsed näitajad</w:t>
            </w:r>
            <w:r>
              <w:rPr>
                <w:noProof/>
              </w:rPr>
              <w:t xml:space="preserve"> </w:t>
            </w:r>
            <w:r>
              <w:rPr>
                <w:noProof/>
              </w:rPr>
              <w:br/>
            </w:r>
            <w:r>
              <w:rPr>
                <w:rFonts w:ascii="Arial Narrow" w:hAnsi="Arial Narrow"/>
                <w:b/>
                <w:noProof/>
                <w:sz w:val="20"/>
              </w:rPr>
              <w:t>(eesmärkide puhul)</w:t>
            </w:r>
          </w:p>
        </w:tc>
        <w:tc>
          <w:tcPr>
            <w:tcW w:w="1140" w:type="pct"/>
            <w:gridSpan w:val="3"/>
            <w:shd w:val="clear" w:color="auto" w:fill="BDD7EE"/>
            <w:vAlign w:val="center"/>
            <w:hideMark/>
          </w:tcPr>
          <w:p w14:paraId="581FEAB7" w14:textId="77777777" w:rsidR="0084326C" w:rsidRPr="005D68A0" w:rsidRDefault="0084326C">
            <w:pPr>
              <w:jc w:val="center"/>
              <w:rPr>
                <w:rFonts w:ascii="Arial Narrow" w:hAnsi="Arial Narrow"/>
                <w:b/>
                <w:noProof/>
                <w:sz w:val="20"/>
                <w:szCs w:val="20"/>
              </w:rPr>
            </w:pPr>
            <w:r>
              <w:rPr>
                <w:rFonts w:ascii="Arial Narrow" w:hAnsi="Arial Narrow"/>
                <w:b/>
                <w:noProof/>
                <w:sz w:val="20"/>
              </w:rPr>
              <w:t xml:space="preserve">Kvantitatiivsed näitajad </w:t>
            </w:r>
            <w:r>
              <w:rPr>
                <w:noProof/>
              </w:rPr>
              <w:br/>
            </w:r>
            <w:r>
              <w:rPr>
                <w:rFonts w:ascii="Arial Narrow" w:hAnsi="Arial Narrow"/>
                <w:b/>
                <w:noProof/>
                <w:sz w:val="20"/>
              </w:rPr>
              <w:t>(sihtide puhul)</w:t>
            </w:r>
          </w:p>
        </w:tc>
        <w:tc>
          <w:tcPr>
            <w:tcW w:w="524" w:type="pct"/>
            <w:gridSpan w:val="2"/>
            <w:shd w:val="clear" w:color="auto" w:fill="BDD7EE"/>
            <w:vAlign w:val="center"/>
            <w:hideMark/>
          </w:tcPr>
          <w:p w14:paraId="5B7C63E4" w14:textId="77777777" w:rsidR="0084326C" w:rsidRPr="005D68A0" w:rsidRDefault="0084326C">
            <w:pPr>
              <w:jc w:val="center"/>
              <w:rPr>
                <w:rFonts w:ascii="Arial Narrow" w:hAnsi="Arial Narrow"/>
                <w:b/>
                <w:noProof/>
                <w:sz w:val="20"/>
                <w:szCs w:val="20"/>
              </w:rPr>
            </w:pPr>
            <w:r>
              <w:rPr>
                <w:rFonts w:ascii="Arial Narrow" w:hAnsi="Arial Narrow"/>
                <w:b/>
                <w:noProof/>
                <w:sz w:val="20"/>
              </w:rPr>
              <w:t>Lõpuleviimise soovituslik ajakava</w:t>
            </w:r>
          </w:p>
        </w:tc>
        <w:tc>
          <w:tcPr>
            <w:tcW w:w="1047" w:type="pct"/>
            <w:vMerge w:val="restart"/>
            <w:shd w:val="clear" w:color="auto" w:fill="BDD7EE"/>
            <w:vAlign w:val="center"/>
            <w:hideMark/>
          </w:tcPr>
          <w:p w14:paraId="4E1113DE" w14:textId="77777777" w:rsidR="0084326C" w:rsidRPr="005D68A0" w:rsidRDefault="0084326C">
            <w:pPr>
              <w:jc w:val="center"/>
              <w:rPr>
                <w:rFonts w:ascii="Arial Narrow" w:hAnsi="Arial Narrow"/>
                <w:b/>
                <w:noProof/>
                <w:sz w:val="20"/>
                <w:szCs w:val="20"/>
              </w:rPr>
            </w:pPr>
            <w:r>
              <w:rPr>
                <w:rFonts w:ascii="Arial Narrow" w:hAnsi="Arial Narrow"/>
                <w:b/>
                <w:noProof/>
                <w:sz w:val="20"/>
              </w:rPr>
              <w:t>Iga eesmärgi ja sihi kirjeldus</w:t>
            </w:r>
          </w:p>
        </w:tc>
      </w:tr>
      <w:tr w:rsidR="0084326C" w:rsidRPr="005D68A0" w14:paraId="656CF70D" w14:textId="77777777">
        <w:trPr>
          <w:trHeight w:val="612"/>
        </w:trPr>
        <w:tc>
          <w:tcPr>
            <w:tcW w:w="380" w:type="pct"/>
            <w:vMerge/>
            <w:vAlign w:val="center"/>
            <w:hideMark/>
          </w:tcPr>
          <w:p w14:paraId="6963FFD1" w14:textId="77777777" w:rsidR="0084326C" w:rsidRPr="00F33804" w:rsidRDefault="0084326C">
            <w:pPr>
              <w:jc w:val="center"/>
              <w:rPr>
                <w:rFonts w:ascii="Arial Narrow" w:hAnsi="Arial Narrow"/>
                <w:b/>
                <w:noProof/>
                <w:sz w:val="20"/>
                <w:szCs w:val="20"/>
              </w:rPr>
            </w:pPr>
          </w:p>
        </w:tc>
        <w:tc>
          <w:tcPr>
            <w:tcW w:w="500" w:type="pct"/>
            <w:vMerge/>
            <w:vAlign w:val="center"/>
            <w:hideMark/>
          </w:tcPr>
          <w:p w14:paraId="3C59EF70" w14:textId="77777777" w:rsidR="0084326C" w:rsidRPr="00F33804" w:rsidRDefault="0084326C">
            <w:pPr>
              <w:jc w:val="center"/>
              <w:rPr>
                <w:rFonts w:ascii="Arial Narrow" w:hAnsi="Arial Narrow"/>
                <w:b/>
                <w:noProof/>
                <w:sz w:val="20"/>
                <w:szCs w:val="20"/>
              </w:rPr>
            </w:pPr>
          </w:p>
        </w:tc>
        <w:tc>
          <w:tcPr>
            <w:tcW w:w="358" w:type="pct"/>
            <w:vMerge/>
            <w:vAlign w:val="center"/>
            <w:hideMark/>
          </w:tcPr>
          <w:p w14:paraId="61435CE0" w14:textId="77777777" w:rsidR="0084326C" w:rsidRPr="00F33804" w:rsidRDefault="0084326C">
            <w:pPr>
              <w:jc w:val="center"/>
              <w:rPr>
                <w:rFonts w:ascii="Arial Narrow" w:hAnsi="Arial Narrow"/>
                <w:b/>
                <w:noProof/>
                <w:sz w:val="20"/>
                <w:szCs w:val="20"/>
              </w:rPr>
            </w:pPr>
          </w:p>
        </w:tc>
        <w:tc>
          <w:tcPr>
            <w:tcW w:w="572" w:type="pct"/>
            <w:vMerge/>
            <w:vAlign w:val="center"/>
            <w:hideMark/>
          </w:tcPr>
          <w:p w14:paraId="704ED843" w14:textId="77777777" w:rsidR="0084326C" w:rsidRPr="00F33804" w:rsidRDefault="0084326C">
            <w:pPr>
              <w:jc w:val="center"/>
              <w:rPr>
                <w:rFonts w:ascii="Arial Narrow" w:hAnsi="Arial Narrow"/>
                <w:b/>
                <w:noProof/>
                <w:sz w:val="20"/>
                <w:szCs w:val="20"/>
              </w:rPr>
            </w:pPr>
          </w:p>
        </w:tc>
        <w:tc>
          <w:tcPr>
            <w:tcW w:w="480" w:type="pct"/>
            <w:vMerge/>
            <w:vAlign w:val="center"/>
            <w:hideMark/>
          </w:tcPr>
          <w:p w14:paraId="1BCB68D8" w14:textId="77777777" w:rsidR="0084326C" w:rsidRPr="00F33804" w:rsidRDefault="0084326C">
            <w:pPr>
              <w:jc w:val="center"/>
              <w:rPr>
                <w:rFonts w:ascii="Arial Narrow" w:hAnsi="Arial Narrow"/>
                <w:b/>
                <w:noProof/>
                <w:sz w:val="20"/>
                <w:szCs w:val="20"/>
              </w:rPr>
            </w:pPr>
          </w:p>
        </w:tc>
        <w:tc>
          <w:tcPr>
            <w:tcW w:w="422" w:type="pct"/>
            <w:shd w:val="clear" w:color="auto" w:fill="BDD7EE"/>
            <w:vAlign w:val="center"/>
            <w:hideMark/>
          </w:tcPr>
          <w:p w14:paraId="6581EC86" w14:textId="77777777" w:rsidR="0084326C" w:rsidRPr="005D68A0" w:rsidRDefault="0084326C">
            <w:pPr>
              <w:jc w:val="center"/>
              <w:rPr>
                <w:rFonts w:ascii="Arial Narrow" w:hAnsi="Arial Narrow"/>
                <w:b/>
                <w:noProof/>
                <w:sz w:val="20"/>
                <w:szCs w:val="20"/>
              </w:rPr>
            </w:pPr>
            <w:r>
              <w:rPr>
                <w:rFonts w:ascii="Arial Narrow" w:hAnsi="Arial Narrow"/>
                <w:b/>
                <w:noProof/>
                <w:sz w:val="20"/>
              </w:rPr>
              <w:t>Mõõtühik</w:t>
            </w:r>
          </w:p>
        </w:tc>
        <w:tc>
          <w:tcPr>
            <w:tcW w:w="375" w:type="pct"/>
            <w:shd w:val="clear" w:color="auto" w:fill="BDD7EE"/>
            <w:vAlign w:val="center"/>
            <w:hideMark/>
          </w:tcPr>
          <w:p w14:paraId="445BCA83" w14:textId="77777777" w:rsidR="0084326C" w:rsidRPr="005D68A0" w:rsidRDefault="0084326C">
            <w:pPr>
              <w:jc w:val="center"/>
              <w:rPr>
                <w:rFonts w:ascii="Arial Narrow" w:hAnsi="Arial Narrow"/>
                <w:b/>
                <w:noProof/>
                <w:sz w:val="20"/>
                <w:szCs w:val="20"/>
              </w:rPr>
            </w:pPr>
            <w:r>
              <w:rPr>
                <w:rFonts w:ascii="Arial Narrow" w:hAnsi="Arial Narrow"/>
                <w:b/>
                <w:noProof/>
                <w:sz w:val="20"/>
              </w:rPr>
              <w:t>Lähtetase</w:t>
            </w:r>
          </w:p>
        </w:tc>
        <w:tc>
          <w:tcPr>
            <w:tcW w:w="343" w:type="pct"/>
            <w:shd w:val="clear" w:color="auto" w:fill="BDD7EE"/>
            <w:vAlign w:val="center"/>
            <w:hideMark/>
          </w:tcPr>
          <w:p w14:paraId="1074EAC5" w14:textId="77777777" w:rsidR="0084326C" w:rsidRPr="005D68A0" w:rsidRDefault="0084326C">
            <w:pPr>
              <w:jc w:val="center"/>
              <w:rPr>
                <w:rFonts w:ascii="Arial Narrow" w:hAnsi="Arial Narrow"/>
                <w:b/>
                <w:noProof/>
                <w:sz w:val="20"/>
                <w:szCs w:val="20"/>
              </w:rPr>
            </w:pPr>
            <w:r>
              <w:rPr>
                <w:rFonts w:ascii="Arial Narrow" w:hAnsi="Arial Narrow"/>
                <w:b/>
                <w:noProof/>
                <w:sz w:val="20"/>
              </w:rPr>
              <w:t>Eesmärk</w:t>
            </w:r>
          </w:p>
        </w:tc>
        <w:tc>
          <w:tcPr>
            <w:tcW w:w="286" w:type="pct"/>
            <w:shd w:val="clear" w:color="auto" w:fill="BDD7EE"/>
            <w:vAlign w:val="center"/>
            <w:hideMark/>
          </w:tcPr>
          <w:p w14:paraId="705F3F9C" w14:textId="77777777" w:rsidR="0084326C" w:rsidRPr="005D68A0" w:rsidRDefault="0084326C">
            <w:pPr>
              <w:jc w:val="center"/>
              <w:rPr>
                <w:rFonts w:ascii="Arial Narrow" w:hAnsi="Arial Narrow"/>
                <w:b/>
                <w:noProof/>
                <w:sz w:val="20"/>
                <w:szCs w:val="20"/>
              </w:rPr>
            </w:pPr>
            <w:r>
              <w:rPr>
                <w:rFonts w:ascii="Arial Narrow" w:hAnsi="Arial Narrow"/>
                <w:b/>
                <w:noProof/>
                <w:sz w:val="20"/>
              </w:rPr>
              <w:t>Kvartal</w:t>
            </w:r>
          </w:p>
        </w:tc>
        <w:tc>
          <w:tcPr>
            <w:tcW w:w="238" w:type="pct"/>
            <w:shd w:val="clear" w:color="auto" w:fill="BDD7EE"/>
            <w:vAlign w:val="center"/>
            <w:hideMark/>
          </w:tcPr>
          <w:p w14:paraId="11183EC8" w14:textId="77777777" w:rsidR="0084326C" w:rsidRPr="005D68A0" w:rsidRDefault="0084326C">
            <w:pPr>
              <w:jc w:val="center"/>
              <w:rPr>
                <w:rFonts w:ascii="Arial Narrow" w:hAnsi="Arial Narrow"/>
                <w:b/>
                <w:noProof/>
                <w:sz w:val="20"/>
                <w:szCs w:val="20"/>
              </w:rPr>
            </w:pPr>
            <w:r>
              <w:rPr>
                <w:rFonts w:ascii="Arial Narrow" w:hAnsi="Arial Narrow"/>
                <w:b/>
                <w:noProof/>
                <w:sz w:val="20"/>
              </w:rPr>
              <w:t>Aasta</w:t>
            </w:r>
          </w:p>
        </w:tc>
        <w:tc>
          <w:tcPr>
            <w:tcW w:w="1047" w:type="pct"/>
            <w:vMerge/>
            <w:vAlign w:val="center"/>
            <w:hideMark/>
          </w:tcPr>
          <w:p w14:paraId="6A2D42EA" w14:textId="77777777" w:rsidR="0084326C" w:rsidRPr="005D68A0" w:rsidRDefault="0084326C">
            <w:pPr>
              <w:rPr>
                <w:rFonts w:ascii="Arial Narrow" w:hAnsi="Arial Narrow"/>
                <w:b/>
                <w:noProof/>
                <w:sz w:val="20"/>
                <w:szCs w:val="20"/>
                <w:lang w:val="en-GB"/>
              </w:rPr>
            </w:pPr>
          </w:p>
        </w:tc>
      </w:tr>
      <w:tr w:rsidR="0084326C" w:rsidRPr="00D90835" w14:paraId="28F58289" w14:textId="77777777">
        <w:trPr>
          <w:trHeight w:val="309"/>
        </w:trPr>
        <w:tc>
          <w:tcPr>
            <w:tcW w:w="380" w:type="pct"/>
            <w:shd w:val="clear" w:color="auto" w:fill="C6EFCE"/>
            <w:noWrap/>
            <w:vAlign w:val="center"/>
            <w:hideMark/>
          </w:tcPr>
          <w:p w14:paraId="204EAB1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M4C1-1</w:t>
            </w:r>
          </w:p>
        </w:tc>
        <w:tc>
          <w:tcPr>
            <w:tcW w:w="500" w:type="pct"/>
            <w:shd w:val="clear" w:color="auto" w:fill="C6EFCE"/>
            <w:noWrap/>
            <w:vAlign w:val="center"/>
            <w:hideMark/>
          </w:tcPr>
          <w:p w14:paraId="0505F3B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Reform 1.5. Ülikoolikraadiga rühmade reform; Reform 1.6. Ülikoolidiplomite reformi võimaldamine; Reform 4.1. Doktoriõppe reformimise programm</w:t>
            </w:r>
          </w:p>
        </w:tc>
        <w:tc>
          <w:tcPr>
            <w:tcW w:w="358" w:type="pct"/>
            <w:shd w:val="clear" w:color="auto" w:fill="C6EFCE"/>
            <w:noWrap/>
            <w:vAlign w:val="center"/>
            <w:hideMark/>
          </w:tcPr>
          <w:p w14:paraId="50625D1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572" w:type="pct"/>
            <w:shd w:val="clear" w:color="auto" w:fill="C6EFCE"/>
            <w:noWrap/>
            <w:vAlign w:val="center"/>
            <w:hideMark/>
          </w:tcPr>
          <w:p w14:paraId="689AE18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Kolmanda taseme haridussüsteemi reformide jõustumine haridustulemuste parandamiseks (esmased õigusaktid) järgmistes valdkondades: a) võimaldada akadeemilisi kraade; b) ülikoolikraad; c) doktoriõppe programmide reform</w:t>
            </w:r>
          </w:p>
        </w:tc>
        <w:tc>
          <w:tcPr>
            <w:tcW w:w="480" w:type="pct"/>
            <w:shd w:val="clear" w:color="auto" w:fill="C6EFCE"/>
            <w:noWrap/>
            <w:vAlign w:val="center"/>
            <w:hideMark/>
          </w:tcPr>
          <w:p w14:paraId="18CAB02B" w14:textId="24F433AD"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Seaduse säte, mis viitab reformide jõustumisele </w:t>
            </w:r>
          </w:p>
        </w:tc>
        <w:tc>
          <w:tcPr>
            <w:tcW w:w="422" w:type="pct"/>
            <w:shd w:val="clear" w:color="auto" w:fill="C6EFCE"/>
            <w:noWrap/>
            <w:vAlign w:val="center"/>
            <w:hideMark/>
          </w:tcPr>
          <w:p w14:paraId="32D516F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75" w:type="pct"/>
            <w:shd w:val="clear" w:color="auto" w:fill="C6EFCE"/>
            <w:noWrap/>
            <w:vAlign w:val="center"/>
            <w:hideMark/>
          </w:tcPr>
          <w:p w14:paraId="33DF0E8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43" w:type="pct"/>
            <w:shd w:val="clear" w:color="auto" w:fill="C6EFCE"/>
            <w:noWrap/>
            <w:vAlign w:val="center"/>
            <w:hideMark/>
          </w:tcPr>
          <w:p w14:paraId="0F3CE9C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286" w:type="pct"/>
            <w:shd w:val="clear" w:color="auto" w:fill="C6EFCE"/>
            <w:noWrap/>
            <w:vAlign w:val="center"/>
            <w:hideMark/>
          </w:tcPr>
          <w:p w14:paraId="2EE1022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38" w:type="pct"/>
            <w:shd w:val="clear" w:color="auto" w:fill="C6EFCE"/>
            <w:noWrap/>
            <w:vAlign w:val="center"/>
            <w:hideMark/>
          </w:tcPr>
          <w:p w14:paraId="091C9F5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2021</w:t>
            </w:r>
          </w:p>
        </w:tc>
        <w:tc>
          <w:tcPr>
            <w:tcW w:w="1047" w:type="pct"/>
            <w:shd w:val="clear" w:color="auto" w:fill="C6EFCE"/>
            <w:noWrap/>
            <w:vAlign w:val="center"/>
            <w:hideMark/>
          </w:tcPr>
          <w:p w14:paraId="2A1961D0" w14:textId="77777777" w:rsidR="0084326C" w:rsidRPr="00F33804" w:rsidRDefault="0084326C">
            <w:pPr>
              <w:rPr>
                <w:rFonts w:ascii="Arial Narrow" w:eastAsia="Calibri" w:hAnsi="Arial Narrow"/>
                <w:noProof/>
                <w:color w:val="006100"/>
                <w:sz w:val="20"/>
                <w:szCs w:val="20"/>
              </w:rPr>
            </w:pPr>
          </w:p>
          <w:p w14:paraId="2ACA2B8D"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Reformid hõlmavad vähemalt järgmisi põhielemente: </w:t>
            </w:r>
            <w:r>
              <w:rPr>
                <w:rFonts w:ascii="Arial Narrow" w:hAnsi="Arial Narrow"/>
                <w:noProof/>
              </w:rPr>
              <w:t xml:space="preserve"> </w:t>
            </w:r>
            <w:r>
              <w:rPr>
                <w:noProof/>
              </w:rPr>
              <w:t xml:space="preserve"> </w:t>
            </w:r>
            <w:r>
              <w:rPr>
                <w:noProof/>
              </w:rPr>
              <w:br/>
            </w:r>
            <w:r>
              <w:rPr>
                <w:rFonts w:ascii="Arial Narrow" w:hAnsi="Arial Narrow"/>
                <w:noProof/>
                <w:color w:val="006100"/>
                <w:sz w:val="20"/>
              </w:rPr>
              <w:t xml:space="preserve">i) akadeemilisi kraade hõlmavate rühmade reformimise algatused, mis suurendavad paindlikkust, et vastata tööturu muutuvatele nõudmistele oskuste järele; </w:t>
            </w:r>
            <w:r>
              <w:rPr>
                <w:rFonts w:ascii="Arial Narrow" w:hAnsi="Arial Narrow"/>
                <w:noProof/>
              </w:rPr>
              <w:t xml:space="preserve"> </w:t>
            </w:r>
            <w:r>
              <w:rPr>
                <w:noProof/>
              </w:rPr>
              <w:t xml:space="preserve"> </w:t>
            </w:r>
            <w:r>
              <w:rPr>
                <w:noProof/>
              </w:rPr>
              <w:br/>
            </w:r>
            <w:r>
              <w:rPr>
                <w:rFonts w:ascii="Arial Narrow" w:hAnsi="Arial Narrow"/>
                <w:noProof/>
                <w:color w:val="006100"/>
                <w:sz w:val="20"/>
              </w:rPr>
              <w:t>ii) algatused, mille eesmärk on reformida akadeemilisi kraade, lihtsustada ja kiirendada juurdepääsu kutsealadele;</w:t>
            </w:r>
            <w:r>
              <w:rPr>
                <w:rFonts w:ascii="Arial Narrow" w:hAnsi="Arial Narrow"/>
                <w:noProof/>
              </w:rPr>
              <w:t xml:space="preserve"> </w:t>
            </w:r>
            <w:r>
              <w:rPr>
                <w:noProof/>
              </w:rPr>
              <w:t xml:space="preserve"> </w:t>
            </w:r>
            <w:r>
              <w:rPr>
                <w:noProof/>
              </w:rPr>
              <w:br/>
            </w:r>
            <w:r>
              <w:rPr>
                <w:rFonts w:ascii="Arial Narrow" w:hAnsi="Arial Narrow"/>
                <w:noProof/>
                <w:color w:val="006100"/>
                <w:sz w:val="20"/>
              </w:rPr>
              <w:t>iii) algatused PHD programmide reformimiseks, et ettevõtteid paremini kaasata ja edendada rakendusuuringuid;</w:t>
            </w:r>
            <w:r>
              <w:rPr>
                <w:rFonts w:ascii="Arial Narrow" w:hAnsi="Arial Narrow"/>
                <w:noProof/>
              </w:rPr>
              <w:t xml:space="preserve"> </w:t>
            </w:r>
            <w:r>
              <w:rPr>
                <w:noProof/>
              </w:rPr>
              <w:t xml:space="preserve"> </w:t>
            </w:r>
            <w:r>
              <w:rPr>
                <w:noProof/>
              </w:rPr>
              <w:br/>
            </w:r>
            <w:r>
              <w:rPr>
                <w:rFonts w:ascii="Arial Narrow" w:hAnsi="Arial Narrow"/>
                <w:noProof/>
                <w:color w:val="006100"/>
                <w:sz w:val="20"/>
              </w:rPr>
              <w:t>Meetmed kolmanda taseme kutseõppesüsteemi reformimiseks, sealhulgas sidemete tugevdamine ja võimalikud üleminekud kutsekvalifikatsiooniga (lauree professionalizzanti), et rahuldada tööturu nõudlust tehniliste oskuste järele</w:t>
            </w:r>
          </w:p>
        </w:tc>
      </w:tr>
      <w:tr w:rsidR="0084326C" w:rsidRPr="005D68A0" w14:paraId="1C7DDA15" w14:textId="77777777">
        <w:trPr>
          <w:trHeight w:val="309"/>
        </w:trPr>
        <w:tc>
          <w:tcPr>
            <w:tcW w:w="380" w:type="pct"/>
            <w:shd w:val="clear" w:color="auto" w:fill="C6EFCE"/>
            <w:noWrap/>
            <w:vAlign w:val="center"/>
          </w:tcPr>
          <w:p w14:paraId="6D9D921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M4C1-2</w:t>
            </w:r>
          </w:p>
        </w:tc>
        <w:tc>
          <w:tcPr>
            <w:tcW w:w="500" w:type="pct"/>
            <w:shd w:val="clear" w:color="auto" w:fill="C6EFCE"/>
            <w:noWrap/>
            <w:vAlign w:val="center"/>
          </w:tcPr>
          <w:p w14:paraId="50FA71C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1.7. Stipendiumid ülikoolidesse pääsemiseks</w:t>
            </w:r>
          </w:p>
        </w:tc>
        <w:tc>
          <w:tcPr>
            <w:tcW w:w="358" w:type="pct"/>
            <w:shd w:val="clear" w:color="auto" w:fill="C6EFCE"/>
            <w:noWrap/>
            <w:vAlign w:val="center"/>
          </w:tcPr>
          <w:p w14:paraId="32EB5E5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572" w:type="pct"/>
            <w:shd w:val="clear" w:color="auto" w:fill="C6EFCE"/>
            <w:noWrap/>
            <w:vAlign w:val="center"/>
          </w:tcPr>
          <w:p w14:paraId="0A8E3BC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Selliste ministri määruste jõustumine, millega reformitakse stipendiume, et parandada juurdepääsu kolmanda taseme haridusele</w:t>
            </w:r>
          </w:p>
        </w:tc>
        <w:tc>
          <w:tcPr>
            <w:tcW w:w="480" w:type="pct"/>
            <w:shd w:val="clear" w:color="auto" w:fill="C6EFCE"/>
            <w:noWrap/>
            <w:vAlign w:val="center"/>
          </w:tcPr>
          <w:p w14:paraId="0D97AF17" w14:textId="476F43F2"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Seaduse säte, mis viitab reformi jõustumisele </w:t>
            </w:r>
          </w:p>
        </w:tc>
        <w:tc>
          <w:tcPr>
            <w:tcW w:w="422" w:type="pct"/>
            <w:shd w:val="clear" w:color="auto" w:fill="C6EFCE"/>
            <w:noWrap/>
            <w:vAlign w:val="center"/>
          </w:tcPr>
          <w:p w14:paraId="0F24B38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75" w:type="pct"/>
            <w:shd w:val="clear" w:color="auto" w:fill="C6EFCE"/>
            <w:noWrap/>
            <w:vAlign w:val="center"/>
          </w:tcPr>
          <w:p w14:paraId="0E077E3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43" w:type="pct"/>
            <w:shd w:val="clear" w:color="auto" w:fill="C6EFCE"/>
            <w:noWrap/>
            <w:vAlign w:val="center"/>
          </w:tcPr>
          <w:p w14:paraId="50828EE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286" w:type="pct"/>
            <w:shd w:val="clear" w:color="auto" w:fill="C6EFCE"/>
            <w:noWrap/>
            <w:vAlign w:val="center"/>
          </w:tcPr>
          <w:p w14:paraId="3BB0015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38" w:type="pct"/>
            <w:shd w:val="clear" w:color="auto" w:fill="C6EFCE"/>
            <w:noWrap/>
            <w:vAlign w:val="center"/>
          </w:tcPr>
          <w:p w14:paraId="6A312C6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2021</w:t>
            </w:r>
          </w:p>
        </w:tc>
        <w:tc>
          <w:tcPr>
            <w:tcW w:w="1047" w:type="pct"/>
            <w:shd w:val="clear" w:color="auto" w:fill="C6EFCE"/>
            <w:noWrap/>
            <w:vAlign w:val="center"/>
          </w:tcPr>
          <w:p w14:paraId="7B80EFD6"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Ministrite määrustega, mille on vastu võtnud ülikoolide ja teadusuuringute ministeerium stipendiumide reformi kohta, parandatakse sotsiaalmajanduslikes raskustes andekate üliõpilaste juurdepääsu kolmanda taseme haridusele, suurendatakse stipendiumide summat ja toetusesaajate arvu kuni 31. detsembrini 2024. Need üliõpilased identifitseeritakse ISEE – Indicatore della Situazione Economica Equivalente’i alusel.</w:t>
            </w:r>
          </w:p>
        </w:tc>
      </w:tr>
      <w:tr w:rsidR="0084326C" w:rsidRPr="00D90835" w14:paraId="236370DD" w14:textId="77777777">
        <w:trPr>
          <w:trHeight w:val="309"/>
        </w:trPr>
        <w:tc>
          <w:tcPr>
            <w:tcW w:w="380" w:type="pct"/>
            <w:shd w:val="clear" w:color="auto" w:fill="C6EFCE"/>
            <w:noWrap/>
            <w:vAlign w:val="center"/>
            <w:hideMark/>
          </w:tcPr>
          <w:p w14:paraId="23241C7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M4C1-3</w:t>
            </w:r>
          </w:p>
        </w:tc>
        <w:tc>
          <w:tcPr>
            <w:tcW w:w="500" w:type="pct"/>
            <w:shd w:val="clear" w:color="auto" w:fill="C6EFCE"/>
            <w:noWrap/>
            <w:vAlign w:val="center"/>
            <w:hideMark/>
          </w:tcPr>
          <w:p w14:paraId="3B65BE7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Reform 2.1. Õpetajate värbamine</w:t>
            </w:r>
          </w:p>
        </w:tc>
        <w:tc>
          <w:tcPr>
            <w:tcW w:w="358" w:type="pct"/>
            <w:shd w:val="clear" w:color="auto" w:fill="C6EFCE"/>
            <w:noWrap/>
            <w:vAlign w:val="center"/>
            <w:hideMark/>
          </w:tcPr>
          <w:p w14:paraId="49492AB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572" w:type="pct"/>
            <w:shd w:val="clear" w:color="auto" w:fill="C6EFCE"/>
            <w:noWrap/>
            <w:vAlign w:val="center"/>
            <w:hideMark/>
          </w:tcPr>
          <w:p w14:paraId="16F83A2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Õpetajakutse reformi jõustumine.</w:t>
            </w:r>
          </w:p>
        </w:tc>
        <w:tc>
          <w:tcPr>
            <w:tcW w:w="480" w:type="pct"/>
            <w:shd w:val="clear" w:color="auto" w:fill="C6EFCE"/>
            <w:noWrap/>
            <w:vAlign w:val="center"/>
            <w:hideMark/>
          </w:tcPr>
          <w:p w14:paraId="4BDC6A59" w14:textId="68E6B993"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Seaduse säte, mis viitab reformi jõustumisele </w:t>
            </w:r>
          </w:p>
        </w:tc>
        <w:tc>
          <w:tcPr>
            <w:tcW w:w="422" w:type="pct"/>
            <w:shd w:val="clear" w:color="auto" w:fill="C6EFCE"/>
            <w:noWrap/>
            <w:vAlign w:val="center"/>
            <w:hideMark/>
          </w:tcPr>
          <w:p w14:paraId="61E8B34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75" w:type="pct"/>
            <w:shd w:val="clear" w:color="auto" w:fill="C6EFCE"/>
            <w:noWrap/>
            <w:vAlign w:val="center"/>
            <w:hideMark/>
          </w:tcPr>
          <w:p w14:paraId="373331B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43" w:type="pct"/>
            <w:shd w:val="clear" w:color="auto" w:fill="C6EFCE"/>
            <w:noWrap/>
            <w:vAlign w:val="center"/>
            <w:hideMark/>
          </w:tcPr>
          <w:p w14:paraId="420721C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286" w:type="pct"/>
            <w:shd w:val="clear" w:color="auto" w:fill="C6EFCE"/>
            <w:noWrap/>
            <w:vAlign w:val="center"/>
            <w:hideMark/>
          </w:tcPr>
          <w:p w14:paraId="26A7C98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238" w:type="pct"/>
            <w:shd w:val="clear" w:color="auto" w:fill="C6EFCE"/>
            <w:noWrap/>
            <w:vAlign w:val="center"/>
            <w:hideMark/>
          </w:tcPr>
          <w:p w14:paraId="0DEA172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2022</w:t>
            </w:r>
          </w:p>
        </w:tc>
        <w:tc>
          <w:tcPr>
            <w:tcW w:w="1047" w:type="pct"/>
            <w:shd w:val="clear" w:color="auto" w:fill="C6EFCE"/>
            <w:noWrap/>
            <w:vAlign w:val="center"/>
            <w:hideMark/>
          </w:tcPr>
          <w:p w14:paraId="68872355"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Läbivaadatud õigusraamistik meelitab ligi, võtab tööle ja motiveerib kvaliteetseid õpetajaid, eelkõige: </w:t>
            </w:r>
            <w:r>
              <w:rPr>
                <w:rFonts w:ascii="Arial Narrow" w:hAnsi="Arial Narrow"/>
                <w:noProof/>
              </w:rPr>
              <w:t xml:space="preserve"> </w:t>
            </w:r>
            <w:r>
              <w:rPr>
                <w:noProof/>
              </w:rPr>
              <w:t xml:space="preserve"> </w:t>
            </w:r>
            <w:r>
              <w:rPr>
                <w:noProof/>
              </w:rPr>
              <w:br/>
            </w:r>
            <w:r>
              <w:rPr>
                <w:rFonts w:ascii="Arial Narrow" w:hAnsi="Arial Narrow"/>
                <w:noProof/>
                <w:color w:val="006100"/>
                <w:sz w:val="20"/>
              </w:rPr>
              <w:t xml:space="preserve">i) värbamissüsteemi parandamine </w:t>
            </w:r>
            <w:r>
              <w:rPr>
                <w:noProof/>
              </w:rPr>
              <w:cr/>
            </w:r>
            <w:r>
              <w:rPr>
                <w:noProof/>
              </w:rPr>
              <w:br/>
            </w:r>
            <w:r>
              <w:rPr>
                <w:rFonts w:ascii="Arial Narrow" w:hAnsi="Arial Narrow"/>
                <w:noProof/>
                <w:color w:val="006100"/>
                <w:sz w:val="20"/>
              </w:rPr>
              <w:t xml:space="preserve">ii) kõrgema kvalifikatsiooni kehtestamine õpetamisel, et saada juurdepääs kutsealale keskkoolis; </w:t>
            </w:r>
            <w:r>
              <w:rPr>
                <w:rFonts w:ascii="Arial Narrow" w:hAnsi="Arial Narrow"/>
                <w:noProof/>
              </w:rPr>
              <w:t xml:space="preserve"> </w:t>
            </w:r>
            <w:r>
              <w:rPr>
                <w:noProof/>
              </w:rPr>
              <w:t xml:space="preserve"> </w:t>
            </w:r>
            <w:r>
              <w:rPr>
                <w:noProof/>
              </w:rPr>
              <w:br/>
            </w:r>
            <w:r>
              <w:rPr>
                <w:rFonts w:ascii="Arial Narrow" w:hAnsi="Arial Narrow"/>
                <w:noProof/>
                <w:color w:val="006100"/>
                <w:sz w:val="20"/>
              </w:rPr>
              <w:t>iii) Õpetajate ülemäärase liikuvuse piiramine (pedagoogilise järjepidevuse huvides);</w:t>
            </w:r>
            <w:r>
              <w:rPr>
                <w:rFonts w:ascii="Arial Narrow" w:hAnsi="Arial Narrow"/>
                <w:noProof/>
              </w:rPr>
              <w:t xml:space="preserve"> </w:t>
            </w:r>
            <w:r>
              <w:rPr>
                <w:noProof/>
              </w:rPr>
              <w:t xml:space="preserve"> </w:t>
            </w:r>
            <w:r>
              <w:rPr>
                <w:noProof/>
              </w:rPr>
              <w:br/>
            </w:r>
            <w:r>
              <w:rPr>
                <w:rFonts w:ascii="Arial Narrow" w:hAnsi="Arial Narrow"/>
                <w:noProof/>
                <w:color w:val="006100"/>
                <w:sz w:val="20"/>
              </w:rPr>
              <w:t>iv) karjääri edenemise kindlaksmääramine, mis on selgelt seotud tulemuslikkuse hindamise ja pideva kutsealase arenguga.</w:t>
            </w:r>
          </w:p>
        </w:tc>
      </w:tr>
      <w:tr w:rsidR="0084326C" w:rsidRPr="00D90835" w14:paraId="5AD05E87" w14:textId="77777777">
        <w:trPr>
          <w:trHeight w:val="309"/>
        </w:trPr>
        <w:tc>
          <w:tcPr>
            <w:tcW w:w="380" w:type="pct"/>
            <w:shd w:val="clear" w:color="auto" w:fill="C6EFCE"/>
            <w:noWrap/>
            <w:vAlign w:val="center"/>
            <w:hideMark/>
          </w:tcPr>
          <w:p w14:paraId="38ED80D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M4C1-4</w:t>
            </w:r>
          </w:p>
        </w:tc>
        <w:tc>
          <w:tcPr>
            <w:tcW w:w="500" w:type="pct"/>
            <w:shd w:val="clear" w:color="auto" w:fill="C6EFCE"/>
            <w:noWrap/>
            <w:vAlign w:val="center"/>
            <w:hideMark/>
          </w:tcPr>
          <w:p w14:paraId="0A75691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3.2. Kool 4.0: innovaatilised koolid, juhtmestik, uued klassiruumid ja õpikojad</w:t>
            </w:r>
          </w:p>
        </w:tc>
        <w:tc>
          <w:tcPr>
            <w:tcW w:w="358" w:type="pct"/>
            <w:shd w:val="clear" w:color="auto" w:fill="C6EFCE"/>
            <w:noWrap/>
            <w:vAlign w:val="center"/>
            <w:hideMark/>
          </w:tcPr>
          <w:p w14:paraId="554C6F4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572" w:type="pct"/>
            <w:shd w:val="clear" w:color="auto" w:fill="C6EFCE"/>
            <w:noWrap/>
            <w:vAlign w:val="center"/>
            <w:hideMark/>
          </w:tcPr>
          <w:p w14:paraId="705659F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Vastu on võetud Itaalia koolisüsteemi digiülemineku edendamise kava 4.0</w:t>
            </w:r>
          </w:p>
        </w:tc>
        <w:tc>
          <w:tcPr>
            <w:tcW w:w="480" w:type="pct"/>
            <w:shd w:val="clear" w:color="auto" w:fill="C6EFCE"/>
            <w:noWrap/>
            <w:vAlign w:val="center"/>
            <w:hideMark/>
          </w:tcPr>
          <w:p w14:paraId="3BC69B7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Haridusministeerium – dekreet, millega võetakse vastu kava „Kooli 4.0“</w:t>
            </w:r>
          </w:p>
        </w:tc>
        <w:tc>
          <w:tcPr>
            <w:tcW w:w="422" w:type="pct"/>
            <w:shd w:val="clear" w:color="auto" w:fill="C6EFCE"/>
            <w:noWrap/>
            <w:vAlign w:val="center"/>
            <w:hideMark/>
          </w:tcPr>
          <w:p w14:paraId="4D4727B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75" w:type="pct"/>
            <w:shd w:val="clear" w:color="auto" w:fill="C6EFCE"/>
            <w:noWrap/>
            <w:vAlign w:val="center"/>
            <w:hideMark/>
          </w:tcPr>
          <w:p w14:paraId="3DCC024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43" w:type="pct"/>
            <w:shd w:val="clear" w:color="auto" w:fill="C6EFCE"/>
            <w:noWrap/>
            <w:vAlign w:val="center"/>
            <w:hideMark/>
          </w:tcPr>
          <w:p w14:paraId="56814E3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286" w:type="pct"/>
            <w:shd w:val="clear" w:color="auto" w:fill="C6EFCE"/>
            <w:noWrap/>
            <w:vAlign w:val="center"/>
            <w:hideMark/>
          </w:tcPr>
          <w:p w14:paraId="39A272B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238" w:type="pct"/>
            <w:shd w:val="clear" w:color="auto" w:fill="C6EFCE"/>
            <w:noWrap/>
            <w:vAlign w:val="center"/>
            <w:hideMark/>
          </w:tcPr>
          <w:p w14:paraId="2816BA8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2022</w:t>
            </w:r>
          </w:p>
        </w:tc>
        <w:tc>
          <w:tcPr>
            <w:tcW w:w="1047" w:type="pct"/>
            <w:shd w:val="clear" w:color="auto" w:fill="C6EFCE"/>
            <w:noWrap/>
            <w:vAlign w:val="center"/>
            <w:hideMark/>
          </w:tcPr>
          <w:p w14:paraId="0AFFB3A7" w14:textId="77777777" w:rsidR="0084326C" w:rsidRPr="00F33804" w:rsidRDefault="0084326C">
            <w:pPr>
              <w:rPr>
                <w:rFonts w:ascii="Arial Narrow" w:hAnsi="Arial Narrow"/>
                <w:noProof/>
                <w:color w:val="006100"/>
                <w:sz w:val="20"/>
                <w:szCs w:val="20"/>
              </w:rPr>
            </w:pPr>
          </w:p>
          <w:p w14:paraId="0E9BCDE3"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Haridusministeeriumi poolt Itaalia koolisüsteemi digiülemineku edendamiseks vastu võetud kava „Kool 4.0“ hõlmab järgmist:</w:t>
            </w:r>
          </w:p>
          <w:p w14:paraId="0A362422" w14:textId="00FA9726" w:rsidR="0084326C" w:rsidRPr="005D68A0" w:rsidRDefault="0084326C">
            <w:pPr>
              <w:rPr>
                <w:rFonts w:ascii="Arial Narrow" w:hAnsi="Arial Narrow"/>
                <w:noProof/>
                <w:color w:val="006100"/>
                <w:sz w:val="20"/>
                <w:szCs w:val="20"/>
              </w:rPr>
            </w:pPr>
            <w:r>
              <w:rPr>
                <w:rFonts w:ascii="Arial Narrow" w:hAnsi="Arial Narrow"/>
                <w:noProof/>
                <w:color w:val="006100"/>
                <w:sz w:val="20"/>
              </w:rPr>
              <w:t>a) 100 000 klassiruumi muutmine innovaatilisteks õpikeskkondadeks</w:t>
            </w:r>
          </w:p>
          <w:p w14:paraId="5A14D556"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b) laboratooriumide loomine uute digitaalvaldkonna elukutsete jaoks kõigis keskkoolides.</w:t>
            </w:r>
          </w:p>
          <w:p w14:paraId="6C492BCA" w14:textId="77777777" w:rsidR="0084326C" w:rsidRPr="00F33804" w:rsidRDefault="0084326C">
            <w:pPr>
              <w:rPr>
                <w:rFonts w:ascii="Arial Narrow" w:hAnsi="Arial Narrow"/>
                <w:noProof/>
                <w:color w:val="006100"/>
                <w:sz w:val="20"/>
                <w:szCs w:val="20"/>
              </w:rPr>
            </w:pPr>
          </w:p>
          <w:p w14:paraId="4E21E5A2" w14:textId="1B9B14D9" w:rsidR="0084326C" w:rsidRPr="005D68A0" w:rsidRDefault="0084326C">
            <w:pPr>
              <w:rPr>
                <w:rFonts w:ascii="Arial Narrow" w:hAnsi="Arial Narrow"/>
                <w:noProof/>
                <w:color w:val="006100"/>
                <w:sz w:val="20"/>
                <w:szCs w:val="20"/>
              </w:rPr>
            </w:pPr>
            <w:r>
              <w:rPr>
                <w:rFonts w:ascii="Arial Narrow" w:hAnsi="Arial Narrow"/>
                <w:noProof/>
                <w:color w:val="006100"/>
                <w:sz w:val="20"/>
              </w:rPr>
              <w:t>Meetmega a muudetakse traditsiooniliste klassiruumide jaoks ette nähtud kooliruumid uuenduslikuks, kohanemisvõimeliseks ja paindlikuks õpikeskkonnaks, mis on ühendatud, integreeritud digitaalsete, füüsiliste ja virtuaalsete tehnoloogiatega. Investeerimine kooliruumidesse toob kõige uuenduslikumad õppetehnoloogiad (kodeerimis- ja robootikaseadmed, virtuaalreaalsuse seadmed, kaasava hariduse täiustatud digitaalseadmed jms vähemalt 100 000 õppetundides kasutatava alg- ja keskkooli klassiruumi).</w:t>
            </w:r>
          </w:p>
          <w:p w14:paraId="05735E6F"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Meetmega b luuakse igas keskkoolis vähemalt üks labor digitaalsete kutsealade jaoks, labor, mis on tihedalt seotud ettevõtete ja innovatiivsete idufirmadega, et luua uusi töökohti uute digitaalsete kutsealade sektoris (nt tehisintellekt, robootika, suurandmed ja küberturvalisus, sinine ja roheline majandus).</w:t>
            </w:r>
          </w:p>
          <w:p w14:paraId="35FA6EFD" w14:textId="77777777" w:rsidR="0084326C" w:rsidRPr="00F33804" w:rsidRDefault="0084326C">
            <w:pPr>
              <w:rPr>
                <w:rFonts w:ascii="Arial Narrow" w:hAnsi="Arial Narrow"/>
                <w:noProof/>
                <w:color w:val="006100"/>
                <w:sz w:val="20"/>
                <w:szCs w:val="20"/>
              </w:rPr>
            </w:pPr>
          </w:p>
          <w:p w14:paraId="6380AF42"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Vähemalt 40 % toetust saavatest koolidest peavad asuma Lõuna-Itaalias.</w:t>
            </w:r>
          </w:p>
        </w:tc>
      </w:tr>
      <w:tr w:rsidR="0084326C" w:rsidRPr="00D90835" w14:paraId="01F878B3" w14:textId="77777777">
        <w:trPr>
          <w:trHeight w:val="309"/>
        </w:trPr>
        <w:tc>
          <w:tcPr>
            <w:tcW w:w="380" w:type="pct"/>
            <w:shd w:val="clear" w:color="auto" w:fill="C6EFCE"/>
            <w:noWrap/>
            <w:vAlign w:val="center"/>
            <w:hideMark/>
          </w:tcPr>
          <w:p w14:paraId="06C73BE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M4C1-5</w:t>
            </w:r>
          </w:p>
        </w:tc>
        <w:tc>
          <w:tcPr>
            <w:tcW w:w="500" w:type="pct"/>
            <w:shd w:val="clear" w:color="auto" w:fill="C6EFCE"/>
            <w:noWrap/>
            <w:vAlign w:val="center"/>
            <w:hideMark/>
          </w:tcPr>
          <w:p w14:paraId="2452FFF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Reform 1.3. Koolisüsteemi ümberkorraldamine; Reform 1.2. Kolmanda taseme kutseõppesüsteemi reform; Reform 1.1. Tehniliste ja kutseinstituutide reform; Reform 1.4. „Suunitlusega“ süsteemi reform</w:t>
            </w:r>
          </w:p>
        </w:tc>
        <w:tc>
          <w:tcPr>
            <w:tcW w:w="358" w:type="pct"/>
            <w:shd w:val="clear" w:color="auto" w:fill="C6EFCE"/>
            <w:noWrap/>
            <w:vAlign w:val="center"/>
            <w:hideMark/>
          </w:tcPr>
          <w:p w14:paraId="1F326CC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Eesmärgid</w:t>
            </w:r>
          </w:p>
        </w:tc>
        <w:tc>
          <w:tcPr>
            <w:tcW w:w="572" w:type="pct"/>
            <w:shd w:val="clear" w:color="auto" w:fill="C6EFCE"/>
            <w:noWrap/>
            <w:vAlign w:val="center"/>
            <w:hideMark/>
          </w:tcPr>
          <w:p w14:paraId="6C8454D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Alg- ja keskharidussüsteemi reformide jõustumine haridustulemuste parandamiseks</w:t>
            </w:r>
          </w:p>
        </w:tc>
        <w:tc>
          <w:tcPr>
            <w:tcW w:w="480" w:type="pct"/>
            <w:shd w:val="clear" w:color="auto" w:fill="C6EFCE"/>
            <w:noWrap/>
            <w:vAlign w:val="center"/>
            <w:hideMark/>
          </w:tcPr>
          <w:p w14:paraId="2BB81660" w14:textId="766A2C1E"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Seaduse säte, mis viitab reformide jõustumisele </w:t>
            </w:r>
          </w:p>
        </w:tc>
        <w:tc>
          <w:tcPr>
            <w:tcW w:w="422" w:type="pct"/>
            <w:shd w:val="clear" w:color="auto" w:fill="C6EFCE"/>
            <w:noWrap/>
            <w:vAlign w:val="center"/>
            <w:hideMark/>
          </w:tcPr>
          <w:p w14:paraId="503F18F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75" w:type="pct"/>
            <w:shd w:val="clear" w:color="auto" w:fill="C6EFCE"/>
            <w:noWrap/>
            <w:vAlign w:val="center"/>
            <w:hideMark/>
          </w:tcPr>
          <w:p w14:paraId="1FAECA5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43" w:type="pct"/>
            <w:shd w:val="clear" w:color="auto" w:fill="C6EFCE"/>
            <w:noWrap/>
            <w:vAlign w:val="center"/>
            <w:hideMark/>
          </w:tcPr>
          <w:p w14:paraId="0F959EC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286" w:type="pct"/>
            <w:shd w:val="clear" w:color="auto" w:fill="C6EFCE"/>
            <w:noWrap/>
            <w:vAlign w:val="center"/>
            <w:hideMark/>
          </w:tcPr>
          <w:p w14:paraId="79F85DE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38" w:type="pct"/>
            <w:shd w:val="clear" w:color="auto" w:fill="C6EFCE"/>
            <w:noWrap/>
            <w:vAlign w:val="center"/>
            <w:hideMark/>
          </w:tcPr>
          <w:p w14:paraId="48384B0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2022</w:t>
            </w:r>
          </w:p>
        </w:tc>
        <w:tc>
          <w:tcPr>
            <w:tcW w:w="1047" w:type="pct"/>
            <w:shd w:val="clear" w:color="auto" w:fill="C6EFCE"/>
            <w:noWrap/>
            <w:vAlign w:val="center"/>
            <w:hideMark/>
          </w:tcPr>
          <w:p w14:paraId="32A4189A"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Põhi- ja keskharidussüsteemi esmased õigusaktide reformid hariduse tulemuste parandamiseks (esmaste õigusaktide abil) peavad sisaldama vähemalt järgmisi põhielemente: </w:t>
            </w:r>
            <w:r>
              <w:rPr>
                <w:rFonts w:ascii="Arial Narrow" w:hAnsi="Arial Narrow"/>
                <w:noProof/>
              </w:rPr>
              <w:t xml:space="preserve"> </w:t>
            </w:r>
            <w:r>
              <w:rPr>
                <w:noProof/>
              </w:rPr>
              <w:t xml:space="preserve"> </w:t>
            </w:r>
            <w:r>
              <w:rPr>
                <w:noProof/>
              </w:rPr>
              <w:br/>
            </w:r>
            <w:r>
              <w:rPr>
                <w:rFonts w:ascii="Arial Narrow" w:hAnsi="Arial Narrow"/>
                <w:noProof/>
                <w:color w:val="006100"/>
                <w:sz w:val="20"/>
              </w:rPr>
              <w:t xml:space="preserve">i) Algatused haridussüsteemi korralduse reformimiseks, et kohaneda demograafiliste muutustega (nt koolide ja õpilaste/õpetajate arv) </w:t>
            </w:r>
            <w:r>
              <w:rPr>
                <w:noProof/>
              </w:rPr>
              <w:cr/>
            </w:r>
            <w:r>
              <w:rPr>
                <w:noProof/>
              </w:rPr>
              <w:br/>
            </w:r>
            <w:r>
              <w:rPr>
                <w:rFonts w:ascii="Arial Narrow" w:hAnsi="Arial Narrow"/>
                <w:noProof/>
                <w:color w:val="006100"/>
                <w:sz w:val="20"/>
              </w:rPr>
              <w:t>ii) algatused orientatsioonisüsteemi reformimiseks, et minimeerida koolist väljalangemise määra kolmanda taseme hariduses;</w:t>
            </w:r>
            <w:r>
              <w:rPr>
                <w:rFonts w:ascii="Arial Narrow" w:hAnsi="Arial Narrow"/>
                <w:noProof/>
              </w:rPr>
              <w:t xml:space="preserve"> </w:t>
            </w:r>
            <w:r>
              <w:rPr>
                <w:noProof/>
              </w:rPr>
              <w:t xml:space="preserve"> </w:t>
            </w:r>
            <w:r>
              <w:rPr>
                <w:noProof/>
              </w:rPr>
              <w:br/>
            </w:r>
            <w:r>
              <w:rPr>
                <w:rFonts w:ascii="Arial Narrow" w:hAnsi="Arial Narrow"/>
                <w:noProof/>
                <w:color w:val="006100"/>
                <w:sz w:val="20"/>
              </w:rPr>
              <w:t>iii) Kutsekeskhariduse tugevdamise algatused (Istituti tecnico-professionali), sealhulgas uue õppekava vastuvõtmine ja nende suunamine riikliku tööstuse 4.0 kava innovatsioonitulemuste suunas (Ministero dello Sviluppo economico, Decreto 26 Maggio 2020) ;</w:t>
            </w:r>
            <w:r>
              <w:rPr>
                <w:rFonts w:ascii="Arial Narrow" w:hAnsi="Arial Narrow"/>
                <w:noProof/>
              </w:rPr>
              <w:t xml:space="preserve"> </w:t>
            </w:r>
            <w:r>
              <w:rPr>
                <w:noProof/>
              </w:rPr>
              <w:t xml:space="preserve"> </w:t>
            </w:r>
            <w:r>
              <w:rPr>
                <w:noProof/>
              </w:rPr>
              <w:br/>
            </w:r>
            <w:r>
              <w:rPr>
                <w:rFonts w:ascii="Arial Narrow" w:hAnsi="Arial Narrow"/>
                <w:noProof/>
                <w:color w:val="006100"/>
                <w:sz w:val="20"/>
              </w:rPr>
              <w:t>iv) algatused koolijuhtide, õpetajate ja haldus-/tehnilise personali koolitamiseks ning kolmanda taseme kogenud kooli loomine koolitamiseks, et parandada õpetamise kvaliteeti;</w:t>
            </w:r>
            <w:r>
              <w:rPr>
                <w:rFonts w:ascii="Arial Narrow" w:hAnsi="Arial Narrow"/>
                <w:noProof/>
              </w:rPr>
              <w:t xml:space="preserve"> </w:t>
            </w:r>
            <w:r>
              <w:rPr>
                <w:noProof/>
              </w:rPr>
              <w:t xml:space="preserve"> </w:t>
            </w:r>
            <w:r>
              <w:rPr>
                <w:noProof/>
              </w:rPr>
              <w:br/>
            </w:r>
            <w:r>
              <w:rPr>
                <w:rFonts w:ascii="Arial Narrow" w:hAnsi="Arial Narrow"/>
                <w:noProof/>
                <w:color w:val="006100"/>
                <w:sz w:val="20"/>
              </w:rPr>
              <w:t>v) algatused selliste tegevuste, metoodikate ja sisu integreerimiseks, mille eesmärk on arendada ja tugevdada teaduse, tehnoloogia, inseneeria ja matemaatika õppekavasid, digi- ja innovatsioonioskusi kõigis haridustsüklites alates lasteaiast kuni keskkoolini, eesmärgiga edendada osalemist loodusteaduste, tehnoloogia, inseneriteaduste ja matemaatika kolmanda taseme õppekavades, eelkõige naiste seas.</w:t>
            </w:r>
          </w:p>
          <w:p w14:paraId="5C508E7B" w14:textId="77777777" w:rsidR="0084326C" w:rsidRPr="00F33804" w:rsidRDefault="0084326C">
            <w:pPr>
              <w:rPr>
                <w:rFonts w:ascii="Arial Narrow" w:hAnsi="Arial Narrow"/>
                <w:noProof/>
                <w:color w:val="006100"/>
                <w:sz w:val="20"/>
                <w:szCs w:val="20"/>
              </w:rPr>
            </w:pPr>
          </w:p>
          <w:p w14:paraId="1976E9EA"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Eesmärgi rahuldavaks täitmiseks peavad õigusaktid sisaldama kohustuslikke tähtaegu teiseste õigusaktide, suuniste ja kõigi vajalike õigusnormide väljaandmiseks (järelevalvet haridusministeeriumi andmebaasis), et tagada sujuv rakendamine.</w:t>
            </w:r>
          </w:p>
        </w:tc>
      </w:tr>
      <w:tr w:rsidR="0084326C" w:rsidRPr="00D90835" w14:paraId="10FBB23E" w14:textId="77777777">
        <w:trPr>
          <w:trHeight w:val="309"/>
        </w:trPr>
        <w:tc>
          <w:tcPr>
            <w:tcW w:w="380" w:type="pct"/>
            <w:shd w:val="clear" w:color="auto" w:fill="C6EFCE"/>
            <w:noWrap/>
            <w:vAlign w:val="center"/>
          </w:tcPr>
          <w:p w14:paraId="343B117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M4C1-6</w:t>
            </w:r>
          </w:p>
        </w:tc>
        <w:tc>
          <w:tcPr>
            <w:tcW w:w="500" w:type="pct"/>
            <w:shd w:val="clear" w:color="auto" w:fill="C6EFCE"/>
            <w:noWrap/>
            <w:vAlign w:val="center"/>
          </w:tcPr>
          <w:p w14:paraId="5919E30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Reform 2.2. Kolmanda taseme haridus ja täiendkoolitus koolijuhtidele, õpetajatele, haldus- ja tehnilistele töötajatele</w:t>
            </w:r>
          </w:p>
        </w:tc>
        <w:tc>
          <w:tcPr>
            <w:tcW w:w="358" w:type="pct"/>
            <w:shd w:val="clear" w:color="auto" w:fill="C6EFCE"/>
            <w:noWrap/>
            <w:vAlign w:val="center"/>
          </w:tcPr>
          <w:p w14:paraId="5127DB3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572" w:type="pct"/>
            <w:shd w:val="clear" w:color="auto" w:fill="C6EFCE"/>
            <w:noWrap/>
            <w:vAlign w:val="center"/>
          </w:tcPr>
          <w:p w14:paraId="0110912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Selliste õigusaktide jõustumine, mille eesmärk on luua kooli jaoks kvaliteetne koolitussüsteem.</w:t>
            </w:r>
          </w:p>
        </w:tc>
        <w:tc>
          <w:tcPr>
            <w:tcW w:w="480" w:type="pct"/>
            <w:shd w:val="clear" w:color="auto" w:fill="C6EFCE"/>
            <w:noWrap/>
            <w:vAlign w:val="center"/>
          </w:tcPr>
          <w:p w14:paraId="739CB73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Seaduse säte, mis viitab õigusakti jõustumisele.</w:t>
            </w:r>
          </w:p>
        </w:tc>
        <w:tc>
          <w:tcPr>
            <w:tcW w:w="422" w:type="pct"/>
            <w:shd w:val="clear" w:color="auto" w:fill="C6EFCE"/>
            <w:noWrap/>
            <w:vAlign w:val="center"/>
          </w:tcPr>
          <w:p w14:paraId="5E2EA2F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75" w:type="pct"/>
            <w:shd w:val="clear" w:color="auto" w:fill="C6EFCE"/>
            <w:noWrap/>
            <w:vAlign w:val="center"/>
          </w:tcPr>
          <w:p w14:paraId="3E2E89D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43" w:type="pct"/>
            <w:shd w:val="clear" w:color="auto" w:fill="C6EFCE"/>
            <w:noWrap/>
            <w:vAlign w:val="center"/>
          </w:tcPr>
          <w:p w14:paraId="1A6BBC9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286" w:type="pct"/>
            <w:shd w:val="clear" w:color="auto" w:fill="C6EFCE"/>
            <w:noWrap/>
            <w:vAlign w:val="center"/>
          </w:tcPr>
          <w:p w14:paraId="322F273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38" w:type="pct"/>
            <w:shd w:val="clear" w:color="auto" w:fill="C6EFCE"/>
            <w:noWrap/>
            <w:vAlign w:val="center"/>
          </w:tcPr>
          <w:p w14:paraId="55FFC5C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2022</w:t>
            </w:r>
          </w:p>
        </w:tc>
        <w:tc>
          <w:tcPr>
            <w:tcW w:w="1047" w:type="pct"/>
            <w:shd w:val="clear" w:color="auto" w:fill="C6EFCE"/>
            <w:noWrap/>
            <w:vAlign w:val="center"/>
          </w:tcPr>
          <w:p w14:paraId="5052BBCE"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Õigusaktid sisaldavad sätteid, mille eesmärk on luua koolitöötajatele kvaliteetne koolitussüsteem, mis on kooskõlas pideva kutsealase ja karjääriarenguga, luua kvalifitseeritud organ, kes vastutab koolitöötajate koolitussuuniste eest, valida välja koolitusalgatused ja neid koordineerida ning siduda need töölevõtmise reformiga ette nähtud karjääri edenemisega. Põhi- ja täiendõppesüsteemi rakendamine peaks võimaldama ületada koolitusteede praeguse killustatuse, millel praegu puudub ühtne riiklik strateegia.</w:t>
            </w:r>
          </w:p>
        </w:tc>
      </w:tr>
      <w:tr w:rsidR="0084326C" w:rsidRPr="00D90835" w14:paraId="31EFE813" w14:textId="77777777">
        <w:trPr>
          <w:trHeight w:val="309"/>
        </w:trPr>
        <w:tc>
          <w:tcPr>
            <w:tcW w:w="380" w:type="pct"/>
            <w:shd w:val="clear" w:color="auto" w:fill="C6EFCE"/>
            <w:noWrap/>
            <w:vAlign w:val="center"/>
          </w:tcPr>
          <w:p w14:paraId="22F1B74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M4C1-7</w:t>
            </w:r>
          </w:p>
        </w:tc>
        <w:tc>
          <w:tcPr>
            <w:tcW w:w="500" w:type="pct"/>
            <w:shd w:val="clear" w:color="auto" w:fill="C6EFCE"/>
            <w:noWrap/>
            <w:vAlign w:val="center"/>
          </w:tcPr>
          <w:p w14:paraId="2E113F4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1.4. Erakorraline sekkumine, mille eesmärk on vähendada territoriaalseid erinevusi keskkooli I ja II tsüklis ning võidelda koolist väljalangemise vastu</w:t>
            </w:r>
          </w:p>
        </w:tc>
        <w:tc>
          <w:tcPr>
            <w:tcW w:w="358" w:type="pct"/>
            <w:shd w:val="clear" w:color="auto" w:fill="C6EFCE"/>
            <w:noWrap/>
            <w:vAlign w:val="center"/>
          </w:tcPr>
          <w:p w14:paraId="66B5D69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572" w:type="pct"/>
            <w:shd w:val="clear" w:color="auto" w:fill="C6EFCE"/>
            <w:noWrap/>
            <w:vAlign w:val="center"/>
          </w:tcPr>
          <w:p w14:paraId="68F56CF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Õpilased või noored, kes on osalenud mentorlustegevuses või koolituskursustel</w:t>
            </w:r>
          </w:p>
        </w:tc>
        <w:tc>
          <w:tcPr>
            <w:tcW w:w="480" w:type="pct"/>
            <w:shd w:val="clear" w:color="auto" w:fill="C6EFCE"/>
            <w:noWrap/>
            <w:vAlign w:val="center"/>
          </w:tcPr>
          <w:p w14:paraId="2A6215F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Pakutakse mentorlust</w:t>
            </w:r>
          </w:p>
        </w:tc>
        <w:tc>
          <w:tcPr>
            <w:tcW w:w="422" w:type="pct"/>
            <w:shd w:val="clear" w:color="auto" w:fill="C6EFCE"/>
            <w:noWrap/>
            <w:vAlign w:val="center"/>
          </w:tcPr>
          <w:p w14:paraId="0FF1CDE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75" w:type="pct"/>
            <w:shd w:val="clear" w:color="auto" w:fill="C6EFCE"/>
            <w:noWrap/>
            <w:vAlign w:val="center"/>
          </w:tcPr>
          <w:p w14:paraId="4A758FC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343" w:type="pct"/>
            <w:shd w:val="clear" w:color="auto" w:fill="C6EFCE"/>
            <w:noWrap/>
            <w:vAlign w:val="center"/>
          </w:tcPr>
          <w:p w14:paraId="1B18C1B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820 000</w:t>
            </w:r>
          </w:p>
        </w:tc>
        <w:tc>
          <w:tcPr>
            <w:tcW w:w="286" w:type="pct"/>
            <w:shd w:val="clear" w:color="auto" w:fill="C6EFCE"/>
            <w:noWrap/>
            <w:vAlign w:val="center"/>
          </w:tcPr>
          <w:p w14:paraId="1FCC8B2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3. kv</w:t>
            </w:r>
          </w:p>
        </w:tc>
        <w:tc>
          <w:tcPr>
            <w:tcW w:w="238" w:type="pct"/>
            <w:shd w:val="clear" w:color="auto" w:fill="C6EFCE"/>
            <w:noWrap/>
            <w:vAlign w:val="center"/>
          </w:tcPr>
          <w:p w14:paraId="05044DA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2025</w:t>
            </w:r>
          </w:p>
        </w:tc>
        <w:tc>
          <w:tcPr>
            <w:tcW w:w="1047" w:type="pct"/>
            <w:shd w:val="clear" w:color="auto" w:fill="C6EFCE"/>
            <w:noWrap/>
            <w:vAlign w:val="center"/>
          </w:tcPr>
          <w:p w14:paraId="11242018" w14:textId="4A29E41B" w:rsidR="0084326C" w:rsidRPr="005D68A0" w:rsidRDefault="0084326C">
            <w:pPr>
              <w:rPr>
                <w:rFonts w:ascii="Arial Narrow" w:hAnsi="Arial Narrow"/>
                <w:noProof/>
                <w:color w:val="006100"/>
                <w:sz w:val="20"/>
                <w:szCs w:val="20"/>
              </w:rPr>
            </w:pPr>
            <w:r>
              <w:rPr>
                <w:rFonts w:ascii="Arial Narrow" w:hAnsi="Arial Narrow"/>
                <w:noProof/>
                <w:color w:val="006100"/>
                <w:sz w:val="20"/>
              </w:rPr>
              <w:t>Mentorlusmeetmete rakendamine vähemalt 820 000 koolist väljalangemise ohus oleva noore ja juba koolist väljalangenud noorte jaoks.</w:t>
            </w:r>
          </w:p>
        </w:tc>
      </w:tr>
      <w:tr w:rsidR="0084326C" w:rsidRPr="00D90835" w14:paraId="5C5B72B9" w14:textId="77777777">
        <w:trPr>
          <w:trHeight w:val="309"/>
        </w:trPr>
        <w:tc>
          <w:tcPr>
            <w:tcW w:w="380" w:type="pct"/>
            <w:shd w:val="clear" w:color="auto" w:fill="C6EFCE"/>
            <w:noWrap/>
            <w:vAlign w:val="center"/>
          </w:tcPr>
          <w:p w14:paraId="5BA6F2F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M4C1-8</w:t>
            </w:r>
          </w:p>
          <w:p w14:paraId="2EC32A26" w14:textId="77777777" w:rsidR="0084326C" w:rsidRPr="005D68A0" w:rsidRDefault="0084326C">
            <w:pPr>
              <w:jc w:val="center"/>
              <w:rPr>
                <w:rFonts w:ascii="Arial Narrow" w:hAnsi="Arial Narrow"/>
                <w:noProof/>
                <w:color w:val="006100"/>
                <w:sz w:val="20"/>
                <w:szCs w:val="20"/>
                <w:lang w:val="en-GB"/>
              </w:rPr>
            </w:pPr>
          </w:p>
        </w:tc>
        <w:tc>
          <w:tcPr>
            <w:tcW w:w="500" w:type="pct"/>
            <w:shd w:val="clear" w:color="auto" w:fill="C6EFCE"/>
            <w:noWrap/>
            <w:vAlign w:val="center"/>
          </w:tcPr>
          <w:p w14:paraId="1034AD6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1.3. Koolispordi infrastruktuuri edendamise kava</w:t>
            </w:r>
          </w:p>
        </w:tc>
        <w:tc>
          <w:tcPr>
            <w:tcW w:w="358" w:type="pct"/>
            <w:shd w:val="clear" w:color="auto" w:fill="C6EFCE"/>
            <w:noWrap/>
            <w:vAlign w:val="center"/>
          </w:tcPr>
          <w:p w14:paraId="4FEDFC3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572" w:type="pct"/>
            <w:shd w:val="clear" w:color="auto" w:fill="C6EFCE"/>
            <w:noWrap/>
            <w:vAlign w:val="center"/>
          </w:tcPr>
          <w:p w14:paraId="77F1F77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Haridusministeeriumi dekreedis ette nähtud spordirajatiste ja spordivõimurite ehitamiseks ja renoveerimiseks võetavate sekkumismeetmete lepingute sõlmimine</w:t>
            </w:r>
          </w:p>
        </w:tc>
        <w:tc>
          <w:tcPr>
            <w:tcW w:w="480" w:type="pct"/>
            <w:shd w:val="clear" w:color="auto" w:fill="C6EFCE"/>
            <w:noWrap/>
            <w:vAlign w:val="center"/>
          </w:tcPr>
          <w:p w14:paraId="18AE70A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Kohalike ametiasutuste poolt toetusesaajatele teatamine kõigi rahastamiskõlblike sekkumistega seotud riigihankelepingute rahastamisest</w:t>
            </w:r>
          </w:p>
          <w:p w14:paraId="7723D4E2" w14:textId="77777777" w:rsidR="0084326C" w:rsidRPr="00F33804" w:rsidRDefault="0084326C">
            <w:pPr>
              <w:jc w:val="center"/>
              <w:rPr>
                <w:rFonts w:ascii="Arial Narrow" w:hAnsi="Arial Narrow"/>
                <w:b/>
                <w:noProof/>
                <w:color w:val="006100"/>
                <w:sz w:val="20"/>
                <w:szCs w:val="20"/>
              </w:rPr>
            </w:pPr>
          </w:p>
        </w:tc>
        <w:tc>
          <w:tcPr>
            <w:tcW w:w="422" w:type="pct"/>
            <w:shd w:val="clear" w:color="auto" w:fill="C6EFCE"/>
            <w:noWrap/>
            <w:vAlign w:val="center"/>
          </w:tcPr>
          <w:p w14:paraId="34AAE0B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75" w:type="pct"/>
            <w:shd w:val="clear" w:color="auto" w:fill="C6EFCE"/>
            <w:noWrap/>
            <w:vAlign w:val="center"/>
          </w:tcPr>
          <w:p w14:paraId="1A7C3EE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43" w:type="pct"/>
            <w:shd w:val="clear" w:color="auto" w:fill="C6EFCE"/>
            <w:noWrap/>
            <w:vAlign w:val="center"/>
          </w:tcPr>
          <w:p w14:paraId="2B84E22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286" w:type="pct"/>
            <w:shd w:val="clear" w:color="auto" w:fill="C6EFCE"/>
            <w:noWrap/>
            <w:vAlign w:val="center"/>
          </w:tcPr>
          <w:p w14:paraId="23E4D6A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 kv</w:t>
            </w:r>
          </w:p>
        </w:tc>
        <w:tc>
          <w:tcPr>
            <w:tcW w:w="238" w:type="pct"/>
            <w:shd w:val="clear" w:color="auto" w:fill="C6EFCE"/>
            <w:noWrap/>
            <w:vAlign w:val="center"/>
          </w:tcPr>
          <w:p w14:paraId="1D0B680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2024</w:t>
            </w:r>
          </w:p>
        </w:tc>
        <w:tc>
          <w:tcPr>
            <w:tcW w:w="1047" w:type="pct"/>
            <w:shd w:val="clear" w:color="auto" w:fill="C6EFCE"/>
            <w:noWrap/>
            <w:vAlign w:val="center"/>
          </w:tcPr>
          <w:p w14:paraId="59A2F0EB"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Spordirajatiste ja spordivõimlate ehitamiseks ja renoveerimiseks ette nähtud sekkumislepingute sõlmimine haridusministeeriumi dekreedis määratletud tingimustel ja pärast avalikku hankemenetlust. Otsus tehakse kooskõlas tehniliste suunistega „Mitte tekitada olulist kahju“ (2021/C58/01), kasutades kõrvalejätmise loetelu ning asjaomaste ELi ja riiklike keskkonnaalaste õigusaktide järgimise nõuet.</w:t>
            </w:r>
          </w:p>
          <w:p w14:paraId="5B01446E" w14:textId="77777777" w:rsidR="0084326C" w:rsidRPr="00F33804" w:rsidRDefault="0084326C">
            <w:pPr>
              <w:rPr>
                <w:rFonts w:ascii="Arial Narrow" w:hAnsi="Arial Narrow"/>
                <w:noProof/>
                <w:color w:val="006100"/>
                <w:sz w:val="20"/>
                <w:szCs w:val="20"/>
              </w:rPr>
            </w:pPr>
          </w:p>
          <w:p w14:paraId="5AAB20BA" w14:textId="77777777" w:rsidR="0084326C" w:rsidRPr="00F33804" w:rsidRDefault="0084326C">
            <w:pPr>
              <w:rPr>
                <w:rFonts w:ascii="Arial Narrow" w:hAnsi="Arial Narrow"/>
                <w:noProof/>
                <w:color w:val="006100"/>
                <w:sz w:val="20"/>
                <w:szCs w:val="20"/>
              </w:rPr>
            </w:pPr>
          </w:p>
          <w:p w14:paraId="72136791"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Investeerimiskavaga ehitatakse ja renoveeritakse koolidega seotud spordirajatisi ja võidukuid, et tagada haridusvõimaluste kasv ja koolirajatiste tugevdamine, mis soodustab kooliaja pikenemist. Algatus peaks soodustama kooli integreerimist ümbritsevate piirkondadega ning edendama spordi- ja motoorikategevust.</w:t>
            </w:r>
          </w:p>
          <w:p w14:paraId="6D792A5F" w14:textId="77777777" w:rsidR="0084326C" w:rsidRPr="005D68A0" w:rsidRDefault="0084326C">
            <w:pPr>
              <w:rPr>
                <w:rFonts w:ascii="Arial Narrow" w:hAnsi="Arial Narrow"/>
                <w:noProof/>
                <w:color w:val="006100"/>
                <w:sz w:val="20"/>
                <w:szCs w:val="20"/>
                <w:lang w:val="en-GB"/>
              </w:rPr>
            </w:pPr>
          </w:p>
        </w:tc>
      </w:tr>
      <w:tr w:rsidR="0084326C" w:rsidRPr="00D90835" w14:paraId="00A88AC4" w14:textId="77777777">
        <w:trPr>
          <w:trHeight w:val="309"/>
        </w:trPr>
        <w:tc>
          <w:tcPr>
            <w:tcW w:w="380" w:type="pct"/>
            <w:shd w:val="clear" w:color="auto" w:fill="C6EFCE"/>
            <w:noWrap/>
            <w:vAlign w:val="center"/>
          </w:tcPr>
          <w:p w14:paraId="3B4D18E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M4C1-9</w:t>
            </w:r>
          </w:p>
        </w:tc>
        <w:tc>
          <w:tcPr>
            <w:tcW w:w="500" w:type="pct"/>
            <w:shd w:val="clear" w:color="auto" w:fill="C6EFCE"/>
            <w:noWrap/>
            <w:vAlign w:val="center"/>
          </w:tcPr>
          <w:p w14:paraId="17C1D6E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1.1. Lasteaedu, eelkoole ning alusharidust ja lastehoiuteenuseid käsitlev kava</w:t>
            </w:r>
          </w:p>
        </w:tc>
        <w:tc>
          <w:tcPr>
            <w:tcW w:w="358" w:type="pct"/>
            <w:shd w:val="clear" w:color="auto" w:fill="C6EFCE"/>
            <w:noWrap/>
            <w:vAlign w:val="center"/>
          </w:tcPr>
          <w:p w14:paraId="025EF6A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572" w:type="pct"/>
            <w:shd w:val="clear" w:color="auto" w:fill="C6EFCE"/>
            <w:noWrap/>
            <w:vAlign w:val="center"/>
          </w:tcPr>
          <w:p w14:paraId="1028184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Lasteaedade ja eelkoolide ning alushariduse ja lastehoiuteenuste ehitamist, renoveerimist ja nende turvalisuse tagamist käsitlevate lepingute sõlmimine</w:t>
            </w:r>
          </w:p>
        </w:tc>
        <w:tc>
          <w:tcPr>
            <w:tcW w:w="480" w:type="pct"/>
            <w:shd w:val="clear" w:color="auto" w:fill="C6EFCE"/>
            <w:noWrap/>
            <w:vAlign w:val="center"/>
          </w:tcPr>
          <w:p w14:paraId="6D37AEC3" w14:textId="77777777" w:rsidR="0084326C" w:rsidRPr="005D68A0" w:rsidRDefault="0084326C">
            <w:pPr>
              <w:jc w:val="center"/>
              <w:rPr>
                <w:rFonts w:ascii="Arial Narrow" w:hAnsi="Arial Narrow"/>
                <w:noProof/>
                <w:color w:val="006100"/>
                <w:sz w:val="20"/>
                <w:szCs w:val="20"/>
                <w:lang w:val="en-GB"/>
              </w:rPr>
            </w:pPr>
          </w:p>
          <w:p w14:paraId="0C38595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Toetusesaajate teavitamine kohalike ametiasutuste poolt esimeste abikõlblike sekkumiste hankelepingute sõlmimise rahastamise kohta</w:t>
            </w:r>
          </w:p>
        </w:tc>
        <w:tc>
          <w:tcPr>
            <w:tcW w:w="422" w:type="pct"/>
            <w:shd w:val="clear" w:color="auto" w:fill="C6EFCE"/>
            <w:noWrap/>
            <w:vAlign w:val="center"/>
          </w:tcPr>
          <w:p w14:paraId="68C7303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75" w:type="pct"/>
            <w:shd w:val="clear" w:color="auto" w:fill="C6EFCE"/>
            <w:noWrap/>
            <w:vAlign w:val="center"/>
          </w:tcPr>
          <w:p w14:paraId="3C92C71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43" w:type="pct"/>
            <w:shd w:val="clear" w:color="auto" w:fill="C6EFCE"/>
            <w:noWrap/>
            <w:vAlign w:val="center"/>
          </w:tcPr>
          <w:p w14:paraId="65EC8DE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286" w:type="pct"/>
            <w:shd w:val="clear" w:color="auto" w:fill="C6EFCE"/>
            <w:noWrap/>
            <w:vAlign w:val="center"/>
          </w:tcPr>
          <w:p w14:paraId="3F0CBAD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238" w:type="pct"/>
            <w:shd w:val="clear" w:color="auto" w:fill="C6EFCE"/>
            <w:noWrap/>
            <w:vAlign w:val="center"/>
          </w:tcPr>
          <w:p w14:paraId="6669E2B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2023</w:t>
            </w:r>
          </w:p>
        </w:tc>
        <w:tc>
          <w:tcPr>
            <w:tcW w:w="1047" w:type="pct"/>
            <w:shd w:val="clear" w:color="auto" w:fill="C6EFCE"/>
            <w:noWrap/>
            <w:vAlign w:val="center"/>
          </w:tcPr>
          <w:p w14:paraId="072A6670"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Lasteaedu ja eelkoole ning alusharidust ja lastehoiuteenuseid käsitlevate lepingute sõlmimine ja territoriaalne jaotus Lepingud sõlmitakse kooskõlas „ei kahjusta oluliselt“ tehniliste suunistega (2021/C58/01), kasutades välistamisnimekirja ning nõuet järgida asjaomaseid ELi ja riiklikke keskkonnaalaseid õigusakte.</w:t>
            </w:r>
          </w:p>
        </w:tc>
      </w:tr>
      <w:tr w:rsidR="0084326C" w:rsidRPr="00D90835" w14:paraId="4D3FD088" w14:textId="77777777">
        <w:trPr>
          <w:trHeight w:val="309"/>
        </w:trPr>
        <w:tc>
          <w:tcPr>
            <w:tcW w:w="380" w:type="pct"/>
            <w:shd w:val="clear" w:color="auto" w:fill="C6EFCE"/>
            <w:noWrap/>
            <w:vAlign w:val="center"/>
          </w:tcPr>
          <w:p w14:paraId="5CE03DE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M4C1-10</w:t>
            </w:r>
          </w:p>
        </w:tc>
        <w:tc>
          <w:tcPr>
            <w:tcW w:w="500" w:type="pct"/>
            <w:shd w:val="clear" w:color="auto" w:fill="C6EFCE"/>
            <w:noWrap/>
            <w:vAlign w:val="center"/>
          </w:tcPr>
          <w:p w14:paraId="21B358F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Reform 2.1. Õpetajate värbamine; Reform 1.3. Koolisüsteemi ümberkorraldamine; Reform 1.2. Kolmanda taseme kutseõppesüsteemi reform; Reform 1.4. „Suunitluse“ süsteemi reform; Reform 1.5. Ülikoolikraadiga rühmade reform; Reform 1.6. Ülikoolidiplomite reformi võimaldamine</w:t>
            </w:r>
          </w:p>
        </w:tc>
        <w:tc>
          <w:tcPr>
            <w:tcW w:w="358" w:type="pct"/>
            <w:shd w:val="clear" w:color="auto" w:fill="C6EFCE"/>
            <w:noWrap/>
            <w:vAlign w:val="center"/>
          </w:tcPr>
          <w:p w14:paraId="78694B8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572" w:type="pct"/>
            <w:shd w:val="clear" w:color="auto" w:fill="C6EFCE"/>
            <w:noWrap/>
            <w:vAlign w:val="center"/>
          </w:tcPr>
          <w:p w14:paraId="7A82882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Määruste jõustumine, et vajaduse korral tõhusalt rakendada ja kohaldada kõiki meetmeid, mis on seotud alg-, kesk- ja kolmanda taseme hariduse reformidega</w:t>
            </w:r>
          </w:p>
        </w:tc>
        <w:tc>
          <w:tcPr>
            <w:tcW w:w="480" w:type="pct"/>
            <w:shd w:val="clear" w:color="auto" w:fill="C6EFCE"/>
            <w:noWrap/>
            <w:vAlign w:val="center"/>
          </w:tcPr>
          <w:p w14:paraId="7CAE1668" w14:textId="622B746E" w:rsidR="0084326C" w:rsidRPr="005D68A0" w:rsidRDefault="0084326C">
            <w:pPr>
              <w:jc w:val="center"/>
              <w:rPr>
                <w:rFonts w:ascii="Arial Narrow" w:hAnsi="Arial Narrow"/>
                <w:noProof/>
                <w:color w:val="375623"/>
                <w:sz w:val="20"/>
                <w:szCs w:val="20"/>
              </w:rPr>
            </w:pPr>
            <w:r>
              <w:rPr>
                <w:rFonts w:ascii="Arial Narrow" w:hAnsi="Arial Narrow"/>
                <w:noProof/>
                <w:color w:val="006100"/>
                <w:sz w:val="20"/>
              </w:rPr>
              <w:t xml:space="preserve">Seaduse säte, mis viitab määruste jõustumisele. </w:t>
            </w:r>
          </w:p>
        </w:tc>
        <w:tc>
          <w:tcPr>
            <w:tcW w:w="422" w:type="pct"/>
            <w:shd w:val="clear" w:color="auto" w:fill="C6EFCE"/>
            <w:noWrap/>
            <w:vAlign w:val="center"/>
          </w:tcPr>
          <w:p w14:paraId="3D9E96A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75" w:type="pct"/>
            <w:shd w:val="clear" w:color="auto" w:fill="C6EFCE"/>
            <w:noWrap/>
            <w:vAlign w:val="center"/>
          </w:tcPr>
          <w:p w14:paraId="080777A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43" w:type="pct"/>
            <w:shd w:val="clear" w:color="auto" w:fill="C6EFCE"/>
            <w:noWrap/>
            <w:vAlign w:val="center"/>
          </w:tcPr>
          <w:p w14:paraId="21858DA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286" w:type="pct"/>
            <w:shd w:val="clear" w:color="auto" w:fill="C6EFCE"/>
            <w:noWrap/>
            <w:vAlign w:val="center"/>
          </w:tcPr>
          <w:p w14:paraId="1B98B0B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38" w:type="pct"/>
            <w:shd w:val="clear" w:color="auto" w:fill="C6EFCE"/>
            <w:noWrap/>
            <w:vAlign w:val="center"/>
          </w:tcPr>
          <w:p w14:paraId="4BC01CE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2023</w:t>
            </w:r>
          </w:p>
        </w:tc>
        <w:tc>
          <w:tcPr>
            <w:tcW w:w="1047" w:type="pct"/>
            <w:shd w:val="clear" w:color="auto" w:fill="C6EFCE"/>
            <w:noWrap/>
            <w:vAlign w:val="center"/>
          </w:tcPr>
          <w:p w14:paraId="2422454E"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Teisesed õigusaktid sisaldavad kõiki vajalikke määrusi, et tõhusalt rakendada ja kohaldada kõiki meetmeid, mis on seotud alg-, kesk- ja kolmanda taseme hariduse reformidega:</w:t>
            </w:r>
          </w:p>
          <w:p w14:paraId="51C98452"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Kolmanda taseme haridussüsteemi reformid haridustulemuste parandamiseks (esmased õigusaktid) järgmistes valdkondades: a) võimaldada akadeemilisi kraade; b) ülikoolikraad; c) doktoriõppe programmide reform;</w:t>
            </w:r>
          </w:p>
          <w:p w14:paraId="3AE62677"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Ministri dekreedid stipendiumide reformimiseks, et parandada juurdepääsu kolmanda taseme haridusele;</w:t>
            </w:r>
          </w:p>
          <w:p w14:paraId="2A5E738E"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Õpetajakutse reform;</w:t>
            </w:r>
          </w:p>
          <w:p w14:paraId="0483DDA4"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Alg- ja keskharidussüsteemi reformid haridustulemuste parandamiseks;</w:t>
            </w:r>
          </w:p>
          <w:p w14:paraId="51DA81E4"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 Õigusaktid, mille eesmärk on luua kooli jaoks kvaliteetne koolitussüsteem. </w:t>
            </w:r>
          </w:p>
          <w:p w14:paraId="46B5F333" w14:textId="77777777" w:rsidR="0084326C" w:rsidRPr="00F33804" w:rsidRDefault="0084326C">
            <w:pPr>
              <w:rPr>
                <w:rFonts w:ascii="Arial Narrow" w:hAnsi="Arial Narrow"/>
                <w:noProof/>
                <w:color w:val="006100"/>
                <w:sz w:val="20"/>
                <w:szCs w:val="20"/>
              </w:rPr>
            </w:pPr>
          </w:p>
        </w:tc>
      </w:tr>
      <w:tr w:rsidR="0084326C" w:rsidRPr="00D90835" w14:paraId="1212363D" w14:textId="77777777">
        <w:trPr>
          <w:trHeight w:val="309"/>
        </w:trPr>
        <w:tc>
          <w:tcPr>
            <w:tcW w:w="380" w:type="pct"/>
            <w:shd w:val="clear" w:color="auto" w:fill="C6EFCE"/>
            <w:noWrap/>
            <w:vAlign w:val="center"/>
          </w:tcPr>
          <w:p w14:paraId="242FC58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M4C1–10a</w:t>
            </w:r>
          </w:p>
        </w:tc>
        <w:tc>
          <w:tcPr>
            <w:tcW w:w="500" w:type="pct"/>
            <w:shd w:val="clear" w:color="auto" w:fill="C6EFCE"/>
            <w:noWrap/>
            <w:vAlign w:val="center"/>
          </w:tcPr>
          <w:p w14:paraId="57BA8B6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Reform 1.1. Tehniliste ja kutseinstituutide reform</w:t>
            </w:r>
          </w:p>
        </w:tc>
        <w:tc>
          <w:tcPr>
            <w:tcW w:w="358" w:type="pct"/>
            <w:shd w:val="clear" w:color="auto" w:fill="C6EFCE"/>
            <w:noWrap/>
            <w:vAlign w:val="center"/>
          </w:tcPr>
          <w:p w14:paraId="2A8234A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572" w:type="pct"/>
            <w:shd w:val="clear" w:color="auto" w:fill="C6EFCE"/>
            <w:noWrap/>
            <w:vAlign w:val="center"/>
          </w:tcPr>
          <w:p w14:paraId="602A9C6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Teisesed õigusaktid on jõustunud</w:t>
            </w:r>
          </w:p>
        </w:tc>
        <w:tc>
          <w:tcPr>
            <w:tcW w:w="480" w:type="pct"/>
            <w:shd w:val="clear" w:color="auto" w:fill="C6EFCE"/>
            <w:noWrap/>
            <w:vAlign w:val="center"/>
          </w:tcPr>
          <w:p w14:paraId="5DBFA61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Teisese õiguse jõustumisele viitav õigusnorm</w:t>
            </w:r>
          </w:p>
        </w:tc>
        <w:tc>
          <w:tcPr>
            <w:tcW w:w="422" w:type="pct"/>
            <w:shd w:val="clear" w:color="auto" w:fill="C6EFCE"/>
            <w:noWrap/>
            <w:vAlign w:val="center"/>
          </w:tcPr>
          <w:p w14:paraId="1C53857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75" w:type="pct"/>
            <w:shd w:val="clear" w:color="auto" w:fill="C6EFCE"/>
            <w:noWrap/>
            <w:vAlign w:val="center"/>
          </w:tcPr>
          <w:p w14:paraId="4B3305A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43" w:type="pct"/>
            <w:shd w:val="clear" w:color="auto" w:fill="C6EFCE"/>
            <w:noWrap/>
            <w:vAlign w:val="center"/>
          </w:tcPr>
          <w:p w14:paraId="7F6CF46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286" w:type="pct"/>
            <w:shd w:val="clear" w:color="auto" w:fill="C6EFCE"/>
            <w:noWrap/>
            <w:vAlign w:val="center"/>
          </w:tcPr>
          <w:p w14:paraId="11E9866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4. kv </w:t>
            </w:r>
          </w:p>
        </w:tc>
        <w:tc>
          <w:tcPr>
            <w:tcW w:w="238" w:type="pct"/>
            <w:shd w:val="clear" w:color="auto" w:fill="C6EFCE"/>
            <w:noWrap/>
            <w:vAlign w:val="center"/>
          </w:tcPr>
          <w:p w14:paraId="46D6466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2024</w:t>
            </w:r>
          </w:p>
        </w:tc>
        <w:tc>
          <w:tcPr>
            <w:tcW w:w="1047" w:type="pct"/>
            <w:shd w:val="clear" w:color="auto" w:fill="C6EFCE"/>
            <w:noWrap/>
            <w:vAlign w:val="center"/>
          </w:tcPr>
          <w:p w14:paraId="2556E815"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Jõustusid teisesed õigusaktid tehniliste ja kutseinstituutide reformi kohta.</w:t>
            </w:r>
          </w:p>
        </w:tc>
      </w:tr>
      <w:tr w:rsidR="0084326C" w:rsidRPr="00D90835" w14:paraId="19979284" w14:textId="77777777">
        <w:trPr>
          <w:trHeight w:val="309"/>
        </w:trPr>
        <w:tc>
          <w:tcPr>
            <w:tcW w:w="380" w:type="pct"/>
            <w:shd w:val="clear" w:color="auto" w:fill="C6EFCE"/>
            <w:noWrap/>
            <w:vAlign w:val="center"/>
          </w:tcPr>
          <w:p w14:paraId="5FB7760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M4C1-11</w:t>
            </w:r>
          </w:p>
        </w:tc>
        <w:tc>
          <w:tcPr>
            <w:tcW w:w="500" w:type="pct"/>
            <w:shd w:val="clear" w:color="auto" w:fill="C6EFCE"/>
            <w:noWrap/>
            <w:vAlign w:val="center"/>
          </w:tcPr>
          <w:p w14:paraId="1C371F3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1.7. Stipendiumid ülikoolidesse pääsemiseks</w:t>
            </w:r>
          </w:p>
        </w:tc>
        <w:tc>
          <w:tcPr>
            <w:tcW w:w="358" w:type="pct"/>
            <w:shd w:val="clear" w:color="auto" w:fill="C6EFCE"/>
            <w:noWrap/>
            <w:vAlign w:val="center"/>
          </w:tcPr>
          <w:p w14:paraId="09B6525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572" w:type="pct"/>
            <w:shd w:val="clear" w:color="auto" w:fill="C6EFCE"/>
            <w:noWrap/>
            <w:vAlign w:val="center"/>
          </w:tcPr>
          <w:p w14:paraId="328070C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Ülikooli stipendium</w:t>
            </w:r>
          </w:p>
        </w:tc>
        <w:tc>
          <w:tcPr>
            <w:tcW w:w="480" w:type="pct"/>
            <w:shd w:val="clear" w:color="auto" w:fill="C6EFCE"/>
            <w:noWrap/>
            <w:vAlign w:val="center"/>
          </w:tcPr>
          <w:p w14:paraId="0474229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422" w:type="pct"/>
            <w:shd w:val="clear" w:color="auto" w:fill="C6EFCE"/>
            <w:noWrap/>
            <w:vAlign w:val="center"/>
          </w:tcPr>
          <w:p w14:paraId="7660DF7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75" w:type="pct"/>
            <w:shd w:val="clear" w:color="auto" w:fill="C6EFCE"/>
            <w:noWrap/>
            <w:vAlign w:val="center"/>
          </w:tcPr>
          <w:p w14:paraId="7D68B5E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343" w:type="pct"/>
            <w:shd w:val="clear" w:color="auto" w:fill="C6EFCE"/>
            <w:noWrap/>
            <w:vAlign w:val="center"/>
          </w:tcPr>
          <w:p w14:paraId="3518818B" w14:textId="34B18BC6"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55 000</w:t>
            </w:r>
          </w:p>
        </w:tc>
        <w:tc>
          <w:tcPr>
            <w:tcW w:w="286" w:type="pct"/>
            <w:shd w:val="clear" w:color="auto" w:fill="C6EFCE"/>
            <w:noWrap/>
            <w:vAlign w:val="center"/>
          </w:tcPr>
          <w:p w14:paraId="082E84B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38" w:type="pct"/>
            <w:shd w:val="clear" w:color="auto" w:fill="C6EFCE"/>
            <w:noWrap/>
            <w:vAlign w:val="center"/>
          </w:tcPr>
          <w:p w14:paraId="7BA73F4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2023</w:t>
            </w:r>
          </w:p>
        </w:tc>
        <w:tc>
          <w:tcPr>
            <w:tcW w:w="1047" w:type="pct"/>
            <w:shd w:val="clear" w:color="auto" w:fill="C6EFCE"/>
            <w:noWrap/>
            <w:vAlign w:val="center"/>
          </w:tcPr>
          <w:p w14:paraId="5A340B05" w14:textId="6D77783E" w:rsidR="0084326C" w:rsidRPr="005D68A0" w:rsidRDefault="0084326C">
            <w:pPr>
              <w:rPr>
                <w:rStyle w:val="normaltextrun"/>
                <w:rFonts w:ascii="Arial Narrow" w:eastAsiaTheme="majorEastAsia" w:hAnsi="Arial Narrow"/>
                <w:noProof/>
                <w:sz w:val="20"/>
                <w:szCs w:val="20"/>
              </w:rPr>
            </w:pPr>
            <w:r>
              <w:rPr>
                <w:rFonts w:ascii="Arial Narrow" w:hAnsi="Arial Narrow"/>
                <w:noProof/>
                <w:color w:val="006100"/>
                <w:sz w:val="20"/>
              </w:rPr>
              <w:t>Vähemalt 55 000 üliõpilast saavad stipendiumid, mida rahastatakse üksnes taaste- ja vastupidavusrahastu vahenditest</w:t>
            </w:r>
            <w:r>
              <w:rPr>
                <w:rStyle w:val="normaltextrun"/>
                <w:rFonts w:ascii="Arial Narrow" w:hAnsi="Arial Narrow"/>
                <w:noProof/>
                <w:color w:val="006100"/>
                <w:sz w:val="20"/>
                <w:shd w:val="clear" w:color="auto" w:fill="FFFFFF"/>
              </w:rPr>
              <w:t xml:space="preserve"> </w:t>
            </w:r>
          </w:p>
        </w:tc>
      </w:tr>
      <w:tr w:rsidR="0084326C" w:rsidRPr="00D90835" w14:paraId="1BD6157E" w14:textId="77777777">
        <w:trPr>
          <w:trHeight w:val="309"/>
        </w:trPr>
        <w:tc>
          <w:tcPr>
            <w:tcW w:w="380" w:type="pct"/>
            <w:shd w:val="clear" w:color="auto" w:fill="C6EFCE"/>
            <w:noWrap/>
            <w:vAlign w:val="center"/>
          </w:tcPr>
          <w:p w14:paraId="66DC814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M4C1-12</w:t>
            </w:r>
          </w:p>
        </w:tc>
        <w:tc>
          <w:tcPr>
            <w:tcW w:w="500" w:type="pct"/>
            <w:shd w:val="clear" w:color="auto" w:fill="C6EFCE"/>
            <w:noWrap/>
            <w:vAlign w:val="center"/>
          </w:tcPr>
          <w:p w14:paraId="345985B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4.1. Doktorikraadide arvu ja karjäärivõimaluste laiendamine (teadusuuringutele suunatud, avalik haldus ja kultuuripärand)</w:t>
            </w:r>
          </w:p>
        </w:tc>
        <w:tc>
          <w:tcPr>
            <w:tcW w:w="358" w:type="pct"/>
            <w:shd w:val="clear" w:color="auto" w:fill="C6EFCE"/>
            <w:noWrap/>
            <w:vAlign w:val="center"/>
          </w:tcPr>
          <w:p w14:paraId="696CC64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572" w:type="pct"/>
            <w:shd w:val="clear" w:color="auto" w:fill="C6EFCE"/>
            <w:noWrap/>
            <w:vAlign w:val="center"/>
          </w:tcPr>
          <w:p w14:paraId="0CFE8B9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Doktoriõppe stipendiumiprogrammid aastas (üle kolme aasta)</w:t>
            </w:r>
          </w:p>
        </w:tc>
        <w:tc>
          <w:tcPr>
            <w:tcW w:w="480" w:type="pct"/>
            <w:shd w:val="clear" w:color="auto" w:fill="C6EFCE"/>
            <w:noWrap/>
            <w:vAlign w:val="center"/>
          </w:tcPr>
          <w:p w14:paraId="1C3E3A3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422" w:type="pct"/>
            <w:shd w:val="clear" w:color="auto" w:fill="C6EFCE"/>
            <w:noWrap/>
            <w:vAlign w:val="center"/>
          </w:tcPr>
          <w:p w14:paraId="1A4BE3F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75" w:type="pct"/>
            <w:shd w:val="clear" w:color="auto" w:fill="C6EFCE"/>
            <w:noWrap/>
            <w:vAlign w:val="center"/>
          </w:tcPr>
          <w:p w14:paraId="6C76277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9 000</w:t>
            </w:r>
          </w:p>
        </w:tc>
        <w:tc>
          <w:tcPr>
            <w:tcW w:w="343" w:type="pct"/>
            <w:shd w:val="clear" w:color="auto" w:fill="C6EFCE"/>
            <w:noWrap/>
            <w:vAlign w:val="center"/>
          </w:tcPr>
          <w:p w14:paraId="0BD5EAA9" w14:textId="6C0534F5"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16 200</w:t>
            </w:r>
          </w:p>
        </w:tc>
        <w:tc>
          <w:tcPr>
            <w:tcW w:w="286" w:type="pct"/>
            <w:shd w:val="clear" w:color="auto" w:fill="C6EFCE"/>
            <w:noWrap/>
            <w:vAlign w:val="center"/>
          </w:tcPr>
          <w:p w14:paraId="28981FC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38" w:type="pct"/>
            <w:shd w:val="clear" w:color="auto" w:fill="C6EFCE"/>
            <w:noWrap/>
            <w:vAlign w:val="center"/>
          </w:tcPr>
          <w:p w14:paraId="6F08BD1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2024</w:t>
            </w:r>
          </w:p>
        </w:tc>
        <w:tc>
          <w:tcPr>
            <w:tcW w:w="1047" w:type="pct"/>
            <w:shd w:val="clear" w:color="auto" w:fill="C6EFCE"/>
            <w:noWrap/>
            <w:vAlign w:val="center"/>
          </w:tcPr>
          <w:p w14:paraId="3D4BB982"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Aastas (kolme aasta jooksul) antakse vähemalt 1 200 täiendavat doktoriõppe stipendiumiprogrammi; aastas (kolme aasta jooksul) antakse vähemalt 1 000 täiendavat riigihalduse doktoriõppe stipendiumiprogrammi; kultuuripärandi valdkonnas antakse aastas (üle kolme aasta) vähemalt 200 uut doktorikraadiga stipendiumiprogrammi.</w:t>
            </w:r>
          </w:p>
          <w:p w14:paraId="1D187E14"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Lähteolukorraks määrati praegune (ümardatud) doktoriõppe üliõpilaste arv, kes alustavad oma õppekava Itaalias igal aastal:</w:t>
            </w:r>
          </w:p>
          <w:p w14:paraId="4FA9948A" w14:textId="77777777" w:rsidR="0084326C" w:rsidRPr="00F33804" w:rsidRDefault="0084326C">
            <w:pPr>
              <w:rPr>
                <w:rFonts w:ascii="Arial Narrow" w:hAnsi="Arial Narrow"/>
                <w:noProof/>
                <w:color w:val="006100"/>
                <w:sz w:val="20"/>
                <w:szCs w:val="20"/>
              </w:rPr>
            </w:pPr>
          </w:p>
          <w:p w14:paraId="37B452B7"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a) doktorikraad kavandatakse selleks, et ettevõtteid paremini kaasata ja edendada rakendusuuringuid; </w:t>
            </w:r>
            <w:r>
              <w:rPr>
                <w:rFonts w:ascii="Arial Narrow" w:hAnsi="Arial Narrow"/>
                <w:noProof/>
              </w:rPr>
              <w:t xml:space="preserve"> </w:t>
            </w:r>
            <w:r>
              <w:rPr>
                <w:noProof/>
              </w:rPr>
              <w:t xml:space="preserve"> </w:t>
            </w:r>
            <w:r>
              <w:rPr>
                <w:noProof/>
              </w:rPr>
              <w:br/>
            </w:r>
            <w:r>
              <w:rPr>
                <w:rFonts w:ascii="Arial Narrow" w:hAnsi="Arial Narrow"/>
                <w:noProof/>
                <w:color w:val="006100"/>
                <w:sz w:val="20"/>
              </w:rPr>
              <w:t>b) avaliku halduse doktorikraad järgib reguleerivat raamistikku, mida rakendatakse koostöös avaliku halduse ministeeriumiga. Avaliku halduse doktoriõpet võib pakkuda eri doktoriõppeklassides, mille on kindlaks määranud Consiglio Universitario Nazionale (nt Õigus-, majandus- ja statistika-, poliitika- ja sotsiaalteadused), niivõrd kui selle eesmärk on kandidaadi kvalifitseerimine, et aidata kaasa tõhustatud valitsussüsteemide arendamisele.</w:t>
            </w:r>
            <w:r>
              <w:rPr>
                <w:rFonts w:ascii="Arial Narrow" w:hAnsi="Arial Narrow"/>
                <w:noProof/>
              </w:rPr>
              <w:t xml:space="preserve"> </w:t>
            </w:r>
            <w:r>
              <w:rPr>
                <w:noProof/>
              </w:rPr>
              <w:t xml:space="preserve"> </w:t>
            </w:r>
            <w:r>
              <w:rPr>
                <w:noProof/>
              </w:rPr>
              <w:br/>
            </w:r>
            <w:r>
              <w:rPr>
                <w:rFonts w:ascii="Arial Narrow" w:hAnsi="Arial Narrow"/>
                <w:noProof/>
                <w:color w:val="006100"/>
                <w:sz w:val="20"/>
              </w:rPr>
              <w:t>c) kultuuripärandi doktorikraadid peavad vastama raamistikule, mis määratakse kindlaks tihedas koostöös kultuuriministeeriumiga (näiteks antiikesemed, filoloogia, kirjandusuuringud, kunstiajalugu ja ajalugu, filosoofia, pedagoogika ja psühholoogia, nagu on kindlaks määranud CUN, Consiglio Universitario Nazionale).</w:t>
            </w:r>
          </w:p>
        </w:tc>
      </w:tr>
      <w:tr w:rsidR="0084326C" w:rsidRPr="00D90835" w14:paraId="68849891" w14:textId="77777777">
        <w:trPr>
          <w:trHeight w:val="309"/>
        </w:trPr>
        <w:tc>
          <w:tcPr>
            <w:tcW w:w="380" w:type="pct"/>
            <w:shd w:val="clear" w:color="auto" w:fill="C6EFCE"/>
            <w:noWrap/>
            <w:vAlign w:val="center"/>
          </w:tcPr>
          <w:p w14:paraId="7F03428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M4C1-13</w:t>
            </w:r>
          </w:p>
        </w:tc>
        <w:tc>
          <w:tcPr>
            <w:tcW w:w="500" w:type="pct"/>
            <w:shd w:val="clear" w:color="auto" w:fill="C6EFCE"/>
            <w:noWrap/>
            <w:vAlign w:val="center"/>
          </w:tcPr>
          <w:p w14:paraId="3B1C71B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2.1. Integreeritud digitaalne õpetamine ja koolitöötajate koolitamine digiülemineku valdkonnas;</w:t>
            </w:r>
          </w:p>
        </w:tc>
        <w:tc>
          <w:tcPr>
            <w:tcW w:w="358" w:type="pct"/>
            <w:shd w:val="clear" w:color="auto" w:fill="C6EFCE"/>
            <w:noWrap/>
            <w:vAlign w:val="center"/>
          </w:tcPr>
          <w:p w14:paraId="4D433B5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572" w:type="pct"/>
            <w:shd w:val="clear" w:color="auto" w:fill="C6EFCE"/>
            <w:noWrap/>
            <w:vAlign w:val="center"/>
          </w:tcPr>
          <w:p w14:paraId="27486BD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Koolijuhtide, õpetajate ja haldustöötajate koolitamine</w:t>
            </w:r>
          </w:p>
        </w:tc>
        <w:tc>
          <w:tcPr>
            <w:tcW w:w="480" w:type="pct"/>
            <w:shd w:val="clear" w:color="auto" w:fill="C6EFCE"/>
            <w:noWrap/>
            <w:vAlign w:val="center"/>
          </w:tcPr>
          <w:p w14:paraId="205E253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422" w:type="pct"/>
            <w:shd w:val="clear" w:color="auto" w:fill="C6EFCE"/>
            <w:noWrap/>
            <w:vAlign w:val="center"/>
          </w:tcPr>
          <w:p w14:paraId="56C7AB5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75" w:type="pct"/>
            <w:shd w:val="clear" w:color="auto" w:fill="C6EFCE"/>
            <w:noWrap/>
            <w:vAlign w:val="center"/>
          </w:tcPr>
          <w:p w14:paraId="45041C9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343" w:type="pct"/>
            <w:shd w:val="clear" w:color="auto" w:fill="C6EFCE"/>
            <w:noWrap/>
            <w:vAlign w:val="center"/>
          </w:tcPr>
          <w:p w14:paraId="49C8ADDB" w14:textId="647722B1"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650 000</w:t>
            </w:r>
          </w:p>
        </w:tc>
        <w:tc>
          <w:tcPr>
            <w:tcW w:w="286" w:type="pct"/>
            <w:shd w:val="clear" w:color="auto" w:fill="C6EFCE"/>
            <w:noWrap/>
            <w:vAlign w:val="center"/>
          </w:tcPr>
          <w:p w14:paraId="32C299D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38" w:type="pct"/>
            <w:shd w:val="clear" w:color="auto" w:fill="C6EFCE"/>
            <w:noWrap/>
            <w:vAlign w:val="center"/>
          </w:tcPr>
          <w:p w14:paraId="6E9429B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2025</w:t>
            </w:r>
          </w:p>
        </w:tc>
        <w:tc>
          <w:tcPr>
            <w:tcW w:w="1047" w:type="pct"/>
            <w:shd w:val="clear" w:color="auto" w:fill="C6EFCE"/>
            <w:noWrap/>
            <w:vAlign w:val="center"/>
          </w:tcPr>
          <w:p w14:paraId="45121BB0" w14:textId="4F6681D5" w:rsidR="0084326C" w:rsidRPr="005D68A0" w:rsidRDefault="0084326C">
            <w:pPr>
              <w:rPr>
                <w:rFonts w:ascii="Arial Narrow" w:hAnsi="Arial Narrow"/>
                <w:noProof/>
                <w:color w:val="006100"/>
                <w:sz w:val="20"/>
                <w:szCs w:val="20"/>
              </w:rPr>
            </w:pPr>
            <w:r>
              <w:rPr>
                <w:rFonts w:ascii="Arial Narrow" w:hAnsi="Arial Narrow"/>
                <w:noProof/>
                <w:color w:val="006100"/>
                <w:sz w:val="20"/>
              </w:rPr>
              <w:t>Koolitatakse vähemalt 650 000 koolijuhti, õpetajat ja haldustöötajat</w:t>
            </w:r>
          </w:p>
          <w:p w14:paraId="62BD1BA8" w14:textId="77777777" w:rsidR="0084326C" w:rsidRPr="00F33804" w:rsidRDefault="0084326C">
            <w:pPr>
              <w:rPr>
                <w:rFonts w:ascii="Arial Narrow" w:hAnsi="Arial Narrow"/>
                <w:noProof/>
                <w:color w:val="006100"/>
                <w:sz w:val="20"/>
                <w:szCs w:val="20"/>
              </w:rPr>
            </w:pPr>
          </w:p>
          <w:p w14:paraId="0BDAEB61" w14:textId="09936B95" w:rsidR="0084326C" w:rsidRPr="005D68A0" w:rsidRDefault="0084326C">
            <w:pPr>
              <w:rPr>
                <w:rFonts w:ascii="Arial Narrow" w:hAnsi="Arial Narrow"/>
                <w:noProof/>
                <w:color w:val="006100"/>
                <w:sz w:val="20"/>
                <w:szCs w:val="20"/>
              </w:rPr>
            </w:pPr>
            <w:r>
              <w:rPr>
                <w:rFonts w:ascii="Arial Narrow" w:hAnsi="Arial Narrow"/>
                <w:noProof/>
                <w:color w:val="006100"/>
                <w:sz w:val="20"/>
              </w:rPr>
              <w:t>Integreeritud digitaalne haridus ja koolitöötajate koolitus digitaalses üleminekus (650 000 õpetajat, juhti ja administratiivtöötajat, üldine koolitus).</w:t>
            </w:r>
          </w:p>
        </w:tc>
      </w:tr>
      <w:tr w:rsidR="0084326C" w:rsidRPr="00D90835" w14:paraId="11B89C65" w14:textId="77777777">
        <w:trPr>
          <w:trHeight w:val="309"/>
        </w:trPr>
        <w:tc>
          <w:tcPr>
            <w:tcW w:w="380" w:type="pct"/>
            <w:shd w:val="clear" w:color="auto" w:fill="C6EFCE"/>
            <w:noWrap/>
            <w:vAlign w:val="center"/>
          </w:tcPr>
          <w:p w14:paraId="41DDD29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M4C1-14</w:t>
            </w:r>
          </w:p>
          <w:p w14:paraId="75E48B26" w14:textId="77777777" w:rsidR="0084326C" w:rsidRPr="005D68A0" w:rsidRDefault="0084326C">
            <w:pPr>
              <w:jc w:val="center"/>
              <w:rPr>
                <w:rFonts w:ascii="Arial Narrow" w:hAnsi="Arial Narrow"/>
                <w:noProof/>
                <w:color w:val="006100"/>
                <w:sz w:val="20"/>
                <w:szCs w:val="20"/>
                <w:lang w:val="en-GB"/>
              </w:rPr>
            </w:pPr>
          </w:p>
        </w:tc>
        <w:tc>
          <w:tcPr>
            <w:tcW w:w="500" w:type="pct"/>
            <w:shd w:val="clear" w:color="auto" w:fill="C6EFCE"/>
            <w:noWrap/>
            <w:vAlign w:val="center"/>
          </w:tcPr>
          <w:p w14:paraId="5BBB15A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Reform 2.1. Õpetajate värbamine</w:t>
            </w:r>
          </w:p>
        </w:tc>
        <w:tc>
          <w:tcPr>
            <w:tcW w:w="358" w:type="pct"/>
            <w:shd w:val="clear" w:color="auto" w:fill="C6EFCE"/>
            <w:noWrap/>
            <w:vAlign w:val="center"/>
          </w:tcPr>
          <w:p w14:paraId="333ABAC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572" w:type="pct"/>
            <w:shd w:val="clear" w:color="auto" w:fill="C6EFCE"/>
            <w:noWrap/>
            <w:vAlign w:val="center"/>
          </w:tcPr>
          <w:p w14:paraId="6F1B471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Reformitud värbamissüsteemiga tööle võetud õpetajad</w:t>
            </w:r>
          </w:p>
        </w:tc>
        <w:tc>
          <w:tcPr>
            <w:tcW w:w="480" w:type="pct"/>
            <w:shd w:val="clear" w:color="auto" w:fill="C6EFCE"/>
            <w:noWrap/>
            <w:vAlign w:val="center"/>
          </w:tcPr>
          <w:p w14:paraId="04833A6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422" w:type="pct"/>
            <w:shd w:val="clear" w:color="auto" w:fill="C6EFCE"/>
            <w:noWrap/>
            <w:vAlign w:val="center"/>
          </w:tcPr>
          <w:p w14:paraId="3964AE2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75" w:type="pct"/>
            <w:shd w:val="clear" w:color="auto" w:fill="C6EFCE"/>
            <w:noWrap/>
            <w:vAlign w:val="center"/>
          </w:tcPr>
          <w:p w14:paraId="6678F59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343" w:type="pct"/>
            <w:shd w:val="clear" w:color="auto" w:fill="C6EFCE"/>
            <w:noWrap/>
            <w:vAlign w:val="center"/>
          </w:tcPr>
          <w:p w14:paraId="497368C4" w14:textId="1E19E829"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20 000</w:t>
            </w:r>
          </w:p>
        </w:tc>
        <w:tc>
          <w:tcPr>
            <w:tcW w:w="286" w:type="pct"/>
            <w:shd w:val="clear" w:color="auto" w:fill="C6EFCE"/>
            <w:noWrap/>
            <w:vAlign w:val="center"/>
          </w:tcPr>
          <w:p w14:paraId="6B87142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38" w:type="pct"/>
            <w:shd w:val="clear" w:color="auto" w:fill="C6EFCE"/>
            <w:noWrap/>
            <w:vAlign w:val="center"/>
          </w:tcPr>
          <w:p w14:paraId="381CD3B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2024</w:t>
            </w:r>
          </w:p>
        </w:tc>
        <w:tc>
          <w:tcPr>
            <w:tcW w:w="1047" w:type="pct"/>
            <w:shd w:val="clear" w:color="auto" w:fill="C6EFCE"/>
            <w:noWrap/>
            <w:vAlign w:val="center"/>
          </w:tcPr>
          <w:p w14:paraId="44F1F7B4" w14:textId="5AAB2E36" w:rsidR="0084326C" w:rsidRPr="005D68A0" w:rsidRDefault="0084326C">
            <w:pPr>
              <w:rPr>
                <w:rFonts w:ascii="Arial Narrow" w:hAnsi="Arial Narrow"/>
                <w:noProof/>
                <w:color w:val="006100"/>
                <w:sz w:val="20"/>
                <w:szCs w:val="20"/>
              </w:rPr>
            </w:pPr>
            <w:r>
              <w:rPr>
                <w:rFonts w:ascii="Arial Narrow" w:hAnsi="Arial Narrow"/>
                <w:noProof/>
                <w:color w:val="006100"/>
                <w:sz w:val="20"/>
              </w:rPr>
              <w:t>Reformitud värbamissüsteemiga tööle võetud vähemalt 20 000 õpetajad</w:t>
            </w:r>
          </w:p>
        </w:tc>
      </w:tr>
      <w:tr w:rsidR="0084326C" w:rsidRPr="00D90835" w14:paraId="210A3672" w14:textId="77777777">
        <w:trPr>
          <w:trHeight w:val="309"/>
        </w:trPr>
        <w:tc>
          <w:tcPr>
            <w:tcW w:w="380" w:type="pct"/>
            <w:shd w:val="clear" w:color="auto" w:fill="C6EFCE"/>
            <w:noWrap/>
            <w:vAlign w:val="center"/>
          </w:tcPr>
          <w:p w14:paraId="725486A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M4C1–14a</w:t>
            </w:r>
          </w:p>
        </w:tc>
        <w:tc>
          <w:tcPr>
            <w:tcW w:w="500" w:type="pct"/>
            <w:shd w:val="clear" w:color="auto" w:fill="C6EFCE"/>
            <w:noWrap/>
            <w:vAlign w:val="center"/>
          </w:tcPr>
          <w:p w14:paraId="2FBEF58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Reform 2.1. Õpetajate värbamine  </w:t>
            </w:r>
          </w:p>
        </w:tc>
        <w:tc>
          <w:tcPr>
            <w:tcW w:w="358" w:type="pct"/>
            <w:shd w:val="clear" w:color="auto" w:fill="C6EFCE"/>
            <w:noWrap/>
            <w:vAlign w:val="center"/>
          </w:tcPr>
          <w:p w14:paraId="4BDE513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Siht </w:t>
            </w:r>
          </w:p>
        </w:tc>
        <w:tc>
          <w:tcPr>
            <w:tcW w:w="572" w:type="pct"/>
            <w:shd w:val="clear" w:color="auto" w:fill="C6EFCE"/>
            <w:noWrap/>
            <w:vAlign w:val="center"/>
          </w:tcPr>
          <w:p w14:paraId="2ADEEA5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Reformitud värbamissüsteemiga tööle võetud õpetajad</w:t>
            </w:r>
          </w:p>
        </w:tc>
        <w:tc>
          <w:tcPr>
            <w:tcW w:w="480" w:type="pct"/>
            <w:shd w:val="clear" w:color="auto" w:fill="C6EFCE"/>
            <w:noWrap/>
            <w:vAlign w:val="center"/>
          </w:tcPr>
          <w:p w14:paraId="44D12EB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Ei kohaldata </w:t>
            </w:r>
          </w:p>
        </w:tc>
        <w:tc>
          <w:tcPr>
            <w:tcW w:w="422" w:type="pct"/>
            <w:shd w:val="clear" w:color="auto" w:fill="C6EFCE"/>
            <w:noWrap/>
            <w:vAlign w:val="center"/>
          </w:tcPr>
          <w:p w14:paraId="27FA599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Arv </w:t>
            </w:r>
          </w:p>
        </w:tc>
        <w:tc>
          <w:tcPr>
            <w:tcW w:w="375" w:type="pct"/>
            <w:shd w:val="clear" w:color="auto" w:fill="C6EFCE"/>
            <w:noWrap/>
            <w:vAlign w:val="center"/>
          </w:tcPr>
          <w:p w14:paraId="4A4C667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0 </w:t>
            </w:r>
          </w:p>
        </w:tc>
        <w:tc>
          <w:tcPr>
            <w:tcW w:w="343" w:type="pct"/>
            <w:shd w:val="clear" w:color="auto" w:fill="C6EFCE"/>
            <w:noWrap/>
            <w:vAlign w:val="center"/>
          </w:tcPr>
          <w:p w14:paraId="70032D21" w14:textId="18DEDFF6"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20 000</w:t>
            </w:r>
          </w:p>
        </w:tc>
        <w:tc>
          <w:tcPr>
            <w:tcW w:w="286" w:type="pct"/>
            <w:shd w:val="clear" w:color="auto" w:fill="C6EFCE"/>
            <w:noWrap/>
            <w:vAlign w:val="center"/>
          </w:tcPr>
          <w:p w14:paraId="44E745A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3. kv</w:t>
            </w:r>
          </w:p>
        </w:tc>
        <w:tc>
          <w:tcPr>
            <w:tcW w:w="238" w:type="pct"/>
            <w:shd w:val="clear" w:color="auto" w:fill="C6EFCE"/>
            <w:noWrap/>
            <w:vAlign w:val="center"/>
          </w:tcPr>
          <w:p w14:paraId="7767B21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2025 </w:t>
            </w:r>
          </w:p>
        </w:tc>
        <w:tc>
          <w:tcPr>
            <w:tcW w:w="1047" w:type="pct"/>
            <w:shd w:val="clear" w:color="auto" w:fill="C6EFCE"/>
            <w:noWrap/>
            <w:vAlign w:val="center"/>
          </w:tcPr>
          <w:p w14:paraId="6029074E" w14:textId="721936F2" w:rsidR="0084326C" w:rsidRPr="005D68A0" w:rsidRDefault="0084326C">
            <w:pPr>
              <w:rPr>
                <w:rFonts w:ascii="Arial Narrow" w:hAnsi="Arial Narrow"/>
                <w:noProof/>
                <w:color w:val="006100"/>
                <w:sz w:val="20"/>
                <w:szCs w:val="20"/>
              </w:rPr>
            </w:pPr>
            <w:r>
              <w:rPr>
                <w:rFonts w:ascii="Arial Narrow" w:hAnsi="Arial Narrow"/>
                <w:noProof/>
                <w:color w:val="006100"/>
                <w:sz w:val="20"/>
              </w:rPr>
              <w:t>Reformitud värbamissüsteemiga tööle võetud vähemalt 20 000 õpetajad</w:t>
            </w:r>
          </w:p>
        </w:tc>
      </w:tr>
      <w:tr w:rsidR="0084326C" w:rsidRPr="00D90835" w14:paraId="0009746C" w14:textId="77777777">
        <w:trPr>
          <w:trHeight w:val="309"/>
        </w:trPr>
        <w:tc>
          <w:tcPr>
            <w:tcW w:w="380" w:type="pct"/>
            <w:shd w:val="clear" w:color="auto" w:fill="C6EFCE"/>
            <w:noWrap/>
            <w:vAlign w:val="center"/>
          </w:tcPr>
          <w:p w14:paraId="1FD7779A" w14:textId="1A24B311"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M4C1–14ter</w:t>
            </w:r>
          </w:p>
        </w:tc>
        <w:tc>
          <w:tcPr>
            <w:tcW w:w="500" w:type="pct"/>
            <w:shd w:val="clear" w:color="auto" w:fill="C6EFCE"/>
            <w:noWrap/>
            <w:vAlign w:val="center"/>
          </w:tcPr>
          <w:p w14:paraId="28140DA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Reform 2.1. Õpetajate värbamine</w:t>
            </w:r>
          </w:p>
        </w:tc>
        <w:tc>
          <w:tcPr>
            <w:tcW w:w="358" w:type="pct"/>
            <w:shd w:val="clear" w:color="auto" w:fill="C6EFCE"/>
            <w:noWrap/>
            <w:vAlign w:val="center"/>
          </w:tcPr>
          <w:p w14:paraId="245CE78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572" w:type="pct"/>
            <w:shd w:val="clear" w:color="auto" w:fill="C6EFCE"/>
            <w:noWrap/>
            <w:vAlign w:val="center"/>
          </w:tcPr>
          <w:p w14:paraId="1B2A3B4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Kandidaadid, kes on reformitud värbamissüsteemi kohaselt edukalt läbinud avaliku konkursi õpetajateks saamiseks.</w:t>
            </w:r>
          </w:p>
        </w:tc>
        <w:tc>
          <w:tcPr>
            <w:tcW w:w="480" w:type="pct"/>
            <w:shd w:val="clear" w:color="auto" w:fill="C6EFCE"/>
            <w:noWrap/>
            <w:vAlign w:val="center"/>
          </w:tcPr>
          <w:p w14:paraId="3E30A62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Ei kohaldata </w:t>
            </w:r>
          </w:p>
        </w:tc>
        <w:tc>
          <w:tcPr>
            <w:tcW w:w="422" w:type="pct"/>
            <w:shd w:val="clear" w:color="auto" w:fill="C6EFCE"/>
            <w:noWrap/>
            <w:vAlign w:val="center"/>
          </w:tcPr>
          <w:p w14:paraId="6B61EE3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75" w:type="pct"/>
            <w:shd w:val="clear" w:color="auto" w:fill="C6EFCE"/>
            <w:noWrap/>
            <w:vAlign w:val="center"/>
          </w:tcPr>
          <w:p w14:paraId="26FCB6F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343" w:type="pct"/>
            <w:shd w:val="clear" w:color="auto" w:fill="C6EFCE"/>
            <w:noWrap/>
            <w:vAlign w:val="center"/>
          </w:tcPr>
          <w:p w14:paraId="48039BF6" w14:textId="4B2B8BC2"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30 000</w:t>
            </w:r>
          </w:p>
        </w:tc>
        <w:tc>
          <w:tcPr>
            <w:tcW w:w="286" w:type="pct"/>
            <w:shd w:val="clear" w:color="auto" w:fill="C6EFCE"/>
            <w:noWrap/>
            <w:vAlign w:val="center"/>
          </w:tcPr>
          <w:p w14:paraId="4D8306B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2. kv </w:t>
            </w:r>
          </w:p>
        </w:tc>
        <w:tc>
          <w:tcPr>
            <w:tcW w:w="238" w:type="pct"/>
            <w:shd w:val="clear" w:color="auto" w:fill="C6EFCE"/>
            <w:noWrap/>
            <w:vAlign w:val="center"/>
          </w:tcPr>
          <w:p w14:paraId="36A6100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1047" w:type="pct"/>
            <w:shd w:val="clear" w:color="auto" w:fill="C6EFCE"/>
            <w:noWrap/>
            <w:vAlign w:val="center"/>
          </w:tcPr>
          <w:p w14:paraId="1BC172B9" w14:textId="154BF46D"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Reformitud värbamissüsteemi kohaselt on edukalt läbinud avaliku konkursi õpetajateks saamiseks vähemalt 30 000 kandidaati.  </w:t>
            </w:r>
          </w:p>
          <w:p w14:paraId="675AF40D" w14:textId="77777777" w:rsidR="0084326C" w:rsidRPr="00F33804" w:rsidRDefault="0084326C">
            <w:pPr>
              <w:rPr>
                <w:rFonts w:ascii="Arial Narrow" w:hAnsi="Arial Narrow"/>
                <w:noProof/>
                <w:color w:val="006100"/>
                <w:sz w:val="20"/>
                <w:szCs w:val="20"/>
              </w:rPr>
            </w:pPr>
          </w:p>
          <w:p w14:paraId="2751968D"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Kõik edukad kandidaadid peavad enne avalikus konkursis osalemist olema läbinud alusõppe 60 ECTSi.</w:t>
            </w:r>
          </w:p>
        </w:tc>
      </w:tr>
      <w:tr w:rsidR="0084326C" w:rsidRPr="00D90835" w14:paraId="60616FAC" w14:textId="77777777">
        <w:trPr>
          <w:trHeight w:val="309"/>
        </w:trPr>
        <w:tc>
          <w:tcPr>
            <w:tcW w:w="380" w:type="pct"/>
            <w:shd w:val="clear" w:color="auto" w:fill="C6EFCE"/>
            <w:noWrap/>
            <w:vAlign w:val="center"/>
          </w:tcPr>
          <w:p w14:paraId="05C3F48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M4C1-15</w:t>
            </w:r>
          </w:p>
        </w:tc>
        <w:tc>
          <w:tcPr>
            <w:tcW w:w="500" w:type="pct"/>
            <w:shd w:val="clear" w:color="auto" w:fill="C6EFCE"/>
            <w:noWrap/>
            <w:vAlign w:val="center"/>
          </w:tcPr>
          <w:p w14:paraId="4987C53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1.7. Stipendiumid ülikoolidesse pääsemiseks</w:t>
            </w:r>
          </w:p>
        </w:tc>
        <w:tc>
          <w:tcPr>
            <w:tcW w:w="358" w:type="pct"/>
            <w:shd w:val="clear" w:color="auto" w:fill="C6EFCE"/>
            <w:noWrap/>
            <w:vAlign w:val="center"/>
          </w:tcPr>
          <w:p w14:paraId="78A5B9FE"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Siht</w:t>
            </w:r>
          </w:p>
        </w:tc>
        <w:tc>
          <w:tcPr>
            <w:tcW w:w="572" w:type="pct"/>
            <w:shd w:val="clear" w:color="auto" w:fill="C6EFCE"/>
            <w:noWrap/>
            <w:vAlign w:val="center"/>
          </w:tcPr>
          <w:p w14:paraId="08DD4C4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Stipendiumid ülikooli sisseelamiseks</w:t>
            </w:r>
          </w:p>
        </w:tc>
        <w:tc>
          <w:tcPr>
            <w:tcW w:w="480" w:type="pct"/>
            <w:shd w:val="clear" w:color="auto" w:fill="C6EFCE"/>
            <w:noWrap/>
            <w:vAlign w:val="center"/>
          </w:tcPr>
          <w:p w14:paraId="2CC4BF6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422" w:type="pct"/>
            <w:shd w:val="clear" w:color="auto" w:fill="C6EFCE"/>
            <w:noWrap/>
            <w:vAlign w:val="center"/>
          </w:tcPr>
          <w:p w14:paraId="12EE8F7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75" w:type="pct"/>
            <w:shd w:val="clear" w:color="auto" w:fill="C6EFCE"/>
            <w:noWrap/>
            <w:vAlign w:val="center"/>
          </w:tcPr>
          <w:p w14:paraId="65023D3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343" w:type="pct"/>
            <w:shd w:val="clear" w:color="auto" w:fill="C6EFCE"/>
            <w:noWrap/>
            <w:vAlign w:val="center"/>
          </w:tcPr>
          <w:p w14:paraId="21F34C49" w14:textId="153E70AA"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55 000</w:t>
            </w:r>
          </w:p>
        </w:tc>
        <w:tc>
          <w:tcPr>
            <w:tcW w:w="286" w:type="pct"/>
            <w:shd w:val="clear" w:color="auto" w:fill="C6EFCE"/>
            <w:noWrap/>
            <w:vAlign w:val="center"/>
          </w:tcPr>
          <w:p w14:paraId="0DC2562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38" w:type="pct"/>
            <w:shd w:val="clear" w:color="auto" w:fill="C6EFCE"/>
            <w:noWrap/>
            <w:vAlign w:val="center"/>
          </w:tcPr>
          <w:p w14:paraId="7370C506"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2024</w:t>
            </w:r>
          </w:p>
        </w:tc>
        <w:tc>
          <w:tcPr>
            <w:tcW w:w="1047" w:type="pct"/>
            <w:shd w:val="clear" w:color="auto" w:fill="C6EFCE"/>
            <w:noWrap/>
            <w:vAlign w:val="center"/>
          </w:tcPr>
          <w:p w14:paraId="48437EBA" w14:textId="7C8873BD" w:rsidR="0084326C" w:rsidRPr="005D68A0" w:rsidRDefault="0084326C">
            <w:pPr>
              <w:rPr>
                <w:rFonts w:ascii="Arial Narrow" w:hAnsi="Arial Narrow"/>
                <w:noProof/>
                <w:color w:val="006100"/>
                <w:sz w:val="20"/>
                <w:szCs w:val="20"/>
              </w:rPr>
            </w:pPr>
            <w:r>
              <w:rPr>
                <w:rFonts w:ascii="Arial Narrow" w:hAnsi="Arial Narrow"/>
                <w:noProof/>
                <w:color w:val="006100"/>
                <w:sz w:val="20"/>
              </w:rPr>
              <w:t>Vähemalt 55 000 üliõpilast saavad stipendiumid, mida rahastatakse üksnes taaste- ja vastupidavusrahastu vahenditest</w:t>
            </w:r>
          </w:p>
        </w:tc>
      </w:tr>
      <w:tr w:rsidR="0084326C" w:rsidRPr="00D90835" w14:paraId="35A6B8E1" w14:textId="77777777">
        <w:trPr>
          <w:trHeight w:val="309"/>
        </w:trPr>
        <w:tc>
          <w:tcPr>
            <w:tcW w:w="380" w:type="pct"/>
            <w:shd w:val="clear" w:color="auto" w:fill="C6EFCE"/>
            <w:noWrap/>
            <w:vAlign w:val="center"/>
          </w:tcPr>
          <w:p w14:paraId="15060BF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M4C1–15a</w:t>
            </w:r>
          </w:p>
        </w:tc>
        <w:tc>
          <w:tcPr>
            <w:tcW w:w="500" w:type="pct"/>
            <w:shd w:val="clear" w:color="auto" w:fill="C6EFCE"/>
            <w:noWrap/>
            <w:vAlign w:val="center"/>
          </w:tcPr>
          <w:p w14:paraId="24063E4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1.7. Stipendiumid ülikoolidesse pääsemiseks</w:t>
            </w:r>
          </w:p>
        </w:tc>
        <w:tc>
          <w:tcPr>
            <w:tcW w:w="358" w:type="pct"/>
            <w:shd w:val="clear" w:color="auto" w:fill="C6EFCE"/>
            <w:noWrap/>
            <w:vAlign w:val="center"/>
          </w:tcPr>
          <w:p w14:paraId="1E8FF61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572" w:type="pct"/>
            <w:shd w:val="clear" w:color="auto" w:fill="C6EFCE"/>
            <w:noWrap/>
            <w:vAlign w:val="center"/>
          </w:tcPr>
          <w:p w14:paraId="13DFE6E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Stipendiumid ülikooli sisseelamiseks</w:t>
            </w:r>
          </w:p>
        </w:tc>
        <w:tc>
          <w:tcPr>
            <w:tcW w:w="480" w:type="pct"/>
            <w:shd w:val="clear" w:color="auto" w:fill="C6EFCE"/>
            <w:noWrap/>
            <w:vAlign w:val="center"/>
          </w:tcPr>
          <w:p w14:paraId="0FAB22D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422" w:type="pct"/>
            <w:shd w:val="clear" w:color="auto" w:fill="C6EFCE"/>
            <w:noWrap/>
            <w:vAlign w:val="center"/>
          </w:tcPr>
          <w:p w14:paraId="3365291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75" w:type="pct"/>
            <w:shd w:val="clear" w:color="auto" w:fill="C6EFCE"/>
            <w:noWrap/>
            <w:vAlign w:val="center"/>
          </w:tcPr>
          <w:p w14:paraId="4AE52E2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343" w:type="pct"/>
            <w:shd w:val="clear" w:color="auto" w:fill="C6EFCE"/>
            <w:noWrap/>
            <w:vAlign w:val="center"/>
          </w:tcPr>
          <w:p w14:paraId="5528FBEA" w14:textId="6969676E"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55 000</w:t>
            </w:r>
          </w:p>
        </w:tc>
        <w:tc>
          <w:tcPr>
            <w:tcW w:w="286" w:type="pct"/>
            <w:shd w:val="clear" w:color="auto" w:fill="C6EFCE"/>
            <w:noWrap/>
            <w:vAlign w:val="center"/>
          </w:tcPr>
          <w:p w14:paraId="2055271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38" w:type="pct"/>
            <w:shd w:val="clear" w:color="auto" w:fill="C6EFCE"/>
            <w:noWrap/>
            <w:vAlign w:val="center"/>
          </w:tcPr>
          <w:p w14:paraId="7DCA349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2025</w:t>
            </w:r>
          </w:p>
        </w:tc>
        <w:tc>
          <w:tcPr>
            <w:tcW w:w="1047" w:type="pct"/>
            <w:shd w:val="clear" w:color="auto" w:fill="C6EFCE"/>
            <w:noWrap/>
            <w:vAlign w:val="center"/>
          </w:tcPr>
          <w:p w14:paraId="515143E6" w14:textId="418578DF" w:rsidR="0084326C" w:rsidRPr="005D68A0" w:rsidRDefault="0084326C">
            <w:pPr>
              <w:rPr>
                <w:rFonts w:ascii="Arial Narrow" w:hAnsi="Arial Narrow"/>
                <w:noProof/>
                <w:color w:val="006100"/>
                <w:sz w:val="20"/>
                <w:szCs w:val="20"/>
              </w:rPr>
            </w:pPr>
            <w:r>
              <w:rPr>
                <w:rFonts w:ascii="Arial Narrow" w:hAnsi="Arial Narrow"/>
                <w:noProof/>
                <w:color w:val="006100"/>
                <w:sz w:val="20"/>
              </w:rPr>
              <w:t>Vähemalt 55 000 üliõpilast saavad stipendiumid, mida rahastatakse üksnes taaste- ja vastupidavusrahastu vahenditest</w:t>
            </w:r>
          </w:p>
        </w:tc>
      </w:tr>
      <w:tr w:rsidR="0084326C" w:rsidRPr="00D90835" w14:paraId="49EC8516" w14:textId="77777777">
        <w:trPr>
          <w:trHeight w:val="309"/>
        </w:trPr>
        <w:tc>
          <w:tcPr>
            <w:tcW w:w="380" w:type="pct"/>
            <w:shd w:val="clear" w:color="auto" w:fill="C6EFCE"/>
            <w:noWrap/>
            <w:vAlign w:val="center"/>
          </w:tcPr>
          <w:p w14:paraId="580F5FE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M4C1-16</w:t>
            </w:r>
          </w:p>
        </w:tc>
        <w:tc>
          <w:tcPr>
            <w:tcW w:w="500" w:type="pct"/>
            <w:shd w:val="clear" w:color="auto" w:fill="C6EFCE"/>
            <w:noWrap/>
            <w:vAlign w:val="center"/>
          </w:tcPr>
          <w:p w14:paraId="60DF551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3.1. Uued oskused ja keeled</w:t>
            </w:r>
          </w:p>
        </w:tc>
        <w:tc>
          <w:tcPr>
            <w:tcW w:w="358" w:type="pct"/>
            <w:shd w:val="clear" w:color="auto" w:fill="C6EFCE"/>
            <w:noWrap/>
            <w:vAlign w:val="center"/>
          </w:tcPr>
          <w:p w14:paraId="72D15A2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572" w:type="pct"/>
            <w:shd w:val="clear" w:color="auto" w:fill="C6EFCE"/>
            <w:noWrap/>
            <w:vAlign w:val="center"/>
          </w:tcPr>
          <w:p w14:paraId="647D815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Koolid, mis on 2024./25. aastal käivitanud loodusteaduste, tehnoloogia, inseneriteaduste ja matemaatika valdkonna nõustamisprojektid</w:t>
            </w:r>
          </w:p>
          <w:p w14:paraId="3DD78600" w14:textId="77777777" w:rsidR="0084326C" w:rsidRPr="005D68A0" w:rsidRDefault="0084326C">
            <w:pPr>
              <w:jc w:val="center"/>
              <w:rPr>
                <w:rFonts w:ascii="Arial Narrow" w:hAnsi="Arial Narrow"/>
                <w:noProof/>
                <w:color w:val="006100"/>
                <w:sz w:val="20"/>
                <w:szCs w:val="20"/>
                <w:lang w:val="en-GB"/>
              </w:rPr>
            </w:pPr>
          </w:p>
          <w:p w14:paraId="103C8BF7" w14:textId="77777777" w:rsidR="0084326C" w:rsidRPr="005D68A0" w:rsidRDefault="0084326C">
            <w:pPr>
              <w:jc w:val="center"/>
              <w:rPr>
                <w:rFonts w:ascii="Arial Narrow" w:hAnsi="Arial Narrow"/>
                <w:noProof/>
                <w:color w:val="006100"/>
                <w:sz w:val="20"/>
                <w:szCs w:val="20"/>
                <w:lang w:val="en-GB"/>
              </w:rPr>
            </w:pPr>
          </w:p>
        </w:tc>
        <w:tc>
          <w:tcPr>
            <w:tcW w:w="480" w:type="pct"/>
            <w:shd w:val="clear" w:color="auto" w:fill="C6EFCE"/>
            <w:noWrap/>
            <w:vAlign w:val="center"/>
          </w:tcPr>
          <w:p w14:paraId="7DD22DA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422" w:type="pct"/>
            <w:shd w:val="clear" w:color="auto" w:fill="C6EFCE"/>
            <w:noWrap/>
            <w:vAlign w:val="center"/>
          </w:tcPr>
          <w:p w14:paraId="032EAFA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75" w:type="pct"/>
            <w:shd w:val="clear" w:color="auto" w:fill="C6EFCE"/>
            <w:noWrap/>
            <w:vAlign w:val="center"/>
          </w:tcPr>
          <w:p w14:paraId="311615F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343" w:type="pct"/>
            <w:shd w:val="clear" w:color="auto" w:fill="C6EFCE"/>
            <w:noWrap/>
            <w:vAlign w:val="center"/>
          </w:tcPr>
          <w:p w14:paraId="3754FB86" w14:textId="5CD084DB"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8 000</w:t>
            </w:r>
          </w:p>
        </w:tc>
        <w:tc>
          <w:tcPr>
            <w:tcW w:w="286" w:type="pct"/>
            <w:shd w:val="clear" w:color="auto" w:fill="C6EFCE"/>
            <w:noWrap/>
            <w:vAlign w:val="center"/>
          </w:tcPr>
          <w:p w14:paraId="524211E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238" w:type="pct"/>
            <w:shd w:val="clear" w:color="auto" w:fill="C6EFCE"/>
            <w:noWrap/>
            <w:vAlign w:val="center"/>
          </w:tcPr>
          <w:p w14:paraId="4BB5BD0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2025</w:t>
            </w:r>
          </w:p>
        </w:tc>
        <w:tc>
          <w:tcPr>
            <w:tcW w:w="1047" w:type="pct"/>
            <w:shd w:val="clear" w:color="auto" w:fill="C6EFCE"/>
            <w:noWrap/>
            <w:vAlign w:val="center"/>
          </w:tcPr>
          <w:p w14:paraId="1621CE40" w14:textId="13099226" w:rsidR="0084326C" w:rsidRPr="005D68A0" w:rsidRDefault="0084326C">
            <w:pPr>
              <w:rPr>
                <w:rFonts w:ascii="Arial Narrow" w:hAnsi="Arial Narrow"/>
                <w:noProof/>
                <w:color w:val="006100"/>
                <w:sz w:val="20"/>
                <w:szCs w:val="20"/>
              </w:rPr>
            </w:pPr>
            <w:r>
              <w:rPr>
                <w:rFonts w:ascii="Arial Narrow" w:hAnsi="Arial Narrow"/>
                <w:noProof/>
                <w:color w:val="006100"/>
                <w:sz w:val="20"/>
              </w:rPr>
              <w:t>Vähemalt 8 000 kooli on käivitanud loodusteaduste, tehnoloogia, inseneriteaduste ja matemaatika valdkonna nõustamisprojektid</w:t>
            </w:r>
          </w:p>
          <w:p w14:paraId="29F227C5"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Projektide eesmärk on riikliku digiplatvormi STEM arendamine ja digiteerimine, mille eesmärk on programmi täielik rakendamine, teabe ja andmete (sooliselt eristatud) jälgimine ja levitamine alates eelkoolist ja algkoolist kuni esimese ja teise keskkoolini ning lõpetades tehnika- ja kutseinstituutide ning ülikoolidega.</w:t>
            </w:r>
          </w:p>
        </w:tc>
      </w:tr>
      <w:tr w:rsidR="0084326C" w:rsidRPr="00D90835" w14:paraId="5ABB1F42" w14:textId="77777777">
        <w:trPr>
          <w:trHeight w:val="309"/>
        </w:trPr>
        <w:tc>
          <w:tcPr>
            <w:tcW w:w="380" w:type="pct"/>
            <w:shd w:val="clear" w:color="auto" w:fill="C6EFCE"/>
            <w:noWrap/>
            <w:vAlign w:val="center"/>
          </w:tcPr>
          <w:p w14:paraId="11BA72A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M4C1-17</w:t>
            </w:r>
          </w:p>
        </w:tc>
        <w:tc>
          <w:tcPr>
            <w:tcW w:w="500" w:type="pct"/>
            <w:shd w:val="clear" w:color="auto" w:fill="C6EFCE"/>
            <w:noWrap/>
            <w:vAlign w:val="center"/>
          </w:tcPr>
          <w:p w14:paraId="38CCA24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3.1. Uued oskused ja keeled</w:t>
            </w:r>
          </w:p>
        </w:tc>
        <w:tc>
          <w:tcPr>
            <w:tcW w:w="358" w:type="pct"/>
            <w:shd w:val="clear" w:color="auto" w:fill="C6EFCE"/>
            <w:noWrap/>
            <w:vAlign w:val="center"/>
          </w:tcPr>
          <w:p w14:paraId="1D7AF13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572" w:type="pct"/>
            <w:shd w:val="clear" w:color="auto" w:fill="C6EFCE"/>
            <w:noWrap/>
            <w:vAlign w:val="center"/>
          </w:tcPr>
          <w:p w14:paraId="10856A6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Õpetajatele pakutavad iga-aastased keele- ja metodoloogilised kursused</w:t>
            </w:r>
          </w:p>
        </w:tc>
        <w:tc>
          <w:tcPr>
            <w:tcW w:w="480" w:type="pct"/>
            <w:shd w:val="clear" w:color="auto" w:fill="C6EFCE"/>
            <w:noWrap/>
            <w:vAlign w:val="center"/>
          </w:tcPr>
          <w:p w14:paraId="694FE8E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422" w:type="pct"/>
            <w:shd w:val="clear" w:color="auto" w:fill="C6EFCE"/>
            <w:noWrap/>
            <w:vAlign w:val="center"/>
          </w:tcPr>
          <w:p w14:paraId="39A7C17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75" w:type="pct"/>
            <w:shd w:val="clear" w:color="auto" w:fill="C6EFCE"/>
            <w:noWrap/>
            <w:vAlign w:val="center"/>
          </w:tcPr>
          <w:p w14:paraId="73B4AA6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343" w:type="pct"/>
            <w:shd w:val="clear" w:color="auto" w:fill="C6EFCE"/>
            <w:noWrap/>
            <w:vAlign w:val="center"/>
          </w:tcPr>
          <w:p w14:paraId="74F9D42F" w14:textId="541461C6"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1 000</w:t>
            </w:r>
          </w:p>
        </w:tc>
        <w:tc>
          <w:tcPr>
            <w:tcW w:w="286" w:type="pct"/>
            <w:shd w:val="clear" w:color="auto" w:fill="C6EFCE"/>
            <w:noWrap/>
            <w:vAlign w:val="center"/>
          </w:tcPr>
          <w:p w14:paraId="2F4DF3B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238" w:type="pct"/>
            <w:shd w:val="clear" w:color="auto" w:fill="C6EFCE"/>
            <w:noWrap/>
            <w:vAlign w:val="center"/>
          </w:tcPr>
          <w:p w14:paraId="5C8B182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2025</w:t>
            </w:r>
          </w:p>
        </w:tc>
        <w:tc>
          <w:tcPr>
            <w:tcW w:w="1047" w:type="pct"/>
            <w:shd w:val="clear" w:color="auto" w:fill="C6EFCE"/>
            <w:noWrap/>
            <w:vAlign w:val="center"/>
          </w:tcPr>
          <w:p w14:paraId="5F299EBA" w14:textId="1BD89CED" w:rsidR="0084326C" w:rsidRPr="005D68A0" w:rsidRDefault="0084326C">
            <w:pPr>
              <w:rPr>
                <w:rFonts w:ascii="Arial Narrow" w:hAnsi="Arial Narrow"/>
                <w:noProof/>
                <w:color w:val="006100"/>
                <w:sz w:val="20"/>
                <w:szCs w:val="20"/>
              </w:rPr>
            </w:pPr>
            <w:r>
              <w:rPr>
                <w:rFonts w:ascii="Arial Narrow" w:hAnsi="Arial Narrow"/>
                <w:noProof/>
                <w:color w:val="006100"/>
                <w:sz w:val="20"/>
              </w:rPr>
              <w:t>Õpetajatele pakutakse vähemalt 1 000 iga-aastast keele- ja metodoloogilist kursust</w:t>
            </w:r>
          </w:p>
        </w:tc>
      </w:tr>
      <w:tr w:rsidR="0084326C" w:rsidRPr="00D90835" w14:paraId="62305374" w14:textId="77777777">
        <w:trPr>
          <w:trHeight w:val="309"/>
        </w:trPr>
        <w:tc>
          <w:tcPr>
            <w:tcW w:w="380" w:type="pct"/>
            <w:shd w:val="clear" w:color="auto" w:fill="C6EFCE"/>
            <w:noWrap/>
            <w:vAlign w:val="center"/>
          </w:tcPr>
          <w:p w14:paraId="57AB111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M4C1-18</w:t>
            </w:r>
          </w:p>
        </w:tc>
        <w:tc>
          <w:tcPr>
            <w:tcW w:w="500" w:type="pct"/>
            <w:shd w:val="clear" w:color="auto" w:fill="C6EFCE"/>
            <w:noWrap/>
            <w:vAlign w:val="center"/>
          </w:tcPr>
          <w:p w14:paraId="58BAE78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1.1. Lasteaedu, eelkoole ning alusharidust ja lastehoiuteenuseid käsitlev kava</w:t>
            </w:r>
          </w:p>
        </w:tc>
        <w:tc>
          <w:tcPr>
            <w:tcW w:w="358" w:type="pct"/>
            <w:shd w:val="clear" w:color="auto" w:fill="C6EFCE"/>
            <w:noWrap/>
            <w:vAlign w:val="center"/>
          </w:tcPr>
          <w:p w14:paraId="1551404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572" w:type="pct"/>
            <w:shd w:val="clear" w:color="auto" w:fill="C6EFCE"/>
            <w:noWrap/>
            <w:vAlign w:val="center"/>
          </w:tcPr>
          <w:p w14:paraId="691A83A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Uued kohad, mis on aktiveeritud haridus- ja alusharidusteenuste jaoks (null kuni kuus aastat vanad)</w:t>
            </w:r>
          </w:p>
        </w:tc>
        <w:tc>
          <w:tcPr>
            <w:tcW w:w="480" w:type="pct"/>
            <w:shd w:val="clear" w:color="auto" w:fill="C6EFCE"/>
            <w:noWrap/>
            <w:vAlign w:val="center"/>
          </w:tcPr>
          <w:p w14:paraId="393A9F6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422" w:type="pct"/>
            <w:shd w:val="clear" w:color="auto" w:fill="C6EFCE"/>
            <w:noWrap/>
            <w:vAlign w:val="center"/>
          </w:tcPr>
          <w:p w14:paraId="1901E93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75" w:type="pct"/>
            <w:shd w:val="clear" w:color="auto" w:fill="C6EFCE"/>
            <w:noWrap/>
            <w:vAlign w:val="center"/>
          </w:tcPr>
          <w:p w14:paraId="795BCE2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343" w:type="pct"/>
            <w:shd w:val="clear" w:color="auto" w:fill="C6EFCE"/>
            <w:noWrap/>
            <w:vAlign w:val="center"/>
          </w:tcPr>
          <w:p w14:paraId="520151DD" w14:textId="3B05AE10" w:rsidR="0084326C" w:rsidRPr="005D68A0" w:rsidRDefault="0084326C">
            <w:pPr>
              <w:rPr>
                <w:rFonts w:ascii="Arial Narrow" w:hAnsi="Arial Narrow"/>
                <w:noProof/>
                <w:color w:val="006100"/>
                <w:sz w:val="20"/>
                <w:szCs w:val="20"/>
              </w:rPr>
            </w:pPr>
            <w:r>
              <w:rPr>
                <w:rFonts w:ascii="Arial Narrow" w:hAnsi="Arial Narrow"/>
                <w:noProof/>
                <w:color w:val="006100"/>
                <w:sz w:val="20"/>
              </w:rPr>
              <w:t>150 480</w:t>
            </w:r>
          </w:p>
        </w:tc>
        <w:tc>
          <w:tcPr>
            <w:tcW w:w="286" w:type="pct"/>
            <w:shd w:val="clear" w:color="auto" w:fill="C6EFCE"/>
            <w:noWrap/>
            <w:vAlign w:val="center"/>
          </w:tcPr>
          <w:p w14:paraId="17AE6A1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238" w:type="pct"/>
            <w:shd w:val="clear" w:color="auto" w:fill="C6EFCE"/>
            <w:noWrap/>
            <w:vAlign w:val="center"/>
          </w:tcPr>
          <w:p w14:paraId="192805C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1047" w:type="pct"/>
            <w:shd w:val="clear" w:color="auto" w:fill="C6EFCE"/>
            <w:noWrap/>
            <w:vAlign w:val="center"/>
          </w:tcPr>
          <w:p w14:paraId="2F71DFC9" w14:textId="0CA2289B" w:rsidR="0084326C" w:rsidRPr="005D68A0" w:rsidRDefault="0084326C">
            <w:pPr>
              <w:rPr>
                <w:rFonts w:ascii="Arial Narrow" w:hAnsi="Arial Narrow"/>
                <w:noProof/>
                <w:color w:val="006100"/>
                <w:sz w:val="20"/>
                <w:szCs w:val="20"/>
              </w:rPr>
            </w:pPr>
            <w:r>
              <w:rPr>
                <w:rFonts w:ascii="Arial Narrow" w:hAnsi="Arial Narrow"/>
                <w:noProof/>
                <w:color w:val="006100"/>
                <w:sz w:val="20"/>
              </w:rPr>
              <w:t>Vähemalt 150 480 uut loodud kohta haridus- ja alusharidusteenuste jaoks (null kuni kuus aastat vanad)</w:t>
            </w:r>
          </w:p>
          <w:p w14:paraId="3EA2E29C" w14:textId="77777777" w:rsidR="0084326C" w:rsidRPr="00F33804" w:rsidRDefault="0084326C">
            <w:pPr>
              <w:rPr>
                <w:rFonts w:ascii="Arial Narrow" w:hAnsi="Arial Narrow"/>
                <w:noProof/>
                <w:color w:val="006100"/>
                <w:sz w:val="20"/>
                <w:szCs w:val="20"/>
              </w:rPr>
            </w:pPr>
          </w:p>
          <w:p w14:paraId="09DC442E"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Lasteaedade ehitamise ja ümberehitamise kava eesmärk on suurendada vabade kohtade arvu, suurendades nullist kuue aastani ulatuvat haridusteenust.</w:t>
            </w:r>
          </w:p>
        </w:tc>
      </w:tr>
      <w:tr w:rsidR="0084326C" w:rsidRPr="00D90835" w14:paraId="22ADCAD2" w14:textId="77777777">
        <w:trPr>
          <w:trHeight w:val="309"/>
        </w:trPr>
        <w:tc>
          <w:tcPr>
            <w:tcW w:w="380" w:type="pct"/>
            <w:shd w:val="clear" w:color="auto" w:fill="C6EFCE"/>
            <w:noWrap/>
            <w:vAlign w:val="center"/>
          </w:tcPr>
          <w:p w14:paraId="72FE729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M4C1-19</w:t>
            </w:r>
          </w:p>
        </w:tc>
        <w:tc>
          <w:tcPr>
            <w:tcW w:w="500" w:type="pct"/>
            <w:shd w:val="clear" w:color="auto" w:fill="C6EFCE"/>
            <w:noWrap/>
            <w:vAlign w:val="center"/>
          </w:tcPr>
          <w:p w14:paraId="267DEDF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3.2. Kool 4.0: innovaatilised koolid, juhtmestik, uued klassiruumid ja õpikojad</w:t>
            </w:r>
          </w:p>
        </w:tc>
        <w:tc>
          <w:tcPr>
            <w:tcW w:w="358" w:type="pct"/>
            <w:shd w:val="clear" w:color="auto" w:fill="C6EFCE"/>
            <w:noWrap/>
            <w:vAlign w:val="center"/>
          </w:tcPr>
          <w:p w14:paraId="481E9C5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572" w:type="pct"/>
            <w:shd w:val="clear" w:color="auto" w:fill="C6EFCE"/>
            <w:noWrap/>
            <w:vAlign w:val="center"/>
          </w:tcPr>
          <w:p w14:paraId="59612C6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Klassid muudetakse innovaatiliseks õpikeskkonnaks tänu 4.0 koolile.</w:t>
            </w:r>
          </w:p>
        </w:tc>
        <w:tc>
          <w:tcPr>
            <w:tcW w:w="480" w:type="pct"/>
            <w:shd w:val="clear" w:color="auto" w:fill="C6EFCE"/>
            <w:noWrap/>
            <w:vAlign w:val="center"/>
          </w:tcPr>
          <w:p w14:paraId="7FF1EB2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422" w:type="pct"/>
            <w:shd w:val="clear" w:color="auto" w:fill="C6EFCE"/>
            <w:noWrap/>
            <w:vAlign w:val="center"/>
          </w:tcPr>
          <w:p w14:paraId="7ED6E85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75" w:type="pct"/>
            <w:shd w:val="clear" w:color="auto" w:fill="C6EFCE"/>
            <w:noWrap/>
            <w:vAlign w:val="center"/>
          </w:tcPr>
          <w:p w14:paraId="159B71A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343" w:type="pct"/>
            <w:shd w:val="clear" w:color="auto" w:fill="C6EFCE"/>
            <w:noWrap/>
            <w:vAlign w:val="center"/>
          </w:tcPr>
          <w:p w14:paraId="0762C6E5" w14:textId="2F85ADA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100 000</w:t>
            </w:r>
          </w:p>
        </w:tc>
        <w:tc>
          <w:tcPr>
            <w:tcW w:w="286" w:type="pct"/>
            <w:shd w:val="clear" w:color="auto" w:fill="C6EFCE"/>
            <w:noWrap/>
            <w:vAlign w:val="center"/>
          </w:tcPr>
          <w:p w14:paraId="7374E26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38" w:type="pct"/>
            <w:shd w:val="clear" w:color="auto" w:fill="C6EFCE"/>
            <w:noWrap/>
            <w:vAlign w:val="center"/>
          </w:tcPr>
          <w:p w14:paraId="661E97D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2025</w:t>
            </w:r>
          </w:p>
        </w:tc>
        <w:tc>
          <w:tcPr>
            <w:tcW w:w="1047" w:type="pct"/>
            <w:shd w:val="clear" w:color="auto" w:fill="C6EFCE"/>
            <w:noWrap/>
            <w:vAlign w:val="center"/>
          </w:tcPr>
          <w:p w14:paraId="3EB491F0"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Klassiruumide arv, mis on uuendusmeelsetes õpikeskkondades kavale „Kool 4.0“ muudetud.</w:t>
            </w:r>
          </w:p>
          <w:p w14:paraId="304F74D0" w14:textId="77777777" w:rsidR="0084326C" w:rsidRPr="00F33804" w:rsidRDefault="0084326C">
            <w:pPr>
              <w:rPr>
                <w:rFonts w:ascii="Arial Narrow" w:hAnsi="Arial Narrow"/>
                <w:noProof/>
                <w:color w:val="006100"/>
                <w:sz w:val="20"/>
                <w:szCs w:val="20"/>
              </w:rPr>
            </w:pPr>
          </w:p>
          <w:p w14:paraId="7341141E" w14:textId="455107EF" w:rsidR="0084326C" w:rsidRPr="005D68A0" w:rsidRDefault="0084326C">
            <w:pPr>
              <w:rPr>
                <w:rFonts w:ascii="Arial Narrow" w:hAnsi="Arial Narrow"/>
                <w:noProof/>
                <w:color w:val="006100"/>
                <w:sz w:val="20"/>
                <w:szCs w:val="20"/>
              </w:rPr>
            </w:pPr>
            <w:r>
              <w:rPr>
                <w:rFonts w:ascii="Arial Narrow" w:hAnsi="Arial Narrow"/>
                <w:noProof/>
                <w:color w:val="006100"/>
                <w:sz w:val="20"/>
              </w:rPr>
              <w:t>Meetmega kujundatakse traditsioonilistes klassiruumides kasutatavad kooliruumid ümber uuenduslikuks, kohanemisvõimeliseks ja paindlikuks õpikeskkonnaks, mis on ühendatud ja integreeritud digitehnoloogiaga ning mis on koos füüsilised ja virtuaalsed. Investeeringuga viiakse kõik kõige uuenduslikumad õpetamistehnoloogiad (nt kodeerimis- ja robootikaseadmed, virtuaalreaalsuse seadmed ja kõrgetasemelised digiseadmed kaasavaks õpetamiseks) vähemalt 100 000 õpperuumi põhi- ja keskkoolides, mida õpetatakse.</w:t>
            </w:r>
          </w:p>
        </w:tc>
      </w:tr>
      <w:tr w:rsidR="0084326C" w:rsidRPr="00D90835" w14:paraId="7AEB4A24" w14:textId="77777777">
        <w:trPr>
          <w:trHeight w:val="309"/>
        </w:trPr>
        <w:tc>
          <w:tcPr>
            <w:tcW w:w="380" w:type="pct"/>
            <w:shd w:val="clear" w:color="auto" w:fill="C6EFCE"/>
            <w:noWrap/>
            <w:vAlign w:val="center"/>
          </w:tcPr>
          <w:p w14:paraId="004AA0F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M4C1-20</w:t>
            </w:r>
          </w:p>
        </w:tc>
        <w:tc>
          <w:tcPr>
            <w:tcW w:w="500" w:type="pct"/>
            <w:shd w:val="clear" w:color="auto" w:fill="C6EFCE"/>
            <w:noWrap/>
            <w:vAlign w:val="center"/>
          </w:tcPr>
          <w:p w14:paraId="4A0D48C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1.5. Kolmanda taseme kutseõppesüsteemi arendamine</w:t>
            </w:r>
          </w:p>
        </w:tc>
        <w:tc>
          <w:tcPr>
            <w:tcW w:w="358" w:type="pct"/>
            <w:shd w:val="clear" w:color="auto" w:fill="C6EFCE"/>
            <w:noWrap/>
            <w:vAlign w:val="center"/>
          </w:tcPr>
          <w:p w14:paraId="7AAD73C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572" w:type="pct"/>
            <w:shd w:val="clear" w:color="auto" w:fill="C6EFCE"/>
            <w:noWrap/>
            <w:vAlign w:val="center"/>
          </w:tcPr>
          <w:p w14:paraId="6B3F62B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Kutseõppesüsteemi (ITS) õppurite arv</w:t>
            </w:r>
          </w:p>
        </w:tc>
        <w:tc>
          <w:tcPr>
            <w:tcW w:w="480" w:type="pct"/>
            <w:shd w:val="clear" w:color="auto" w:fill="C6EFCE"/>
            <w:noWrap/>
            <w:vAlign w:val="center"/>
          </w:tcPr>
          <w:p w14:paraId="79BB2D5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422" w:type="pct"/>
            <w:shd w:val="clear" w:color="auto" w:fill="C6EFCE"/>
            <w:noWrap/>
            <w:vAlign w:val="center"/>
          </w:tcPr>
          <w:p w14:paraId="1CC7769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75" w:type="pct"/>
            <w:shd w:val="clear" w:color="auto" w:fill="C6EFCE"/>
            <w:noWrap/>
            <w:vAlign w:val="center"/>
          </w:tcPr>
          <w:p w14:paraId="2B1D4ECE" w14:textId="277DA82E"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11 000</w:t>
            </w:r>
          </w:p>
        </w:tc>
        <w:tc>
          <w:tcPr>
            <w:tcW w:w="343" w:type="pct"/>
            <w:shd w:val="clear" w:color="auto" w:fill="C6EFCE"/>
            <w:noWrap/>
            <w:vAlign w:val="center"/>
          </w:tcPr>
          <w:p w14:paraId="1E650769" w14:textId="7CF6AF1E"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22 000</w:t>
            </w:r>
          </w:p>
        </w:tc>
        <w:tc>
          <w:tcPr>
            <w:tcW w:w="286" w:type="pct"/>
            <w:shd w:val="clear" w:color="auto" w:fill="C6EFCE"/>
            <w:noWrap/>
            <w:vAlign w:val="center"/>
          </w:tcPr>
          <w:p w14:paraId="24DA011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38" w:type="pct"/>
            <w:shd w:val="clear" w:color="auto" w:fill="C6EFCE"/>
            <w:noWrap/>
            <w:vAlign w:val="center"/>
          </w:tcPr>
          <w:p w14:paraId="5A67AC4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2025</w:t>
            </w:r>
          </w:p>
        </w:tc>
        <w:tc>
          <w:tcPr>
            <w:tcW w:w="1047" w:type="pct"/>
            <w:shd w:val="clear" w:color="auto" w:fill="C6EFCE"/>
            <w:noWrap/>
            <w:vAlign w:val="center"/>
          </w:tcPr>
          <w:p w14:paraId="564A494F"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Kutseõppesüsteemis õppivate üliõpilaste arvu suurenemine aastas (100 %).</w:t>
            </w:r>
          </w:p>
        </w:tc>
      </w:tr>
      <w:tr w:rsidR="0084326C" w:rsidRPr="00D90835" w14:paraId="424C4140" w14:textId="77777777">
        <w:trPr>
          <w:trHeight w:val="309"/>
        </w:trPr>
        <w:tc>
          <w:tcPr>
            <w:tcW w:w="380" w:type="pct"/>
            <w:shd w:val="clear" w:color="auto" w:fill="C6EFCE"/>
            <w:noWrap/>
            <w:vAlign w:val="center"/>
          </w:tcPr>
          <w:p w14:paraId="2F883D3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M4C1–20a</w:t>
            </w:r>
          </w:p>
        </w:tc>
        <w:tc>
          <w:tcPr>
            <w:tcW w:w="500" w:type="pct"/>
            <w:shd w:val="clear" w:color="auto" w:fill="C6EFCE"/>
            <w:noWrap/>
            <w:vAlign w:val="center"/>
          </w:tcPr>
          <w:p w14:paraId="18A2383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1.5. Kolmanda taseme kutseõppesüsteemi arendamine</w:t>
            </w:r>
          </w:p>
        </w:tc>
        <w:tc>
          <w:tcPr>
            <w:tcW w:w="358" w:type="pct"/>
            <w:shd w:val="clear" w:color="auto" w:fill="C6EFCE"/>
            <w:noWrap/>
            <w:vAlign w:val="center"/>
          </w:tcPr>
          <w:p w14:paraId="22541EE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572" w:type="pct"/>
            <w:shd w:val="clear" w:color="auto" w:fill="C6EFCE"/>
            <w:noWrap/>
            <w:vAlign w:val="center"/>
          </w:tcPr>
          <w:p w14:paraId="10334EB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Uue riikliku järelevalvesüsteemi rakendamine </w:t>
            </w:r>
          </w:p>
        </w:tc>
        <w:tc>
          <w:tcPr>
            <w:tcW w:w="480" w:type="pct"/>
            <w:shd w:val="clear" w:color="auto" w:fill="C6EFCE"/>
            <w:noWrap/>
            <w:vAlign w:val="center"/>
          </w:tcPr>
          <w:p w14:paraId="1B600D3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Uue intelligentsete transpordisüsteemide seiresüsteemi käivitamine </w:t>
            </w:r>
          </w:p>
        </w:tc>
        <w:tc>
          <w:tcPr>
            <w:tcW w:w="422" w:type="pct"/>
            <w:shd w:val="clear" w:color="auto" w:fill="C6EFCE"/>
            <w:noWrap/>
            <w:vAlign w:val="center"/>
          </w:tcPr>
          <w:p w14:paraId="4EE8A49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75" w:type="pct"/>
            <w:shd w:val="clear" w:color="auto" w:fill="C6EFCE"/>
            <w:noWrap/>
            <w:vAlign w:val="center"/>
          </w:tcPr>
          <w:p w14:paraId="4DFE2C7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43" w:type="pct"/>
            <w:shd w:val="clear" w:color="auto" w:fill="C6EFCE"/>
            <w:noWrap/>
            <w:vAlign w:val="center"/>
          </w:tcPr>
          <w:p w14:paraId="2AFD7AC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286" w:type="pct"/>
            <w:shd w:val="clear" w:color="auto" w:fill="C6EFCE"/>
            <w:noWrap/>
            <w:vAlign w:val="center"/>
          </w:tcPr>
          <w:p w14:paraId="595BBCB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38" w:type="pct"/>
            <w:shd w:val="clear" w:color="auto" w:fill="C6EFCE"/>
            <w:noWrap/>
            <w:vAlign w:val="center"/>
          </w:tcPr>
          <w:p w14:paraId="2F63C0E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2025</w:t>
            </w:r>
          </w:p>
        </w:tc>
        <w:tc>
          <w:tcPr>
            <w:tcW w:w="1047" w:type="pct"/>
            <w:shd w:val="clear" w:color="auto" w:fill="C6EFCE"/>
            <w:noWrap/>
            <w:vAlign w:val="center"/>
          </w:tcPr>
          <w:p w14:paraId="20ED1506" w14:textId="77777777" w:rsidR="0084326C" w:rsidRPr="005D68A0" w:rsidRDefault="0084326C">
            <w:pPr>
              <w:jc w:val="both"/>
              <w:rPr>
                <w:rFonts w:ascii="Arial Narrow" w:eastAsiaTheme="minorEastAsia" w:hAnsi="Arial Narrow" w:cstheme="minorBidi"/>
                <w:noProof/>
                <w:color w:val="006100"/>
                <w:sz w:val="20"/>
                <w:szCs w:val="20"/>
              </w:rPr>
            </w:pPr>
            <w:r>
              <w:rPr>
                <w:rFonts w:ascii="Arial Narrow" w:hAnsi="Arial Narrow"/>
                <w:noProof/>
                <w:color w:val="006100"/>
                <w:sz w:val="20"/>
              </w:rPr>
              <w:t>Uus riiklik süsteem intelligentsete transpordisüsteemide kursustega saavutatud tulemuste jälgimiseks on täielikult rakendatud ja toimiv.</w:t>
            </w:r>
          </w:p>
        </w:tc>
      </w:tr>
      <w:tr w:rsidR="0084326C" w:rsidRPr="00D90835" w14:paraId="6E51EF11" w14:textId="77777777">
        <w:trPr>
          <w:trHeight w:val="309"/>
        </w:trPr>
        <w:tc>
          <w:tcPr>
            <w:tcW w:w="380" w:type="pct"/>
            <w:shd w:val="clear" w:color="auto" w:fill="C6EFCE"/>
            <w:noWrap/>
            <w:vAlign w:val="center"/>
          </w:tcPr>
          <w:p w14:paraId="0270055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M4C1-21</w:t>
            </w:r>
          </w:p>
        </w:tc>
        <w:tc>
          <w:tcPr>
            <w:tcW w:w="500" w:type="pct"/>
            <w:shd w:val="clear" w:color="auto" w:fill="C6EFCE"/>
            <w:noWrap/>
            <w:vAlign w:val="center"/>
          </w:tcPr>
          <w:p w14:paraId="1E89092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1.2. Täistööajaga töötamise pikendamise kava</w:t>
            </w:r>
          </w:p>
        </w:tc>
        <w:tc>
          <w:tcPr>
            <w:tcW w:w="358" w:type="pct"/>
            <w:shd w:val="clear" w:color="auto" w:fill="C6EFCE"/>
            <w:noWrap/>
            <w:vAlign w:val="center"/>
          </w:tcPr>
          <w:p w14:paraId="0A3132B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572" w:type="pct"/>
            <w:shd w:val="clear" w:color="auto" w:fill="C6EFCE"/>
            <w:noWrap/>
            <w:vAlign w:val="center"/>
          </w:tcPr>
          <w:p w14:paraId="1C73E955" w14:textId="77777777" w:rsidR="0084326C" w:rsidRPr="005D68A0" w:rsidRDefault="0084326C">
            <w:pPr>
              <w:jc w:val="center"/>
              <w:rPr>
                <w:rFonts w:ascii="Arial Narrow" w:hAnsi="Arial Narrow"/>
                <w:noProof/>
                <w:color w:val="375623"/>
                <w:sz w:val="20"/>
                <w:szCs w:val="20"/>
              </w:rPr>
            </w:pPr>
            <w:r>
              <w:rPr>
                <w:rFonts w:ascii="Arial Narrow" w:hAnsi="Arial Narrow"/>
                <w:noProof/>
                <w:color w:val="006100"/>
                <w:sz w:val="20"/>
              </w:rPr>
              <w:t>Struktuurid, mis võimaldavad õpilasi vastu võtta ka pärast kooliaja lõppu</w:t>
            </w:r>
          </w:p>
        </w:tc>
        <w:tc>
          <w:tcPr>
            <w:tcW w:w="480" w:type="pct"/>
            <w:shd w:val="clear" w:color="auto" w:fill="C6EFCE"/>
            <w:noWrap/>
            <w:vAlign w:val="center"/>
          </w:tcPr>
          <w:p w14:paraId="25CB1A9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422" w:type="pct"/>
            <w:shd w:val="clear" w:color="auto" w:fill="C6EFCE"/>
            <w:noWrap/>
            <w:vAlign w:val="center"/>
          </w:tcPr>
          <w:p w14:paraId="7BC84CA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75" w:type="pct"/>
            <w:shd w:val="clear" w:color="auto" w:fill="C6EFCE"/>
            <w:noWrap/>
            <w:vAlign w:val="center"/>
          </w:tcPr>
          <w:p w14:paraId="4E3274A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343" w:type="pct"/>
            <w:shd w:val="clear" w:color="auto" w:fill="C6EFCE"/>
            <w:noWrap/>
            <w:vAlign w:val="center"/>
          </w:tcPr>
          <w:p w14:paraId="00B2ACA6" w14:textId="5608CE20"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1 000</w:t>
            </w:r>
          </w:p>
        </w:tc>
        <w:tc>
          <w:tcPr>
            <w:tcW w:w="286" w:type="pct"/>
            <w:shd w:val="clear" w:color="auto" w:fill="C6EFCE"/>
            <w:noWrap/>
            <w:vAlign w:val="center"/>
          </w:tcPr>
          <w:p w14:paraId="61961EB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238" w:type="pct"/>
            <w:shd w:val="clear" w:color="auto" w:fill="C6EFCE"/>
            <w:noWrap/>
            <w:vAlign w:val="center"/>
          </w:tcPr>
          <w:p w14:paraId="5724439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1047" w:type="pct"/>
            <w:shd w:val="clear" w:color="auto" w:fill="C6EFCE"/>
            <w:noWrap/>
            <w:vAlign w:val="center"/>
          </w:tcPr>
          <w:p w14:paraId="2541F49D" w14:textId="4D83FBB9" w:rsidR="0084326C" w:rsidRPr="005D68A0" w:rsidRDefault="0084326C">
            <w:pPr>
              <w:rPr>
                <w:rFonts w:ascii="Arial Narrow" w:hAnsi="Arial Narrow"/>
                <w:noProof/>
                <w:sz w:val="20"/>
                <w:szCs w:val="20"/>
              </w:rPr>
            </w:pPr>
            <w:r>
              <w:rPr>
                <w:rFonts w:ascii="Arial Narrow" w:hAnsi="Arial Narrow"/>
                <w:noProof/>
                <w:color w:val="006100"/>
                <w:sz w:val="20"/>
              </w:rPr>
              <w:t xml:space="preserve">Ehitatakse või ajakohastatakse vähemalt 1 000 struktuuri, et hõlbustada kooliaja pikendamist ja koolide avamist territooriumile kauemaks kui koolitunnid. </w:t>
            </w:r>
          </w:p>
        </w:tc>
      </w:tr>
      <w:tr w:rsidR="0084326C" w:rsidRPr="00D90835" w14:paraId="647232C0" w14:textId="77777777">
        <w:trPr>
          <w:trHeight w:val="309"/>
        </w:trPr>
        <w:tc>
          <w:tcPr>
            <w:tcW w:w="380" w:type="pct"/>
            <w:shd w:val="clear" w:color="auto" w:fill="C6EFCE"/>
            <w:noWrap/>
            <w:vAlign w:val="center"/>
          </w:tcPr>
          <w:p w14:paraId="584D5CA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M4C1-22</w:t>
            </w:r>
          </w:p>
        </w:tc>
        <w:tc>
          <w:tcPr>
            <w:tcW w:w="500" w:type="pct"/>
            <w:shd w:val="clear" w:color="auto" w:fill="C6EFCE"/>
            <w:noWrap/>
            <w:vAlign w:val="center"/>
          </w:tcPr>
          <w:p w14:paraId="2AE962A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1.3. Koolispordi infrastruktuuri edendamise kava</w:t>
            </w:r>
          </w:p>
        </w:tc>
        <w:tc>
          <w:tcPr>
            <w:tcW w:w="358" w:type="pct"/>
            <w:shd w:val="clear" w:color="auto" w:fill="C6EFCE"/>
            <w:noWrap/>
            <w:vAlign w:val="center"/>
          </w:tcPr>
          <w:p w14:paraId="567A08D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572" w:type="pct"/>
            <w:shd w:val="clear" w:color="auto" w:fill="C6EFCE"/>
            <w:noWrap/>
            <w:vAlign w:val="center"/>
          </w:tcPr>
          <w:p w14:paraId="22B2031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Ehitatud või renoveeritud ruutmeetrit kasutatakse võimlate või spordirajatistena</w:t>
            </w:r>
          </w:p>
        </w:tc>
        <w:tc>
          <w:tcPr>
            <w:tcW w:w="480" w:type="pct"/>
            <w:shd w:val="clear" w:color="auto" w:fill="C6EFCE"/>
            <w:noWrap/>
            <w:vAlign w:val="center"/>
          </w:tcPr>
          <w:p w14:paraId="222D3AC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422" w:type="pct"/>
            <w:shd w:val="clear" w:color="auto" w:fill="C6EFCE"/>
            <w:noWrap/>
            <w:vAlign w:val="center"/>
          </w:tcPr>
          <w:p w14:paraId="3C35EC8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75" w:type="pct"/>
            <w:shd w:val="clear" w:color="auto" w:fill="C6EFCE"/>
            <w:noWrap/>
            <w:vAlign w:val="center"/>
          </w:tcPr>
          <w:p w14:paraId="7BC0661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343" w:type="pct"/>
            <w:shd w:val="clear" w:color="auto" w:fill="C6EFCE"/>
            <w:noWrap/>
            <w:vAlign w:val="center"/>
          </w:tcPr>
          <w:p w14:paraId="1F185E4A" w14:textId="6A59E361"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230 400</w:t>
            </w:r>
          </w:p>
        </w:tc>
        <w:tc>
          <w:tcPr>
            <w:tcW w:w="286" w:type="pct"/>
            <w:shd w:val="clear" w:color="auto" w:fill="C6EFCE"/>
            <w:noWrap/>
            <w:vAlign w:val="center"/>
          </w:tcPr>
          <w:p w14:paraId="04E5F4B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238" w:type="pct"/>
            <w:shd w:val="clear" w:color="auto" w:fill="C6EFCE"/>
            <w:noWrap/>
            <w:vAlign w:val="center"/>
          </w:tcPr>
          <w:p w14:paraId="04E9839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1047" w:type="pct"/>
            <w:shd w:val="clear" w:color="auto" w:fill="C6EFCE"/>
            <w:noWrap/>
            <w:vAlign w:val="center"/>
          </w:tcPr>
          <w:p w14:paraId="0D6A2EC5" w14:textId="0F8783CE" w:rsidR="0084326C" w:rsidRPr="005D68A0" w:rsidRDefault="0084326C">
            <w:pPr>
              <w:rPr>
                <w:rFonts w:ascii="Arial Narrow" w:hAnsi="Arial Narrow"/>
                <w:noProof/>
                <w:color w:val="006100"/>
                <w:sz w:val="20"/>
                <w:szCs w:val="20"/>
              </w:rPr>
            </w:pPr>
            <w:r>
              <w:rPr>
                <w:rFonts w:ascii="Arial Narrow" w:hAnsi="Arial Narrow"/>
                <w:noProof/>
                <w:color w:val="006100"/>
                <w:sz w:val="20"/>
              </w:rPr>
              <w:t>Ehitatud või renoveeritud vähemalt 230 400 ruutmeetrit, et seda saaks kasutada kooli juurde kuuluvate spordisaalide või spordirajatistena.</w:t>
            </w:r>
          </w:p>
          <w:p w14:paraId="3D90F928" w14:textId="77777777" w:rsidR="0084326C" w:rsidRPr="00F33804" w:rsidRDefault="0084326C">
            <w:pPr>
              <w:rPr>
                <w:rFonts w:ascii="Arial Narrow" w:hAnsi="Arial Narrow"/>
                <w:noProof/>
                <w:color w:val="006100"/>
                <w:sz w:val="20"/>
                <w:szCs w:val="20"/>
              </w:rPr>
            </w:pPr>
          </w:p>
          <w:p w14:paraId="7DB35935"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Riiklik koolihoonete register ja andmed, mis tulenevad riiklikus kolmeaastases programmis kehtiva GPU seirest</w:t>
            </w:r>
          </w:p>
        </w:tc>
      </w:tr>
      <w:tr w:rsidR="0084326C" w:rsidRPr="00D90835" w14:paraId="452CC5F2" w14:textId="77777777">
        <w:trPr>
          <w:trHeight w:val="309"/>
        </w:trPr>
        <w:tc>
          <w:tcPr>
            <w:tcW w:w="380" w:type="pct"/>
            <w:shd w:val="clear" w:color="auto" w:fill="C6EFCE"/>
            <w:noWrap/>
            <w:vAlign w:val="center"/>
            <w:hideMark/>
          </w:tcPr>
          <w:p w14:paraId="0C11CA3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M4C1-23</w:t>
            </w:r>
          </w:p>
        </w:tc>
        <w:tc>
          <w:tcPr>
            <w:tcW w:w="500" w:type="pct"/>
            <w:shd w:val="clear" w:color="auto" w:fill="C6EFCE"/>
            <w:noWrap/>
            <w:vAlign w:val="center"/>
            <w:hideMark/>
          </w:tcPr>
          <w:p w14:paraId="2186767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3.4. Õpetamise ja kõrgema taseme ülikooli oskused</w:t>
            </w:r>
          </w:p>
        </w:tc>
        <w:tc>
          <w:tcPr>
            <w:tcW w:w="358" w:type="pct"/>
            <w:shd w:val="clear" w:color="auto" w:fill="C6EFCE"/>
            <w:noWrap/>
            <w:vAlign w:val="center"/>
            <w:hideMark/>
          </w:tcPr>
          <w:p w14:paraId="3E7C9E8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572" w:type="pct"/>
            <w:shd w:val="clear" w:color="auto" w:fill="C6EFCE"/>
            <w:noWrap/>
            <w:vAlign w:val="center"/>
            <w:hideMark/>
          </w:tcPr>
          <w:p w14:paraId="4DDBA52C" w14:textId="0CF65198"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Uued doktorikraadid, mis antakse kolmeks aastaks digitaal- ja keskkonnavaldkonnale ülemineku programmide raames</w:t>
            </w:r>
          </w:p>
        </w:tc>
        <w:tc>
          <w:tcPr>
            <w:tcW w:w="480" w:type="pct"/>
            <w:shd w:val="clear" w:color="auto" w:fill="C6EFCE"/>
            <w:noWrap/>
            <w:vAlign w:val="center"/>
            <w:hideMark/>
          </w:tcPr>
          <w:p w14:paraId="7E5C5EE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422" w:type="pct"/>
            <w:shd w:val="clear" w:color="auto" w:fill="C6EFCE"/>
            <w:noWrap/>
            <w:vAlign w:val="center"/>
            <w:hideMark/>
          </w:tcPr>
          <w:p w14:paraId="38B2910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75" w:type="pct"/>
            <w:shd w:val="clear" w:color="auto" w:fill="C6EFCE"/>
            <w:noWrap/>
            <w:vAlign w:val="center"/>
            <w:hideMark/>
          </w:tcPr>
          <w:p w14:paraId="3573696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343" w:type="pct"/>
            <w:shd w:val="clear" w:color="auto" w:fill="C6EFCE"/>
            <w:noWrap/>
            <w:vAlign w:val="center"/>
            <w:hideMark/>
          </w:tcPr>
          <w:p w14:paraId="279E76E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500</w:t>
            </w:r>
          </w:p>
        </w:tc>
        <w:tc>
          <w:tcPr>
            <w:tcW w:w="286" w:type="pct"/>
            <w:shd w:val="clear" w:color="auto" w:fill="C6EFCE"/>
            <w:noWrap/>
            <w:vAlign w:val="center"/>
            <w:hideMark/>
          </w:tcPr>
          <w:p w14:paraId="0544F68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238" w:type="pct"/>
            <w:shd w:val="clear" w:color="auto" w:fill="C6EFCE"/>
            <w:noWrap/>
            <w:vAlign w:val="center"/>
            <w:hideMark/>
          </w:tcPr>
          <w:p w14:paraId="41B36F9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1047" w:type="pct"/>
            <w:shd w:val="clear" w:color="auto" w:fill="C6EFCE"/>
            <w:noWrap/>
            <w:vAlign w:val="center"/>
            <w:hideMark/>
          </w:tcPr>
          <w:p w14:paraId="1BCDC58F" w14:textId="60A4F375" w:rsidR="0084326C" w:rsidRPr="005D68A0" w:rsidRDefault="0084326C">
            <w:pPr>
              <w:rPr>
                <w:rFonts w:ascii="Arial Narrow" w:hAnsi="Arial Narrow"/>
                <w:noProof/>
                <w:color w:val="006100"/>
                <w:sz w:val="20"/>
                <w:szCs w:val="20"/>
              </w:rPr>
            </w:pPr>
            <w:r>
              <w:rPr>
                <w:rFonts w:ascii="Arial Narrow" w:hAnsi="Arial Narrow"/>
                <w:noProof/>
                <w:color w:val="006100"/>
                <w:sz w:val="20"/>
              </w:rPr>
              <w:t>Vähemalt 500 uut doktorikraadi kolmeks aastaks digitaal- ja keskkonnavaldkonnale ülemineku programmide raames</w:t>
            </w:r>
          </w:p>
          <w:p w14:paraId="4020CB87" w14:textId="77777777" w:rsidR="0084326C" w:rsidRPr="005D68A0" w:rsidRDefault="0084326C">
            <w:pPr>
              <w:rPr>
                <w:rFonts w:ascii="Arial Narrow" w:eastAsia="Calibri" w:hAnsi="Arial Narrow"/>
                <w:noProof/>
                <w:color w:val="006100"/>
                <w:sz w:val="20"/>
                <w:szCs w:val="20"/>
              </w:rPr>
            </w:pPr>
            <w:r>
              <w:rPr>
                <w:rFonts w:ascii="Arial Narrow" w:hAnsi="Arial Narrow"/>
                <w:noProof/>
                <w:color w:val="006100"/>
                <w:sz w:val="20"/>
              </w:rPr>
              <w:t>Projekti eesmärk on ülikooli (ja doktoriõppe) teede kvalifitseerimine ja uuendamine järgmiste hoobade kaudu: a) digiteerimine; b) innovatsioonikultuur; c) rahvusvahelistumine.</w:t>
            </w:r>
          </w:p>
        </w:tc>
      </w:tr>
      <w:tr w:rsidR="0084326C" w:rsidRPr="00D90835" w14:paraId="03942F3D" w14:textId="77777777">
        <w:trPr>
          <w:trHeight w:val="309"/>
        </w:trPr>
        <w:tc>
          <w:tcPr>
            <w:tcW w:w="380" w:type="pct"/>
            <w:shd w:val="clear" w:color="auto" w:fill="C6EFCE"/>
            <w:noWrap/>
            <w:vAlign w:val="center"/>
            <w:hideMark/>
          </w:tcPr>
          <w:p w14:paraId="61B2AED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M4C1–23a</w:t>
            </w:r>
          </w:p>
        </w:tc>
        <w:tc>
          <w:tcPr>
            <w:tcW w:w="500" w:type="pct"/>
            <w:shd w:val="clear" w:color="auto" w:fill="C6EFCE"/>
            <w:noWrap/>
            <w:vAlign w:val="center"/>
            <w:hideMark/>
          </w:tcPr>
          <w:p w14:paraId="1EE9D3A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3.4. Õpetamise ja kõrgema taseme ülikooli oskused</w:t>
            </w:r>
          </w:p>
        </w:tc>
        <w:tc>
          <w:tcPr>
            <w:tcW w:w="358" w:type="pct"/>
            <w:shd w:val="clear" w:color="auto" w:fill="C6EFCE"/>
            <w:noWrap/>
            <w:vAlign w:val="center"/>
            <w:hideMark/>
          </w:tcPr>
          <w:p w14:paraId="0B69A94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572" w:type="pct"/>
            <w:shd w:val="clear" w:color="auto" w:fill="C6EFCE"/>
            <w:noWrap/>
            <w:vAlign w:val="center"/>
            <w:hideMark/>
          </w:tcPr>
          <w:p w14:paraId="6F90BD9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Õpetamise ja kõrgtasemel ülikoolioskuste allmeetmete rakendamise lõpuleviimine</w:t>
            </w:r>
          </w:p>
        </w:tc>
        <w:tc>
          <w:tcPr>
            <w:tcW w:w="480" w:type="pct"/>
            <w:shd w:val="clear" w:color="auto" w:fill="C6EFCE"/>
            <w:noWrap/>
            <w:vAlign w:val="center"/>
            <w:hideMark/>
          </w:tcPr>
          <w:p w14:paraId="1EC578A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Rakendatakse osameetmeid, mis on seotud õpetamise ja kõrgtasemel ülikoolioskustega.</w:t>
            </w:r>
          </w:p>
        </w:tc>
        <w:tc>
          <w:tcPr>
            <w:tcW w:w="422" w:type="pct"/>
            <w:shd w:val="clear" w:color="auto" w:fill="C6EFCE"/>
            <w:noWrap/>
            <w:vAlign w:val="center"/>
            <w:hideMark/>
          </w:tcPr>
          <w:p w14:paraId="18B1BC9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75" w:type="pct"/>
            <w:shd w:val="clear" w:color="auto" w:fill="C6EFCE"/>
            <w:noWrap/>
            <w:vAlign w:val="center"/>
            <w:hideMark/>
          </w:tcPr>
          <w:p w14:paraId="759CA93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43" w:type="pct"/>
            <w:shd w:val="clear" w:color="auto" w:fill="C6EFCE"/>
            <w:noWrap/>
            <w:vAlign w:val="center"/>
            <w:hideMark/>
          </w:tcPr>
          <w:p w14:paraId="1615BF2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286" w:type="pct"/>
            <w:shd w:val="clear" w:color="auto" w:fill="C6EFCE"/>
            <w:noWrap/>
            <w:vAlign w:val="center"/>
            <w:hideMark/>
          </w:tcPr>
          <w:p w14:paraId="5B5369A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238" w:type="pct"/>
            <w:shd w:val="clear" w:color="auto" w:fill="C6EFCE"/>
            <w:noWrap/>
            <w:vAlign w:val="center"/>
            <w:hideMark/>
          </w:tcPr>
          <w:p w14:paraId="2A09ED4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1047" w:type="pct"/>
            <w:shd w:val="clear" w:color="auto" w:fill="C6EFCE"/>
            <w:noWrap/>
            <w:vAlign w:val="center"/>
            <w:hideMark/>
          </w:tcPr>
          <w:p w14:paraId="59DFEDE4"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Rakendatakse osameetmeid, mis on seotud õpetamise ja kõrgtasemel ülikoolioskustega. </w:t>
            </w:r>
          </w:p>
          <w:p w14:paraId="7EB639C3" w14:textId="77777777" w:rsidR="0084326C" w:rsidRPr="00F33804" w:rsidRDefault="0084326C">
            <w:pPr>
              <w:rPr>
                <w:rFonts w:ascii="Arial Narrow" w:hAnsi="Arial Narrow"/>
                <w:noProof/>
                <w:color w:val="006100"/>
                <w:sz w:val="20"/>
                <w:szCs w:val="20"/>
              </w:rPr>
            </w:pPr>
          </w:p>
          <w:p w14:paraId="2FD2EA4C"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Allmeetmed hõlmavad järgmist: </w:t>
            </w:r>
          </w:p>
          <w:p w14:paraId="49733435" w14:textId="77777777" w:rsidR="0084326C" w:rsidRPr="005D68A0" w:rsidRDefault="0084326C">
            <w:pPr>
              <w:pStyle w:val="ListParagraph"/>
              <w:numPr>
                <w:ilvl w:val="0"/>
                <w:numId w:val="56"/>
              </w:numPr>
              <w:spacing w:before="0" w:after="0"/>
              <w:jc w:val="left"/>
              <w:rPr>
                <w:rFonts w:ascii="Arial Narrow" w:hAnsi="Arial Narrow"/>
                <w:noProof/>
                <w:color w:val="006100"/>
                <w:sz w:val="20"/>
                <w:szCs w:val="20"/>
              </w:rPr>
            </w:pPr>
            <w:r>
              <w:rPr>
                <w:rFonts w:ascii="Arial Narrow" w:hAnsi="Arial Narrow"/>
                <w:noProof/>
                <w:color w:val="006100"/>
                <w:sz w:val="20"/>
              </w:rPr>
              <w:t>Kolme digiõppekeskuse loomine;</w:t>
            </w:r>
          </w:p>
          <w:p w14:paraId="63A6C3D9" w14:textId="331CB508" w:rsidR="0084326C" w:rsidRPr="005D68A0" w:rsidRDefault="0084326C">
            <w:pPr>
              <w:pStyle w:val="ListParagraph"/>
              <w:numPr>
                <w:ilvl w:val="0"/>
                <w:numId w:val="56"/>
              </w:numPr>
              <w:spacing w:before="0" w:after="0"/>
              <w:jc w:val="left"/>
              <w:rPr>
                <w:rFonts w:ascii="Arial Narrow" w:hAnsi="Arial Narrow"/>
                <w:noProof/>
                <w:color w:val="006100"/>
                <w:sz w:val="20"/>
                <w:szCs w:val="20"/>
              </w:rPr>
            </w:pPr>
            <w:r>
              <w:rPr>
                <w:rFonts w:ascii="Arial Narrow" w:hAnsi="Arial Narrow"/>
                <w:noProof/>
                <w:color w:val="006100"/>
                <w:sz w:val="20"/>
              </w:rPr>
              <w:t>Kolme kõrgema astme ülikooli võrgustiku aktiveerimine;</w:t>
            </w:r>
          </w:p>
          <w:p w14:paraId="0FB43992" w14:textId="77777777" w:rsidR="0084326C" w:rsidRPr="005D68A0" w:rsidRDefault="0084326C">
            <w:pPr>
              <w:pStyle w:val="ListParagraph"/>
              <w:numPr>
                <w:ilvl w:val="0"/>
                <w:numId w:val="56"/>
              </w:numPr>
              <w:spacing w:before="0" w:after="0"/>
              <w:jc w:val="left"/>
              <w:rPr>
                <w:rFonts w:ascii="Arial Narrow" w:hAnsi="Arial Narrow"/>
                <w:noProof/>
                <w:color w:val="006100"/>
                <w:sz w:val="20"/>
                <w:szCs w:val="20"/>
              </w:rPr>
            </w:pPr>
            <w:r>
              <w:rPr>
                <w:rFonts w:ascii="Arial Narrow" w:hAnsi="Arial Narrow"/>
                <w:noProof/>
                <w:color w:val="006100"/>
                <w:sz w:val="20"/>
              </w:rPr>
              <w:t>Kümne riikidevahelise haridusalgatuse (TNE) elluviimine;</w:t>
            </w:r>
          </w:p>
          <w:p w14:paraId="1011526F" w14:textId="77777777" w:rsidR="0084326C" w:rsidRPr="005D68A0" w:rsidRDefault="0084326C">
            <w:pPr>
              <w:pStyle w:val="ListParagraph"/>
              <w:numPr>
                <w:ilvl w:val="0"/>
                <w:numId w:val="56"/>
              </w:numPr>
              <w:spacing w:before="0" w:after="0"/>
              <w:jc w:val="left"/>
              <w:rPr>
                <w:rFonts w:ascii="Arial Narrow" w:hAnsi="Arial Narrow"/>
                <w:noProof/>
                <w:color w:val="006100"/>
                <w:sz w:val="20"/>
                <w:szCs w:val="20"/>
              </w:rPr>
            </w:pPr>
            <w:r>
              <w:rPr>
                <w:rFonts w:ascii="Arial Narrow" w:hAnsi="Arial Narrow"/>
                <w:noProof/>
                <w:color w:val="006100"/>
                <w:sz w:val="20"/>
              </w:rPr>
              <w:t>Kunsti- ja muusikakõrgkoolide (AFAM) 15 rahvusvahelistumise projekti elluviimine.</w:t>
            </w:r>
          </w:p>
        </w:tc>
      </w:tr>
      <w:tr w:rsidR="0084326C" w:rsidRPr="00D90835" w14:paraId="6C410BD1" w14:textId="77777777">
        <w:trPr>
          <w:trHeight w:val="309"/>
        </w:trPr>
        <w:tc>
          <w:tcPr>
            <w:tcW w:w="380" w:type="pct"/>
            <w:shd w:val="clear" w:color="auto" w:fill="C6EFCE"/>
            <w:noWrap/>
            <w:vAlign w:val="center"/>
          </w:tcPr>
          <w:p w14:paraId="66E4F28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M4C1-24</w:t>
            </w:r>
          </w:p>
        </w:tc>
        <w:tc>
          <w:tcPr>
            <w:tcW w:w="500" w:type="pct"/>
            <w:shd w:val="clear" w:color="auto" w:fill="C6EFCE"/>
            <w:noWrap/>
            <w:vAlign w:val="center"/>
          </w:tcPr>
          <w:p w14:paraId="7838134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1.6. Aktiivne orientatsioon üleminekul kooli-ülikooli vahel</w:t>
            </w:r>
          </w:p>
        </w:tc>
        <w:tc>
          <w:tcPr>
            <w:tcW w:w="358" w:type="pct"/>
            <w:shd w:val="clear" w:color="auto" w:fill="C6EFCE"/>
            <w:noWrap/>
            <w:vAlign w:val="center"/>
          </w:tcPr>
          <w:p w14:paraId="1A498C6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572" w:type="pct"/>
            <w:shd w:val="clear" w:color="auto" w:fill="C6EFCE"/>
            <w:noWrap/>
            <w:vAlign w:val="center"/>
          </w:tcPr>
          <w:p w14:paraId="129B0E3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Õpilased, kes on osalenud kooli-ülikooli üleminekukursustel</w:t>
            </w:r>
          </w:p>
        </w:tc>
        <w:tc>
          <w:tcPr>
            <w:tcW w:w="480" w:type="pct"/>
            <w:shd w:val="clear" w:color="auto" w:fill="C6EFCE"/>
            <w:noWrap/>
            <w:vAlign w:val="center"/>
          </w:tcPr>
          <w:p w14:paraId="617D884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422" w:type="pct"/>
            <w:shd w:val="clear" w:color="auto" w:fill="C6EFCE"/>
            <w:noWrap/>
            <w:vAlign w:val="center"/>
          </w:tcPr>
          <w:p w14:paraId="27E126D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75" w:type="pct"/>
            <w:shd w:val="clear" w:color="auto" w:fill="C6EFCE"/>
            <w:noWrap/>
            <w:vAlign w:val="center"/>
          </w:tcPr>
          <w:p w14:paraId="039CD2C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343" w:type="pct"/>
            <w:shd w:val="clear" w:color="auto" w:fill="C6EFCE"/>
            <w:noWrap/>
            <w:vAlign w:val="center"/>
          </w:tcPr>
          <w:p w14:paraId="324F5571" w14:textId="3BDB5463"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1 000 000</w:t>
            </w:r>
          </w:p>
        </w:tc>
        <w:tc>
          <w:tcPr>
            <w:tcW w:w="286" w:type="pct"/>
            <w:shd w:val="clear" w:color="auto" w:fill="C6EFCE"/>
            <w:noWrap/>
            <w:vAlign w:val="center"/>
          </w:tcPr>
          <w:p w14:paraId="288DA38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238" w:type="pct"/>
            <w:shd w:val="clear" w:color="auto" w:fill="C6EFCE"/>
            <w:noWrap/>
            <w:vAlign w:val="center"/>
          </w:tcPr>
          <w:p w14:paraId="5CC70C7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1047" w:type="pct"/>
            <w:shd w:val="clear" w:color="auto" w:fill="C6EFCE"/>
            <w:noWrap/>
            <w:vAlign w:val="center"/>
          </w:tcPr>
          <w:p w14:paraId="5B371C2F" w14:textId="7BBE5B36" w:rsidR="0084326C" w:rsidRPr="005D68A0" w:rsidRDefault="0084326C" w:rsidP="00E37BE8">
            <w:pPr>
              <w:rPr>
                <w:rFonts w:ascii="Arial Narrow" w:hAnsi="Arial Narrow"/>
                <w:noProof/>
                <w:color w:val="006100"/>
                <w:sz w:val="20"/>
                <w:szCs w:val="20"/>
              </w:rPr>
            </w:pPr>
            <w:r>
              <w:rPr>
                <w:rFonts w:ascii="Arial Narrow" w:hAnsi="Arial Narrow"/>
                <w:noProof/>
                <w:color w:val="006100"/>
                <w:sz w:val="20"/>
              </w:rPr>
              <w:t xml:space="preserve">Vähemalt 1 000 000 keskkooliõpilast osales ühel kooli ja ülikooli vahelisel üleminekukursusel.  </w:t>
            </w:r>
          </w:p>
        </w:tc>
      </w:tr>
      <w:tr w:rsidR="0084326C" w:rsidRPr="00D90835" w14:paraId="12BC9572" w14:textId="77777777">
        <w:trPr>
          <w:trHeight w:val="309"/>
        </w:trPr>
        <w:tc>
          <w:tcPr>
            <w:tcW w:w="380" w:type="pct"/>
            <w:shd w:val="clear" w:color="auto" w:fill="C6EFCE"/>
            <w:noWrap/>
            <w:vAlign w:val="center"/>
          </w:tcPr>
          <w:p w14:paraId="166F3B7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M4C1-25</w:t>
            </w:r>
          </w:p>
        </w:tc>
        <w:tc>
          <w:tcPr>
            <w:tcW w:w="500" w:type="pct"/>
            <w:shd w:val="clear" w:color="auto" w:fill="C6EFCE"/>
            <w:noWrap/>
            <w:vAlign w:val="center"/>
          </w:tcPr>
          <w:p w14:paraId="4449762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1.4. Erakorraline sekkumine, mille eesmärk on vähendada territoriaalseid erinevusi keskkooli I ja II tsüklis ning võidelda koolist väljalangemise vastu</w:t>
            </w:r>
          </w:p>
        </w:tc>
        <w:tc>
          <w:tcPr>
            <w:tcW w:w="358" w:type="pct"/>
            <w:shd w:val="clear" w:color="auto" w:fill="C6EFCE"/>
            <w:noWrap/>
            <w:vAlign w:val="center"/>
          </w:tcPr>
          <w:p w14:paraId="5147D21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572" w:type="pct"/>
            <w:shd w:val="clear" w:color="auto" w:fill="C6EFCE"/>
            <w:noWrap/>
            <w:vAlign w:val="center"/>
          </w:tcPr>
          <w:p w14:paraId="4B54E26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Erinevus koolist väljalangemise määras keskhariduses</w:t>
            </w:r>
          </w:p>
        </w:tc>
        <w:tc>
          <w:tcPr>
            <w:tcW w:w="480" w:type="pct"/>
            <w:shd w:val="clear" w:color="auto" w:fill="C6EFCE"/>
            <w:noWrap/>
            <w:vAlign w:val="center"/>
          </w:tcPr>
          <w:p w14:paraId="127F506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422" w:type="pct"/>
            <w:shd w:val="clear" w:color="auto" w:fill="C6EFCE"/>
            <w:noWrap/>
            <w:vAlign w:val="center"/>
          </w:tcPr>
          <w:p w14:paraId="393C735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Protsent</w:t>
            </w:r>
          </w:p>
        </w:tc>
        <w:tc>
          <w:tcPr>
            <w:tcW w:w="375" w:type="pct"/>
            <w:shd w:val="clear" w:color="auto" w:fill="C6EFCE"/>
            <w:noWrap/>
            <w:vAlign w:val="center"/>
          </w:tcPr>
          <w:p w14:paraId="5F215DA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13,5</w:t>
            </w:r>
          </w:p>
        </w:tc>
        <w:tc>
          <w:tcPr>
            <w:tcW w:w="343" w:type="pct"/>
            <w:shd w:val="clear" w:color="auto" w:fill="C6EFCE"/>
            <w:noWrap/>
            <w:vAlign w:val="center"/>
          </w:tcPr>
          <w:p w14:paraId="1E124DA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10,2</w:t>
            </w:r>
          </w:p>
        </w:tc>
        <w:tc>
          <w:tcPr>
            <w:tcW w:w="286" w:type="pct"/>
            <w:shd w:val="clear" w:color="auto" w:fill="C6EFCE"/>
            <w:noWrap/>
            <w:vAlign w:val="center"/>
          </w:tcPr>
          <w:p w14:paraId="3F39907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238" w:type="pct"/>
            <w:shd w:val="clear" w:color="auto" w:fill="C6EFCE"/>
            <w:noWrap/>
            <w:vAlign w:val="center"/>
          </w:tcPr>
          <w:p w14:paraId="1E677FF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1047" w:type="pct"/>
            <w:shd w:val="clear" w:color="auto" w:fill="C6EFCE"/>
            <w:noWrap/>
            <w:vAlign w:val="center"/>
          </w:tcPr>
          <w:p w14:paraId="03A6028D"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Vähendada keskkoolist väljalangemise määra erinevust, et saavutada ELi 2019. aasta keskmine (10,2 %).</w:t>
            </w:r>
          </w:p>
        </w:tc>
      </w:tr>
      <w:tr w:rsidR="0084326C" w:rsidRPr="00D90835" w14:paraId="2716404D" w14:textId="77777777">
        <w:trPr>
          <w:trHeight w:val="309"/>
        </w:trPr>
        <w:tc>
          <w:tcPr>
            <w:tcW w:w="380" w:type="pct"/>
            <w:shd w:val="clear" w:color="auto" w:fill="C6EFCE"/>
            <w:noWrap/>
            <w:vAlign w:val="center"/>
          </w:tcPr>
          <w:p w14:paraId="67BDEF0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M4C1-26</w:t>
            </w:r>
          </w:p>
        </w:tc>
        <w:tc>
          <w:tcPr>
            <w:tcW w:w="500" w:type="pct"/>
            <w:shd w:val="clear" w:color="auto" w:fill="C6EFCE"/>
            <w:noWrap/>
            <w:vAlign w:val="center"/>
          </w:tcPr>
          <w:p w14:paraId="7C88F89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3.3. Koolihoonete turvalisuse ja struktuurilise taastamise kava</w:t>
            </w:r>
          </w:p>
        </w:tc>
        <w:tc>
          <w:tcPr>
            <w:tcW w:w="358" w:type="pct"/>
            <w:shd w:val="clear" w:color="auto" w:fill="C6EFCE"/>
            <w:noWrap/>
            <w:vAlign w:val="center"/>
          </w:tcPr>
          <w:p w14:paraId="2DB50F5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572" w:type="pct"/>
            <w:shd w:val="clear" w:color="auto" w:fill="C6EFCE"/>
            <w:noWrap/>
            <w:vAlign w:val="center"/>
          </w:tcPr>
          <w:p w14:paraId="161A8B3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Renoveeritud koolihoonete ruutmeeter</w:t>
            </w:r>
          </w:p>
        </w:tc>
        <w:tc>
          <w:tcPr>
            <w:tcW w:w="480" w:type="pct"/>
            <w:shd w:val="clear" w:color="auto" w:fill="C6EFCE"/>
            <w:noWrap/>
            <w:vAlign w:val="center"/>
          </w:tcPr>
          <w:p w14:paraId="135ACA0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422" w:type="pct"/>
            <w:shd w:val="clear" w:color="auto" w:fill="C6EFCE"/>
            <w:noWrap/>
            <w:vAlign w:val="center"/>
          </w:tcPr>
          <w:p w14:paraId="1D05C96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75" w:type="pct"/>
            <w:shd w:val="clear" w:color="auto" w:fill="C6EFCE"/>
            <w:noWrap/>
            <w:vAlign w:val="center"/>
          </w:tcPr>
          <w:p w14:paraId="020C8A9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343" w:type="pct"/>
            <w:shd w:val="clear" w:color="auto" w:fill="C6EFCE"/>
            <w:noWrap/>
            <w:vAlign w:val="center"/>
          </w:tcPr>
          <w:p w14:paraId="362D038B" w14:textId="42E83D76"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2 600 000</w:t>
            </w:r>
          </w:p>
        </w:tc>
        <w:tc>
          <w:tcPr>
            <w:tcW w:w="286" w:type="pct"/>
            <w:shd w:val="clear" w:color="auto" w:fill="C6EFCE"/>
            <w:noWrap/>
            <w:vAlign w:val="center"/>
          </w:tcPr>
          <w:p w14:paraId="77EDB2A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238" w:type="pct"/>
            <w:shd w:val="clear" w:color="auto" w:fill="C6EFCE"/>
            <w:noWrap/>
            <w:vAlign w:val="center"/>
          </w:tcPr>
          <w:p w14:paraId="74EC9D1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1047" w:type="pct"/>
            <w:shd w:val="clear" w:color="auto" w:fill="C6EFCE"/>
            <w:noWrap/>
            <w:vAlign w:val="center"/>
          </w:tcPr>
          <w:p w14:paraId="345474EC" w14:textId="6F1632DD" w:rsidR="0084326C" w:rsidRPr="005D68A0" w:rsidRDefault="0084326C">
            <w:pPr>
              <w:rPr>
                <w:rFonts w:ascii="Arial Narrow" w:hAnsi="Arial Narrow"/>
                <w:noProof/>
                <w:color w:val="006100"/>
                <w:sz w:val="20"/>
                <w:szCs w:val="20"/>
              </w:rPr>
            </w:pPr>
            <w:r>
              <w:rPr>
                <w:rFonts w:ascii="Arial Narrow" w:hAnsi="Arial Narrow"/>
                <w:noProof/>
                <w:color w:val="006100"/>
                <w:sz w:val="20"/>
              </w:rPr>
              <w:t>Renoveeritakse või rekonstrueeritakse vähemalt 2 600 000 ruutmeetrit koolihoonet. Koolihoonete struktuuri- ja energiaalase ümberkujundamise kavaga peaks ümber kujundama kogupindala 2 600 000 ruutmeetrit.</w:t>
            </w:r>
          </w:p>
        </w:tc>
      </w:tr>
    </w:tbl>
    <w:p w14:paraId="1BAD9727" w14:textId="77777777" w:rsidR="0084326C" w:rsidRPr="00F33804" w:rsidRDefault="0084326C" w:rsidP="0084326C">
      <w:pPr>
        <w:tabs>
          <w:tab w:val="left" w:pos="3045"/>
        </w:tabs>
        <w:spacing w:before="120" w:after="120"/>
        <w:jc w:val="both"/>
        <w:rPr>
          <w:b/>
          <w:bCs/>
          <w:noProof/>
          <w:u w:val="single"/>
        </w:rPr>
        <w:sectPr w:rsidR="0084326C" w:rsidRPr="00F33804">
          <w:headerReference w:type="even" r:id="rId260"/>
          <w:headerReference w:type="default" r:id="rId261"/>
          <w:footerReference w:type="even" r:id="rId262"/>
          <w:footerReference w:type="default" r:id="rId263"/>
          <w:headerReference w:type="first" r:id="rId264"/>
          <w:footerReference w:type="first" r:id="rId265"/>
          <w:pgSz w:w="16839" w:h="11907" w:orient="landscape"/>
          <w:pgMar w:top="1134" w:right="1134" w:bottom="1134" w:left="1134" w:header="567" w:footer="567" w:gutter="0"/>
          <w:cols w:space="720"/>
          <w:docGrid w:linePitch="360"/>
        </w:sectPr>
      </w:pPr>
    </w:p>
    <w:p w14:paraId="6D8C6A17" w14:textId="77777777" w:rsidR="0084326C" w:rsidRPr="005D68A0" w:rsidRDefault="0084326C" w:rsidP="0084326C">
      <w:pPr>
        <w:pStyle w:val="Heading3"/>
        <w:numPr>
          <w:ilvl w:val="0"/>
          <w:numId w:val="0"/>
        </w:numPr>
        <w:ind w:left="850" w:hanging="850"/>
        <w:rPr>
          <w:rFonts w:ascii="Segoe UI" w:hAnsi="Segoe UI" w:cs="Segoe UI"/>
          <w:i w:val="0"/>
          <w:iCs/>
          <w:noProof/>
          <w:sz w:val="18"/>
          <w:szCs w:val="18"/>
        </w:rPr>
      </w:pPr>
      <w:r>
        <w:rPr>
          <w:rStyle w:val="normaltextrun"/>
          <w:b/>
          <w:i w:val="0"/>
          <w:noProof/>
          <w:u w:val="single"/>
        </w:rPr>
        <w:t>J.3. Laenuga seotud reformide ja investeeringute kirjeldus</w:t>
      </w:r>
      <w:r>
        <w:rPr>
          <w:rStyle w:val="eop"/>
          <w:i w:val="0"/>
          <w:noProof/>
        </w:rPr>
        <w:t xml:space="preserve"> </w:t>
      </w:r>
    </w:p>
    <w:p w14:paraId="3ECED3AA" w14:textId="77777777" w:rsidR="0084326C" w:rsidRPr="005D68A0" w:rsidRDefault="0084326C" w:rsidP="0084326C">
      <w:pPr>
        <w:pStyle w:val="paragraph"/>
        <w:spacing w:before="0" w:beforeAutospacing="0" w:after="0" w:afterAutospacing="0"/>
        <w:jc w:val="both"/>
        <w:textAlignment w:val="baseline"/>
        <w:rPr>
          <w:rStyle w:val="normaltextrun"/>
          <w:rFonts w:ascii="Segoe UI" w:hAnsi="Segoe UI" w:cs="Segoe UI"/>
          <w:noProof/>
          <w:sz w:val="18"/>
          <w:szCs w:val="18"/>
        </w:rPr>
      </w:pPr>
      <w:r>
        <w:rPr>
          <w:rStyle w:val="eop"/>
          <w:noProof/>
        </w:rPr>
        <w:t xml:space="preserve"> </w:t>
      </w:r>
    </w:p>
    <w:p w14:paraId="1F9AFC66" w14:textId="77777777" w:rsidR="0084326C" w:rsidRPr="005D68A0" w:rsidRDefault="0084326C" w:rsidP="0084326C">
      <w:pPr>
        <w:pStyle w:val="paragraph"/>
        <w:spacing w:before="0" w:beforeAutospacing="0" w:after="0" w:afterAutospacing="0"/>
        <w:jc w:val="both"/>
        <w:textAlignment w:val="baseline"/>
        <w:rPr>
          <w:rFonts w:ascii="Segoe UI" w:hAnsi="Segoe UI" w:cs="Segoe UI"/>
          <w:noProof/>
          <w:sz w:val="18"/>
          <w:szCs w:val="18"/>
        </w:rPr>
      </w:pPr>
      <w:r>
        <w:rPr>
          <w:rStyle w:val="normaltextrun"/>
          <w:b/>
          <w:noProof/>
        </w:rPr>
        <w:t xml:space="preserve">Reform 1.7. Üliõpilaste eluasemete reguleerimise reform ja investeeringud üliõpilaste eluasemetesse </w:t>
      </w:r>
      <w:r>
        <w:rPr>
          <w:rStyle w:val="eop"/>
          <w:noProof/>
        </w:rPr>
        <w:t xml:space="preserve"> </w:t>
      </w:r>
    </w:p>
    <w:p w14:paraId="17D18E27" w14:textId="77777777" w:rsidR="0084326C" w:rsidRPr="005D68A0" w:rsidRDefault="0084326C" w:rsidP="0084326C">
      <w:pPr>
        <w:pStyle w:val="paragraph"/>
        <w:spacing w:before="0" w:beforeAutospacing="0" w:after="0" w:afterAutospacing="0"/>
        <w:jc w:val="both"/>
        <w:textAlignment w:val="baseline"/>
        <w:rPr>
          <w:rStyle w:val="normaltextrun"/>
          <w:noProof/>
          <w:sz w:val="22"/>
          <w:szCs w:val="22"/>
          <w:lang w:val="en-GB"/>
        </w:rPr>
      </w:pPr>
    </w:p>
    <w:p w14:paraId="5D473161" w14:textId="77777777" w:rsidR="0084326C" w:rsidRPr="005D68A0" w:rsidRDefault="0084326C" w:rsidP="0084326C">
      <w:pPr>
        <w:pStyle w:val="paragraph"/>
        <w:spacing w:before="0" w:beforeAutospacing="0" w:after="120" w:afterAutospacing="0"/>
        <w:jc w:val="both"/>
        <w:textAlignment w:val="baseline"/>
        <w:rPr>
          <w:rFonts w:ascii="Segoe UI" w:hAnsi="Segoe UI" w:cs="Segoe UI"/>
          <w:noProof/>
        </w:rPr>
      </w:pPr>
      <w:r>
        <w:rPr>
          <w:rStyle w:val="normaltextrun"/>
          <w:noProof/>
        </w:rPr>
        <w:t xml:space="preserve">Reformi eesmärk on julgustada era- ja avaliku sektori asutusi looma üliõpilaste majutusrajatisi, kusjuures ülikoolide ja teadusuuringute ministeerium annab osa hoonete esimese kolme tegevusaasta üüritulust. Eesmärk on suurendada 2026. aastaks koolivälistele õpilastele ettenähtud majutuskohtade arvu. </w:t>
      </w:r>
      <w:r>
        <w:rPr>
          <w:rStyle w:val="eop"/>
          <w:noProof/>
        </w:rPr>
        <w:t xml:space="preserve"> </w:t>
      </w:r>
    </w:p>
    <w:p w14:paraId="0F3E2D75" w14:textId="39CBD644" w:rsidR="0084326C" w:rsidRPr="005D68A0" w:rsidRDefault="0084326C" w:rsidP="0084326C">
      <w:pPr>
        <w:pStyle w:val="paragraph"/>
        <w:spacing w:before="0" w:beforeAutospacing="0" w:after="120" w:afterAutospacing="0"/>
        <w:jc w:val="both"/>
        <w:textAlignment w:val="baseline"/>
        <w:rPr>
          <w:rFonts w:ascii="Segoe UI" w:hAnsi="Segoe UI" w:cs="Segoe UI"/>
          <w:noProof/>
        </w:rPr>
      </w:pPr>
      <w:r>
        <w:rPr>
          <w:rStyle w:val="normaltextrun"/>
          <w:noProof/>
        </w:rPr>
        <w:t>Kavandatud investeeringu eesmärk on lisada 60 000 magamismajutust, vähendades seega märkimisväärselt Itaalia lõhet ELi keskmisega eluasemete pakkumise osas. Selle eesmärk on tagada laialdane juurdepääs eluasemetele, et mõistlikul arvul üliõpilastel oleks võimalik lubada kõrgemat haridust oma eelistatud valdkonnas ja asukohas, olenemata nende sotsiaal-majanduslikust taustast. Sel eesmärgil reserveeritakse 30 % uutest kohtadest sotsiaal-majanduslikes raskustes olevatele üliõpilastele, nagu on määratlenud „Diritto allo Studio“ (õigus õppeorganisatsioonidele).  </w:t>
      </w:r>
      <w:r>
        <w:rPr>
          <w:rStyle w:val="eop"/>
          <w:noProof/>
        </w:rPr>
        <w:t xml:space="preserve"> </w:t>
      </w:r>
    </w:p>
    <w:p w14:paraId="5F62A576" w14:textId="77777777" w:rsidR="0084326C" w:rsidRPr="005D68A0" w:rsidRDefault="0084326C" w:rsidP="0084326C">
      <w:pPr>
        <w:pStyle w:val="paragraph"/>
        <w:spacing w:before="0" w:beforeAutospacing="0" w:after="120" w:afterAutospacing="0"/>
        <w:jc w:val="both"/>
        <w:textAlignment w:val="baseline"/>
        <w:rPr>
          <w:rFonts w:ascii="Segoe UI" w:hAnsi="Segoe UI" w:cs="Segoe UI"/>
          <w:noProof/>
        </w:rPr>
      </w:pPr>
      <w:r>
        <w:rPr>
          <w:rStyle w:val="normaltextrun"/>
          <w:noProof/>
        </w:rPr>
        <w:t>Üliõpilaste renditasu on vähemalt 15 % madalam kui kohaliku turu hinnad.</w:t>
      </w:r>
      <w:r>
        <w:rPr>
          <w:rStyle w:val="eop"/>
          <w:noProof/>
        </w:rPr>
        <w:t xml:space="preserve"> </w:t>
      </w:r>
    </w:p>
    <w:p w14:paraId="66729667" w14:textId="77777777" w:rsidR="0084326C" w:rsidRPr="005D68A0" w:rsidRDefault="0084326C" w:rsidP="0084326C">
      <w:pPr>
        <w:pStyle w:val="paragraph"/>
        <w:spacing w:before="0" w:beforeAutospacing="0" w:after="120" w:afterAutospacing="0"/>
        <w:jc w:val="both"/>
        <w:textAlignment w:val="baseline"/>
        <w:rPr>
          <w:rFonts w:ascii="Segoe UI" w:hAnsi="Segoe UI" w:cs="Segoe UI"/>
          <w:noProof/>
        </w:rPr>
      </w:pPr>
      <w:r>
        <w:rPr>
          <w:rStyle w:val="normaltextrun"/>
          <w:noProof/>
        </w:rPr>
        <w:t xml:space="preserve">Investeering ei hõlma maagaasikatelde hankimist. </w:t>
      </w:r>
      <w:r>
        <w:rPr>
          <w:rStyle w:val="eop"/>
          <w:noProof/>
        </w:rPr>
        <w:t xml:space="preserve"> </w:t>
      </w:r>
    </w:p>
    <w:p w14:paraId="5500D4E5" w14:textId="77777777" w:rsidR="0084326C" w:rsidRPr="005D68A0" w:rsidRDefault="0084326C" w:rsidP="0084326C">
      <w:pPr>
        <w:pStyle w:val="paragraph"/>
        <w:spacing w:before="0" w:beforeAutospacing="0" w:after="120" w:afterAutospacing="0"/>
        <w:jc w:val="both"/>
        <w:textAlignment w:val="baseline"/>
        <w:rPr>
          <w:rFonts w:ascii="Segoe UI" w:hAnsi="Segoe UI" w:cs="Segoe UI"/>
          <w:noProof/>
        </w:rPr>
      </w:pPr>
      <w:r>
        <w:rPr>
          <w:rStyle w:val="normaltextrun"/>
          <w:noProof/>
        </w:rPr>
        <w:t>Sihi puhul ei saa arvesse võtta majutuskohti, mida kasutati üliõpilaste majutamiseks juba enne vastava projektikonkursi algatamist. Voodikohtade lõpliku eesmärgi saavutamiseks kuulutatakse 2021.–2025. aastal välja projektikonkursid.</w:t>
      </w:r>
      <w:r>
        <w:rPr>
          <w:rStyle w:val="eop"/>
          <w:noProof/>
        </w:rPr>
        <w:t xml:space="preserve"> </w:t>
      </w:r>
    </w:p>
    <w:p w14:paraId="1BF4291D" w14:textId="77777777" w:rsidR="0084326C" w:rsidRPr="005D68A0" w:rsidRDefault="0084326C" w:rsidP="0084326C">
      <w:pPr>
        <w:pStyle w:val="Heading3"/>
        <w:numPr>
          <w:ilvl w:val="0"/>
          <w:numId w:val="0"/>
        </w:numPr>
        <w:ind w:left="850" w:hanging="850"/>
        <w:rPr>
          <w:rFonts w:ascii="Segoe UI" w:hAnsi="Segoe UI" w:cs="Segoe UI"/>
          <w:i w:val="0"/>
          <w:iCs/>
          <w:noProof/>
          <w:sz w:val="18"/>
          <w:szCs w:val="18"/>
        </w:rPr>
      </w:pPr>
      <w:r>
        <w:rPr>
          <w:rStyle w:val="normaltextrun"/>
          <w:b/>
          <w:i w:val="0"/>
          <w:noProof/>
          <w:u w:val="single"/>
        </w:rPr>
        <w:t>J.4. Laenu eesmärgid, sihid, näitajad ning seire ja rakendamise ajakava</w:t>
      </w:r>
      <w:r>
        <w:rPr>
          <w:rStyle w:val="eop"/>
          <w:i w:val="0"/>
          <w:noProof/>
        </w:rPr>
        <w:t xml:space="preserve"> </w:t>
      </w:r>
    </w:p>
    <w:p w14:paraId="00DA01CD" w14:textId="77777777" w:rsidR="0084326C" w:rsidRPr="00F33804" w:rsidRDefault="0084326C" w:rsidP="0084326C">
      <w:pPr>
        <w:spacing w:before="120" w:after="120"/>
        <w:ind w:left="709"/>
        <w:contextualSpacing/>
        <w:jc w:val="both"/>
        <w:rPr>
          <w:noProof/>
        </w:rPr>
        <w:sectPr w:rsidR="0084326C" w:rsidRPr="00F33804">
          <w:headerReference w:type="even" r:id="rId266"/>
          <w:headerReference w:type="default" r:id="rId267"/>
          <w:footerReference w:type="even" r:id="rId268"/>
          <w:footerReference w:type="default" r:id="rId269"/>
          <w:headerReference w:type="first" r:id="rId270"/>
          <w:footerReference w:type="first" r:id="rId271"/>
          <w:pgSz w:w="11907" w:h="16839"/>
          <w:pgMar w:top="1134" w:right="1134" w:bottom="1134" w:left="1134" w:header="567" w:footer="567" w:gutter="0"/>
          <w:cols w:space="720"/>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133"/>
        <w:gridCol w:w="1418"/>
        <w:gridCol w:w="1702"/>
        <w:gridCol w:w="1690"/>
        <w:gridCol w:w="1148"/>
        <w:gridCol w:w="1133"/>
        <w:gridCol w:w="848"/>
        <w:gridCol w:w="900"/>
        <w:gridCol w:w="710"/>
        <w:gridCol w:w="3264"/>
      </w:tblGrid>
      <w:tr w:rsidR="0084326C" w:rsidRPr="00D90835" w14:paraId="37BD8D44" w14:textId="77777777">
        <w:trPr>
          <w:trHeight w:val="939"/>
          <w:tblHeader/>
          <w:jc w:val="center"/>
        </w:trPr>
        <w:tc>
          <w:tcPr>
            <w:tcW w:w="445" w:type="pct"/>
            <w:vMerge w:val="restart"/>
            <w:shd w:val="clear" w:color="auto" w:fill="BDD7EE"/>
            <w:vAlign w:val="center"/>
            <w:hideMark/>
          </w:tcPr>
          <w:p w14:paraId="4683B4CB" w14:textId="77777777" w:rsidR="0084326C" w:rsidRPr="005D68A0" w:rsidRDefault="0084326C">
            <w:pPr>
              <w:jc w:val="center"/>
              <w:rPr>
                <w:rFonts w:ascii="Arial Narrow" w:hAnsi="Arial Narrow"/>
                <w:b/>
                <w:noProof/>
                <w:sz w:val="20"/>
                <w:szCs w:val="20"/>
              </w:rPr>
            </w:pPr>
            <w:r>
              <w:rPr>
                <w:rFonts w:ascii="Arial Narrow" w:hAnsi="Arial Narrow"/>
                <w:b/>
                <w:noProof/>
                <w:sz w:val="20"/>
              </w:rPr>
              <w:t>Järjekorranumber</w:t>
            </w:r>
          </w:p>
        </w:tc>
        <w:tc>
          <w:tcPr>
            <w:tcW w:w="370" w:type="pct"/>
            <w:vMerge w:val="restart"/>
            <w:shd w:val="clear" w:color="auto" w:fill="BDD7EE"/>
            <w:vAlign w:val="center"/>
            <w:hideMark/>
          </w:tcPr>
          <w:p w14:paraId="45BBA6BD" w14:textId="77777777" w:rsidR="0084326C" w:rsidRPr="005D68A0" w:rsidRDefault="0084326C">
            <w:pPr>
              <w:jc w:val="center"/>
              <w:rPr>
                <w:rFonts w:ascii="Arial Narrow" w:hAnsi="Arial Narrow"/>
                <w:b/>
                <w:noProof/>
                <w:sz w:val="20"/>
                <w:szCs w:val="20"/>
              </w:rPr>
            </w:pPr>
            <w:r>
              <w:rPr>
                <w:rFonts w:ascii="Arial Narrow" w:hAnsi="Arial Narrow"/>
                <w:b/>
                <w:noProof/>
                <w:sz w:val="20"/>
              </w:rPr>
              <w:t>Seotud meede (reform või investeering)</w:t>
            </w:r>
          </w:p>
        </w:tc>
        <w:tc>
          <w:tcPr>
            <w:tcW w:w="463" w:type="pct"/>
            <w:vMerge w:val="restart"/>
            <w:shd w:val="clear" w:color="auto" w:fill="BDD7EE"/>
            <w:vAlign w:val="center"/>
            <w:hideMark/>
          </w:tcPr>
          <w:p w14:paraId="4AF8818B" w14:textId="77777777" w:rsidR="0084326C" w:rsidRPr="005D68A0" w:rsidRDefault="0084326C">
            <w:pPr>
              <w:jc w:val="center"/>
              <w:rPr>
                <w:rFonts w:ascii="Arial Narrow" w:hAnsi="Arial Narrow"/>
                <w:b/>
                <w:noProof/>
                <w:sz w:val="20"/>
                <w:szCs w:val="20"/>
              </w:rPr>
            </w:pPr>
            <w:r>
              <w:rPr>
                <w:rFonts w:ascii="Arial Narrow" w:hAnsi="Arial Narrow"/>
                <w:b/>
                <w:noProof/>
                <w:sz w:val="20"/>
              </w:rPr>
              <w:t>Eesmärk / siht</w:t>
            </w:r>
          </w:p>
        </w:tc>
        <w:tc>
          <w:tcPr>
            <w:tcW w:w="556" w:type="pct"/>
            <w:vMerge w:val="restart"/>
            <w:shd w:val="clear" w:color="auto" w:fill="BDD7EE"/>
            <w:vAlign w:val="center"/>
            <w:hideMark/>
          </w:tcPr>
          <w:p w14:paraId="3A8E8604" w14:textId="77777777" w:rsidR="0084326C" w:rsidRPr="005D68A0" w:rsidRDefault="0084326C">
            <w:pPr>
              <w:jc w:val="center"/>
              <w:rPr>
                <w:rFonts w:ascii="Arial Narrow" w:hAnsi="Arial Narrow"/>
                <w:b/>
                <w:noProof/>
                <w:sz w:val="20"/>
                <w:szCs w:val="20"/>
              </w:rPr>
            </w:pPr>
            <w:r>
              <w:rPr>
                <w:rFonts w:ascii="Arial Narrow" w:hAnsi="Arial Narrow"/>
                <w:b/>
                <w:noProof/>
                <w:sz w:val="20"/>
              </w:rPr>
              <w:t>Nimi</w:t>
            </w:r>
          </w:p>
        </w:tc>
        <w:tc>
          <w:tcPr>
            <w:tcW w:w="552" w:type="pct"/>
            <w:vMerge w:val="restart"/>
            <w:shd w:val="clear" w:color="auto" w:fill="BDD7EE"/>
            <w:vAlign w:val="center"/>
            <w:hideMark/>
          </w:tcPr>
          <w:p w14:paraId="08B81D1A" w14:textId="77777777" w:rsidR="0084326C" w:rsidRPr="005D68A0" w:rsidRDefault="0084326C">
            <w:pPr>
              <w:jc w:val="center"/>
              <w:rPr>
                <w:rFonts w:ascii="Arial Narrow" w:hAnsi="Arial Narrow"/>
                <w:b/>
                <w:noProof/>
                <w:sz w:val="20"/>
                <w:szCs w:val="20"/>
              </w:rPr>
            </w:pPr>
            <w:r>
              <w:rPr>
                <w:rFonts w:ascii="Arial Narrow" w:hAnsi="Arial Narrow"/>
                <w:b/>
                <w:noProof/>
                <w:sz w:val="20"/>
              </w:rPr>
              <w:t>Kvalitatiivsed näitajad</w:t>
            </w:r>
            <w:r>
              <w:rPr>
                <w:noProof/>
              </w:rPr>
              <w:t xml:space="preserve"> </w:t>
            </w:r>
            <w:r>
              <w:rPr>
                <w:noProof/>
              </w:rPr>
              <w:br/>
            </w:r>
            <w:r>
              <w:rPr>
                <w:rFonts w:ascii="Arial Narrow" w:hAnsi="Arial Narrow"/>
                <w:b/>
                <w:noProof/>
                <w:sz w:val="20"/>
              </w:rPr>
              <w:t>(eesmärkide puhul)</w:t>
            </w:r>
          </w:p>
        </w:tc>
        <w:tc>
          <w:tcPr>
            <w:tcW w:w="1022" w:type="pct"/>
            <w:gridSpan w:val="3"/>
            <w:shd w:val="clear" w:color="auto" w:fill="BDD7EE"/>
            <w:vAlign w:val="center"/>
            <w:hideMark/>
          </w:tcPr>
          <w:p w14:paraId="1A41132A" w14:textId="77777777" w:rsidR="0084326C" w:rsidRPr="005D68A0" w:rsidRDefault="0084326C">
            <w:pPr>
              <w:jc w:val="center"/>
              <w:rPr>
                <w:rFonts w:ascii="Arial Narrow" w:hAnsi="Arial Narrow"/>
                <w:b/>
                <w:noProof/>
                <w:sz w:val="20"/>
                <w:szCs w:val="20"/>
              </w:rPr>
            </w:pPr>
            <w:r>
              <w:rPr>
                <w:rFonts w:ascii="Arial Narrow" w:hAnsi="Arial Narrow"/>
                <w:b/>
                <w:noProof/>
                <w:sz w:val="20"/>
              </w:rPr>
              <w:t xml:space="preserve">Kvantitatiivsed näitajad </w:t>
            </w:r>
            <w:r>
              <w:rPr>
                <w:noProof/>
              </w:rPr>
              <w:br/>
            </w:r>
            <w:r>
              <w:rPr>
                <w:rFonts w:ascii="Arial Narrow" w:hAnsi="Arial Narrow"/>
                <w:b/>
                <w:noProof/>
                <w:sz w:val="20"/>
              </w:rPr>
              <w:t>(sihtide puhul)</w:t>
            </w:r>
          </w:p>
        </w:tc>
        <w:tc>
          <w:tcPr>
            <w:tcW w:w="526" w:type="pct"/>
            <w:gridSpan w:val="2"/>
            <w:shd w:val="clear" w:color="auto" w:fill="BDD7EE"/>
            <w:vAlign w:val="center"/>
            <w:hideMark/>
          </w:tcPr>
          <w:p w14:paraId="4D88E5E2" w14:textId="77777777" w:rsidR="0084326C" w:rsidRPr="005D68A0" w:rsidRDefault="0084326C">
            <w:pPr>
              <w:jc w:val="center"/>
              <w:rPr>
                <w:rFonts w:ascii="Arial Narrow" w:hAnsi="Arial Narrow"/>
                <w:b/>
                <w:noProof/>
                <w:sz w:val="20"/>
                <w:szCs w:val="20"/>
              </w:rPr>
            </w:pPr>
            <w:r>
              <w:rPr>
                <w:rFonts w:ascii="Arial Narrow" w:hAnsi="Arial Narrow"/>
                <w:b/>
                <w:noProof/>
                <w:sz w:val="20"/>
              </w:rPr>
              <w:t>Lõpuleviimise soovituslik ajakava</w:t>
            </w:r>
          </w:p>
        </w:tc>
        <w:tc>
          <w:tcPr>
            <w:tcW w:w="1066" w:type="pct"/>
            <w:vMerge w:val="restart"/>
            <w:shd w:val="clear" w:color="auto" w:fill="BDD7EE"/>
            <w:vAlign w:val="center"/>
            <w:hideMark/>
          </w:tcPr>
          <w:p w14:paraId="17E7EEB6" w14:textId="77777777" w:rsidR="0084326C" w:rsidRPr="005D68A0" w:rsidRDefault="0084326C">
            <w:pPr>
              <w:jc w:val="center"/>
              <w:rPr>
                <w:rFonts w:ascii="Arial Narrow" w:hAnsi="Arial Narrow"/>
                <w:b/>
                <w:noProof/>
                <w:sz w:val="20"/>
                <w:szCs w:val="20"/>
              </w:rPr>
            </w:pPr>
            <w:r>
              <w:rPr>
                <w:rFonts w:ascii="Arial Narrow" w:hAnsi="Arial Narrow"/>
                <w:b/>
                <w:noProof/>
                <w:sz w:val="20"/>
              </w:rPr>
              <w:t>Iga eesmärgi ja sihi kirjeldus</w:t>
            </w:r>
          </w:p>
        </w:tc>
      </w:tr>
      <w:tr w:rsidR="0084326C" w:rsidRPr="005D68A0" w14:paraId="36E9A49E" w14:textId="77777777">
        <w:trPr>
          <w:trHeight w:val="1027"/>
          <w:jc w:val="center"/>
        </w:trPr>
        <w:tc>
          <w:tcPr>
            <w:tcW w:w="445" w:type="pct"/>
            <w:vMerge/>
            <w:vAlign w:val="center"/>
            <w:hideMark/>
          </w:tcPr>
          <w:p w14:paraId="7DE138AD" w14:textId="77777777" w:rsidR="0084326C" w:rsidRPr="00F33804" w:rsidRDefault="0084326C">
            <w:pPr>
              <w:jc w:val="center"/>
              <w:rPr>
                <w:rFonts w:ascii="Arial Narrow" w:hAnsi="Arial Narrow"/>
                <w:b/>
                <w:noProof/>
                <w:sz w:val="20"/>
                <w:szCs w:val="20"/>
              </w:rPr>
            </w:pPr>
          </w:p>
        </w:tc>
        <w:tc>
          <w:tcPr>
            <w:tcW w:w="370" w:type="pct"/>
            <w:vMerge/>
            <w:vAlign w:val="center"/>
            <w:hideMark/>
          </w:tcPr>
          <w:p w14:paraId="44482FEC" w14:textId="77777777" w:rsidR="0084326C" w:rsidRPr="00F33804" w:rsidRDefault="0084326C">
            <w:pPr>
              <w:jc w:val="center"/>
              <w:rPr>
                <w:rFonts w:ascii="Arial Narrow" w:hAnsi="Arial Narrow"/>
                <w:b/>
                <w:noProof/>
                <w:sz w:val="20"/>
                <w:szCs w:val="20"/>
              </w:rPr>
            </w:pPr>
          </w:p>
        </w:tc>
        <w:tc>
          <w:tcPr>
            <w:tcW w:w="463" w:type="pct"/>
            <w:vMerge/>
            <w:vAlign w:val="center"/>
            <w:hideMark/>
          </w:tcPr>
          <w:p w14:paraId="206339F1" w14:textId="77777777" w:rsidR="0084326C" w:rsidRPr="00F33804" w:rsidRDefault="0084326C">
            <w:pPr>
              <w:jc w:val="center"/>
              <w:rPr>
                <w:rFonts w:ascii="Arial Narrow" w:hAnsi="Arial Narrow"/>
                <w:b/>
                <w:noProof/>
                <w:sz w:val="20"/>
                <w:szCs w:val="20"/>
              </w:rPr>
            </w:pPr>
          </w:p>
        </w:tc>
        <w:tc>
          <w:tcPr>
            <w:tcW w:w="556" w:type="pct"/>
            <w:vMerge/>
            <w:vAlign w:val="center"/>
            <w:hideMark/>
          </w:tcPr>
          <w:p w14:paraId="19B297CA" w14:textId="77777777" w:rsidR="0084326C" w:rsidRPr="00F33804" w:rsidRDefault="0084326C">
            <w:pPr>
              <w:jc w:val="center"/>
              <w:rPr>
                <w:rFonts w:ascii="Arial Narrow" w:hAnsi="Arial Narrow"/>
                <w:b/>
                <w:noProof/>
                <w:sz w:val="20"/>
                <w:szCs w:val="20"/>
              </w:rPr>
            </w:pPr>
          </w:p>
        </w:tc>
        <w:tc>
          <w:tcPr>
            <w:tcW w:w="552" w:type="pct"/>
            <w:vMerge/>
            <w:vAlign w:val="center"/>
            <w:hideMark/>
          </w:tcPr>
          <w:p w14:paraId="7375CD90" w14:textId="77777777" w:rsidR="0084326C" w:rsidRPr="00F33804" w:rsidRDefault="0084326C">
            <w:pPr>
              <w:jc w:val="center"/>
              <w:rPr>
                <w:rFonts w:ascii="Arial Narrow" w:hAnsi="Arial Narrow"/>
                <w:b/>
                <w:noProof/>
                <w:sz w:val="20"/>
                <w:szCs w:val="20"/>
              </w:rPr>
            </w:pPr>
          </w:p>
        </w:tc>
        <w:tc>
          <w:tcPr>
            <w:tcW w:w="375" w:type="pct"/>
            <w:shd w:val="clear" w:color="auto" w:fill="BDD7EE"/>
            <w:vAlign w:val="center"/>
            <w:hideMark/>
          </w:tcPr>
          <w:p w14:paraId="095BFB76" w14:textId="77777777" w:rsidR="0084326C" w:rsidRPr="005D68A0" w:rsidRDefault="0084326C">
            <w:pPr>
              <w:jc w:val="center"/>
              <w:rPr>
                <w:rFonts w:ascii="Arial Narrow" w:hAnsi="Arial Narrow"/>
                <w:b/>
                <w:noProof/>
                <w:sz w:val="20"/>
                <w:szCs w:val="20"/>
              </w:rPr>
            </w:pPr>
            <w:r>
              <w:rPr>
                <w:rFonts w:ascii="Arial Narrow" w:hAnsi="Arial Narrow"/>
                <w:b/>
                <w:noProof/>
                <w:sz w:val="20"/>
              </w:rPr>
              <w:t>Mõõtühik</w:t>
            </w:r>
          </w:p>
        </w:tc>
        <w:tc>
          <w:tcPr>
            <w:tcW w:w="370" w:type="pct"/>
            <w:shd w:val="clear" w:color="auto" w:fill="BDD7EE"/>
            <w:vAlign w:val="center"/>
            <w:hideMark/>
          </w:tcPr>
          <w:p w14:paraId="28CA91F2" w14:textId="77777777" w:rsidR="0084326C" w:rsidRPr="005D68A0" w:rsidRDefault="0084326C">
            <w:pPr>
              <w:jc w:val="center"/>
              <w:rPr>
                <w:rFonts w:ascii="Arial Narrow" w:hAnsi="Arial Narrow"/>
                <w:b/>
                <w:noProof/>
                <w:sz w:val="20"/>
                <w:szCs w:val="20"/>
              </w:rPr>
            </w:pPr>
            <w:r>
              <w:rPr>
                <w:rFonts w:ascii="Arial Narrow" w:hAnsi="Arial Narrow"/>
                <w:b/>
                <w:noProof/>
                <w:sz w:val="20"/>
              </w:rPr>
              <w:t>Lähtetase</w:t>
            </w:r>
          </w:p>
        </w:tc>
        <w:tc>
          <w:tcPr>
            <w:tcW w:w="277" w:type="pct"/>
            <w:shd w:val="clear" w:color="auto" w:fill="BDD7EE"/>
            <w:vAlign w:val="center"/>
            <w:hideMark/>
          </w:tcPr>
          <w:p w14:paraId="7E4DAD9A" w14:textId="77777777" w:rsidR="0084326C" w:rsidRPr="005D68A0" w:rsidRDefault="0084326C">
            <w:pPr>
              <w:jc w:val="center"/>
              <w:rPr>
                <w:rFonts w:ascii="Arial Narrow" w:hAnsi="Arial Narrow"/>
                <w:b/>
                <w:noProof/>
                <w:sz w:val="20"/>
                <w:szCs w:val="20"/>
              </w:rPr>
            </w:pPr>
            <w:r>
              <w:rPr>
                <w:rFonts w:ascii="Arial Narrow" w:hAnsi="Arial Narrow"/>
                <w:b/>
                <w:noProof/>
                <w:sz w:val="20"/>
              </w:rPr>
              <w:t>Eesmärk</w:t>
            </w:r>
          </w:p>
        </w:tc>
        <w:tc>
          <w:tcPr>
            <w:tcW w:w="294" w:type="pct"/>
            <w:shd w:val="clear" w:color="auto" w:fill="BDD7EE"/>
            <w:vAlign w:val="center"/>
            <w:hideMark/>
          </w:tcPr>
          <w:p w14:paraId="0509F219" w14:textId="77777777" w:rsidR="0084326C" w:rsidRPr="005D68A0" w:rsidRDefault="0084326C">
            <w:pPr>
              <w:jc w:val="center"/>
              <w:rPr>
                <w:rFonts w:ascii="Arial Narrow" w:hAnsi="Arial Narrow"/>
                <w:b/>
                <w:noProof/>
                <w:sz w:val="20"/>
                <w:szCs w:val="20"/>
              </w:rPr>
            </w:pPr>
            <w:r>
              <w:rPr>
                <w:rFonts w:ascii="Arial Narrow" w:hAnsi="Arial Narrow"/>
                <w:b/>
                <w:noProof/>
                <w:sz w:val="20"/>
              </w:rPr>
              <w:t>Kvartal</w:t>
            </w:r>
          </w:p>
        </w:tc>
        <w:tc>
          <w:tcPr>
            <w:tcW w:w="232" w:type="pct"/>
            <w:shd w:val="clear" w:color="auto" w:fill="BDD7EE"/>
            <w:vAlign w:val="center"/>
            <w:hideMark/>
          </w:tcPr>
          <w:p w14:paraId="69995404" w14:textId="77777777" w:rsidR="0084326C" w:rsidRPr="005D68A0" w:rsidRDefault="0084326C">
            <w:pPr>
              <w:jc w:val="center"/>
              <w:rPr>
                <w:rFonts w:ascii="Arial Narrow" w:hAnsi="Arial Narrow"/>
                <w:b/>
                <w:noProof/>
                <w:sz w:val="20"/>
                <w:szCs w:val="20"/>
              </w:rPr>
            </w:pPr>
            <w:r>
              <w:rPr>
                <w:rFonts w:ascii="Arial Narrow" w:hAnsi="Arial Narrow"/>
                <w:b/>
                <w:noProof/>
                <w:sz w:val="20"/>
              </w:rPr>
              <w:t>Aasta</w:t>
            </w:r>
          </w:p>
        </w:tc>
        <w:tc>
          <w:tcPr>
            <w:tcW w:w="1066" w:type="pct"/>
            <w:vMerge/>
            <w:vAlign w:val="center"/>
            <w:hideMark/>
          </w:tcPr>
          <w:p w14:paraId="3A38FA5D" w14:textId="77777777" w:rsidR="0084326C" w:rsidRPr="005D68A0" w:rsidRDefault="0084326C">
            <w:pPr>
              <w:rPr>
                <w:rFonts w:ascii="Arial Narrow" w:hAnsi="Arial Narrow"/>
                <w:b/>
                <w:noProof/>
                <w:sz w:val="20"/>
                <w:szCs w:val="20"/>
                <w:lang w:val="en-GB"/>
              </w:rPr>
            </w:pPr>
          </w:p>
        </w:tc>
      </w:tr>
      <w:tr w:rsidR="0084326C" w:rsidRPr="00D90835" w14:paraId="3ED7F56D" w14:textId="77777777">
        <w:trPr>
          <w:trHeight w:val="313"/>
          <w:jc w:val="center"/>
        </w:trPr>
        <w:tc>
          <w:tcPr>
            <w:tcW w:w="445" w:type="pct"/>
            <w:shd w:val="clear" w:color="auto" w:fill="C6EFCE"/>
            <w:noWrap/>
            <w:vAlign w:val="center"/>
            <w:hideMark/>
          </w:tcPr>
          <w:p w14:paraId="3C5D0B4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M4C1-27</w:t>
            </w:r>
          </w:p>
        </w:tc>
        <w:tc>
          <w:tcPr>
            <w:tcW w:w="370" w:type="pct"/>
            <w:shd w:val="clear" w:color="auto" w:fill="C6EFCE"/>
            <w:noWrap/>
            <w:vAlign w:val="center"/>
          </w:tcPr>
          <w:p w14:paraId="5886806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Reform 1.7. Üliõpilaste eluasemete reguleerimise reform ja investeeringud üliõpilaste eluasemetesse</w:t>
            </w:r>
          </w:p>
        </w:tc>
        <w:tc>
          <w:tcPr>
            <w:tcW w:w="463" w:type="pct"/>
            <w:shd w:val="clear" w:color="auto" w:fill="C6EFCE"/>
            <w:noWrap/>
            <w:vAlign w:val="center"/>
            <w:hideMark/>
          </w:tcPr>
          <w:p w14:paraId="3AF7DE0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556" w:type="pct"/>
            <w:shd w:val="clear" w:color="auto" w:fill="C6EFCE"/>
            <w:noWrap/>
            <w:vAlign w:val="center"/>
          </w:tcPr>
          <w:p w14:paraId="520EB09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Jõustunud on õigusakt, millega muudetakse kehtivaid eeskirju üliõpilaste majutamise kohta.</w:t>
            </w:r>
          </w:p>
        </w:tc>
        <w:tc>
          <w:tcPr>
            <w:tcW w:w="552" w:type="pct"/>
            <w:shd w:val="clear" w:color="auto" w:fill="C6EFCE"/>
            <w:noWrap/>
            <w:vAlign w:val="center"/>
            <w:hideMark/>
          </w:tcPr>
          <w:p w14:paraId="1899E4E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Seaduse säte, mis viitab õigusakti jõustumisele. </w:t>
            </w:r>
          </w:p>
        </w:tc>
        <w:tc>
          <w:tcPr>
            <w:tcW w:w="375" w:type="pct"/>
            <w:shd w:val="clear" w:color="auto" w:fill="C6EFCE"/>
            <w:noWrap/>
            <w:vAlign w:val="center"/>
            <w:hideMark/>
          </w:tcPr>
          <w:p w14:paraId="62EF4D6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70" w:type="pct"/>
            <w:shd w:val="clear" w:color="auto" w:fill="C6EFCE"/>
            <w:noWrap/>
            <w:vAlign w:val="center"/>
          </w:tcPr>
          <w:p w14:paraId="1179604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277" w:type="pct"/>
            <w:shd w:val="clear" w:color="auto" w:fill="C6EFCE"/>
            <w:noWrap/>
            <w:vAlign w:val="center"/>
          </w:tcPr>
          <w:p w14:paraId="78705BC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294" w:type="pct"/>
            <w:shd w:val="clear" w:color="auto" w:fill="C6EFCE"/>
            <w:noWrap/>
            <w:vAlign w:val="center"/>
            <w:hideMark/>
          </w:tcPr>
          <w:p w14:paraId="097E2AD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32" w:type="pct"/>
            <w:shd w:val="clear" w:color="auto" w:fill="C6EFCE"/>
            <w:noWrap/>
            <w:vAlign w:val="center"/>
            <w:hideMark/>
          </w:tcPr>
          <w:p w14:paraId="483EB85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2021</w:t>
            </w:r>
          </w:p>
        </w:tc>
        <w:tc>
          <w:tcPr>
            <w:tcW w:w="1066" w:type="pct"/>
            <w:shd w:val="clear" w:color="auto" w:fill="C6EFCE"/>
            <w:noWrap/>
            <w:vAlign w:val="center"/>
            <w:hideMark/>
          </w:tcPr>
          <w:p w14:paraId="29330F4A"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Muudetud õigusaktid :</w:t>
            </w:r>
            <w:r>
              <w:rPr>
                <w:rFonts w:ascii="Arial Narrow" w:hAnsi="Arial Narrow"/>
                <w:noProof/>
              </w:rPr>
              <w:t xml:space="preserve"> </w:t>
            </w:r>
            <w:r>
              <w:rPr>
                <w:noProof/>
              </w:rPr>
              <w:t xml:space="preserve"> </w:t>
            </w:r>
            <w:r>
              <w:rPr>
                <w:noProof/>
              </w:rPr>
              <w:br/>
            </w:r>
            <w:r>
              <w:rPr>
                <w:rFonts w:ascii="Arial Narrow" w:hAnsi="Arial Narrow"/>
                <w:noProof/>
                <w:color w:val="006100"/>
                <w:sz w:val="20"/>
              </w:rPr>
              <w:t>Muuta üliõpilaste majutamist käsitlevaid kehtivaid eeskirju (seadus 338/2000 ja seadusandlik dekreet 68/2012), et:</w:t>
            </w:r>
          </w:p>
          <w:p w14:paraId="26DE655F"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1) Toetada uute roheliste hoonete asemel rajatiste ümberkorraldamist ja renoveerimist (suurem osa hoonekompleksidest, praegu 50 %), kusjuures esitatud projektidega tuleb tagada kõrgeim keskkonnanorm;</w:t>
            </w:r>
          </w:p>
          <w:p w14:paraId="3CE3BF09" w14:textId="77777777" w:rsidR="0084326C" w:rsidRPr="00F33804" w:rsidRDefault="0084326C">
            <w:pPr>
              <w:rPr>
                <w:rFonts w:ascii="Arial Narrow" w:hAnsi="Arial Narrow"/>
                <w:noProof/>
                <w:color w:val="006100"/>
                <w:sz w:val="20"/>
                <w:szCs w:val="20"/>
              </w:rPr>
            </w:pPr>
          </w:p>
          <w:p w14:paraId="082487BA"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2) Lihtsustada ka tänu digitaliseerimisele projektide esitamist ja valimist ning seega ka rakendamise ajakava;</w:t>
            </w:r>
          </w:p>
          <w:p w14:paraId="7C779AAC" w14:textId="77777777" w:rsidR="0084326C" w:rsidRPr="00F33804" w:rsidRDefault="0084326C">
            <w:pPr>
              <w:rPr>
                <w:rFonts w:ascii="Arial Narrow" w:hAnsi="Arial Narrow"/>
                <w:noProof/>
                <w:color w:val="006100"/>
                <w:sz w:val="20"/>
                <w:szCs w:val="20"/>
              </w:rPr>
            </w:pPr>
          </w:p>
          <w:p w14:paraId="1375A9DB"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3) Esitada seaduse alusel erand seaduses nr 338/2000 sätestatud kriteeriumidest seoses kaasrahastamise protsendimääraga, mis võib olla</w:t>
            </w:r>
          </w:p>
          <w:p w14:paraId="2401E34B" w14:textId="77777777" w:rsidR="0084326C" w:rsidRPr="00F33804" w:rsidRDefault="0084326C">
            <w:pPr>
              <w:rPr>
                <w:rFonts w:ascii="Arial Narrow" w:hAnsi="Arial Narrow"/>
                <w:noProof/>
                <w:color w:val="006100"/>
                <w:sz w:val="20"/>
                <w:szCs w:val="20"/>
              </w:rPr>
            </w:pPr>
          </w:p>
          <w:p w14:paraId="77797894"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Reformi viiakse ellu, lisades Itaalia üliõpilaste eluasemete reguleerivasse raamistikku järgmised olulised muudatused:</w:t>
            </w:r>
          </w:p>
          <w:p w14:paraId="0A13B8C9"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1. Rahastamises osalemise võimaldamine ka erainvestoritele (rakendamises kirjeldatud kava kohaselt), samuti avaliku ja erasektori partnerluse võimaldamine seal, kus ülikool kasutab olemasolevaid rahalisi vahendeid, et toetada tudengite eluasemesse tehtavate kinnisvarainvesteeringute finantstasakaalu;</w:t>
            </w:r>
          </w:p>
          <w:p w14:paraId="31A4A39A"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2. Erainvesteeringute pikaajalise jätkusuutlikkuse tagamine, tagades maksustamiskava muutmise hotelliteenuste puhult sotsiaalmajutuse puhul kohaldatavaks, piirates uute majutuskohtade kasutamist üliõpilaste majutamiseks akadeemilisel aastal, kuid võimaldades kasutada struktuure, kui neid ei vajata üliõpilaste majutamiseks. See omakorda aitab pakkuda uut liiki majutust taskukohase üüriga;</w:t>
            </w:r>
          </w:p>
          <w:p w14:paraId="142527B6"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3. Rahaliste vahendite ja täiendavate maksusoodustuste (nt võrdne kohtlemine sotsiaaleluasemega) sidumine uute majutuskohtade kasutamisega üliõpilaste majutamiseks kogu investeerimisperioodi jooksul ning üliõpilastelt nõutavate üüride kokkulepitud ülempiiri järgimine isegi pärast selliste spetsiaalsete rahastamiskavade aegumist, mis aitavad kaasa eraettevõtjate investeeringute käivitamisele;</w:t>
            </w:r>
          </w:p>
          <w:p w14:paraId="70711FA5"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4. Määratleda uuesti üliõpilaste majutuse standardid, määrates uuesti kindlaks õigusnõuded, mis käsitlevad ühist ruumi õpilase kohta hoonetes, vastutasuks paremini varustatud (ühtsete) tubade eest.</w:t>
            </w:r>
          </w:p>
        </w:tc>
      </w:tr>
      <w:tr w:rsidR="0084326C" w:rsidRPr="00D90835" w14:paraId="57456D9D" w14:textId="77777777">
        <w:trPr>
          <w:trHeight w:val="313"/>
          <w:jc w:val="center"/>
        </w:trPr>
        <w:tc>
          <w:tcPr>
            <w:tcW w:w="445" w:type="pct"/>
            <w:shd w:val="clear" w:color="auto" w:fill="C6EFCE"/>
            <w:noWrap/>
            <w:vAlign w:val="center"/>
            <w:hideMark/>
          </w:tcPr>
          <w:p w14:paraId="7DEF336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M4C1-28</w:t>
            </w:r>
          </w:p>
        </w:tc>
        <w:tc>
          <w:tcPr>
            <w:tcW w:w="370" w:type="pct"/>
            <w:shd w:val="clear" w:color="auto" w:fill="C6EFCE"/>
            <w:noWrap/>
            <w:vAlign w:val="center"/>
            <w:hideMark/>
          </w:tcPr>
          <w:p w14:paraId="5C95052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Reform 1.7. Üliõpilaste eluasemete reguleerimise reform ja investeeringud üliõpilaste eluasemetesse</w:t>
            </w:r>
          </w:p>
        </w:tc>
        <w:tc>
          <w:tcPr>
            <w:tcW w:w="463" w:type="pct"/>
            <w:shd w:val="clear" w:color="auto" w:fill="C6EFCE"/>
            <w:noWrap/>
            <w:vAlign w:val="center"/>
            <w:hideMark/>
          </w:tcPr>
          <w:p w14:paraId="5BF4D096" w14:textId="77777777" w:rsidR="0084326C" w:rsidRPr="005D68A0" w:rsidRDefault="0084326C">
            <w:pPr>
              <w:jc w:val="center"/>
              <w:rPr>
                <w:rFonts w:ascii="Arial Narrow" w:hAnsi="Arial Narrow"/>
                <w:noProof/>
                <w:sz w:val="20"/>
                <w:szCs w:val="20"/>
              </w:rPr>
            </w:pPr>
            <w:r>
              <w:rPr>
                <w:rFonts w:ascii="Arial Narrow" w:hAnsi="Arial Narrow"/>
                <w:noProof/>
                <w:color w:val="006100"/>
                <w:sz w:val="20"/>
              </w:rPr>
              <w:t>Eesmärk</w:t>
            </w:r>
          </w:p>
        </w:tc>
        <w:tc>
          <w:tcPr>
            <w:tcW w:w="556" w:type="pct"/>
            <w:shd w:val="clear" w:color="auto" w:fill="C6EFCE"/>
            <w:noWrap/>
            <w:vAlign w:val="center"/>
            <w:hideMark/>
          </w:tcPr>
          <w:p w14:paraId="59F2F5A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 Täiendavate majutuskohtade (voodikohad) loomist käsitlevate esialgsete lepingute sõlmimine</w:t>
            </w:r>
          </w:p>
        </w:tc>
        <w:tc>
          <w:tcPr>
            <w:tcW w:w="552" w:type="pct"/>
            <w:shd w:val="clear" w:color="auto" w:fill="C6EFCE"/>
            <w:noWrap/>
            <w:vAlign w:val="center"/>
            <w:hideMark/>
          </w:tcPr>
          <w:p w14:paraId="58C664A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 Lepingute avaldamine ministeeriumi veebisaidil</w:t>
            </w:r>
          </w:p>
        </w:tc>
        <w:tc>
          <w:tcPr>
            <w:tcW w:w="375" w:type="pct"/>
            <w:shd w:val="clear" w:color="auto" w:fill="C6EFCE"/>
            <w:noWrap/>
            <w:vAlign w:val="center"/>
            <w:hideMark/>
          </w:tcPr>
          <w:p w14:paraId="4E11215B" w14:textId="77777777" w:rsidR="0084326C" w:rsidRPr="005D68A0" w:rsidRDefault="0084326C">
            <w:pPr>
              <w:jc w:val="center"/>
              <w:rPr>
                <w:rFonts w:ascii="Arial Narrow" w:hAnsi="Arial Narrow"/>
                <w:noProof/>
                <w:sz w:val="20"/>
                <w:szCs w:val="20"/>
              </w:rPr>
            </w:pPr>
            <w:r>
              <w:rPr>
                <w:rFonts w:ascii="Arial Narrow" w:hAnsi="Arial Narrow"/>
                <w:noProof/>
                <w:color w:val="006100"/>
                <w:sz w:val="20"/>
              </w:rPr>
              <w:t>Ei kohaldata</w:t>
            </w:r>
          </w:p>
        </w:tc>
        <w:tc>
          <w:tcPr>
            <w:tcW w:w="370" w:type="pct"/>
            <w:shd w:val="clear" w:color="auto" w:fill="C6EFCE"/>
            <w:noWrap/>
            <w:vAlign w:val="center"/>
            <w:hideMark/>
          </w:tcPr>
          <w:p w14:paraId="0239781A" w14:textId="77777777" w:rsidR="0084326C" w:rsidRPr="005D68A0" w:rsidRDefault="0084326C">
            <w:pPr>
              <w:jc w:val="center"/>
              <w:rPr>
                <w:rFonts w:ascii="Arial Narrow" w:hAnsi="Arial Narrow"/>
                <w:noProof/>
                <w:sz w:val="20"/>
                <w:szCs w:val="20"/>
              </w:rPr>
            </w:pPr>
            <w:r>
              <w:rPr>
                <w:rFonts w:ascii="Arial Narrow" w:hAnsi="Arial Narrow"/>
                <w:noProof/>
                <w:color w:val="006100"/>
                <w:sz w:val="20"/>
              </w:rPr>
              <w:t>Ei kohaldata</w:t>
            </w:r>
          </w:p>
        </w:tc>
        <w:tc>
          <w:tcPr>
            <w:tcW w:w="277" w:type="pct"/>
            <w:shd w:val="clear" w:color="auto" w:fill="C6EFCE"/>
            <w:noWrap/>
            <w:vAlign w:val="center"/>
            <w:hideMark/>
          </w:tcPr>
          <w:p w14:paraId="71C14154" w14:textId="77777777" w:rsidR="0084326C" w:rsidRPr="005D68A0" w:rsidRDefault="0084326C">
            <w:pPr>
              <w:jc w:val="center"/>
              <w:rPr>
                <w:rFonts w:ascii="Arial Narrow" w:hAnsi="Arial Narrow"/>
                <w:noProof/>
                <w:sz w:val="20"/>
                <w:szCs w:val="20"/>
              </w:rPr>
            </w:pPr>
            <w:r>
              <w:rPr>
                <w:rFonts w:ascii="Arial Narrow" w:hAnsi="Arial Narrow"/>
                <w:noProof/>
                <w:color w:val="006100"/>
                <w:sz w:val="20"/>
              </w:rPr>
              <w:t>Ei kohaldata</w:t>
            </w:r>
          </w:p>
        </w:tc>
        <w:tc>
          <w:tcPr>
            <w:tcW w:w="294" w:type="pct"/>
            <w:shd w:val="clear" w:color="auto" w:fill="C6EFCE"/>
            <w:noWrap/>
            <w:vAlign w:val="center"/>
            <w:hideMark/>
          </w:tcPr>
          <w:p w14:paraId="1DF4231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232" w:type="pct"/>
            <w:shd w:val="clear" w:color="auto" w:fill="C6EFCE"/>
            <w:noWrap/>
            <w:vAlign w:val="center"/>
            <w:hideMark/>
          </w:tcPr>
          <w:p w14:paraId="39F2DF3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2023</w:t>
            </w:r>
          </w:p>
        </w:tc>
        <w:tc>
          <w:tcPr>
            <w:tcW w:w="1066" w:type="pct"/>
            <w:shd w:val="clear" w:color="auto" w:fill="C6EFCE"/>
            <w:noWrap/>
            <w:vAlign w:val="center"/>
            <w:hideMark/>
          </w:tcPr>
          <w:p w14:paraId="356AA4EA"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Täiendavate majutuskohtade (voodikohad) loomist käsitlevate esialgsete lepingute sõlmimine;</w:t>
            </w:r>
          </w:p>
        </w:tc>
      </w:tr>
      <w:tr w:rsidR="0084326C" w:rsidRPr="00D90835" w14:paraId="287D1F4C" w14:textId="77777777">
        <w:trPr>
          <w:trHeight w:val="313"/>
          <w:jc w:val="center"/>
        </w:trPr>
        <w:tc>
          <w:tcPr>
            <w:tcW w:w="445" w:type="pct"/>
            <w:shd w:val="clear" w:color="auto" w:fill="C6EFCE"/>
            <w:noWrap/>
            <w:vAlign w:val="center"/>
            <w:hideMark/>
          </w:tcPr>
          <w:p w14:paraId="1D8AFA4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M4C1-29</w:t>
            </w:r>
          </w:p>
        </w:tc>
        <w:tc>
          <w:tcPr>
            <w:tcW w:w="370" w:type="pct"/>
            <w:shd w:val="clear" w:color="auto" w:fill="C6EFCE"/>
            <w:noWrap/>
            <w:vAlign w:val="center"/>
            <w:hideMark/>
          </w:tcPr>
          <w:p w14:paraId="77AF376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Reform 1.7. Üliõpilaste eluasemete reguleerimise reform ja investeeringud üliõpilaste eluasemetesse</w:t>
            </w:r>
          </w:p>
        </w:tc>
        <w:tc>
          <w:tcPr>
            <w:tcW w:w="463" w:type="pct"/>
            <w:shd w:val="clear" w:color="auto" w:fill="C6EFCE"/>
            <w:noWrap/>
            <w:vAlign w:val="center"/>
            <w:hideMark/>
          </w:tcPr>
          <w:p w14:paraId="17ED2F3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556" w:type="pct"/>
            <w:shd w:val="clear" w:color="auto" w:fill="C6EFCE"/>
            <w:noWrap/>
            <w:vAlign w:val="center"/>
            <w:hideMark/>
          </w:tcPr>
          <w:p w14:paraId="0138AE2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Üliõpilaste eluasemeid käsitlevate õigusaktide reformi jõustumine.</w:t>
            </w:r>
          </w:p>
        </w:tc>
        <w:tc>
          <w:tcPr>
            <w:tcW w:w="552" w:type="pct"/>
            <w:shd w:val="clear" w:color="auto" w:fill="C6EFCE"/>
            <w:noWrap/>
            <w:vAlign w:val="center"/>
            <w:hideMark/>
          </w:tcPr>
          <w:p w14:paraId="767D6328" w14:textId="56FA3AAC"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Seaduse säte, mis viitab reformi jõustumisele. </w:t>
            </w:r>
          </w:p>
        </w:tc>
        <w:tc>
          <w:tcPr>
            <w:tcW w:w="375" w:type="pct"/>
            <w:shd w:val="clear" w:color="auto" w:fill="C6EFCE"/>
            <w:noWrap/>
            <w:vAlign w:val="center"/>
            <w:hideMark/>
          </w:tcPr>
          <w:p w14:paraId="4351EBB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70" w:type="pct"/>
            <w:shd w:val="clear" w:color="auto" w:fill="C6EFCE"/>
            <w:noWrap/>
            <w:vAlign w:val="center"/>
            <w:hideMark/>
          </w:tcPr>
          <w:p w14:paraId="38CBDBE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277" w:type="pct"/>
            <w:shd w:val="clear" w:color="auto" w:fill="C6EFCE"/>
            <w:noWrap/>
            <w:vAlign w:val="center"/>
            <w:hideMark/>
          </w:tcPr>
          <w:p w14:paraId="7FC0681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294" w:type="pct"/>
            <w:shd w:val="clear" w:color="auto" w:fill="C6EFCE"/>
            <w:noWrap/>
            <w:vAlign w:val="center"/>
            <w:hideMark/>
          </w:tcPr>
          <w:p w14:paraId="13660A2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32" w:type="pct"/>
            <w:shd w:val="clear" w:color="auto" w:fill="C6EFCE"/>
            <w:noWrap/>
            <w:vAlign w:val="center"/>
            <w:hideMark/>
          </w:tcPr>
          <w:p w14:paraId="4CA0653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2022</w:t>
            </w:r>
          </w:p>
        </w:tc>
        <w:tc>
          <w:tcPr>
            <w:tcW w:w="1066" w:type="pct"/>
            <w:shd w:val="clear" w:color="auto" w:fill="C6EFCE"/>
            <w:noWrap/>
            <w:vAlign w:val="center"/>
            <w:hideMark/>
          </w:tcPr>
          <w:p w14:paraId="4058C4A7"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Reform hõlmab järgmist: 1) rahastamises osalemise avamine ka erainvestoritele, samuti avaliku ja erasektori partnerluste võimaldamine, kus ülikool kasutab olemasolevaid rahalisi vahendeid, et toetada tudengite eluasemesse tehtavate kinnisvarainvesteeringute finantstasakaalu; 2) Erainvesteeringute pikaajalise jätkusuutlikkuse tagamine, tagades maksustamiskava muutmise hotelliteenuste puhult sotsiaalmajutuse puhul kohaldatavaks, piirates uute majutuskohtade kasutamist üliõpilaste majutamiseks akadeemilisel aastal, kuid võimaldades kasutada struktuure, kui neid ei vajata üliõpilaste majutamiseks; 3) Rahaliste vahendite ja täiendavate maksusoodustuste (nt võrdne kohtlemine sotsiaaleluasemega) sidumine uute majutuskohtade kasutamisega üliõpilaste eluasemete jaoks kogu investeerimisperioodi jooksul ning üliõpilastele makstavate üüride kokkulepitud ülempiiri järgimine isegi pärast selliste spetsiaalsete rahastamiskavade aegumist, mis aitavad kaasa eraettevõtjate investeeringute käivitamisele; 4) Määratleda uuesti üliõpilaste majutuse standardid, määrates uuesti kindlaks õigusnõuded, mis käsitlevad ühist ruumi õpilase kohta hoonetes, vastutasuks paremini varustatud (ühtsete) tubade eest.</w:t>
            </w:r>
          </w:p>
        </w:tc>
      </w:tr>
      <w:tr w:rsidR="0084326C" w:rsidRPr="00D90835" w14:paraId="662282E1" w14:textId="77777777">
        <w:trPr>
          <w:trHeight w:val="313"/>
          <w:jc w:val="center"/>
        </w:trPr>
        <w:tc>
          <w:tcPr>
            <w:tcW w:w="445" w:type="pct"/>
            <w:shd w:val="clear" w:color="auto" w:fill="C6EFCE"/>
            <w:noWrap/>
            <w:vAlign w:val="center"/>
            <w:hideMark/>
          </w:tcPr>
          <w:p w14:paraId="63267E4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M4C1-30</w:t>
            </w:r>
          </w:p>
        </w:tc>
        <w:tc>
          <w:tcPr>
            <w:tcW w:w="370" w:type="pct"/>
            <w:shd w:val="clear" w:color="auto" w:fill="C6EFCE"/>
            <w:noWrap/>
            <w:vAlign w:val="center"/>
            <w:hideMark/>
          </w:tcPr>
          <w:p w14:paraId="56C7313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Reform 1.7. Üliõpilaste eluasemete reguleerimise reform ja investeeringud üliõpilaste eluasemetesse</w:t>
            </w:r>
          </w:p>
        </w:tc>
        <w:tc>
          <w:tcPr>
            <w:tcW w:w="463" w:type="pct"/>
            <w:shd w:val="clear" w:color="auto" w:fill="C6EFCE"/>
            <w:noWrap/>
            <w:vAlign w:val="center"/>
            <w:hideMark/>
          </w:tcPr>
          <w:p w14:paraId="32B74F5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556" w:type="pct"/>
            <w:shd w:val="clear" w:color="auto" w:fill="C6EFCE"/>
            <w:noWrap/>
            <w:vAlign w:val="center"/>
            <w:hideMark/>
          </w:tcPr>
          <w:p w14:paraId="3D6B7FF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Tudengite magamismajutusüksused, mis on loodud asjakohaste õigusaktide kohaselt</w:t>
            </w:r>
          </w:p>
        </w:tc>
        <w:tc>
          <w:tcPr>
            <w:tcW w:w="552" w:type="pct"/>
            <w:shd w:val="clear" w:color="auto" w:fill="C6EFCE"/>
            <w:noWrap/>
            <w:vAlign w:val="center"/>
            <w:hideMark/>
          </w:tcPr>
          <w:p w14:paraId="60190BE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75" w:type="pct"/>
            <w:shd w:val="clear" w:color="auto" w:fill="C6EFCE"/>
            <w:noWrap/>
            <w:vAlign w:val="center"/>
            <w:hideMark/>
          </w:tcPr>
          <w:p w14:paraId="3BE9BF2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70" w:type="pct"/>
            <w:shd w:val="clear" w:color="auto" w:fill="C6EFCE"/>
            <w:noWrap/>
            <w:vAlign w:val="center"/>
            <w:hideMark/>
          </w:tcPr>
          <w:p w14:paraId="11583F0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277" w:type="pct"/>
            <w:shd w:val="clear" w:color="auto" w:fill="C6EFCE"/>
            <w:noWrap/>
            <w:vAlign w:val="center"/>
            <w:hideMark/>
          </w:tcPr>
          <w:p w14:paraId="01759D13" w14:textId="3D36C7E3"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60 000</w:t>
            </w:r>
          </w:p>
        </w:tc>
        <w:tc>
          <w:tcPr>
            <w:tcW w:w="294" w:type="pct"/>
            <w:shd w:val="clear" w:color="auto" w:fill="C6EFCE"/>
            <w:noWrap/>
            <w:vAlign w:val="center"/>
            <w:hideMark/>
          </w:tcPr>
          <w:p w14:paraId="18178C9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232" w:type="pct"/>
            <w:shd w:val="clear" w:color="auto" w:fill="C6EFCE"/>
            <w:noWrap/>
            <w:vAlign w:val="center"/>
            <w:hideMark/>
          </w:tcPr>
          <w:p w14:paraId="5A7A2B0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1066" w:type="pct"/>
            <w:shd w:val="clear" w:color="auto" w:fill="C6EFCE"/>
            <w:noWrap/>
            <w:vAlign w:val="center"/>
            <w:hideMark/>
          </w:tcPr>
          <w:p w14:paraId="1BD21955" w14:textId="5DE9A7F7" w:rsidR="0084326C" w:rsidRPr="005D68A0" w:rsidRDefault="0084326C">
            <w:pPr>
              <w:pStyle w:val="paragraph"/>
              <w:spacing w:before="0" w:beforeAutospacing="0" w:after="0" w:afterAutospacing="0"/>
              <w:textAlignment w:val="baseline"/>
              <w:rPr>
                <w:rFonts w:ascii="Arial Narrow" w:hAnsi="Arial Narrow" w:cs="Segoe UI"/>
                <w:noProof/>
                <w:sz w:val="20"/>
                <w:szCs w:val="20"/>
              </w:rPr>
            </w:pPr>
            <w:r>
              <w:rPr>
                <w:rStyle w:val="normaltextrun"/>
                <w:rFonts w:ascii="Arial Narrow" w:hAnsi="Arial Narrow"/>
                <w:noProof/>
                <w:color w:val="006100"/>
                <w:sz w:val="20"/>
              </w:rPr>
              <w:t>Vähemalt 60 000 täiendavat magamismajutuskohta, mis on loodud pärast asjaomaseid õigusakte, sealhulgas seadust nr 338/2000 (muudetud 2022. aasta augustis) ja uut seadusandlikku kava, mis võeti vastu eesmärgi M4C1–29 (reform 1.7) raames: Üliõpilaste eluasemete reguleerimise reform ja investeeringud üliõpilaste eluasemetesse</w:t>
            </w:r>
            <w:r>
              <w:rPr>
                <w:rStyle w:val="eop"/>
                <w:rFonts w:ascii="Arial Narrow" w:hAnsi="Arial Narrow"/>
                <w:noProof/>
                <w:color w:val="006100"/>
                <w:sz w:val="20"/>
              </w:rPr>
              <w:t xml:space="preserve"> </w:t>
            </w:r>
          </w:p>
        </w:tc>
      </w:tr>
    </w:tbl>
    <w:p w14:paraId="5503E9FF" w14:textId="77777777" w:rsidR="0084326C" w:rsidRPr="00F33804" w:rsidRDefault="0084326C" w:rsidP="0084326C">
      <w:pPr>
        <w:spacing w:before="120" w:after="120"/>
        <w:ind w:left="709"/>
        <w:jc w:val="both"/>
        <w:rPr>
          <w:b/>
          <w:bCs/>
          <w:noProof/>
        </w:rPr>
        <w:sectPr w:rsidR="0084326C" w:rsidRPr="00F33804">
          <w:headerReference w:type="even" r:id="rId272"/>
          <w:headerReference w:type="default" r:id="rId273"/>
          <w:footerReference w:type="even" r:id="rId274"/>
          <w:footerReference w:type="default" r:id="rId275"/>
          <w:headerReference w:type="first" r:id="rId276"/>
          <w:footerReference w:type="first" r:id="rId277"/>
          <w:pgSz w:w="16839" w:h="11907" w:orient="landscape"/>
          <w:pgMar w:top="1134" w:right="1134" w:bottom="1134" w:left="1134" w:header="567" w:footer="567" w:gutter="0"/>
          <w:cols w:space="720"/>
          <w:docGrid w:linePitch="360"/>
        </w:sectPr>
      </w:pPr>
    </w:p>
    <w:p w14:paraId="1234C9EF" w14:textId="77777777" w:rsidR="0084326C" w:rsidRPr="005D68A0" w:rsidRDefault="0084326C" w:rsidP="0084326C">
      <w:pPr>
        <w:pStyle w:val="Heading2"/>
        <w:numPr>
          <w:ilvl w:val="0"/>
          <w:numId w:val="0"/>
        </w:numPr>
        <w:rPr>
          <w:noProof/>
        </w:rPr>
      </w:pPr>
      <w:r>
        <w:rPr>
          <w:noProof/>
        </w:rPr>
        <w:t xml:space="preserve">K. ÜLESANNE 4, KOMPONENT 2: </w:t>
      </w:r>
      <w:r>
        <w:rPr>
          <w:noProof/>
          <w:u w:val="single"/>
        </w:rPr>
        <w:t>Teadusuuringutelt ettevõtetele</w:t>
      </w:r>
    </w:p>
    <w:p w14:paraId="0E3397B1" w14:textId="04EB00A2" w:rsidR="0084326C" w:rsidRPr="005D68A0" w:rsidRDefault="0084326C" w:rsidP="0084326C">
      <w:pPr>
        <w:spacing w:before="120" w:after="120"/>
        <w:jc w:val="both"/>
        <w:rPr>
          <w:rFonts w:eastAsia="Calibri"/>
          <w:noProof/>
        </w:rPr>
      </w:pPr>
      <w:r>
        <w:rPr>
          <w:noProof/>
        </w:rPr>
        <w:t>Itaalia taaste- ja vastupidavuskava selle osa eesmärk on toetada investeeringuid teadusuuringutesse ja innovatsiooni, edendada innovatsiooni ja tehnoloogia levikut, tugevdada oskusi ning toetada üleminekut teadmistepõhisele majandusele. Sellega toetatakse riiklikku teadussüsteemi, teadlaste oskusi ja liikuvust ning avaliku ja erasektori koostööd riiklikul ja ELi tasandil. See tugineb kolmele peamisele sambale: i) täiustatud teadusbaas; ii) tugevad äri- ja teadussidemed (teadmiste ja tehnosiire; iii) Äriinnovatsiooni toetamine (eelkõige VKEd, idufirmad).</w:t>
      </w:r>
    </w:p>
    <w:p w14:paraId="6C4F07D0" w14:textId="58A9CB59" w:rsidR="0084326C" w:rsidRPr="005D68A0" w:rsidRDefault="0084326C" w:rsidP="0084326C">
      <w:pPr>
        <w:spacing w:before="120" w:after="120"/>
        <w:jc w:val="both"/>
        <w:rPr>
          <w:noProof/>
        </w:rPr>
      </w:pPr>
      <w:r>
        <w:rPr>
          <w:noProof/>
        </w:rPr>
        <w:t xml:space="preserve">Selle komponendi investeeringud ja reformid aitavad lahendada 2020. ja 2019. aastal Itaaliale suunatud riigipõhiseid soovitusi vajaduse kohta keskenduda investeeringutega seotud majanduspoliitikale teadusuuringutele ja innovatsioonile ning infrastruktuuri kvaliteedile (riigipõhine soovitus nr 3), 2019), et edendada erainvesteeringuid majanduse taastumise soodustamiseks (riigipõhine soovitus nr 3, 2020), keskenduda investeeringutele keskkonnasäästlikule ja digitaalsele üleminekule, eriti teadusuuringutele ja innovatsioonile (riigipõhine soovitus nr 3, 2020). </w:t>
      </w:r>
    </w:p>
    <w:p w14:paraId="2EEB9E57" w14:textId="77777777" w:rsidR="0084326C" w:rsidRPr="005D68A0" w:rsidRDefault="0084326C" w:rsidP="0084326C">
      <w:pPr>
        <w:pStyle w:val="Heading3"/>
        <w:numPr>
          <w:ilvl w:val="0"/>
          <w:numId w:val="0"/>
        </w:numPr>
        <w:ind w:left="850" w:hanging="850"/>
        <w:rPr>
          <w:b/>
          <w:bCs w:val="0"/>
          <w:i w:val="0"/>
          <w:iCs/>
          <w:noProof/>
          <w:u w:val="single"/>
        </w:rPr>
      </w:pPr>
      <w:r>
        <w:rPr>
          <w:b/>
          <w:i w:val="0"/>
          <w:noProof/>
          <w:u w:val="single"/>
        </w:rPr>
        <w:t xml:space="preserve">K.1. </w:t>
      </w:r>
      <w:r>
        <w:rPr>
          <w:noProof/>
        </w:rPr>
        <w:tab/>
      </w:r>
      <w:r>
        <w:rPr>
          <w:b/>
          <w:i w:val="0"/>
          <w:noProof/>
          <w:u w:val="single"/>
        </w:rPr>
        <w:t>Tagastamatu rahalise toetusega seotud reformide ja investeeringute kirjeldus</w:t>
      </w:r>
    </w:p>
    <w:p w14:paraId="2026391D" w14:textId="77777777" w:rsidR="0084326C" w:rsidRPr="005D68A0" w:rsidRDefault="0084326C" w:rsidP="0084326C">
      <w:pPr>
        <w:spacing w:before="120" w:after="120"/>
        <w:jc w:val="both"/>
        <w:rPr>
          <w:b/>
          <w:bCs/>
          <w:noProof/>
        </w:rPr>
      </w:pPr>
      <w:r>
        <w:rPr>
          <w:b/>
          <w:noProof/>
        </w:rPr>
        <w:t>Investeering 1.2. Noorte teadlaste esitatud projektide rahastamine.</w:t>
      </w:r>
    </w:p>
    <w:p w14:paraId="7569C847" w14:textId="77777777" w:rsidR="0084326C" w:rsidRPr="005D68A0" w:rsidRDefault="0084326C" w:rsidP="0084326C">
      <w:pPr>
        <w:spacing w:after="120"/>
        <w:jc w:val="both"/>
        <w:rPr>
          <w:noProof/>
        </w:rPr>
      </w:pPr>
      <w:r>
        <w:rPr>
          <w:noProof/>
        </w:rPr>
        <w:t>Investeeringu eesmärk on pakkuda noortele teadlastele uusi võimalusi nende hoidmiseks Itaalias. Meetmega toetatakse vähemalt 850 noore teadlase teadustegevust selliste programmide raames nagu Euroopa Teadusnõukogu (ERC) ja Marie Skłodowska-Curie individuaalstipendiumid (MSCA-IF), kvaliteedimärgised ja rahvusvahelised doktorikraadiga teadlased, et võimaldada neil saada esimesed kogemused teadusuuringutega seotud vastutuse valdkonnas. Osa ERC teadlastele eraldatud toetusest on ette nähtud vähemalt ühe muu kui õppesuunalise teadlase töölevõtmiseks.</w:t>
      </w:r>
    </w:p>
    <w:p w14:paraId="76353537" w14:textId="77777777" w:rsidR="0084326C" w:rsidRPr="005D68A0" w:rsidRDefault="0084326C" w:rsidP="0084326C">
      <w:pPr>
        <w:spacing w:after="120"/>
        <w:jc w:val="both"/>
        <w:rPr>
          <w:rFonts w:eastAsia="Calibri"/>
          <w:noProof/>
        </w:rPr>
      </w:pPr>
      <w:r>
        <w:rPr>
          <w:noProof/>
        </w:rPr>
        <w:t>Tagamaks, et meede vastab „ei kahjusta oluliselt“ tehnilistele suunistele (2021/C58/01), jäetakse tulevaste projektikonkursside juhendites sisalduvatest rahastamiskõlblikkuse kriteeriumidest välja järgmised tegevused: i) fossiilkütustega seotud tegevus, sealhulgas allkasutus tootmisahela järgmistes etappides</w:t>
      </w:r>
      <w:r w:rsidRPr="005D68A0">
        <w:rPr>
          <w:rStyle w:val="FootnoteReference"/>
          <w:noProof/>
          <w:lang w:val="en-GB"/>
        </w:rPr>
        <w:footnoteReference w:id="71"/>
      </w:r>
      <w:r>
        <w:rPr>
          <w:noProof/>
        </w:rPr>
        <w:t>; ii) ELi heitkogustega kauplemise süsteemi (HKS) raames toimuv tegevus, mille prognoositav kasvuhoonegaaside heide ei ole asjaomastest võrdlusalustest</w:t>
      </w:r>
      <w:r w:rsidRPr="005D68A0">
        <w:rPr>
          <w:rStyle w:val="FootnoteReference"/>
          <w:noProof/>
          <w:lang w:val="en-GB"/>
        </w:rPr>
        <w:footnoteReference w:id="72"/>
      </w:r>
      <w:r>
        <w:rPr>
          <w:noProof/>
        </w:rPr>
        <w:t xml:space="preserve"> madalam; iii) prügilate, jäätmepõletustehaste</w:t>
      </w:r>
      <w:r w:rsidRPr="005D68A0">
        <w:rPr>
          <w:rStyle w:val="FootnoteReference"/>
          <w:noProof/>
          <w:lang w:val="en-GB"/>
        </w:rPr>
        <w:footnoteReference w:id="73"/>
      </w:r>
      <w:r>
        <w:rPr>
          <w:noProof/>
        </w:rPr>
        <w:t xml:space="preserve"> ja mehhaanilis-bioloogilise töötlemise jaamadega</w:t>
      </w:r>
      <w:r w:rsidRPr="005D68A0">
        <w:rPr>
          <w:rStyle w:val="FootnoteReference"/>
          <w:noProof/>
          <w:lang w:val="en-GB"/>
        </w:rPr>
        <w:footnoteReference w:id="74"/>
      </w:r>
      <w:r>
        <w:rPr>
          <w:noProof/>
        </w:rPr>
        <w:t xml:space="preserve"> seotud tegevus; iv) tegevused, mille puhul jäätmete pikaajaline kõrvaldamine võib kahjustada keskkonda. Lisaks nõutakse pädevuses, et valituks osutuvad üksnes tegevused, mis vastavad asjakohastele ELi ja riiklikele keskkonnaalastele õigusaktidele.</w:t>
      </w:r>
    </w:p>
    <w:p w14:paraId="0D60CCAD" w14:textId="372CC85D" w:rsidR="0084326C" w:rsidRPr="00F33804" w:rsidRDefault="0084326C" w:rsidP="0FE9BEFF">
      <w:pPr>
        <w:spacing w:before="120" w:after="120"/>
        <w:jc w:val="both"/>
        <w:rPr>
          <w:rFonts w:eastAsia="Calibri"/>
          <w:noProof/>
        </w:rPr>
      </w:pPr>
    </w:p>
    <w:p w14:paraId="6615134F" w14:textId="1BB518C0" w:rsidR="005277F3" w:rsidRPr="005D68A0" w:rsidRDefault="005277F3" w:rsidP="005277F3">
      <w:pPr>
        <w:spacing w:before="120" w:after="120" w:line="257" w:lineRule="auto"/>
        <w:ind w:left="-680" w:firstLine="709"/>
        <w:jc w:val="both"/>
        <w:rPr>
          <w:b/>
          <w:bCs/>
          <w:i/>
          <w:iCs/>
          <w:noProof/>
          <w:u w:val="single"/>
        </w:rPr>
      </w:pPr>
      <w:r>
        <w:rPr>
          <w:b/>
          <w:noProof/>
        </w:rPr>
        <w:t>Investeering 2.2bis. Innovatsioonilepingud</w:t>
      </w:r>
    </w:p>
    <w:p w14:paraId="721B0091" w14:textId="77777777" w:rsidR="0069061E" w:rsidRPr="005D68A0" w:rsidRDefault="0069061E" w:rsidP="0069061E">
      <w:pPr>
        <w:jc w:val="both"/>
        <w:rPr>
          <w:noProof/>
        </w:rPr>
      </w:pPr>
      <w:r>
        <w:rPr>
          <w:noProof/>
        </w:rPr>
        <w:t xml:space="preserve">Investeeringu eesmärk on rahastada teadus-, arendus- ja innovatsiooniprojekte (nn innovatsioonilepingud), et toetada uute toodete, protsesside või teenuste loomist või olemasolevate täiustamist peamiste progressi võimaldavate tehnoloogiate arendamise kaudu valdkondades, mis on kooskõlas programmi „Euroopa horisont“ II sambaga, nagu on sätestatud määruses (EL) 2021/695. </w:t>
      </w:r>
    </w:p>
    <w:p w14:paraId="10F1B5C9" w14:textId="77777777" w:rsidR="0069061E" w:rsidRPr="00F33804" w:rsidRDefault="0069061E" w:rsidP="0069061E">
      <w:pPr>
        <w:jc w:val="both"/>
        <w:rPr>
          <w:noProof/>
        </w:rPr>
      </w:pPr>
    </w:p>
    <w:p w14:paraId="23D7A448" w14:textId="3B1B4531" w:rsidR="0069061E" w:rsidRPr="005D68A0" w:rsidRDefault="0069061E" w:rsidP="0069061E">
      <w:pPr>
        <w:jc w:val="both"/>
        <w:rPr>
          <w:noProof/>
        </w:rPr>
      </w:pPr>
      <w:r>
        <w:rPr>
          <w:noProof/>
        </w:rPr>
        <w:t xml:space="preserve">Projekti toetusesaajad on äriühingud, ettevõtjate ühendused või teadusasutused, kes sõlmivad innovatsioonilepingu ühes järgmistest sekkumisvaldkondadest: </w:t>
      </w:r>
    </w:p>
    <w:p w14:paraId="22C623D7" w14:textId="77777777" w:rsidR="0069061E" w:rsidRPr="005D68A0" w:rsidRDefault="0069061E" w:rsidP="0069061E">
      <w:pPr>
        <w:pStyle w:val="ListParagraph"/>
        <w:numPr>
          <w:ilvl w:val="0"/>
          <w:numId w:val="141"/>
        </w:numPr>
        <w:rPr>
          <w:noProof/>
        </w:rPr>
      </w:pPr>
      <w:r>
        <w:rPr>
          <w:noProof/>
        </w:rPr>
        <w:t xml:space="preserve">tootmistehnoloogia; </w:t>
      </w:r>
    </w:p>
    <w:p w14:paraId="2659C619" w14:textId="77777777" w:rsidR="0069061E" w:rsidRPr="005D68A0" w:rsidRDefault="0069061E" w:rsidP="0069061E">
      <w:pPr>
        <w:pStyle w:val="ListParagraph"/>
        <w:numPr>
          <w:ilvl w:val="0"/>
          <w:numId w:val="141"/>
        </w:numPr>
        <w:rPr>
          <w:noProof/>
        </w:rPr>
      </w:pPr>
      <w:r>
        <w:rPr>
          <w:noProof/>
        </w:rPr>
        <w:t>peamised digitehnoloogiad, sealhulgas kvanttehnoloogiad;</w:t>
      </w:r>
    </w:p>
    <w:p w14:paraId="5D118280" w14:textId="77777777" w:rsidR="0069061E" w:rsidRPr="005D68A0" w:rsidRDefault="0069061E" w:rsidP="0069061E">
      <w:pPr>
        <w:pStyle w:val="ListParagraph"/>
        <w:numPr>
          <w:ilvl w:val="0"/>
          <w:numId w:val="141"/>
        </w:numPr>
        <w:rPr>
          <w:noProof/>
        </w:rPr>
      </w:pPr>
      <w:r>
        <w:rPr>
          <w:noProof/>
        </w:rPr>
        <w:t xml:space="preserve">progressi võimaldavad kujunemisjärgus tehnoloogiad; </w:t>
      </w:r>
    </w:p>
    <w:p w14:paraId="03C8450A" w14:textId="77777777" w:rsidR="0069061E" w:rsidRPr="005D68A0" w:rsidRDefault="0069061E" w:rsidP="0069061E">
      <w:pPr>
        <w:pStyle w:val="ListParagraph"/>
        <w:numPr>
          <w:ilvl w:val="0"/>
          <w:numId w:val="141"/>
        </w:numPr>
        <w:rPr>
          <w:noProof/>
        </w:rPr>
      </w:pPr>
      <w:r>
        <w:rPr>
          <w:noProof/>
        </w:rPr>
        <w:t>kõrgtehnoloogilised materjalid;</w:t>
      </w:r>
    </w:p>
    <w:p w14:paraId="350D509F" w14:textId="77777777" w:rsidR="0069061E" w:rsidRPr="005D68A0" w:rsidRDefault="0069061E" w:rsidP="0069061E">
      <w:pPr>
        <w:pStyle w:val="ListParagraph"/>
        <w:numPr>
          <w:ilvl w:val="0"/>
          <w:numId w:val="141"/>
        </w:numPr>
        <w:rPr>
          <w:noProof/>
        </w:rPr>
      </w:pPr>
      <w:r>
        <w:rPr>
          <w:noProof/>
        </w:rPr>
        <w:t xml:space="preserve">tehisintellekt ja robootika; </w:t>
      </w:r>
    </w:p>
    <w:p w14:paraId="5ADAC23F" w14:textId="77777777" w:rsidR="0069061E" w:rsidRPr="005D68A0" w:rsidRDefault="0069061E" w:rsidP="0069061E">
      <w:pPr>
        <w:pStyle w:val="ListParagraph"/>
        <w:numPr>
          <w:ilvl w:val="0"/>
          <w:numId w:val="141"/>
        </w:numPr>
        <w:rPr>
          <w:noProof/>
        </w:rPr>
      </w:pPr>
      <w:r>
        <w:rPr>
          <w:noProof/>
        </w:rPr>
        <w:t xml:space="preserve">ringtööstus; </w:t>
      </w:r>
    </w:p>
    <w:p w14:paraId="155AC69A" w14:textId="77777777" w:rsidR="0069061E" w:rsidRPr="005D68A0" w:rsidRDefault="0069061E" w:rsidP="0069061E">
      <w:pPr>
        <w:pStyle w:val="ListParagraph"/>
        <w:numPr>
          <w:ilvl w:val="0"/>
          <w:numId w:val="141"/>
        </w:numPr>
        <w:rPr>
          <w:noProof/>
        </w:rPr>
      </w:pPr>
      <w:r>
        <w:rPr>
          <w:noProof/>
        </w:rPr>
        <w:t>vähese CO</w:t>
      </w:r>
      <w:r>
        <w:rPr>
          <w:noProof/>
          <w:vertAlign w:val="subscript"/>
        </w:rPr>
        <w:t>2</w:t>
      </w:r>
      <w:r>
        <w:rPr>
          <w:noProof/>
        </w:rPr>
        <w:t xml:space="preserve"> heitega ja keskkonnasõbralik tööstus; </w:t>
      </w:r>
    </w:p>
    <w:p w14:paraId="5681C202" w14:textId="77777777" w:rsidR="0069061E" w:rsidRPr="005D68A0" w:rsidRDefault="0069061E" w:rsidP="0069061E">
      <w:pPr>
        <w:pStyle w:val="ListParagraph"/>
        <w:numPr>
          <w:ilvl w:val="0"/>
          <w:numId w:val="141"/>
        </w:numPr>
        <w:rPr>
          <w:noProof/>
        </w:rPr>
      </w:pPr>
      <w:r>
        <w:rPr>
          <w:noProof/>
        </w:rPr>
        <w:t>mittenakkuslikud ja harvikhaigused;</w:t>
      </w:r>
    </w:p>
    <w:p w14:paraId="4AFCAC2E" w14:textId="77777777" w:rsidR="0069061E" w:rsidRPr="005D68A0" w:rsidRDefault="0069061E" w:rsidP="0069061E">
      <w:pPr>
        <w:pStyle w:val="ListParagraph"/>
        <w:numPr>
          <w:ilvl w:val="0"/>
          <w:numId w:val="141"/>
        </w:numPr>
        <w:rPr>
          <w:noProof/>
        </w:rPr>
      </w:pPr>
      <w:r>
        <w:rPr>
          <w:noProof/>
        </w:rPr>
        <w:t xml:space="preserve">nakkushaigused, sealhulgas vaesusega seotud ja unarhaigused; </w:t>
      </w:r>
    </w:p>
    <w:p w14:paraId="5A66384D" w14:textId="77777777" w:rsidR="0069061E" w:rsidRPr="005D68A0" w:rsidRDefault="0069061E" w:rsidP="0069061E">
      <w:pPr>
        <w:pStyle w:val="ListParagraph"/>
        <w:numPr>
          <w:ilvl w:val="0"/>
          <w:numId w:val="141"/>
        </w:numPr>
        <w:rPr>
          <w:noProof/>
        </w:rPr>
      </w:pPr>
      <w:r>
        <w:rPr>
          <w:noProof/>
        </w:rPr>
        <w:t>tervise- ja hooldusvaldkonna töövahendid, tehnoloogiad ja digilahendused, kaasa arvatud personaalmeditsiin;</w:t>
      </w:r>
    </w:p>
    <w:p w14:paraId="1E8AC8C7" w14:textId="77777777" w:rsidR="0069061E" w:rsidRPr="005D68A0" w:rsidRDefault="0069061E" w:rsidP="0069061E">
      <w:pPr>
        <w:pStyle w:val="ListParagraph"/>
        <w:numPr>
          <w:ilvl w:val="0"/>
          <w:numId w:val="141"/>
        </w:numPr>
        <w:rPr>
          <w:noProof/>
        </w:rPr>
      </w:pPr>
      <w:r>
        <w:rPr>
          <w:noProof/>
        </w:rPr>
        <w:t>tööstuslikud rajatised energiasüsteemi ümberkujundamisel;</w:t>
      </w:r>
    </w:p>
    <w:p w14:paraId="4D4535DC" w14:textId="77777777" w:rsidR="0069061E" w:rsidRPr="005D68A0" w:rsidRDefault="0069061E" w:rsidP="0069061E">
      <w:pPr>
        <w:pStyle w:val="ListParagraph"/>
        <w:numPr>
          <w:ilvl w:val="0"/>
          <w:numId w:val="141"/>
        </w:numPr>
        <w:rPr>
          <w:noProof/>
        </w:rPr>
      </w:pPr>
      <w:r>
        <w:rPr>
          <w:noProof/>
        </w:rPr>
        <w:t>tööstuse konkurentsivõime transpordisektoris;</w:t>
      </w:r>
    </w:p>
    <w:p w14:paraId="73302245" w14:textId="77777777" w:rsidR="0069061E" w:rsidRPr="005D68A0" w:rsidRDefault="0069061E" w:rsidP="0069061E">
      <w:pPr>
        <w:pStyle w:val="ListParagraph"/>
        <w:numPr>
          <w:ilvl w:val="0"/>
          <w:numId w:val="141"/>
        </w:numPr>
        <w:rPr>
          <w:noProof/>
        </w:rPr>
      </w:pPr>
      <w:r>
        <w:rPr>
          <w:noProof/>
        </w:rPr>
        <w:t>keskkonnasõbralik, ohutu ja kättesaadav transport ja liikuvus;</w:t>
      </w:r>
    </w:p>
    <w:p w14:paraId="189F99BE" w14:textId="77777777" w:rsidR="0069061E" w:rsidRPr="005D68A0" w:rsidRDefault="0069061E" w:rsidP="0069061E">
      <w:pPr>
        <w:pStyle w:val="ListParagraph"/>
        <w:numPr>
          <w:ilvl w:val="0"/>
          <w:numId w:val="141"/>
        </w:numPr>
        <w:rPr>
          <w:noProof/>
        </w:rPr>
      </w:pPr>
      <w:r>
        <w:rPr>
          <w:noProof/>
        </w:rPr>
        <w:t xml:space="preserve">arukas liikuvus; </w:t>
      </w:r>
    </w:p>
    <w:p w14:paraId="3DD9DE6C" w14:textId="77777777" w:rsidR="0069061E" w:rsidRPr="005D68A0" w:rsidRDefault="0069061E" w:rsidP="0069061E">
      <w:pPr>
        <w:pStyle w:val="ListParagraph"/>
        <w:numPr>
          <w:ilvl w:val="0"/>
          <w:numId w:val="141"/>
        </w:numPr>
        <w:rPr>
          <w:noProof/>
        </w:rPr>
      </w:pPr>
      <w:r>
        <w:rPr>
          <w:noProof/>
        </w:rPr>
        <w:t>energia salvestamine;</w:t>
      </w:r>
    </w:p>
    <w:p w14:paraId="6A36AB40" w14:textId="77777777" w:rsidR="0069061E" w:rsidRPr="005D68A0" w:rsidRDefault="0069061E" w:rsidP="0069061E">
      <w:pPr>
        <w:pStyle w:val="ListParagraph"/>
        <w:numPr>
          <w:ilvl w:val="0"/>
          <w:numId w:val="141"/>
        </w:numPr>
        <w:rPr>
          <w:noProof/>
        </w:rPr>
      </w:pPr>
      <w:r>
        <w:rPr>
          <w:noProof/>
        </w:rPr>
        <w:t>toidusüsteemid;</w:t>
      </w:r>
    </w:p>
    <w:p w14:paraId="4E54A42B" w14:textId="77777777" w:rsidR="0069061E" w:rsidRPr="005D68A0" w:rsidRDefault="0069061E" w:rsidP="0069061E">
      <w:pPr>
        <w:pStyle w:val="ListParagraph"/>
        <w:numPr>
          <w:ilvl w:val="0"/>
          <w:numId w:val="141"/>
        </w:numPr>
        <w:rPr>
          <w:noProof/>
        </w:rPr>
      </w:pPr>
      <w:r>
        <w:rPr>
          <w:noProof/>
        </w:rPr>
        <w:t>bioressursipõhised innovatsioonisüsteemid liidu biomajanduses;</w:t>
      </w:r>
    </w:p>
    <w:p w14:paraId="202AF15F" w14:textId="77777777" w:rsidR="0069061E" w:rsidRPr="005D68A0" w:rsidRDefault="0069061E" w:rsidP="0069061E">
      <w:pPr>
        <w:pStyle w:val="ListParagraph"/>
        <w:numPr>
          <w:ilvl w:val="0"/>
          <w:numId w:val="141"/>
        </w:numPr>
        <w:rPr>
          <w:noProof/>
        </w:rPr>
      </w:pPr>
      <w:r>
        <w:rPr>
          <w:noProof/>
        </w:rPr>
        <w:t>ringsüsteemid.</w:t>
      </w:r>
    </w:p>
    <w:p w14:paraId="2A7A84A2" w14:textId="77777777" w:rsidR="0069061E" w:rsidRPr="005D68A0" w:rsidRDefault="0069061E" w:rsidP="0069061E">
      <w:pPr>
        <w:rPr>
          <w:noProof/>
          <w:lang w:val="en-GB"/>
        </w:rPr>
      </w:pPr>
    </w:p>
    <w:p w14:paraId="0D26493A" w14:textId="027B23C5" w:rsidR="0069061E" w:rsidRPr="005D68A0" w:rsidRDefault="0069061E" w:rsidP="0069061E">
      <w:pPr>
        <w:spacing w:after="120"/>
        <w:jc w:val="both"/>
        <w:rPr>
          <w:noProof/>
        </w:rPr>
      </w:pPr>
      <w:r>
        <w:rPr>
          <w:noProof/>
        </w:rPr>
        <w:t>Tagamaks, et meede vastab olulise kahju ärahoidmise tehnilistele suunistele (2021/C58/01), jäetakse valitud projektidest välja järgmised tegevused: i) fossiilkütustega seotud tegevus ja varad, sealhulgas allkasutus tootmisahela järgmistes etappides</w:t>
      </w:r>
      <w:r w:rsidRPr="005D68A0">
        <w:rPr>
          <w:rStyle w:val="FootnoteReference"/>
          <w:noProof/>
          <w:lang w:val="en-GB"/>
        </w:rPr>
        <w:footnoteReference w:id="75"/>
      </w:r>
      <w:r>
        <w:rPr>
          <w:noProof/>
        </w:rPr>
        <w:t>; ii) ELi heitkogustega kauplemise süsteemi (HKS) raames toimuv tegevus, mille prognoositav kasvuhoonegaaside heide ei ole asjaomastest võrdlusalustest</w:t>
      </w:r>
      <w:r w:rsidRPr="005D68A0">
        <w:rPr>
          <w:rStyle w:val="FootnoteReference"/>
          <w:noProof/>
          <w:lang w:val="en-GB"/>
        </w:rPr>
        <w:footnoteReference w:id="76"/>
      </w:r>
      <w:r>
        <w:rPr>
          <w:noProof/>
        </w:rPr>
        <w:t xml:space="preserve"> madalam; iii) prügilate, jäätmepõletustehaste</w:t>
      </w:r>
      <w:r w:rsidRPr="005D68A0">
        <w:rPr>
          <w:rStyle w:val="FootnoteReference"/>
          <w:noProof/>
          <w:lang w:val="en-GB"/>
        </w:rPr>
        <w:footnoteReference w:id="77"/>
      </w:r>
      <w:r>
        <w:rPr>
          <w:noProof/>
        </w:rPr>
        <w:t xml:space="preserve"> ja mehhaanilis-bioloogilise töötlemise jaamadega</w:t>
      </w:r>
      <w:r w:rsidRPr="005D68A0">
        <w:rPr>
          <w:rStyle w:val="FootnoteReference"/>
          <w:noProof/>
          <w:lang w:val="en-GB"/>
        </w:rPr>
        <w:footnoteReference w:id="78"/>
      </w:r>
      <w:r>
        <w:rPr>
          <w:noProof/>
        </w:rPr>
        <w:t xml:space="preserve"> seotud tegevus ja varad; Valitud projektid peavad olema kooskõlas asjakohaste ELi ja riiklike keskkonnaalaste õigusaktidega.</w:t>
      </w:r>
    </w:p>
    <w:p w14:paraId="10D3F3E4" w14:textId="77777777" w:rsidR="0069061E" w:rsidRPr="005D68A0" w:rsidRDefault="0069061E" w:rsidP="0069061E">
      <w:pPr>
        <w:jc w:val="both"/>
        <w:rPr>
          <w:noProof/>
          <w:lang w:val="en-GB"/>
        </w:rPr>
      </w:pPr>
    </w:p>
    <w:p w14:paraId="5598B1FB" w14:textId="77777777" w:rsidR="0084326C" w:rsidRPr="005D68A0" w:rsidRDefault="0084326C" w:rsidP="0084326C">
      <w:pPr>
        <w:spacing w:before="120" w:after="120"/>
        <w:jc w:val="both"/>
        <w:rPr>
          <w:rFonts w:eastAsia="Calibri"/>
          <w:b/>
          <w:bCs/>
          <w:noProof/>
        </w:rPr>
      </w:pPr>
      <w:r>
        <w:rPr>
          <w:b/>
          <w:noProof/>
        </w:rPr>
        <w:t>Investeering 3.3. Innovaatiliste doktorikraadide loomine, mis vastavad ettevõtete innovatsioonivajadustele ja edendavad teadlaste värbamist ettevõtete poolt</w:t>
      </w:r>
    </w:p>
    <w:p w14:paraId="5DF0DFAB" w14:textId="77777777" w:rsidR="0084326C" w:rsidRPr="005D68A0" w:rsidRDefault="0084326C" w:rsidP="0084326C">
      <w:pPr>
        <w:spacing w:before="120" w:after="120"/>
        <w:jc w:val="both"/>
        <w:rPr>
          <w:rFonts w:eastAsiaTheme="minorEastAsia"/>
          <w:noProof/>
        </w:rPr>
      </w:pPr>
      <w:r>
        <w:rPr>
          <w:noProof/>
        </w:rPr>
        <w:t>Meetme eesmärk on parandada kõrgetasemelisi oskusi, eelkõige progressi võimaldavate tehnoloogiate valdkonnas, järgmiste meetmete abil:</w:t>
      </w:r>
    </w:p>
    <w:p w14:paraId="7CC19C20" w14:textId="77777777" w:rsidR="0084326C" w:rsidRPr="005D68A0" w:rsidRDefault="0084326C" w:rsidP="0084326C">
      <w:pPr>
        <w:pStyle w:val="ListParagraph"/>
        <w:numPr>
          <w:ilvl w:val="0"/>
          <w:numId w:val="54"/>
        </w:numPr>
        <w:spacing w:line="288" w:lineRule="auto"/>
        <w:rPr>
          <w:rFonts w:eastAsiaTheme="minorEastAsia"/>
          <w:noProof/>
        </w:rPr>
      </w:pPr>
      <w:r>
        <w:rPr>
          <w:noProof/>
        </w:rPr>
        <w:t>Spetsiaalsete doktoriõppeprogrammide loomine ettevõtete panusel ja kaasamisel;</w:t>
      </w:r>
    </w:p>
    <w:p w14:paraId="2A8F853E" w14:textId="77777777" w:rsidR="0084326C" w:rsidRPr="005D68A0" w:rsidRDefault="0084326C" w:rsidP="0084326C">
      <w:pPr>
        <w:pStyle w:val="ListParagraph"/>
        <w:numPr>
          <w:ilvl w:val="0"/>
          <w:numId w:val="54"/>
        </w:numPr>
        <w:spacing w:line="288" w:lineRule="auto"/>
        <w:rPr>
          <w:rFonts w:eastAsiaTheme="minorEastAsia"/>
          <w:noProof/>
        </w:rPr>
      </w:pPr>
      <w:r>
        <w:rPr>
          <w:noProof/>
        </w:rPr>
        <w:t>Stiimulid ettevõtetele teadlaste värbamiseks.</w:t>
      </w:r>
    </w:p>
    <w:p w14:paraId="5EF75AB0" w14:textId="0B557924" w:rsidR="0084326C" w:rsidRPr="005D68A0" w:rsidRDefault="0084326C" w:rsidP="0084326C">
      <w:pPr>
        <w:spacing w:before="120" w:after="120"/>
        <w:jc w:val="both"/>
        <w:rPr>
          <w:noProof/>
        </w:rPr>
      </w:pPr>
      <w:r>
        <w:rPr>
          <w:noProof/>
        </w:rPr>
        <w:t>Täpsemalt näeb meede, mida rakendab ülikoolide ja teadusuuringute ministeerium, ette kokku 6 000 doktoritoetuse andmist kolme aasta jooksul koos erasektori kaasrahastamise ja stiimulitega ettevõtjatele teadlaste värbamiseks.</w:t>
      </w:r>
    </w:p>
    <w:p w14:paraId="525EF07F" w14:textId="77777777" w:rsidR="0084326C" w:rsidRPr="005D68A0" w:rsidRDefault="0084326C" w:rsidP="0084326C">
      <w:pPr>
        <w:spacing w:before="120" w:after="120" w:line="288" w:lineRule="auto"/>
        <w:jc w:val="both"/>
        <w:rPr>
          <w:rFonts w:eastAsiaTheme="minorEastAsia"/>
          <w:b/>
          <w:bCs/>
          <w:noProof/>
        </w:rPr>
      </w:pPr>
      <w:r>
        <w:rPr>
          <w:b/>
          <w:noProof/>
        </w:rPr>
        <w:t>Reform 1.1. Teadus- ja arendustegevuse rakendamine; I toetusmeetmed lihtsustamise ja liikuvuse edendamiseks</w:t>
      </w:r>
    </w:p>
    <w:p w14:paraId="1F3D1AD2" w14:textId="29C6D83E" w:rsidR="0084326C" w:rsidRPr="005D68A0" w:rsidRDefault="0084326C" w:rsidP="0084326C">
      <w:pPr>
        <w:spacing w:before="120" w:after="120"/>
        <w:jc w:val="both"/>
        <w:rPr>
          <w:noProof/>
        </w:rPr>
      </w:pPr>
      <w:r>
        <w:rPr>
          <w:noProof/>
        </w:rPr>
        <w:t>Reformi viivad ellu ülikoolide ja teadusuuringute ministeerium (MUR) ning majandusarengu ministeerium (MiSE), luues ministeeriumidevahelise juhatuse ja väljastades kaks ministri dekreeti: i) suurendada ja toetada (stiimulite kaudu) kõrgetasemeliste isikute liikuvust (nt teadlased ja juhid) ülikoolide, teadustaristute ja ettevõtete vahel ning ii) lihtsustada teadusfondide haldamist, iii) reformida teadlaste karjäärivõimalusi, et pöörata rohkem tähelepanu teadusuuringutele. Reformiga minnakse teadus- ja arendustegevuse suhtes üle süsteemsemale lähenemisviisile, minnes kaugemale praegusest ressursside ümberjaotamise loogikast, eelistades jagatud lähenemisviisi, ning keskendutakse avaliku ja erasektori teadustegevusele eraldatud vahendite haldamisega seotud bürokraatia lihtsustamisele, avaldades olulist mõju prioriteetide hajutamise ja killustumise vältimise kaudu, mida toetab ka missiooni esimene komponent. Avalik-õiguslikel teadusasutustel on võtmeroll nii partnerluste, riiklike kampaaniate ja territoriaalsete ökosüsteemide projektijuhtidena kui ka broneeringuinfo fondi ja infrastruktuurifondi projektikonkursside potentsiaalsete osalejatena.</w:t>
      </w:r>
    </w:p>
    <w:p w14:paraId="063AA63C" w14:textId="77777777" w:rsidR="0084326C" w:rsidRPr="005D68A0" w:rsidRDefault="0084326C" w:rsidP="0084326C">
      <w:pPr>
        <w:pStyle w:val="Heading3"/>
        <w:numPr>
          <w:ilvl w:val="0"/>
          <w:numId w:val="0"/>
        </w:numPr>
        <w:ind w:left="850" w:hanging="850"/>
        <w:rPr>
          <w:b/>
          <w:bCs w:val="0"/>
          <w:i w:val="0"/>
          <w:iCs/>
          <w:noProof/>
          <w:u w:val="single"/>
        </w:rPr>
        <w:sectPr w:rsidR="0084326C" w:rsidRPr="005D68A0">
          <w:headerReference w:type="even" r:id="rId278"/>
          <w:headerReference w:type="default" r:id="rId279"/>
          <w:footerReference w:type="even" r:id="rId280"/>
          <w:footerReference w:type="default" r:id="rId281"/>
          <w:headerReference w:type="first" r:id="rId282"/>
          <w:footerReference w:type="first" r:id="rId283"/>
          <w:pgSz w:w="11907" w:h="16839"/>
          <w:pgMar w:top="1440" w:right="1440" w:bottom="1440" w:left="1440" w:header="567" w:footer="567" w:gutter="0"/>
          <w:cols w:space="720"/>
          <w:docGrid w:linePitch="360"/>
        </w:sectPr>
      </w:pPr>
      <w:r>
        <w:rPr>
          <w:b/>
          <w:i w:val="0"/>
          <w:noProof/>
          <w:u w:val="single"/>
        </w:rPr>
        <w:t xml:space="preserve">K.2. </w:t>
      </w:r>
      <w:r>
        <w:rPr>
          <w:noProof/>
        </w:rPr>
        <w:tab/>
      </w:r>
      <w:r>
        <w:rPr>
          <w:b/>
          <w:i w:val="0"/>
          <w:noProof/>
          <w:u w:val="single"/>
        </w:rPr>
        <w:t>Tagastamatu rahalise toetuse eesmärgid, sihid, näitajad ning seire ja rakendamise ajakava</w:t>
      </w:r>
    </w:p>
    <w:p w14:paraId="13080B44" w14:textId="77777777" w:rsidR="0084326C" w:rsidRPr="00F33804" w:rsidRDefault="0084326C" w:rsidP="0084326C">
      <w:pPr>
        <w:spacing w:before="120" w:after="120"/>
        <w:jc w:val="both"/>
        <w:rPr>
          <w:noProof/>
        </w:rPr>
      </w:pPr>
    </w:p>
    <w:tbl>
      <w:tblPr>
        <w:tblW w:w="51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2004"/>
        <w:gridCol w:w="1416"/>
        <w:gridCol w:w="1803"/>
        <w:gridCol w:w="1607"/>
        <w:gridCol w:w="1008"/>
        <w:gridCol w:w="991"/>
        <w:gridCol w:w="900"/>
        <w:gridCol w:w="979"/>
        <w:gridCol w:w="673"/>
        <w:gridCol w:w="2977"/>
      </w:tblGrid>
      <w:tr w:rsidR="0084326C" w:rsidRPr="00D90835" w14:paraId="247955EC" w14:textId="77777777" w:rsidTr="0183CD37">
        <w:trPr>
          <w:trHeight w:val="927"/>
          <w:tblHeader/>
          <w:jc w:val="center"/>
        </w:trPr>
        <w:tc>
          <w:tcPr>
            <w:tcW w:w="1503" w:type="dxa"/>
            <w:vMerge w:val="restart"/>
            <w:shd w:val="clear" w:color="auto" w:fill="BDD7EE"/>
            <w:vAlign w:val="center"/>
            <w:hideMark/>
          </w:tcPr>
          <w:p w14:paraId="36A4DD69" w14:textId="77777777" w:rsidR="0084326C" w:rsidRPr="005D68A0" w:rsidRDefault="0084326C">
            <w:pPr>
              <w:jc w:val="center"/>
              <w:rPr>
                <w:rFonts w:ascii="Arial Narrow" w:hAnsi="Arial Narrow"/>
                <w:b/>
                <w:noProof/>
                <w:sz w:val="20"/>
                <w:szCs w:val="20"/>
              </w:rPr>
            </w:pPr>
            <w:r>
              <w:rPr>
                <w:rFonts w:ascii="Arial Narrow" w:hAnsi="Arial Narrow"/>
                <w:b/>
                <w:noProof/>
                <w:sz w:val="20"/>
              </w:rPr>
              <w:t>Järjekorranumber</w:t>
            </w:r>
          </w:p>
        </w:tc>
        <w:tc>
          <w:tcPr>
            <w:tcW w:w="1596" w:type="dxa"/>
            <w:vMerge w:val="restart"/>
            <w:shd w:val="clear" w:color="auto" w:fill="BDD7EE"/>
            <w:vAlign w:val="center"/>
            <w:hideMark/>
          </w:tcPr>
          <w:p w14:paraId="6DCED757" w14:textId="77777777" w:rsidR="0084326C" w:rsidRPr="005D68A0" w:rsidRDefault="0084326C">
            <w:pPr>
              <w:jc w:val="center"/>
              <w:rPr>
                <w:rFonts w:ascii="Arial Narrow" w:hAnsi="Arial Narrow"/>
                <w:b/>
                <w:noProof/>
                <w:sz w:val="20"/>
                <w:szCs w:val="20"/>
              </w:rPr>
            </w:pPr>
            <w:r>
              <w:rPr>
                <w:rFonts w:ascii="Arial Narrow" w:hAnsi="Arial Narrow"/>
                <w:b/>
                <w:noProof/>
                <w:sz w:val="20"/>
              </w:rPr>
              <w:t>Seotud meede (reform või investeering)</w:t>
            </w:r>
          </w:p>
        </w:tc>
        <w:tc>
          <w:tcPr>
            <w:tcW w:w="1416" w:type="dxa"/>
            <w:vMerge w:val="restart"/>
            <w:shd w:val="clear" w:color="auto" w:fill="BDD7EE"/>
            <w:vAlign w:val="center"/>
            <w:hideMark/>
          </w:tcPr>
          <w:p w14:paraId="33280869" w14:textId="77777777" w:rsidR="0084326C" w:rsidRPr="005D68A0" w:rsidRDefault="0084326C">
            <w:pPr>
              <w:jc w:val="center"/>
              <w:rPr>
                <w:rFonts w:ascii="Arial Narrow" w:hAnsi="Arial Narrow"/>
                <w:b/>
                <w:noProof/>
                <w:sz w:val="20"/>
                <w:szCs w:val="20"/>
              </w:rPr>
            </w:pPr>
            <w:r>
              <w:rPr>
                <w:rFonts w:ascii="Arial Narrow" w:hAnsi="Arial Narrow"/>
                <w:b/>
                <w:noProof/>
                <w:sz w:val="20"/>
              </w:rPr>
              <w:t>Eesmärk / siht</w:t>
            </w:r>
          </w:p>
        </w:tc>
        <w:tc>
          <w:tcPr>
            <w:tcW w:w="1362" w:type="dxa"/>
            <w:vMerge w:val="restart"/>
            <w:shd w:val="clear" w:color="auto" w:fill="BDD7EE"/>
            <w:vAlign w:val="center"/>
            <w:hideMark/>
          </w:tcPr>
          <w:p w14:paraId="21D77BE3" w14:textId="77777777" w:rsidR="0084326C" w:rsidRPr="005D68A0" w:rsidRDefault="0084326C">
            <w:pPr>
              <w:jc w:val="center"/>
              <w:rPr>
                <w:rFonts w:ascii="Arial Narrow" w:hAnsi="Arial Narrow"/>
                <w:b/>
                <w:noProof/>
                <w:sz w:val="20"/>
                <w:szCs w:val="20"/>
              </w:rPr>
            </w:pPr>
            <w:r>
              <w:rPr>
                <w:rFonts w:ascii="Arial Narrow" w:hAnsi="Arial Narrow"/>
                <w:b/>
                <w:noProof/>
                <w:sz w:val="20"/>
              </w:rPr>
              <w:t>Nimi</w:t>
            </w:r>
          </w:p>
        </w:tc>
        <w:tc>
          <w:tcPr>
            <w:tcW w:w="1607" w:type="dxa"/>
            <w:vMerge w:val="restart"/>
            <w:shd w:val="clear" w:color="auto" w:fill="BDD7EE"/>
            <w:vAlign w:val="center"/>
            <w:hideMark/>
          </w:tcPr>
          <w:p w14:paraId="62B881D7" w14:textId="77777777" w:rsidR="0084326C" w:rsidRPr="005D68A0" w:rsidRDefault="0084326C">
            <w:pPr>
              <w:jc w:val="center"/>
              <w:rPr>
                <w:rFonts w:ascii="Arial Narrow" w:hAnsi="Arial Narrow"/>
                <w:b/>
                <w:noProof/>
                <w:sz w:val="20"/>
                <w:szCs w:val="20"/>
              </w:rPr>
            </w:pPr>
            <w:r>
              <w:rPr>
                <w:rFonts w:ascii="Arial Narrow" w:hAnsi="Arial Narrow"/>
                <w:b/>
                <w:noProof/>
                <w:sz w:val="20"/>
              </w:rPr>
              <w:t>Kvalitatiivsed näitajad</w:t>
            </w:r>
            <w:r>
              <w:rPr>
                <w:noProof/>
              </w:rPr>
              <w:t xml:space="preserve"> </w:t>
            </w:r>
            <w:r>
              <w:rPr>
                <w:noProof/>
              </w:rPr>
              <w:br/>
            </w:r>
            <w:r>
              <w:rPr>
                <w:rFonts w:ascii="Arial Narrow" w:hAnsi="Arial Narrow"/>
                <w:b/>
                <w:noProof/>
                <w:sz w:val="20"/>
              </w:rPr>
              <w:t>(eesmärkide puhul)</w:t>
            </w:r>
          </w:p>
        </w:tc>
        <w:tc>
          <w:tcPr>
            <w:tcW w:w="2791" w:type="dxa"/>
            <w:gridSpan w:val="3"/>
            <w:shd w:val="clear" w:color="auto" w:fill="BDD7EE"/>
            <w:vAlign w:val="center"/>
            <w:hideMark/>
          </w:tcPr>
          <w:p w14:paraId="5B59EECB" w14:textId="77777777" w:rsidR="0084326C" w:rsidRPr="005D68A0" w:rsidRDefault="0084326C">
            <w:pPr>
              <w:jc w:val="center"/>
              <w:rPr>
                <w:rFonts w:ascii="Arial Narrow" w:hAnsi="Arial Narrow"/>
                <w:b/>
                <w:noProof/>
                <w:sz w:val="20"/>
                <w:szCs w:val="20"/>
              </w:rPr>
            </w:pPr>
            <w:r>
              <w:rPr>
                <w:rFonts w:ascii="Arial Narrow" w:hAnsi="Arial Narrow"/>
                <w:b/>
                <w:noProof/>
                <w:sz w:val="20"/>
              </w:rPr>
              <w:t xml:space="preserve">Kvantitatiivsed näitajad </w:t>
            </w:r>
            <w:r>
              <w:rPr>
                <w:noProof/>
              </w:rPr>
              <w:br/>
            </w:r>
            <w:r>
              <w:rPr>
                <w:rFonts w:ascii="Arial Narrow" w:hAnsi="Arial Narrow"/>
                <w:b/>
                <w:noProof/>
                <w:sz w:val="20"/>
              </w:rPr>
              <w:t>(sihtide puhul)</w:t>
            </w:r>
          </w:p>
        </w:tc>
        <w:tc>
          <w:tcPr>
            <w:tcW w:w="1652" w:type="dxa"/>
            <w:gridSpan w:val="2"/>
            <w:shd w:val="clear" w:color="auto" w:fill="BDD7EE"/>
            <w:vAlign w:val="center"/>
            <w:hideMark/>
          </w:tcPr>
          <w:p w14:paraId="242ACBD9" w14:textId="77777777" w:rsidR="0084326C" w:rsidRPr="005D68A0" w:rsidRDefault="0084326C">
            <w:pPr>
              <w:jc w:val="center"/>
              <w:rPr>
                <w:rFonts w:ascii="Arial Narrow" w:hAnsi="Arial Narrow"/>
                <w:b/>
                <w:noProof/>
                <w:sz w:val="20"/>
                <w:szCs w:val="20"/>
              </w:rPr>
            </w:pPr>
            <w:r>
              <w:rPr>
                <w:rFonts w:ascii="Arial Narrow" w:hAnsi="Arial Narrow"/>
                <w:b/>
                <w:noProof/>
                <w:sz w:val="20"/>
              </w:rPr>
              <w:t>Lõpuleviimise soovituslik ajakava</w:t>
            </w:r>
          </w:p>
        </w:tc>
        <w:tc>
          <w:tcPr>
            <w:tcW w:w="2977" w:type="dxa"/>
            <w:vMerge w:val="restart"/>
            <w:shd w:val="clear" w:color="auto" w:fill="BDD7EE"/>
            <w:vAlign w:val="center"/>
            <w:hideMark/>
          </w:tcPr>
          <w:p w14:paraId="18DAFF1A" w14:textId="77777777" w:rsidR="0084326C" w:rsidRPr="005D68A0" w:rsidRDefault="0084326C">
            <w:pPr>
              <w:jc w:val="center"/>
              <w:rPr>
                <w:rFonts w:ascii="Arial Narrow" w:hAnsi="Arial Narrow"/>
                <w:b/>
                <w:noProof/>
                <w:sz w:val="20"/>
                <w:szCs w:val="20"/>
              </w:rPr>
            </w:pPr>
            <w:r>
              <w:rPr>
                <w:rFonts w:ascii="Arial Narrow" w:hAnsi="Arial Narrow"/>
                <w:b/>
                <w:noProof/>
                <w:sz w:val="20"/>
              </w:rPr>
              <w:t>Iga eesmärgi ja sihi kirjeldus</w:t>
            </w:r>
          </w:p>
        </w:tc>
      </w:tr>
      <w:tr w:rsidR="0084326C" w:rsidRPr="005D68A0" w14:paraId="464CBDC6" w14:textId="77777777" w:rsidTr="0183CD37">
        <w:trPr>
          <w:trHeight w:val="802"/>
          <w:jc w:val="center"/>
        </w:trPr>
        <w:tc>
          <w:tcPr>
            <w:tcW w:w="1503" w:type="dxa"/>
            <w:vMerge/>
            <w:vAlign w:val="center"/>
            <w:hideMark/>
          </w:tcPr>
          <w:p w14:paraId="5DE21187" w14:textId="77777777" w:rsidR="0084326C" w:rsidRPr="00F33804" w:rsidRDefault="0084326C">
            <w:pPr>
              <w:jc w:val="center"/>
              <w:rPr>
                <w:rFonts w:ascii="Arial Narrow" w:hAnsi="Arial Narrow"/>
                <w:b/>
                <w:noProof/>
                <w:sz w:val="20"/>
                <w:szCs w:val="20"/>
              </w:rPr>
            </w:pPr>
          </w:p>
        </w:tc>
        <w:tc>
          <w:tcPr>
            <w:tcW w:w="1596" w:type="dxa"/>
            <w:vMerge/>
            <w:vAlign w:val="center"/>
            <w:hideMark/>
          </w:tcPr>
          <w:p w14:paraId="44C75D3B" w14:textId="77777777" w:rsidR="0084326C" w:rsidRPr="00F33804" w:rsidRDefault="0084326C">
            <w:pPr>
              <w:jc w:val="center"/>
              <w:rPr>
                <w:rFonts w:ascii="Arial Narrow" w:hAnsi="Arial Narrow"/>
                <w:b/>
                <w:noProof/>
                <w:sz w:val="20"/>
                <w:szCs w:val="20"/>
              </w:rPr>
            </w:pPr>
          </w:p>
        </w:tc>
        <w:tc>
          <w:tcPr>
            <w:tcW w:w="1416" w:type="dxa"/>
            <w:vMerge/>
            <w:vAlign w:val="center"/>
            <w:hideMark/>
          </w:tcPr>
          <w:p w14:paraId="2F507D92" w14:textId="77777777" w:rsidR="0084326C" w:rsidRPr="00F33804" w:rsidRDefault="0084326C">
            <w:pPr>
              <w:jc w:val="center"/>
              <w:rPr>
                <w:rFonts w:ascii="Arial Narrow" w:hAnsi="Arial Narrow"/>
                <w:b/>
                <w:noProof/>
                <w:sz w:val="20"/>
                <w:szCs w:val="20"/>
              </w:rPr>
            </w:pPr>
          </w:p>
        </w:tc>
        <w:tc>
          <w:tcPr>
            <w:tcW w:w="1362" w:type="dxa"/>
            <w:vMerge/>
            <w:vAlign w:val="center"/>
            <w:hideMark/>
          </w:tcPr>
          <w:p w14:paraId="3DEE1B69" w14:textId="77777777" w:rsidR="0084326C" w:rsidRPr="00F33804" w:rsidRDefault="0084326C">
            <w:pPr>
              <w:jc w:val="center"/>
              <w:rPr>
                <w:rFonts w:ascii="Arial Narrow" w:hAnsi="Arial Narrow"/>
                <w:b/>
                <w:noProof/>
                <w:sz w:val="20"/>
                <w:szCs w:val="20"/>
              </w:rPr>
            </w:pPr>
          </w:p>
        </w:tc>
        <w:tc>
          <w:tcPr>
            <w:tcW w:w="1607" w:type="dxa"/>
            <w:vMerge/>
            <w:vAlign w:val="center"/>
            <w:hideMark/>
          </w:tcPr>
          <w:p w14:paraId="729E6F05" w14:textId="77777777" w:rsidR="0084326C" w:rsidRPr="00F33804" w:rsidRDefault="0084326C">
            <w:pPr>
              <w:jc w:val="center"/>
              <w:rPr>
                <w:rFonts w:ascii="Arial Narrow" w:hAnsi="Arial Narrow"/>
                <w:b/>
                <w:noProof/>
                <w:sz w:val="20"/>
                <w:szCs w:val="20"/>
              </w:rPr>
            </w:pPr>
          </w:p>
        </w:tc>
        <w:tc>
          <w:tcPr>
            <w:tcW w:w="1008" w:type="dxa"/>
            <w:shd w:val="clear" w:color="auto" w:fill="BDD7EE"/>
            <w:vAlign w:val="center"/>
            <w:hideMark/>
          </w:tcPr>
          <w:p w14:paraId="431617E4" w14:textId="77777777" w:rsidR="0084326C" w:rsidRPr="005D68A0" w:rsidRDefault="0084326C">
            <w:pPr>
              <w:jc w:val="center"/>
              <w:rPr>
                <w:rFonts w:ascii="Arial Narrow" w:hAnsi="Arial Narrow"/>
                <w:b/>
                <w:noProof/>
                <w:sz w:val="20"/>
                <w:szCs w:val="20"/>
              </w:rPr>
            </w:pPr>
            <w:r>
              <w:rPr>
                <w:rFonts w:ascii="Arial Narrow" w:hAnsi="Arial Narrow"/>
                <w:b/>
                <w:noProof/>
                <w:sz w:val="20"/>
              </w:rPr>
              <w:t>Mõõtühik</w:t>
            </w:r>
          </w:p>
        </w:tc>
        <w:tc>
          <w:tcPr>
            <w:tcW w:w="991" w:type="dxa"/>
            <w:shd w:val="clear" w:color="auto" w:fill="BDD7EE"/>
            <w:vAlign w:val="center"/>
            <w:hideMark/>
          </w:tcPr>
          <w:p w14:paraId="419F5015" w14:textId="77777777" w:rsidR="0084326C" w:rsidRPr="005D68A0" w:rsidRDefault="0084326C">
            <w:pPr>
              <w:jc w:val="center"/>
              <w:rPr>
                <w:rFonts w:ascii="Arial Narrow" w:hAnsi="Arial Narrow"/>
                <w:b/>
                <w:noProof/>
                <w:sz w:val="20"/>
                <w:szCs w:val="20"/>
              </w:rPr>
            </w:pPr>
            <w:r>
              <w:rPr>
                <w:rFonts w:ascii="Arial Narrow" w:hAnsi="Arial Narrow"/>
                <w:b/>
                <w:noProof/>
                <w:sz w:val="20"/>
              </w:rPr>
              <w:t>Lähtetase</w:t>
            </w:r>
          </w:p>
        </w:tc>
        <w:tc>
          <w:tcPr>
            <w:tcW w:w="792" w:type="dxa"/>
            <w:shd w:val="clear" w:color="auto" w:fill="BDD7EE"/>
            <w:vAlign w:val="center"/>
            <w:hideMark/>
          </w:tcPr>
          <w:p w14:paraId="17D00FB2" w14:textId="77777777" w:rsidR="0084326C" w:rsidRPr="005D68A0" w:rsidRDefault="0084326C">
            <w:pPr>
              <w:jc w:val="center"/>
              <w:rPr>
                <w:rFonts w:ascii="Arial Narrow" w:hAnsi="Arial Narrow"/>
                <w:b/>
                <w:noProof/>
                <w:sz w:val="20"/>
                <w:szCs w:val="20"/>
              </w:rPr>
            </w:pPr>
            <w:r>
              <w:rPr>
                <w:rFonts w:ascii="Arial Narrow" w:hAnsi="Arial Narrow"/>
                <w:b/>
                <w:noProof/>
                <w:sz w:val="20"/>
              </w:rPr>
              <w:t>Eesmärk</w:t>
            </w:r>
          </w:p>
        </w:tc>
        <w:tc>
          <w:tcPr>
            <w:tcW w:w="979" w:type="dxa"/>
            <w:shd w:val="clear" w:color="auto" w:fill="BDD7EE"/>
            <w:vAlign w:val="center"/>
            <w:hideMark/>
          </w:tcPr>
          <w:p w14:paraId="23F6DFE1" w14:textId="77777777" w:rsidR="0084326C" w:rsidRPr="005D68A0" w:rsidRDefault="0084326C">
            <w:pPr>
              <w:jc w:val="center"/>
              <w:rPr>
                <w:rFonts w:ascii="Arial Narrow" w:hAnsi="Arial Narrow"/>
                <w:b/>
                <w:noProof/>
                <w:sz w:val="20"/>
                <w:szCs w:val="20"/>
              </w:rPr>
            </w:pPr>
            <w:r>
              <w:rPr>
                <w:rFonts w:ascii="Arial Narrow" w:hAnsi="Arial Narrow"/>
                <w:b/>
                <w:noProof/>
                <w:sz w:val="20"/>
              </w:rPr>
              <w:t>Kvartal</w:t>
            </w:r>
          </w:p>
        </w:tc>
        <w:tc>
          <w:tcPr>
            <w:tcW w:w="673" w:type="dxa"/>
            <w:shd w:val="clear" w:color="auto" w:fill="BDD7EE"/>
            <w:vAlign w:val="center"/>
            <w:hideMark/>
          </w:tcPr>
          <w:p w14:paraId="50F787C4" w14:textId="77777777" w:rsidR="0084326C" w:rsidRPr="005D68A0" w:rsidRDefault="0084326C">
            <w:pPr>
              <w:jc w:val="center"/>
              <w:rPr>
                <w:rFonts w:ascii="Arial Narrow" w:hAnsi="Arial Narrow"/>
                <w:b/>
                <w:noProof/>
                <w:sz w:val="20"/>
                <w:szCs w:val="20"/>
              </w:rPr>
            </w:pPr>
            <w:r>
              <w:rPr>
                <w:rFonts w:ascii="Arial Narrow" w:hAnsi="Arial Narrow"/>
                <w:b/>
                <w:noProof/>
                <w:sz w:val="20"/>
              </w:rPr>
              <w:t>Aasta</w:t>
            </w:r>
          </w:p>
        </w:tc>
        <w:tc>
          <w:tcPr>
            <w:tcW w:w="2977" w:type="dxa"/>
            <w:vMerge/>
            <w:vAlign w:val="center"/>
            <w:hideMark/>
          </w:tcPr>
          <w:p w14:paraId="4320398D" w14:textId="77777777" w:rsidR="0084326C" w:rsidRPr="005D68A0" w:rsidRDefault="0084326C">
            <w:pPr>
              <w:rPr>
                <w:rFonts w:ascii="Arial Narrow" w:hAnsi="Arial Narrow"/>
                <w:b/>
                <w:noProof/>
                <w:sz w:val="20"/>
                <w:szCs w:val="20"/>
                <w:lang w:val="en-GB"/>
              </w:rPr>
            </w:pPr>
          </w:p>
        </w:tc>
      </w:tr>
      <w:tr w:rsidR="0084326C" w:rsidRPr="00D90835" w14:paraId="682F4A1C" w14:textId="77777777" w:rsidTr="0183CD37">
        <w:trPr>
          <w:trHeight w:val="1065"/>
          <w:jc w:val="center"/>
        </w:trPr>
        <w:tc>
          <w:tcPr>
            <w:tcW w:w="1503" w:type="dxa"/>
            <w:shd w:val="clear" w:color="auto" w:fill="C6EFCE"/>
            <w:noWrap/>
            <w:vAlign w:val="center"/>
            <w:hideMark/>
          </w:tcPr>
          <w:p w14:paraId="09192FD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M4C2-1</w:t>
            </w:r>
          </w:p>
        </w:tc>
        <w:tc>
          <w:tcPr>
            <w:tcW w:w="1596" w:type="dxa"/>
            <w:shd w:val="clear" w:color="auto" w:fill="C6EFCE"/>
            <w:noWrap/>
            <w:vAlign w:val="center"/>
            <w:hideMark/>
          </w:tcPr>
          <w:p w14:paraId="264C4B6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 Investeering 1.2. Noorte teadlaste esitatud projektide rahastamine.</w:t>
            </w:r>
          </w:p>
        </w:tc>
        <w:tc>
          <w:tcPr>
            <w:tcW w:w="1416" w:type="dxa"/>
            <w:shd w:val="clear" w:color="auto" w:fill="C6EFCE"/>
            <w:noWrap/>
            <w:vAlign w:val="center"/>
            <w:hideMark/>
          </w:tcPr>
          <w:p w14:paraId="57F6810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1362" w:type="dxa"/>
            <w:shd w:val="clear" w:color="auto" w:fill="C6EFCE"/>
            <w:noWrap/>
            <w:vAlign w:val="center"/>
            <w:hideMark/>
          </w:tcPr>
          <w:p w14:paraId="26C0704A"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Uurimisstipendiumi saanud üliõpilaste arv</w:t>
            </w:r>
          </w:p>
        </w:tc>
        <w:tc>
          <w:tcPr>
            <w:tcW w:w="1607" w:type="dxa"/>
            <w:shd w:val="clear" w:color="auto" w:fill="C6EFCE"/>
            <w:noWrap/>
            <w:vAlign w:val="center"/>
            <w:hideMark/>
          </w:tcPr>
          <w:p w14:paraId="3FA087B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008" w:type="dxa"/>
            <w:shd w:val="clear" w:color="auto" w:fill="C6EFCE"/>
            <w:noWrap/>
            <w:vAlign w:val="center"/>
            <w:hideMark/>
          </w:tcPr>
          <w:p w14:paraId="0C82961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991" w:type="dxa"/>
            <w:shd w:val="clear" w:color="auto" w:fill="C6EFCE"/>
            <w:noWrap/>
            <w:vAlign w:val="center"/>
            <w:hideMark/>
          </w:tcPr>
          <w:p w14:paraId="08C42BA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50</w:t>
            </w:r>
          </w:p>
        </w:tc>
        <w:tc>
          <w:tcPr>
            <w:tcW w:w="792" w:type="dxa"/>
            <w:shd w:val="clear" w:color="auto" w:fill="C6EFCE"/>
            <w:noWrap/>
            <w:vAlign w:val="center"/>
            <w:hideMark/>
          </w:tcPr>
          <w:p w14:paraId="68CB437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300</w:t>
            </w:r>
          </w:p>
        </w:tc>
        <w:tc>
          <w:tcPr>
            <w:tcW w:w="979" w:type="dxa"/>
            <w:shd w:val="clear" w:color="auto" w:fill="C6EFCE"/>
            <w:noWrap/>
            <w:vAlign w:val="center"/>
            <w:hideMark/>
          </w:tcPr>
          <w:p w14:paraId="58E8F77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673" w:type="dxa"/>
            <w:shd w:val="clear" w:color="auto" w:fill="C6EFCE"/>
            <w:noWrap/>
            <w:vAlign w:val="center"/>
            <w:hideMark/>
          </w:tcPr>
          <w:p w14:paraId="7C6B518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2022</w:t>
            </w:r>
          </w:p>
        </w:tc>
        <w:tc>
          <w:tcPr>
            <w:tcW w:w="2977" w:type="dxa"/>
            <w:shd w:val="clear" w:color="auto" w:fill="C6EFCE"/>
            <w:noWrap/>
            <w:vAlign w:val="center"/>
            <w:hideMark/>
          </w:tcPr>
          <w:p w14:paraId="3C2356B9"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Üliõpilastele antakse vähemalt 300 uurimisstipendiumi. Valikumenetlus hõlmab rahastamiskõlblikkuse kriteeriume, millega tagatakse, et valitud projektid vastavad tehnilisele juhendile „Mitte tekitada olulist kahju“ (2021/C58/01), kasutades kõrvalejätmise loetelu ning asjaomaste ELi ja riiklike keskkonnaalaste õigusaktide järgimise nõuet.</w:t>
            </w:r>
          </w:p>
          <w:p w14:paraId="32C2D757" w14:textId="77777777" w:rsidR="0084326C" w:rsidRPr="00F33804" w:rsidRDefault="0084326C">
            <w:pPr>
              <w:rPr>
                <w:rFonts w:ascii="Arial Narrow" w:hAnsi="Arial Narrow"/>
                <w:noProof/>
                <w:color w:val="006100"/>
                <w:sz w:val="20"/>
                <w:szCs w:val="20"/>
              </w:rPr>
            </w:pPr>
          </w:p>
          <w:p w14:paraId="77CC002A"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Eesmärgi rahuldaval täitmisel võetakse arvesse ka seda, et leping sõlmitakse vähemalt 300 noore teadlasega.</w:t>
            </w:r>
          </w:p>
        </w:tc>
      </w:tr>
      <w:tr w:rsidR="0084326C" w:rsidRPr="00D90835" w14:paraId="23513450" w14:textId="77777777" w:rsidTr="0183CD37">
        <w:trPr>
          <w:trHeight w:val="1065"/>
          <w:jc w:val="center"/>
        </w:trPr>
        <w:tc>
          <w:tcPr>
            <w:tcW w:w="1503" w:type="dxa"/>
            <w:shd w:val="clear" w:color="auto" w:fill="C6EFCE"/>
            <w:noWrap/>
            <w:vAlign w:val="center"/>
            <w:hideMark/>
          </w:tcPr>
          <w:p w14:paraId="793B01F0"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M4C2–1 bis</w:t>
            </w:r>
          </w:p>
        </w:tc>
        <w:tc>
          <w:tcPr>
            <w:tcW w:w="1596" w:type="dxa"/>
            <w:shd w:val="clear" w:color="auto" w:fill="C6EFCE"/>
            <w:noWrap/>
            <w:vAlign w:val="center"/>
            <w:hideMark/>
          </w:tcPr>
          <w:p w14:paraId="67C6585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1.2. Noorte teadlaste esitatud projektide rahastamine.</w:t>
            </w:r>
          </w:p>
          <w:p w14:paraId="3F38AB25" w14:textId="77777777" w:rsidR="0084326C" w:rsidRPr="005D68A0" w:rsidRDefault="0084326C">
            <w:pPr>
              <w:jc w:val="center"/>
              <w:rPr>
                <w:rFonts w:ascii="Arial Narrow" w:hAnsi="Arial Narrow"/>
                <w:noProof/>
                <w:color w:val="006100"/>
                <w:sz w:val="20"/>
                <w:szCs w:val="20"/>
                <w:lang w:val="en-GB"/>
              </w:rPr>
            </w:pPr>
          </w:p>
        </w:tc>
        <w:tc>
          <w:tcPr>
            <w:tcW w:w="1416" w:type="dxa"/>
            <w:shd w:val="clear" w:color="auto" w:fill="C6EFCE"/>
            <w:noWrap/>
            <w:vAlign w:val="center"/>
            <w:hideMark/>
          </w:tcPr>
          <w:p w14:paraId="7C0A8F9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1362" w:type="dxa"/>
            <w:shd w:val="clear" w:color="auto" w:fill="C6EFCE"/>
            <w:noWrap/>
            <w:vAlign w:val="center"/>
            <w:hideMark/>
          </w:tcPr>
          <w:p w14:paraId="3C339C4D"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Uurimisstipendiumi saanud üliõpilaste arv</w:t>
            </w:r>
          </w:p>
          <w:p w14:paraId="230006F9" w14:textId="77777777" w:rsidR="0084326C" w:rsidRPr="005D68A0" w:rsidRDefault="0084326C">
            <w:pPr>
              <w:jc w:val="center"/>
              <w:rPr>
                <w:rFonts w:ascii="Arial Narrow" w:eastAsia="Calibri" w:hAnsi="Arial Narrow"/>
                <w:noProof/>
                <w:color w:val="006100"/>
                <w:sz w:val="20"/>
                <w:szCs w:val="20"/>
                <w:lang w:val="en-GB"/>
              </w:rPr>
            </w:pPr>
          </w:p>
        </w:tc>
        <w:tc>
          <w:tcPr>
            <w:tcW w:w="1607" w:type="dxa"/>
            <w:shd w:val="clear" w:color="auto" w:fill="C6EFCE"/>
            <w:noWrap/>
            <w:vAlign w:val="center"/>
            <w:hideMark/>
          </w:tcPr>
          <w:p w14:paraId="53183F7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008" w:type="dxa"/>
            <w:shd w:val="clear" w:color="auto" w:fill="C6EFCE"/>
            <w:noWrap/>
            <w:vAlign w:val="center"/>
            <w:hideMark/>
          </w:tcPr>
          <w:p w14:paraId="6448B81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991" w:type="dxa"/>
            <w:shd w:val="clear" w:color="auto" w:fill="C6EFCE"/>
            <w:noWrap/>
            <w:vAlign w:val="center"/>
            <w:hideMark/>
          </w:tcPr>
          <w:p w14:paraId="54CB12B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300</w:t>
            </w:r>
          </w:p>
        </w:tc>
        <w:tc>
          <w:tcPr>
            <w:tcW w:w="792" w:type="dxa"/>
            <w:shd w:val="clear" w:color="auto" w:fill="C6EFCE"/>
            <w:noWrap/>
            <w:vAlign w:val="center"/>
            <w:hideMark/>
          </w:tcPr>
          <w:p w14:paraId="0D9AA1F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850</w:t>
            </w:r>
          </w:p>
        </w:tc>
        <w:tc>
          <w:tcPr>
            <w:tcW w:w="979" w:type="dxa"/>
            <w:shd w:val="clear" w:color="auto" w:fill="C6EFCE"/>
            <w:noWrap/>
            <w:vAlign w:val="center"/>
            <w:hideMark/>
          </w:tcPr>
          <w:p w14:paraId="0044819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673" w:type="dxa"/>
            <w:shd w:val="clear" w:color="auto" w:fill="C6EFCE"/>
            <w:noWrap/>
            <w:vAlign w:val="center"/>
            <w:hideMark/>
          </w:tcPr>
          <w:p w14:paraId="5F2D015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2025</w:t>
            </w:r>
          </w:p>
        </w:tc>
        <w:tc>
          <w:tcPr>
            <w:tcW w:w="2977" w:type="dxa"/>
            <w:shd w:val="clear" w:color="auto" w:fill="C6EFCE"/>
            <w:noWrap/>
            <w:vAlign w:val="center"/>
            <w:hideMark/>
          </w:tcPr>
          <w:p w14:paraId="5C98F48B"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Üliõpilastele antakse vähemalt 850 uurimisstipendiumi. Teadustoetuste andmise valikumenetlus hõlmab rahastamiskõlblikkuse kriteeriume, millega tagatakse, et valitud projektid vastavad põhimõtte „Ei kahjusta oluliselt“ tehnilistele suunistele (2021/C58/01), kasutades välistamisnimekirja ning nõuet järgida asjakohaseid ELi ja riiklikke keskkonnaalaseid õigusakte.</w:t>
            </w:r>
          </w:p>
          <w:p w14:paraId="72EA587A"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Eesmärgi rahuldaval täitmisel võetakse arvesse ka seda, et tööle võetakse vähemalt 850 noort teadlast.</w:t>
            </w:r>
          </w:p>
        </w:tc>
      </w:tr>
      <w:tr w:rsidR="00CD7CAD" w:rsidRPr="00D90835" w14:paraId="07E9C7EE" w14:textId="77777777" w:rsidTr="0183CD37">
        <w:trPr>
          <w:trHeight w:val="309"/>
          <w:jc w:val="center"/>
        </w:trPr>
        <w:tc>
          <w:tcPr>
            <w:tcW w:w="1503" w:type="dxa"/>
            <w:shd w:val="clear" w:color="auto" w:fill="C6EFCE"/>
            <w:noWrap/>
            <w:vAlign w:val="center"/>
          </w:tcPr>
          <w:p w14:paraId="20F92E24" w14:textId="7E03E5B1" w:rsidR="00CD7CAD" w:rsidRPr="005D68A0" w:rsidRDefault="72128895" w:rsidP="50FA1922">
            <w:pPr>
              <w:jc w:val="center"/>
              <w:rPr>
                <w:rFonts w:ascii="Arial Narrow" w:hAnsi="Arial Narrow"/>
                <w:noProof/>
                <w:color w:val="006100"/>
                <w:sz w:val="20"/>
                <w:szCs w:val="20"/>
              </w:rPr>
            </w:pPr>
            <w:r>
              <w:rPr>
                <w:rFonts w:ascii="Arial Narrow" w:hAnsi="Arial Narrow"/>
                <w:noProof/>
                <w:color w:val="006100"/>
                <w:sz w:val="20"/>
              </w:rPr>
              <w:t>M4C2–2bis</w:t>
            </w:r>
          </w:p>
        </w:tc>
        <w:tc>
          <w:tcPr>
            <w:tcW w:w="1596" w:type="dxa"/>
            <w:shd w:val="clear" w:color="auto" w:fill="C6EFCE"/>
            <w:noWrap/>
            <w:vAlign w:val="center"/>
          </w:tcPr>
          <w:p w14:paraId="126BD8E6" w14:textId="45E0A583" w:rsidR="00CD7CAD" w:rsidRPr="005D68A0" w:rsidRDefault="00D85A6F">
            <w:pPr>
              <w:jc w:val="center"/>
              <w:rPr>
                <w:rFonts w:ascii="Arial Narrow" w:hAnsi="Arial Narrow"/>
                <w:noProof/>
                <w:color w:val="006100"/>
                <w:sz w:val="20"/>
              </w:rPr>
            </w:pPr>
            <w:r>
              <w:rPr>
                <w:rFonts w:ascii="Arial Narrow" w:hAnsi="Arial Narrow"/>
                <w:noProof/>
                <w:color w:val="006100"/>
                <w:sz w:val="20"/>
              </w:rPr>
              <w:t>Investeering 2.2 bis Innovatsioonilepingud</w:t>
            </w:r>
          </w:p>
        </w:tc>
        <w:tc>
          <w:tcPr>
            <w:tcW w:w="1416" w:type="dxa"/>
            <w:shd w:val="clear" w:color="auto" w:fill="C6EFCE"/>
            <w:noWrap/>
            <w:vAlign w:val="center"/>
          </w:tcPr>
          <w:p w14:paraId="4E6C9D69" w14:textId="563A7CD6" w:rsidR="00CD7CAD" w:rsidRPr="005D68A0" w:rsidRDefault="00D85A6F">
            <w:pPr>
              <w:jc w:val="center"/>
              <w:rPr>
                <w:rFonts w:ascii="Arial Narrow" w:hAnsi="Arial Narrow"/>
                <w:noProof/>
                <w:color w:val="006100"/>
                <w:sz w:val="20"/>
              </w:rPr>
            </w:pPr>
            <w:r>
              <w:rPr>
                <w:rFonts w:ascii="Arial Narrow" w:hAnsi="Arial Narrow"/>
                <w:noProof/>
                <w:color w:val="006100"/>
                <w:sz w:val="20"/>
              </w:rPr>
              <w:t>Siht</w:t>
            </w:r>
          </w:p>
        </w:tc>
        <w:tc>
          <w:tcPr>
            <w:tcW w:w="1362" w:type="dxa"/>
            <w:shd w:val="clear" w:color="auto" w:fill="C6EFCE"/>
            <w:noWrap/>
            <w:vAlign w:val="center"/>
          </w:tcPr>
          <w:p w14:paraId="37DFA547" w14:textId="1CD40D50" w:rsidR="00CD7CAD" w:rsidRPr="005D68A0" w:rsidRDefault="00D85A6F">
            <w:pPr>
              <w:jc w:val="center"/>
              <w:rPr>
                <w:rFonts w:ascii="Arial Narrow" w:hAnsi="Arial Narrow"/>
                <w:noProof/>
                <w:color w:val="006100"/>
                <w:sz w:val="20"/>
              </w:rPr>
            </w:pPr>
            <w:r>
              <w:rPr>
                <w:rFonts w:ascii="Arial Narrow" w:hAnsi="Arial Narrow"/>
                <w:noProof/>
                <w:color w:val="006100"/>
                <w:sz w:val="20"/>
              </w:rPr>
              <w:t xml:space="preserve">Innovatsioonilepingud on lõpule viidud </w:t>
            </w:r>
          </w:p>
        </w:tc>
        <w:tc>
          <w:tcPr>
            <w:tcW w:w="1607" w:type="dxa"/>
            <w:shd w:val="clear" w:color="auto" w:fill="C6EFCE"/>
            <w:noWrap/>
            <w:vAlign w:val="center"/>
          </w:tcPr>
          <w:p w14:paraId="19D4705C" w14:textId="0E0F7B4D" w:rsidR="00CD7CAD" w:rsidRPr="005D68A0" w:rsidRDefault="00D85A6F">
            <w:pPr>
              <w:jc w:val="center"/>
              <w:rPr>
                <w:rFonts w:ascii="Arial Narrow" w:hAnsi="Arial Narrow"/>
                <w:noProof/>
                <w:color w:val="006100"/>
                <w:sz w:val="20"/>
              </w:rPr>
            </w:pPr>
            <w:r>
              <w:rPr>
                <w:rFonts w:ascii="Arial Narrow" w:hAnsi="Arial Narrow"/>
                <w:noProof/>
                <w:color w:val="006100"/>
                <w:sz w:val="20"/>
              </w:rPr>
              <w:t>Ei kohaldata</w:t>
            </w:r>
          </w:p>
        </w:tc>
        <w:tc>
          <w:tcPr>
            <w:tcW w:w="1008" w:type="dxa"/>
            <w:shd w:val="clear" w:color="auto" w:fill="C6EFCE"/>
            <w:noWrap/>
            <w:vAlign w:val="center"/>
          </w:tcPr>
          <w:p w14:paraId="05E72B8E" w14:textId="02F9E629" w:rsidR="00CD7CAD" w:rsidRPr="005D68A0" w:rsidRDefault="00D85A6F">
            <w:pPr>
              <w:jc w:val="center"/>
              <w:rPr>
                <w:rFonts w:ascii="Arial Narrow" w:hAnsi="Arial Narrow"/>
                <w:noProof/>
                <w:color w:val="006100"/>
                <w:sz w:val="20"/>
              </w:rPr>
            </w:pPr>
            <w:r>
              <w:rPr>
                <w:rFonts w:ascii="Arial Narrow" w:hAnsi="Arial Narrow"/>
                <w:noProof/>
                <w:color w:val="006100"/>
                <w:sz w:val="20"/>
              </w:rPr>
              <w:t>Arv</w:t>
            </w:r>
          </w:p>
        </w:tc>
        <w:tc>
          <w:tcPr>
            <w:tcW w:w="991" w:type="dxa"/>
            <w:shd w:val="clear" w:color="auto" w:fill="C6EFCE"/>
            <w:noWrap/>
            <w:vAlign w:val="center"/>
          </w:tcPr>
          <w:p w14:paraId="107E878F" w14:textId="47FF5450" w:rsidR="00CD7CAD" w:rsidRPr="005D68A0" w:rsidRDefault="00D85A6F">
            <w:pPr>
              <w:jc w:val="center"/>
              <w:rPr>
                <w:rFonts w:ascii="Arial Narrow" w:hAnsi="Arial Narrow"/>
                <w:noProof/>
                <w:color w:val="006100"/>
                <w:sz w:val="20"/>
              </w:rPr>
            </w:pPr>
            <w:r>
              <w:rPr>
                <w:rFonts w:ascii="Arial Narrow" w:hAnsi="Arial Narrow"/>
                <w:noProof/>
                <w:color w:val="006100"/>
                <w:sz w:val="20"/>
              </w:rPr>
              <w:t>0</w:t>
            </w:r>
          </w:p>
        </w:tc>
        <w:tc>
          <w:tcPr>
            <w:tcW w:w="792" w:type="dxa"/>
            <w:shd w:val="clear" w:color="auto" w:fill="C6EFCE"/>
            <w:noWrap/>
            <w:vAlign w:val="center"/>
          </w:tcPr>
          <w:p w14:paraId="6123296D" w14:textId="43CBEF7A" w:rsidR="00CD7CAD" w:rsidRPr="005D68A0" w:rsidRDefault="31CA9150" w:rsidP="50FA1922">
            <w:pPr>
              <w:jc w:val="center"/>
              <w:rPr>
                <w:rFonts w:ascii="Arial Narrow" w:hAnsi="Arial Narrow"/>
                <w:noProof/>
                <w:color w:val="006100"/>
                <w:sz w:val="20"/>
                <w:szCs w:val="20"/>
              </w:rPr>
            </w:pPr>
            <w:r>
              <w:rPr>
                <w:rFonts w:ascii="Arial Narrow" w:hAnsi="Arial Narrow"/>
                <w:noProof/>
                <w:color w:val="006100"/>
                <w:sz w:val="20"/>
              </w:rPr>
              <w:t>32</w:t>
            </w:r>
          </w:p>
        </w:tc>
        <w:tc>
          <w:tcPr>
            <w:tcW w:w="979" w:type="dxa"/>
            <w:shd w:val="clear" w:color="auto" w:fill="C6EFCE"/>
            <w:noWrap/>
            <w:vAlign w:val="center"/>
          </w:tcPr>
          <w:p w14:paraId="1CF92872" w14:textId="01AEFD08" w:rsidR="00C36748" w:rsidRPr="005D68A0" w:rsidRDefault="0EE04BB2" w:rsidP="0183CD37">
            <w:pPr>
              <w:jc w:val="center"/>
              <w:rPr>
                <w:rFonts w:ascii="Arial Narrow" w:hAnsi="Arial Narrow"/>
                <w:noProof/>
                <w:color w:val="006100"/>
                <w:sz w:val="20"/>
                <w:szCs w:val="20"/>
              </w:rPr>
            </w:pPr>
            <w:r>
              <w:rPr>
                <w:rFonts w:ascii="Arial Narrow" w:hAnsi="Arial Narrow"/>
                <w:noProof/>
                <w:color w:val="006100"/>
                <w:sz w:val="20"/>
              </w:rPr>
              <w:t>4. kv</w:t>
            </w:r>
          </w:p>
        </w:tc>
        <w:tc>
          <w:tcPr>
            <w:tcW w:w="673" w:type="dxa"/>
            <w:shd w:val="clear" w:color="auto" w:fill="C6EFCE"/>
            <w:noWrap/>
            <w:vAlign w:val="center"/>
          </w:tcPr>
          <w:p w14:paraId="1D915BD5" w14:textId="312DC9FD" w:rsidR="00CD7CAD" w:rsidRPr="005D68A0" w:rsidRDefault="6ED78E1D" w:rsidP="50FA1922">
            <w:pPr>
              <w:jc w:val="center"/>
              <w:rPr>
                <w:rFonts w:ascii="Arial Narrow" w:hAnsi="Arial Narrow"/>
                <w:noProof/>
                <w:color w:val="006100"/>
                <w:sz w:val="20"/>
                <w:szCs w:val="20"/>
              </w:rPr>
            </w:pPr>
            <w:r>
              <w:rPr>
                <w:rFonts w:ascii="Arial Narrow" w:hAnsi="Arial Narrow"/>
                <w:noProof/>
                <w:color w:val="006100"/>
                <w:sz w:val="20"/>
              </w:rPr>
              <w:t>2025</w:t>
            </w:r>
          </w:p>
        </w:tc>
        <w:tc>
          <w:tcPr>
            <w:tcW w:w="2977" w:type="dxa"/>
            <w:shd w:val="clear" w:color="auto" w:fill="C6EFCE"/>
            <w:noWrap/>
            <w:vAlign w:val="center"/>
          </w:tcPr>
          <w:p w14:paraId="6C7CB99E" w14:textId="653809B1" w:rsidR="00CD7CAD" w:rsidRPr="005D68A0" w:rsidRDefault="0719109C" w:rsidP="0183CD37">
            <w:pPr>
              <w:rPr>
                <w:rFonts w:ascii="Arial Narrow" w:hAnsi="Arial Narrow"/>
                <w:noProof/>
                <w:color w:val="006100"/>
                <w:sz w:val="20"/>
                <w:szCs w:val="20"/>
              </w:rPr>
            </w:pPr>
            <w:r>
              <w:rPr>
                <w:rFonts w:ascii="Arial Narrow" w:hAnsi="Arial Narrow"/>
                <w:noProof/>
                <w:color w:val="006100"/>
                <w:sz w:val="20"/>
              </w:rPr>
              <w:t>Vähemalt 32 innovatsioonilepingu lõpuleviimine.</w:t>
            </w:r>
          </w:p>
        </w:tc>
      </w:tr>
      <w:tr w:rsidR="0084326C" w:rsidRPr="00D90835" w14:paraId="2DFFCE4F" w14:textId="77777777" w:rsidTr="0183CD37">
        <w:trPr>
          <w:trHeight w:val="309"/>
          <w:jc w:val="center"/>
        </w:trPr>
        <w:tc>
          <w:tcPr>
            <w:tcW w:w="1503" w:type="dxa"/>
            <w:shd w:val="clear" w:color="auto" w:fill="C6EFCE"/>
            <w:noWrap/>
            <w:vAlign w:val="center"/>
            <w:hideMark/>
          </w:tcPr>
          <w:p w14:paraId="4BE4310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M4C2-3</w:t>
            </w:r>
          </w:p>
        </w:tc>
        <w:tc>
          <w:tcPr>
            <w:tcW w:w="1596" w:type="dxa"/>
            <w:shd w:val="clear" w:color="auto" w:fill="C6EFCE"/>
            <w:noWrap/>
            <w:vAlign w:val="center"/>
            <w:hideMark/>
          </w:tcPr>
          <w:p w14:paraId="0C39489D"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Investeering 3.3. Innovaatiliste doktorikraadide loomine, mis vastavad ettevõtete innovatsioonivajadustele ja edendavad teadlaste värbamist ettevõtete poolt</w:t>
            </w:r>
          </w:p>
        </w:tc>
        <w:tc>
          <w:tcPr>
            <w:tcW w:w="1416" w:type="dxa"/>
            <w:shd w:val="clear" w:color="auto" w:fill="C6EFCE"/>
            <w:noWrap/>
            <w:vAlign w:val="center"/>
            <w:hideMark/>
          </w:tcPr>
          <w:p w14:paraId="0CA3609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1362" w:type="dxa"/>
            <w:shd w:val="clear" w:color="auto" w:fill="C6EFCE"/>
            <w:noWrap/>
            <w:vAlign w:val="center"/>
            <w:hideMark/>
          </w:tcPr>
          <w:p w14:paraId="72BC509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Innovaatiliste doktorikraadide stipendiumide arv</w:t>
            </w:r>
          </w:p>
        </w:tc>
        <w:tc>
          <w:tcPr>
            <w:tcW w:w="1607" w:type="dxa"/>
            <w:shd w:val="clear" w:color="auto" w:fill="C6EFCE"/>
            <w:noWrap/>
            <w:vAlign w:val="center"/>
            <w:hideMark/>
          </w:tcPr>
          <w:p w14:paraId="3D6DDB9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008" w:type="dxa"/>
            <w:shd w:val="clear" w:color="auto" w:fill="C6EFCE"/>
            <w:noWrap/>
            <w:vAlign w:val="center"/>
            <w:hideMark/>
          </w:tcPr>
          <w:p w14:paraId="3A8D5AF6"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Arv</w:t>
            </w:r>
          </w:p>
        </w:tc>
        <w:tc>
          <w:tcPr>
            <w:tcW w:w="991" w:type="dxa"/>
            <w:shd w:val="clear" w:color="auto" w:fill="C6EFCE"/>
            <w:noWrap/>
            <w:vAlign w:val="center"/>
            <w:hideMark/>
          </w:tcPr>
          <w:p w14:paraId="5BE770E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792" w:type="dxa"/>
            <w:shd w:val="clear" w:color="auto" w:fill="C6EFCE"/>
            <w:noWrap/>
            <w:vAlign w:val="center"/>
            <w:hideMark/>
          </w:tcPr>
          <w:p w14:paraId="58E3FA9B" w14:textId="6BD02AC1"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6 000</w:t>
            </w:r>
          </w:p>
        </w:tc>
        <w:tc>
          <w:tcPr>
            <w:tcW w:w="979" w:type="dxa"/>
            <w:shd w:val="clear" w:color="auto" w:fill="C6EFCE"/>
            <w:noWrap/>
            <w:vAlign w:val="center"/>
            <w:hideMark/>
          </w:tcPr>
          <w:p w14:paraId="3D11E33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673" w:type="dxa"/>
            <w:shd w:val="clear" w:color="auto" w:fill="C6EFCE"/>
            <w:noWrap/>
            <w:vAlign w:val="center"/>
            <w:hideMark/>
          </w:tcPr>
          <w:p w14:paraId="7246F68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2024</w:t>
            </w:r>
          </w:p>
        </w:tc>
        <w:tc>
          <w:tcPr>
            <w:tcW w:w="2977" w:type="dxa"/>
            <w:shd w:val="clear" w:color="auto" w:fill="C6EFCE"/>
            <w:noWrap/>
            <w:vAlign w:val="center"/>
            <w:hideMark/>
          </w:tcPr>
          <w:p w14:paraId="276C2CFA" w14:textId="420A183D" w:rsidR="0084326C" w:rsidRPr="005D68A0" w:rsidRDefault="0084326C">
            <w:pPr>
              <w:rPr>
                <w:rFonts w:ascii="Arial Narrow" w:hAnsi="Arial Narrow"/>
                <w:noProof/>
                <w:color w:val="006100"/>
                <w:sz w:val="20"/>
                <w:szCs w:val="20"/>
              </w:rPr>
            </w:pPr>
            <w:r>
              <w:rPr>
                <w:rFonts w:ascii="Arial Narrow" w:hAnsi="Arial Narrow"/>
                <w:noProof/>
                <w:color w:val="006100"/>
                <w:sz w:val="20"/>
              </w:rPr>
              <w:t>Vähemalt 6 000 doktorikraadiga stipendiumi määramine.</w:t>
            </w:r>
          </w:p>
          <w:p w14:paraId="7C063295"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Innovatiivsete doktorikraadide kindlakstegemise kriitilised nõuded hõlmavad järgmist:</w:t>
            </w:r>
          </w:p>
          <w:p w14:paraId="14CF6E13"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a) hõlmama distsiplineerivaid ja temaatilisi valdkondi, mis vastavad programmis osalevate piirkondade tööturu kõrge kvalifikatsiooniga tööturu vajadustele;</w:t>
            </w:r>
          </w:p>
          <w:p w14:paraId="74BE90C3"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b) kogukestus on 3 aastat;</w:t>
            </w:r>
          </w:p>
          <w:p w14:paraId="4DC47C14"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c) tagama kogu doktoriõppe-, koolitus-, teadus- ja hindamiskursuse läbiviimise toetust saava ülikooli haldus- ja tegevusüksuse peakorteris, mis asub programmi sihtpiirkondades, ilma et see piiraks õppe- ja uurimistöö perioode ettevõttes ja välismaal, mis on kavandatud kooskõlas koolitus- ja teadustegevustega, mis on kavandatud väljapakutava teema kontorites;</w:t>
            </w:r>
          </w:p>
          <w:p w14:paraId="05D8F332"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d) näha ettevõttes ette õppe- ja uurimisperioode vähemalt kuuest (6) kuust kuni maksimaalselt kaheksateistkümne (18) kuuni;</w:t>
            </w:r>
          </w:p>
          <w:p w14:paraId="6EF6762A"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e) näha ette välismaal õppimise ja teadustöö perioodid vähemalt kuuest (6) kuust kuni maksimaalselt kaheksateistkümne (18) kuuni;</w:t>
            </w:r>
          </w:p>
          <w:p w14:paraId="00202186"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f) tagama, et doktorant saab kasutada kvalifitseeritud ja spetsiifilisi tegevus- ja teadusstruktuure kooskõlas seadusega uurimis- ja teadustegevuses, sealhulgas (kui see on kursuse liigi puhul asjakohane) teaduslaborites, raamatukogudes, andmebaasides jne. ;</w:t>
            </w:r>
          </w:p>
          <w:p w14:paraId="6BB2B352"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g) näha ette didaktiliste meetmete rakendamine keeleliseks ja IT-alaseks täiustamiseks, teadusuuringute haldamiseks ning Euroopa ja rahvusvaheliste teadussüsteemide tundmiseks, uurimistulemuste ja intellektuaalomandi parandamiseks;</w:t>
            </w:r>
          </w:p>
          <w:p w14:paraId="41963FFC"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h) näha ette ettevõtete kaasamine koolituskursuse määratlemisse ka laiemas koostöös ülikooliga;</w:t>
            </w:r>
          </w:p>
          <w:p w14:paraId="3C217DB0"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i) tagada vastavus horisontaalsetele põhimõtetele (keskkonnasäästlikkus; kestlik areng; võrdsed võimalused ja diskrimineerimiskeeld; puuetega inimeste juurdepääs).</w:t>
            </w:r>
          </w:p>
          <w:p w14:paraId="6BDFAC4A" w14:textId="77777777" w:rsidR="0084326C" w:rsidRPr="00F33804" w:rsidRDefault="0084326C">
            <w:pPr>
              <w:rPr>
                <w:rFonts w:ascii="Arial Narrow" w:hAnsi="Arial Narrow"/>
                <w:noProof/>
                <w:color w:val="006100"/>
                <w:sz w:val="20"/>
                <w:szCs w:val="20"/>
              </w:rPr>
            </w:pPr>
          </w:p>
          <w:p w14:paraId="7EE18D89"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Valikumenetlus hõlmab rahastamiskõlblikkuse kriteeriume, millega tagatakse, et valitud projektid vastavad tehnilisele juhendile „Mitte tekitada olulist kahju“ (2021/C58/01), kasutades kõrvalejätmise loetelu ning asjaomaste ELi ja riiklike keskkonnaalaste õigusaktide järgimise nõuet.</w:t>
            </w:r>
          </w:p>
        </w:tc>
      </w:tr>
      <w:tr w:rsidR="0084326C" w:rsidRPr="00D90835" w14:paraId="0A098D87" w14:textId="77777777" w:rsidTr="0183CD37">
        <w:trPr>
          <w:trHeight w:val="309"/>
          <w:jc w:val="center"/>
        </w:trPr>
        <w:tc>
          <w:tcPr>
            <w:tcW w:w="1503" w:type="dxa"/>
            <w:shd w:val="clear" w:color="auto" w:fill="C6EFCE"/>
            <w:noWrap/>
            <w:vAlign w:val="center"/>
            <w:hideMark/>
          </w:tcPr>
          <w:p w14:paraId="499A8B2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M4C2-4</w:t>
            </w:r>
          </w:p>
        </w:tc>
        <w:tc>
          <w:tcPr>
            <w:tcW w:w="1596" w:type="dxa"/>
            <w:shd w:val="clear" w:color="auto" w:fill="C6EFCE"/>
            <w:noWrap/>
            <w:vAlign w:val="center"/>
            <w:hideMark/>
          </w:tcPr>
          <w:p w14:paraId="48DA65C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Reform 1.1. Teadus- ja arendustegevuse toetusmeetmete rakendamine lihtsustamise ja liikuvuse edendamiseks</w:t>
            </w:r>
          </w:p>
        </w:tc>
        <w:tc>
          <w:tcPr>
            <w:tcW w:w="1416" w:type="dxa"/>
            <w:shd w:val="clear" w:color="auto" w:fill="C6EFCE"/>
            <w:noWrap/>
            <w:vAlign w:val="center"/>
            <w:hideMark/>
          </w:tcPr>
          <w:p w14:paraId="7D7FB67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1362" w:type="dxa"/>
            <w:shd w:val="clear" w:color="auto" w:fill="C6EFCE"/>
            <w:noWrap/>
            <w:vAlign w:val="center"/>
            <w:hideMark/>
          </w:tcPr>
          <w:p w14:paraId="278718D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Jõustuvad ministri määrused teadus- ja arendustegevuse ning liikuvuse kohta, mis on seotud tavalise rahastamisfondiga.</w:t>
            </w:r>
          </w:p>
        </w:tc>
        <w:tc>
          <w:tcPr>
            <w:tcW w:w="1607" w:type="dxa"/>
            <w:shd w:val="clear" w:color="auto" w:fill="C6EFCE"/>
            <w:noWrap/>
            <w:vAlign w:val="center"/>
            <w:hideMark/>
          </w:tcPr>
          <w:p w14:paraId="04D1D46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Dekreedi säte, mis viitab seaduse jõustumisele</w:t>
            </w:r>
          </w:p>
        </w:tc>
        <w:tc>
          <w:tcPr>
            <w:tcW w:w="1008" w:type="dxa"/>
            <w:shd w:val="clear" w:color="auto" w:fill="C6EFCE"/>
            <w:noWrap/>
            <w:vAlign w:val="center"/>
            <w:hideMark/>
          </w:tcPr>
          <w:p w14:paraId="00CDCEB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991" w:type="dxa"/>
            <w:shd w:val="clear" w:color="auto" w:fill="C6EFCE"/>
            <w:noWrap/>
            <w:vAlign w:val="center"/>
            <w:hideMark/>
          </w:tcPr>
          <w:p w14:paraId="727FA91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792" w:type="dxa"/>
            <w:shd w:val="clear" w:color="auto" w:fill="C6EFCE"/>
            <w:noWrap/>
            <w:vAlign w:val="center"/>
            <w:hideMark/>
          </w:tcPr>
          <w:p w14:paraId="26864E5E" w14:textId="77777777" w:rsidR="0084326C" w:rsidRPr="005D68A0" w:rsidRDefault="0084326C">
            <w:pPr>
              <w:jc w:val="center"/>
              <w:rPr>
                <w:rFonts w:ascii="Arial Narrow" w:hAnsi="Arial Narrow"/>
                <w:noProof/>
                <w:color w:val="006100"/>
                <w:sz w:val="20"/>
                <w:szCs w:val="20"/>
                <w:lang w:val="en-GB"/>
              </w:rPr>
            </w:pPr>
          </w:p>
        </w:tc>
        <w:tc>
          <w:tcPr>
            <w:tcW w:w="979" w:type="dxa"/>
            <w:shd w:val="clear" w:color="auto" w:fill="C6EFCE"/>
            <w:noWrap/>
            <w:vAlign w:val="center"/>
            <w:hideMark/>
          </w:tcPr>
          <w:p w14:paraId="097932F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673" w:type="dxa"/>
            <w:shd w:val="clear" w:color="auto" w:fill="C6EFCE"/>
            <w:noWrap/>
            <w:vAlign w:val="center"/>
            <w:hideMark/>
          </w:tcPr>
          <w:p w14:paraId="09A4AD6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2022</w:t>
            </w:r>
          </w:p>
        </w:tc>
        <w:tc>
          <w:tcPr>
            <w:tcW w:w="2977" w:type="dxa"/>
            <w:shd w:val="clear" w:color="auto" w:fill="C6EFCE"/>
            <w:noWrap/>
            <w:vAlign w:val="center"/>
            <w:hideMark/>
          </w:tcPr>
          <w:p w14:paraId="0D9E394B"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Ministri määrused sisaldavad järgmisi põhielemente:</w:t>
            </w:r>
          </w:p>
          <w:p w14:paraId="0A08AE0B"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i) minna teadus- ja arendustegevuse puhul üle süsteemsemale lähenemisviisile, kasutades selleks uut lihtsustatud mudelit, mille eesmärk on saavutada oluline mõju prioriteetide hajumise ja killustatuse vältimise kaudu; ii) reformida õigusakte, et suurendada kõrgetasemeliste arvude (nt teadlased ja juhid) liikuvust ülikoolides, teadustaristutes ja ettevõtetes; iii) fondide haldamise lihtsustamine; iv) reformida teadlaste karjääri, et suurendada nende keskendumist teadustegevusele.</w:t>
            </w:r>
          </w:p>
        </w:tc>
      </w:tr>
    </w:tbl>
    <w:p w14:paraId="2B8729FE" w14:textId="77777777" w:rsidR="0084326C" w:rsidRPr="00F33804" w:rsidRDefault="0084326C" w:rsidP="0084326C">
      <w:pPr>
        <w:spacing w:before="120" w:after="120"/>
        <w:ind w:left="709"/>
        <w:jc w:val="both"/>
        <w:rPr>
          <w:noProof/>
        </w:rPr>
        <w:sectPr w:rsidR="0084326C" w:rsidRPr="00F33804">
          <w:headerReference w:type="even" r:id="rId284"/>
          <w:headerReference w:type="default" r:id="rId285"/>
          <w:footerReference w:type="even" r:id="rId286"/>
          <w:footerReference w:type="default" r:id="rId287"/>
          <w:headerReference w:type="first" r:id="rId288"/>
          <w:footerReference w:type="first" r:id="rId289"/>
          <w:pgSz w:w="16839" w:h="11907" w:orient="landscape"/>
          <w:pgMar w:top="1134" w:right="1134" w:bottom="1134" w:left="1134" w:header="567" w:footer="567" w:gutter="0"/>
          <w:cols w:space="720"/>
          <w:docGrid w:linePitch="360"/>
        </w:sectPr>
      </w:pPr>
    </w:p>
    <w:p w14:paraId="7B62C6B8" w14:textId="77777777" w:rsidR="0084326C" w:rsidRPr="005D68A0" w:rsidRDefault="0084326C" w:rsidP="0084326C">
      <w:pPr>
        <w:pStyle w:val="Heading3"/>
        <w:numPr>
          <w:ilvl w:val="0"/>
          <w:numId w:val="0"/>
        </w:numPr>
        <w:ind w:left="850" w:hanging="850"/>
        <w:rPr>
          <w:b/>
          <w:bCs w:val="0"/>
          <w:i w:val="0"/>
          <w:iCs/>
          <w:noProof/>
          <w:color w:val="4472C4" w:themeColor="accent1"/>
          <w:u w:val="single"/>
        </w:rPr>
      </w:pPr>
      <w:r>
        <w:rPr>
          <w:b/>
          <w:i w:val="0"/>
          <w:noProof/>
          <w:u w:val="single"/>
        </w:rPr>
        <w:t xml:space="preserve">K.3. </w:t>
      </w:r>
      <w:r>
        <w:rPr>
          <w:noProof/>
        </w:rPr>
        <w:tab/>
      </w:r>
      <w:r>
        <w:rPr>
          <w:b/>
          <w:i w:val="0"/>
          <w:noProof/>
          <w:u w:val="single"/>
        </w:rPr>
        <w:t xml:space="preserve">Laenuga seotud reformide ja investeeringute kirjeldus </w:t>
      </w:r>
    </w:p>
    <w:p w14:paraId="176E6BB2" w14:textId="77777777" w:rsidR="0084326C" w:rsidRPr="005D68A0" w:rsidRDefault="0084326C" w:rsidP="0084326C">
      <w:pPr>
        <w:spacing w:before="120" w:after="120"/>
        <w:jc w:val="both"/>
        <w:rPr>
          <w:rFonts w:eastAsia="Calibri"/>
          <w:b/>
          <w:bCs/>
          <w:noProof/>
          <w:color w:val="000000" w:themeColor="text1"/>
        </w:rPr>
      </w:pPr>
      <w:r>
        <w:rPr>
          <w:b/>
          <w:noProof/>
          <w:color w:val="000000" w:themeColor="text1"/>
        </w:rPr>
        <w:t>Investeering 1.1. Olulist riiklikku huvi pakkuvad uurimisprojektid (PRIN)</w:t>
      </w:r>
    </w:p>
    <w:p w14:paraId="0226400B" w14:textId="77777777" w:rsidR="0084326C" w:rsidRPr="005D68A0" w:rsidRDefault="0084326C" w:rsidP="0084326C">
      <w:pPr>
        <w:spacing w:before="120" w:after="120"/>
        <w:jc w:val="both"/>
        <w:rPr>
          <w:rFonts w:eastAsia="Calibri"/>
          <w:noProof/>
          <w:color w:val="000000" w:themeColor="text1"/>
        </w:rPr>
      </w:pPr>
      <w:r>
        <w:rPr>
          <w:noProof/>
          <w:color w:val="000000" w:themeColor="text1"/>
        </w:rPr>
        <w:t>Meede hõlmab suurt riiklikku huvi pakkuvate teadusprojektide (PRIN) rahastamist. Projektid kestavad vähemalt kaks aastat ning nõuavad ülikoolide ja teadusasutuste teadusüksuste koostööd. Rahastatavad projektid valib välja ülikoolide ja teadusuuringute ministeerium vastutavate isikute teadusliku profiili kvaliteedi ning teadusprojekti originaalsuse, metodoloogilise sobivuse, mõju ja teostatavuse alusel. Seda liiki tegevus stimuleerib teaduspõhiste algatuste väljatöötamist eesliiniuuringuteks ning ülikoolide ja teadusasutuste vaheliseks tihedamaks suhtluseks.</w:t>
      </w:r>
    </w:p>
    <w:p w14:paraId="10739834" w14:textId="66203F5E" w:rsidR="0084326C" w:rsidRPr="005D68A0" w:rsidRDefault="0084326C" w:rsidP="0084326C">
      <w:pPr>
        <w:spacing w:before="120" w:after="120"/>
        <w:jc w:val="both"/>
        <w:rPr>
          <w:rFonts w:eastAsia="Calibri"/>
          <w:noProof/>
          <w:color w:val="000000" w:themeColor="text1"/>
        </w:rPr>
      </w:pPr>
      <w:r>
        <w:rPr>
          <w:noProof/>
          <w:color w:val="000000" w:themeColor="text1"/>
        </w:rPr>
        <w:t>Investeeringust peaks kuni 2026. aastani rahastama 5 350 projekti.</w:t>
      </w:r>
    </w:p>
    <w:p w14:paraId="3DA2AAD5" w14:textId="77777777" w:rsidR="0084326C" w:rsidRPr="005D68A0" w:rsidRDefault="53DC5198" w:rsidP="0084326C">
      <w:pPr>
        <w:spacing w:before="120" w:after="120"/>
        <w:jc w:val="both"/>
        <w:rPr>
          <w:rFonts w:eastAsia="Calibri"/>
          <w:noProof/>
          <w:color w:val="000000" w:themeColor="text1"/>
        </w:rPr>
      </w:pPr>
      <w:r>
        <w:rPr>
          <w:noProof/>
          <w:color w:val="000000" w:themeColor="text1"/>
        </w:rPr>
        <w:t>Tagamaks, et meede vastab „ei kahjusta oluliselt“ tehnilistele suunistele (2021/C58/01), jäetakse tulevaste projektikonkursside juhendites sisalduvatest rahastamiskõlblikkuse kriteeriumidest välja järgmised tegevused: i) fossiilkütustega seotud tegevus, sealhulgas allkasutus tootmisahela järgmistes etappides</w:t>
      </w:r>
      <w:r w:rsidRPr="005D68A0">
        <w:rPr>
          <w:rStyle w:val="FootnoteReference"/>
          <w:rFonts w:eastAsia="Calibri"/>
          <w:noProof/>
          <w:color w:val="000000" w:themeColor="text1"/>
          <w:lang w:val="en-GB"/>
        </w:rPr>
        <w:footnoteReference w:id="79"/>
      </w:r>
      <w:r>
        <w:rPr>
          <w:noProof/>
          <w:color w:val="000000" w:themeColor="text1"/>
        </w:rPr>
        <w:t>; ii) ELi heitkogustega kauplemise süsteemi (HKS) raames toimuv tegevus, mille prognoositav kasvuhoonegaaside heide ei ole asjaomastest võrdlusalustest</w:t>
      </w:r>
      <w:r w:rsidRPr="005D68A0">
        <w:rPr>
          <w:rStyle w:val="FootnoteReference"/>
          <w:rFonts w:eastAsia="Calibri"/>
          <w:noProof/>
          <w:color w:val="000000" w:themeColor="text1"/>
          <w:lang w:val="en-GB"/>
        </w:rPr>
        <w:footnoteReference w:id="80"/>
      </w:r>
      <w:r>
        <w:rPr>
          <w:noProof/>
          <w:color w:val="000000" w:themeColor="text1"/>
        </w:rPr>
        <w:t xml:space="preserve"> madalam; </w:t>
      </w:r>
      <w:r>
        <w:rPr>
          <w:noProof/>
        </w:rPr>
        <w:t>i</w:t>
      </w:r>
      <w:r>
        <w:rPr>
          <w:noProof/>
          <w:color w:val="000000" w:themeColor="text1"/>
        </w:rPr>
        <w:t>ii) prügilate, jäätmepõletustehaste</w:t>
      </w:r>
      <w:r w:rsidRPr="005D68A0">
        <w:rPr>
          <w:rStyle w:val="FootnoteReference"/>
          <w:rFonts w:eastAsia="Calibri"/>
          <w:noProof/>
          <w:color w:val="000000" w:themeColor="text1"/>
          <w:lang w:val="en-GB"/>
        </w:rPr>
        <w:footnoteReference w:id="81"/>
      </w:r>
      <w:r>
        <w:rPr>
          <w:noProof/>
          <w:color w:val="000000" w:themeColor="text1"/>
        </w:rPr>
        <w:t xml:space="preserve"> ja mehhaanilis-bioloogilise töötlemise jaamadega</w:t>
      </w:r>
      <w:r w:rsidRPr="005D68A0">
        <w:rPr>
          <w:rStyle w:val="FootnoteReference"/>
          <w:rFonts w:eastAsia="Calibri"/>
          <w:noProof/>
          <w:color w:val="000000" w:themeColor="text1"/>
          <w:lang w:val="en-GB"/>
        </w:rPr>
        <w:footnoteReference w:id="82"/>
      </w:r>
      <w:r>
        <w:rPr>
          <w:noProof/>
          <w:color w:val="000000" w:themeColor="text1"/>
        </w:rPr>
        <w:t xml:space="preserve"> seotud tegevus; iv) tegevused, mille puhul jäätmete pikaajaline kõrvaldamine võib kahjustada keskkonda. Lisaks nõutakse pädevuses, et valituks osutuvad üksnes tegevused, mis vastavad asjakohastele ELi ja riiklikele keskkonnaalastele õigusaktidele.</w:t>
      </w:r>
    </w:p>
    <w:p w14:paraId="248070BE" w14:textId="77777777" w:rsidR="0084326C" w:rsidRPr="005D68A0" w:rsidRDefault="0084326C" w:rsidP="0084326C">
      <w:pPr>
        <w:pStyle w:val="paragraph"/>
        <w:spacing w:before="120" w:beforeAutospacing="0" w:after="120" w:afterAutospacing="0"/>
        <w:jc w:val="both"/>
        <w:textAlignment w:val="baseline"/>
        <w:rPr>
          <w:rStyle w:val="eop"/>
          <w:rFonts w:eastAsiaTheme="majorEastAsia"/>
          <w:b/>
          <w:bCs/>
          <w:noProof/>
          <w:color w:val="000000" w:themeColor="text1"/>
          <w:shd w:val="clear" w:color="auto" w:fill="FFFFFF"/>
        </w:rPr>
      </w:pPr>
      <w:r>
        <w:rPr>
          <w:rStyle w:val="normaltextrun"/>
          <w:b/>
          <w:noProof/>
          <w:color w:val="000000" w:themeColor="text1"/>
          <w:shd w:val="clear" w:color="auto" w:fill="FFFFFF"/>
        </w:rPr>
        <w:t>Investeering 1.3. Ülikoolidele, uurimiskeskustele, ettevõtetele ja alusuuringute projektide rahastamisele laiendatud partnerlused</w:t>
      </w:r>
    </w:p>
    <w:p w14:paraId="6E71E7D0" w14:textId="77777777" w:rsidR="0084326C" w:rsidRPr="005D68A0" w:rsidRDefault="53DC5198" w:rsidP="0084326C">
      <w:pPr>
        <w:spacing w:before="120" w:after="120"/>
        <w:jc w:val="both"/>
        <w:rPr>
          <w:rFonts w:eastAsia="Calibri"/>
          <w:noProof/>
          <w:color w:val="000000" w:themeColor="text1"/>
        </w:rPr>
      </w:pPr>
      <w:r>
        <w:rPr>
          <w:noProof/>
          <w:color w:val="000000" w:themeColor="text1"/>
        </w:rPr>
        <w:t>Võrreldes teiste Euroopa sarnaste riikidega tunduvad Itaalia teadus- ja ülikoolisüsteemi madalad patendid ja võrsefirmade tootmine eriti kriitilise tähtsusega</w:t>
      </w:r>
      <w:r w:rsidRPr="005D68A0">
        <w:rPr>
          <w:rStyle w:val="FootnoteReference"/>
          <w:rFonts w:eastAsia="Calibri"/>
          <w:noProof/>
          <w:color w:val="000000" w:themeColor="text1"/>
          <w:lang w:val="en-GB"/>
        </w:rPr>
        <w:footnoteReference w:id="83"/>
      </w:r>
      <w:r>
        <w:rPr>
          <w:noProof/>
          <w:color w:val="000000" w:themeColor="text1"/>
        </w:rPr>
        <w:t>. Selle põhjuseks on mõned struktuurilised probleemid, nagu väikeste ja keskmise suurusega ettevõtjate domineeriv roll rahvamajanduses, suured piirkondlikud erinevused sissetulekute ja tootlikkuse osas ning ülikoolide vähene suutlikkus ettevõtetega ühendust võtta. </w:t>
      </w:r>
    </w:p>
    <w:p w14:paraId="22D6F8A5" w14:textId="3804C72E" w:rsidR="0084326C" w:rsidRPr="005D68A0" w:rsidRDefault="0084326C" w:rsidP="0084326C">
      <w:pPr>
        <w:spacing w:before="120" w:after="120"/>
        <w:jc w:val="both"/>
        <w:rPr>
          <w:rFonts w:eastAsia="Calibri"/>
          <w:noProof/>
          <w:color w:val="000000" w:themeColor="text1"/>
        </w:rPr>
      </w:pPr>
      <w:r>
        <w:rPr>
          <w:noProof/>
          <w:color w:val="000000" w:themeColor="text1"/>
        </w:rPr>
        <w:t xml:space="preserve">Investeeringu eesmärk on rahastada vähemalt 14 suurt alusuuringute programmi, mida viivad ellu laialt levinud avaliku ja erasektori võrgustikud. Investeering on kooskõlas ühe broneeringuinfo eesmärgiga edendada positiivseid muutusi alusuuringute võimendamise kaudu. Iga programmi puhul viiakse läbi spetsiaalsed sidusrühmade kaasamise protsessid, et kaasata kodanikke ning hõlbustada tehno- ja teadmussiiret territooriumidele, ettevõtetele ja haldusasutustele. </w:t>
      </w:r>
    </w:p>
    <w:p w14:paraId="2C0DA2F1" w14:textId="77777777" w:rsidR="0084326C" w:rsidRPr="005D68A0" w:rsidRDefault="0084326C" w:rsidP="0084326C">
      <w:pPr>
        <w:spacing w:before="120" w:after="120"/>
        <w:jc w:val="both"/>
        <w:rPr>
          <w:rFonts w:eastAsia="Calibri"/>
          <w:noProof/>
          <w:color w:val="000000" w:themeColor="text1"/>
        </w:rPr>
      </w:pPr>
      <w:r>
        <w:rPr>
          <w:noProof/>
          <w:color w:val="000000" w:themeColor="text1"/>
        </w:rPr>
        <w:t>Investeeringud peaksid tugevdama riiklikke tehnoloogiaahelaid ja edendama nende osalemist strateegilistes Euroopa ja ülemaailmsetes väärtusahelates. Võimalikud näited on järgmised: säästev liikuvus (säästvad patareid ja akud, materjalid, logistika jne), alternatiivsed energiaallikad, ülijuhid, kliimamuutuste seire ja ennetamine, ringmajandus moetööstuses, tööstussümbioos, ökodisain ja disain kestlikkuse tagamiseks, jäätmekäitlus, ringlussevõtt ja väärindamine, bioloogiline mitmekesisus, keskkonnahoidlikud tootmisprotsessid, isejuhtivad sõidukid, vaktsiinid, bioreaktorid, uued toorained, veemajandus ja veevarude säilitamise kultuuripärand.  Eeldatakse, et iga programm edendab väikeste ja keskmise suurusega ettevõtete koondumist suurte erasektori osalejate ja riiklike teaduskeskuste ümber ning soodustab koostööd ja täiendavat teadustegevust. Teadus- ja arendustegevuse projektid hõlmavad investeeringuid nii inimkapitali kui ka alusuuringute arendamisse ülikoolides, uurimiskeskustes ja ettevõtetes. </w:t>
      </w:r>
    </w:p>
    <w:p w14:paraId="2230B897" w14:textId="77777777" w:rsidR="0084326C" w:rsidRPr="005D68A0" w:rsidRDefault="53DC5198" w:rsidP="0084326C">
      <w:pPr>
        <w:spacing w:before="120" w:after="120"/>
        <w:jc w:val="both"/>
        <w:rPr>
          <w:rFonts w:eastAsia="Calibri"/>
          <w:noProof/>
          <w:color w:val="000000" w:themeColor="text1"/>
        </w:rPr>
      </w:pPr>
      <w:r>
        <w:rPr>
          <w:noProof/>
          <w:color w:val="000000" w:themeColor="text1"/>
        </w:rPr>
        <w:t>Tagamaks, et meede vastab tehnilisele juhendile „Mitte tekitada olulist kahju“ (2021/C58/01), ei hõlma tulevastes programmikonkurssides sisalduvad abikõlblikkuse kriteeriumid järgmist tegevuste loetelu: i) fossiilkütustega seotud tegevus, sealhulgas allkasutus tootmisahela järgmistes etappides</w:t>
      </w:r>
      <w:r w:rsidRPr="005D68A0">
        <w:rPr>
          <w:rStyle w:val="FootnoteReference"/>
          <w:rFonts w:eastAsia="Calibri"/>
          <w:noProof/>
          <w:color w:val="000000" w:themeColor="text1"/>
          <w:lang w:val="en-GB"/>
        </w:rPr>
        <w:footnoteReference w:id="84"/>
      </w:r>
      <w:r>
        <w:rPr>
          <w:noProof/>
          <w:color w:val="000000" w:themeColor="text1"/>
        </w:rPr>
        <w:t>; ii) ELi heitkogustega kauplemise süsteemi (HKS) raames toimuv tegevus, mille prognoositav kasvuhoonegaaside heide ei ole asjaomastest võrdlusalustest</w:t>
      </w:r>
      <w:r w:rsidRPr="005D68A0">
        <w:rPr>
          <w:rStyle w:val="FootnoteReference"/>
          <w:rFonts w:eastAsia="Calibri"/>
          <w:noProof/>
          <w:color w:val="000000" w:themeColor="text1"/>
          <w:lang w:val="en-GB"/>
        </w:rPr>
        <w:footnoteReference w:id="85"/>
      </w:r>
      <w:r>
        <w:rPr>
          <w:noProof/>
          <w:color w:val="000000" w:themeColor="text1"/>
        </w:rPr>
        <w:t xml:space="preserve"> madalam; iii) prügilate, jäätmepõletustehaste</w:t>
      </w:r>
      <w:r w:rsidRPr="005D68A0">
        <w:rPr>
          <w:rStyle w:val="FootnoteReference"/>
          <w:rFonts w:eastAsia="Calibri"/>
          <w:noProof/>
          <w:color w:val="000000" w:themeColor="text1"/>
          <w:lang w:val="en-GB"/>
        </w:rPr>
        <w:footnoteReference w:id="86"/>
      </w:r>
      <w:r>
        <w:rPr>
          <w:noProof/>
          <w:color w:val="000000" w:themeColor="text1"/>
        </w:rPr>
        <w:t xml:space="preserve"> ja mehhaanilis-bioloogilise töötlemise jaamadega</w:t>
      </w:r>
      <w:r w:rsidRPr="005D68A0">
        <w:rPr>
          <w:rStyle w:val="FootnoteReference"/>
          <w:rFonts w:eastAsia="Calibri"/>
          <w:noProof/>
          <w:color w:val="000000" w:themeColor="text1"/>
          <w:lang w:val="en-GB"/>
        </w:rPr>
        <w:footnoteReference w:id="87"/>
      </w:r>
      <w:r>
        <w:rPr>
          <w:noProof/>
          <w:color w:val="000000" w:themeColor="text1"/>
        </w:rPr>
        <w:t xml:space="preserve"> seotud tegevus; iv) tegevused, mille puhul jäätmete pikaajaline kõrvaldamine võib kahjustada keskkonda. Lisaks nõutakse pädevuses, et valituks osutuvad üksnes tegevused, mis vastavad asjakohastele ELi ja riiklikele keskkonnaalastele õigusaktidele. </w:t>
      </w:r>
    </w:p>
    <w:p w14:paraId="422645CF" w14:textId="77777777" w:rsidR="0084326C" w:rsidRPr="005D68A0" w:rsidRDefault="0084326C" w:rsidP="0084326C">
      <w:pPr>
        <w:spacing w:before="120" w:after="120"/>
        <w:jc w:val="both"/>
        <w:rPr>
          <w:rFonts w:eastAsia="Calibri"/>
          <w:b/>
          <w:bCs/>
          <w:noProof/>
          <w:color w:val="000000" w:themeColor="text1"/>
        </w:rPr>
      </w:pPr>
      <w:r>
        <w:rPr>
          <w:b/>
          <w:noProof/>
          <w:color w:val="000000" w:themeColor="text1"/>
        </w:rPr>
        <w:t>Investeering 1.4. Teadusstruktuuride tugevdamine ja „riiklike teadus- ja arendustegevuse juhtide“ loomise toetamine mõnede progressi võimaldavate tehnoloogiate valdkonnas</w:t>
      </w:r>
    </w:p>
    <w:p w14:paraId="5150DE94" w14:textId="77777777" w:rsidR="0084326C" w:rsidRPr="005D68A0" w:rsidRDefault="0084326C" w:rsidP="0084326C">
      <w:pPr>
        <w:spacing w:before="120" w:after="120"/>
        <w:jc w:val="both"/>
        <w:rPr>
          <w:rFonts w:eastAsia="Calibri"/>
          <w:noProof/>
          <w:color w:val="000000" w:themeColor="text1"/>
        </w:rPr>
      </w:pPr>
      <w:r>
        <w:rPr>
          <w:noProof/>
          <w:color w:val="000000" w:themeColor="text1"/>
        </w:rPr>
        <w:t>Meetme eesmärk on rahastada vähemalt viie riikliku teaduskeskuse loomist, mis valitakse välja konkurentsipõhiste menetluste abil ja mis suudavad ülikoolide, uurimiskeskuste ja ettevõtete koostöö kaudu saavutada teadus- ja innovatsioonisuutlikkuse kriitilise künnise. Valik tehakse konkursi alusel, milles võivad osaleda riiklikud konsortsiumid, mida juhib koordineeriv juht, võttes arvesse ka eelnevat kaardistamist.</w:t>
      </w:r>
    </w:p>
    <w:p w14:paraId="2677BF71" w14:textId="50C832F2" w:rsidR="0084326C" w:rsidRPr="005D68A0" w:rsidRDefault="0084326C" w:rsidP="0084326C">
      <w:pPr>
        <w:spacing w:before="120" w:after="120"/>
        <w:jc w:val="both"/>
        <w:rPr>
          <w:rFonts w:eastAsia="Calibri"/>
          <w:noProof/>
          <w:color w:val="000000" w:themeColor="text1"/>
        </w:rPr>
      </w:pPr>
      <w:r>
        <w:rPr>
          <w:noProof/>
          <w:color w:val="000000" w:themeColor="text1"/>
        </w:rPr>
        <w:t>Iga riikliku keskuse põhielemendid on a) asjakohaste teadusrajatiste loomine ja uuendamine, b)</w:t>
      </w:r>
      <w:r w:rsidR="00EB4CA1">
        <w:rPr>
          <w:noProof/>
          <w:color w:val="000000" w:themeColor="text1"/>
        </w:rPr>
        <w:t> </w:t>
      </w:r>
      <w:r>
        <w:rPr>
          <w:noProof/>
          <w:color w:val="000000" w:themeColor="text1"/>
        </w:rPr>
        <w:t>erasektori osalejate kaasamine teadusprojektide rakendamisse ja rakendamisse, c) idufirmade ja kõrvaltootjate toetamine. Valik tuleks teha sihtotstarbeliste projektikonkursside kaudu, millest esimene algatatakse 2022. aasta alguseks. Projektikonkurssidel osalemise ettepanekute vahel tehakse valik Euroopa Innovatsiooninõukogus vastu võetud valikuga sarnasel viisil.</w:t>
      </w:r>
    </w:p>
    <w:p w14:paraId="5AF80633" w14:textId="77777777" w:rsidR="0084326C" w:rsidRPr="005D68A0" w:rsidRDefault="53DC5198" w:rsidP="0084326C">
      <w:pPr>
        <w:spacing w:before="120" w:after="120"/>
        <w:jc w:val="both"/>
        <w:rPr>
          <w:rFonts w:eastAsia="Calibri"/>
          <w:noProof/>
          <w:color w:val="000000" w:themeColor="text1"/>
        </w:rPr>
      </w:pPr>
      <w:r>
        <w:rPr>
          <w:noProof/>
          <w:color w:val="000000" w:themeColor="text1"/>
        </w:rPr>
        <w:t>Tagamaks, et meede vastab „ei kahjusta oluliselt“ tehnilistele suunistele (2021/C58/01), jäetakse tulevaste projektikonkursside juhendites sisalduvatest rahastamiskõlblikkuse kriteeriumidest välja järgmised tegevused: i) fossiilkütustega seotud tegevus, sealhulgas allkasutus tootmisahela järgmistes etappides</w:t>
      </w:r>
      <w:r w:rsidRPr="005D68A0">
        <w:rPr>
          <w:rStyle w:val="FootnoteReference"/>
          <w:noProof/>
          <w:color w:val="000000" w:themeColor="text1"/>
          <w:lang w:val="en-GB"/>
        </w:rPr>
        <w:footnoteReference w:id="88"/>
      </w:r>
      <w:r>
        <w:rPr>
          <w:noProof/>
          <w:color w:val="000000" w:themeColor="text1"/>
        </w:rPr>
        <w:t>; ii) ELi heitkogustega kauplemise süsteemi (HKS) raames toimuv tegevus, mille prognoositav kasvuhoonegaaside heide ei ole asjaomastest võrdlusalustest</w:t>
      </w:r>
      <w:r w:rsidRPr="005D68A0">
        <w:rPr>
          <w:rStyle w:val="FootnoteReference"/>
          <w:noProof/>
          <w:color w:val="000000" w:themeColor="text1"/>
          <w:lang w:val="en-GB"/>
        </w:rPr>
        <w:footnoteReference w:id="89"/>
      </w:r>
      <w:r>
        <w:rPr>
          <w:noProof/>
          <w:color w:val="000000" w:themeColor="text1"/>
        </w:rPr>
        <w:t xml:space="preserve"> madalam; iii) prügilate, jäätmepõletustehaste</w:t>
      </w:r>
      <w:r w:rsidRPr="005D68A0">
        <w:rPr>
          <w:rStyle w:val="FootnoteReference"/>
          <w:noProof/>
          <w:color w:val="000000" w:themeColor="text1"/>
          <w:lang w:val="en-GB"/>
        </w:rPr>
        <w:footnoteReference w:id="90"/>
      </w:r>
      <w:r>
        <w:rPr>
          <w:noProof/>
          <w:color w:val="000000" w:themeColor="text1"/>
        </w:rPr>
        <w:t xml:space="preserve"> ja mehhaanilis-bioloogilise töötlemise jaamadega</w:t>
      </w:r>
      <w:r w:rsidRPr="005D68A0">
        <w:rPr>
          <w:rStyle w:val="FootnoteReference"/>
          <w:noProof/>
          <w:color w:val="000000" w:themeColor="text1"/>
          <w:lang w:val="en-GB"/>
        </w:rPr>
        <w:footnoteReference w:id="91"/>
      </w:r>
      <w:r>
        <w:rPr>
          <w:noProof/>
          <w:color w:val="000000" w:themeColor="text1"/>
        </w:rPr>
        <w:t xml:space="preserve"> seotud tegevus; iv) tegevused, mille puhul jäätmete pikaajaline kõrvaldamine võib kahjustada keskkonda. Lisaks nõutakse pädevuses, et valituks osutuvad üksnes tegevused, mis vastavad asjakohastele ELi ja riiklikele keskkonnaalastele õigusaktidele.</w:t>
      </w:r>
    </w:p>
    <w:p w14:paraId="7812BC8C" w14:textId="77777777" w:rsidR="0084326C" w:rsidRPr="005D68A0" w:rsidRDefault="0084326C" w:rsidP="0084326C">
      <w:pPr>
        <w:spacing w:before="120" w:after="120"/>
        <w:jc w:val="both"/>
        <w:rPr>
          <w:rFonts w:eastAsia="Calibri"/>
          <w:b/>
          <w:bCs/>
          <w:noProof/>
          <w:color w:val="000000" w:themeColor="text1"/>
        </w:rPr>
      </w:pPr>
      <w:r>
        <w:rPr>
          <w:b/>
          <w:noProof/>
          <w:color w:val="000000" w:themeColor="text1"/>
        </w:rPr>
        <w:t xml:space="preserve">Investeering 1.5. „Innovatsiooni ökosüsteemide loomine ja tugevdamine jätkusuutlikkuse tagamiseks“, „teadus- ja arendustegevuse territoriaalsete liidrite“ ülesehitamine. </w:t>
      </w:r>
    </w:p>
    <w:p w14:paraId="01D847E4" w14:textId="77777777" w:rsidR="0084326C" w:rsidRPr="005D68A0" w:rsidRDefault="0084326C" w:rsidP="0084326C">
      <w:pPr>
        <w:spacing w:before="120" w:after="120"/>
        <w:jc w:val="both"/>
        <w:rPr>
          <w:rFonts w:eastAsia="Calibri"/>
          <w:noProof/>
          <w:color w:val="000000" w:themeColor="text1"/>
        </w:rPr>
      </w:pPr>
      <w:r>
        <w:rPr>
          <w:noProof/>
          <w:color w:val="000000" w:themeColor="text1"/>
        </w:rPr>
        <w:t>MURi rakendatava meetmega rahastatakse 2026. aastaks vähemalt kümmet (olemasolevat või uut) teadusuuringute ja innovatsiooni territoriaalset valimit, mis valitakse välja konkreetsete konkurentsimenetluste alusel, keskendudes suutlikkusele edendada sotsiaalse kestlikkuse projekte. Igal projektil peavad olema järgmised elemendid: a) uuenduslik koolitustegevus, mida viivad läbi ülikoolid ja ettevõtjad sünergias ning mille eesmärk on vähendada ettevõtetelt nõutavate oskuste ning ülikoolide ja tööstusdoktorantuuride pakutavate oskuste mittevastavust; b) teadustegevus ja/või teadustaristu, mida viivad ühiselt läbi territooriumil tegutsevad ülikoolid ja ettevõtted, eelkõige VKEd; c) idufirmade toetamine; d) kohalike kogukondade kaasamine innovatsiooni ja jätkusuutlikkuse küsimustes.</w:t>
      </w:r>
    </w:p>
    <w:p w14:paraId="614AA136" w14:textId="77777777" w:rsidR="0084326C" w:rsidRPr="005D68A0" w:rsidRDefault="0084326C" w:rsidP="0084326C">
      <w:pPr>
        <w:spacing w:before="120" w:after="120"/>
        <w:jc w:val="both"/>
        <w:rPr>
          <w:rFonts w:eastAsia="Calibri"/>
          <w:noProof/>
          <w:color w:val="000000" w:themeColor="text1"/>
        </w:rPr>
      </w:pPr>
      <w:r>
        <w:rPr>
          <w:noProof/>
          <w:color w:val="000000" w:themeColor="text1"/>
        </w:rPr>
        <w:t>Rahastatavad projektid valitakse järgmiste kriteeriumide alusel: i) teaduslik ja tehniline kvaliteet ning selle kooskõla territoriaalse orientatsiooniga; ii) tõhus suutlikkus stimuleerida ettevõtete, eelkõige VKEde innovatsioonisuutlikkust; iii) suutlikkus luua riiklikke ja rahvusvahelisi suhteid suurte teadusasutuste ja juhtivate ettevõtetega; iv) tõhus suutlikkus kaasata kohalikke kogukondi.</w:t>
      </w:r>
    </w:p>
    <w:p w14:paraId="071774FB" w14:textId="4E404A98" w:rsidR="0084326C" w:rsidRPr="005D68A0" w:rsidRDefault="53DC5198" w:rsidP="0084326C">
      <w:pPr>
        <w:spacing w:before="120" w:after="120"/>
        <w:jc w:val="both"/>
        <w:rPr>
          <w:rFonts w:eastAsiaTheme="minorEastAsia"/>
          <w:noProof/>
        </w:rPr>
      </w:pPr>
      <w:r>
        <w:rPr>
          <w:noProof/>
        </w:rPr>
        <w:t>Tagamaks, et meede vastab „ei kahjusta oluliselt“ tehnilistele suunistele (2021/C58/01), jäetakse tulevaste projektikonkursside juhendites sisalduvatest rahastamiskõlblikkuse kriteeriumidest välja järgmised tegevused: i) fossiilkütustega seotud tegevus, sealhulgas allkasutus tootmisahela järgmistes etappides</w:t>
      </w:r>
      <w:r w:rsidRPr="005D68A0">
        <w:rPr>
          <w:rStyle w:val="FootnoteReference"/>
          <w:noProof/>
          <w:lang w:val="en-GB"/>
        </w:rPr>
        <w:footnoteReference w:id="92"/>
      </w:r>
      <w:r>
        <w:rPr>
          <w:noProof/>
        </w:rPr>
        <w:t>; ii) ELi heitkogustega kauplemise süsteemi (HKS) raames toimuv tegevus, mille prognoositav kasvuhoonegaaside heide ei ole asjaomastest võrdlusalustest</w:t>
      </w:r>
      <w:r w:rsidRPr="005D68A0">
        <w:rPr>
          <w:rStyle w:val="FootnoteReference"/>
          <w:noProof/>
          <w:lang w:val="en-GB"/>
        </w:rPr>
        <w:footnoteReference w:id="93"/>
      </w:r>
      <w:r>
        <w:rPr>
          <w:noProof/>
        </w:rPr>
        <w:t xml:space="preserve"> madalam; iii) prügilate, jäätmepõletustehaste</w:t>
      </w:r>
      <w:r w:rsidRPr="005D68A0">
        <w:rPr>
          <w:rStyle w:val="FootnoteReference"/>
          <w:noProof/>
          <w:lang w:val="en-GB"/>
        </w:rPr>
        <w:footnoteReference w:id="94"/>
      </w:r>
      <w:r>
        <w:rPr>
          <w:noProof/>
        </w:rPr>
        <w:t xml:space="preserve"> ja mehhaanilis-bioloogilise töötlemise jaamadega</w:t>
      </w:r>
      <w:r w:rsidRPr="005D68A0">
        <w:rPr>
          <w:rStyle w:val="FootnoteReference"/>
          <w:noProof/>
          <w:lang w:val="en-GB"/>
        </w:rPr>
        <w:footnoteReference w:id="95"/>
      </w:r>
      <w:r>
        <w:rPr>
          <w:noProof/>
        </w:rPr>
        <w:t xml:space="preserve"> seotud tegevus; iv) tegevused, mille puhul jäätmete pikaajaline kõrvaldamine võib kahjustada keskkonda.</w:t>
      </w:r>
      <w:r w:rsidR="00EB4CA1">
        <w:rPr>
          <w:noProof/>
        </w:rPr>
        <w:t xml:space="preserve"> </w:t>
      </w:r>
      <w:r>
        <w:rPr>
          <w:noProof/>
        </w:rPr>
        <w:t>Lisaks nõutakse pädevuses, et valituks osutuvad üksnes tegevused, mis vastavad asjakohastele ELi ja riiklikele keskkonnaalastele õigusaktidele.</w:t>
      </w:r>
    </w:p>
    <w:p w14:paraId="29EF7BEE" w14:textId="77777777" w:rsidR="0084326C" w:rsidRPr="005D68A0" w:rsidRDefault="0084326C" w:rsidP="0084326C">
      <w:pPr>
        <w:spacing w:before="120" w:after="120"/>
        <w:jc w:val="both"/>
        <w:rPr>
          <w:rFonts w:eastAsia="Calibri"/>
          <w:b/>
          <w:bCs/>
          <w:iCs/>
          <w:noProof/>
        </w:rPr>
      </w:pPr>
      <w:r>
        <w:rPr>
          <w:b/>
          <w:noProof/>
        </w:rPr>
        <w:t>Investeering 2.1. Üleeuroopalist huvi pakkuvad tähtsad projektid</w:t>
      </w:r>
    </w:p>
    <w:p w14:paraId="63721C85" w14:textId="77777777" w:rsidR="0084326C" w:rsidRPr="005D68A0" w:rsidRDefault="0084326C" w:rsidP="0084326C">
      <w:pPr>
        <w:spacing w:before="120" w:after="120" w:line="288" w:lineRule="auto"/>
        <w:jc w:val="both"/>
        <w:rPr>
          <w:rFonts w:eastAsiaTheme="minorEastAsia"/>
          <w:noProof/>
        </w:rPr>
      </w:pPr>
      <w:r>
        <w:rPr>
          <w:noProof/>
        </w:rPr>
        <w:t>Meetme eesmärk on täiendada olemasolevat üleeuroopalist huvi pakkuvate projektide fondi, millele on osutatud 2020. aasta eelarveseaduse artikli 1 lõikes 232, lisavahenditega.</w:t>
      </w:r>
    </w:p>
    <w:p w14:paraId="2BBD09F6" w14:textId="77777777" w:rsidR="0084326C" w:rsidRPr="005D68A0" w:rsidRDefault="53DC5198" w:rsidP="0084326C">
      <w:pPr>
        <w:spacing w:before="120" w:after="120"/>
        <w:jc w:val="both"/>
        <w:rPr>
          <w:rFonts w:eastAsia="Calibri"/>
          <w:noProof/>
        </w:rPr>
      </w:pPr>
      <w:r>
        <w:rPr>
          <w:noProof/>
        </w:rPr>
        <w:t>Tagamaks, et meede vastab „ei kahjusta oluliselt“ tehnilistele suunistele (2021/C58/01), jäetakse tulevaste projektikonkursside juhendites sisalduvatest rahastamiskõlblikkuse kriteeriumidest välja järgmised tegevused: i) fossiilkütustega seotud tegevus, sealhulgas allkasutus tootmisahela järgmistes etappides</w:t>
      </w:r>
      <w:r w:rsidRPr="005D68A0">
        <w:rPr>
          <w:rStyle w:val="FootnoteReference"/>
          <w:noProof/>
          <w:lang w:val="en-GB"/>
        </w:rPr>
        <w:footnoteReference w:id="96"/>
      </w:r>
      <w:r>
        <w:rPr>
          <w:noProof/>
        </w:rPr>
        <w:t>; ii) ELi heitkogustega kauplemise süsteemi (HKS) raames toimuv tegevus, mille prognoositav kasvuhoonegaaside heide ei ole asjaomastest võrdlusalustest</w:t>
      </w:r>
      <w:r w:rsidRPr="005D68A0">
        <w:rPr>
          <w:rStyle w:val="FootnoteReference"/>
          <w:noProof/>
          <w:lang w:val="en-GB"/>
        </w:rPr>
        <w:footnoteReference w:id="97"/>
      </w:r>
      <w:r>
        <w:rPr>
          <w:noProof/>
        </w:rPr>
        <w:t xml:space="preserve"> madalam; iii) prügilate, jäätmepõletustehaste</w:t>
      </w:r>
      <w:r w:rsidRPr="005D68A0">
        <w:rPr>
          <w:rStyle w:val="FootnoteReference"/>
          <w:noProof/>
          <w:lang w:val="en-GB"/>
        </w:rPr>
        <w:footnoteReference w:id="98"/>
      </w:r>
      <w:r>
        <w:rPr>
          <w:noProof/>
        </w:rPr>
        <w:t xml:space="preserve"> ja mehhaanilis-bioloogilise töötlemise jaamadega</w:t>
      </w:r>
      <w:r w:rsidRPr="005D68A0">
        <w:rPr>
          <w:rStyle w:val="FootnoteReference"/>
          <w:noProof/>
          <w:lang w:val="en-GB"/>
        </w:rPr>
        <w:footnoteReference w:id="99"/>
      </w:r>
      <w:r>
        <w:rPr>
          <w:noProof/>
        </w:rPr>
        <w:t xml:space="preserve"> seotud tegevus; iv) tegevused, mille puhul jäätmete pikaajaline kõrvaldamine võib kahjustada keskkonda. Lisaks nõutakse pädevuses, et valituks osutuvad üksnes tegevused, mis vastavad asjakohastele ELi ja riiklikele keskkonnaalastele õigusaktidele.</w:t>
      </w:r>
    </w:p>
    <w:p w14:paraId="0E33EE93" w14:textId="77777777" w:rsidR="0084326C" w:rsidRPr="005D68A0" w:rsidRDefault="0084326C" w:rsidP="0084326C">
      <w:pPr>
        <w:spacing w:before="120" w:after="120"/>
        <w:jc w:val="both"/>
        <w:rPr>
          <w:rFonts w:eastAsia="Calibri"/>
          <w:b/>
          <w:noProof/>
        </w:rPr>
      </w:pPr>
      <w:r>
        <w:rPr>
          <w:b/>
          <w:noProof/>
        </w:rPr>
        <w:t>Investeering 2.3. Tehnosiirdekeskuste tugevdamine ja valdkondlik/territoriaalne laiendamine tööstussektorite kaupa</w:t>
      </w:r>
    </w:p>
    <w:p w14:paraId="79542676" w14:textId="77777777" w:rsidR="0084326C" w:rsidRPr="005D68A0" w:rsidRDefault="0084326C" w:rsidP="0084326C">
      <w:pPr>
        <w:spacing w:before="120" w:after="120"/>
        <w:jc w:val="both"/>
        <w:rPr>
          <w:rFonts w:eastAsia="Calibri"/>
          <w:noProof/>
        </w:rPr>
      </w:pPr>
      <w:r>
        <w:rPr>
          <w:noProof/>
        </w:rPr>
        <w:t xml:space="preserve">MiMIT-ettevõtete ministeeriumi ja Made poolt Itaalias rakendatava meetme eesmärk on muu hulgas reorganiseerimise ja ratsionaliseerimise kaudu toetada 50 keskuse (pädevuskeskused, Euroopa digitaalse innovatsiooni keskus, kvaliteedimärgis, testimis- ja eksperimentatsioonirahastu, riiklikud digitaalse innovatsiooni keskused) võrgustikku, mis vastutavad projektide arendamise, ettevõtetele kõrgtehnoloogiliste teenuste osutamise ning uuenduslike ja kvalifitseeruvate tehnosiirdeteenuste eest. Meetmega taotletava keskuste lihtsustamise ja ratsionaliseerimise protsessi eesmärk on suurendada kõrgtehnoloogilisi teenuseid ettevõtetele, keskendudes tipptasemel tootmistehnoloogiale ja spetsialiseerumisele. </w:t>
      </w:r>
    </w:p>
    <w:p w14:paraId="2C546B63" w14:textId="460EC513" w:rsidR="0084326C" w:rsidRPr="005D68A0" w:rsidRDefault="0084326C" w:rsidP="0084326C">
      <w:pPr>
        <w:spacing w:before="120" w:after="120"/>
        <w:jc w:val="both"/>
        <w:rPr>
          <w:rFonts w:eastAsia="Calibri"/>
          <w:noProof/>
        </w:rPr>
      </w:pPr>
      <w:r>
        <w:rPr>
          <w:noProof/>
        </w:rPr>
        <w:t>Keskuste osutatavad teenused hõlmavad järgmist: i) digitaalne hindamine, ii) enne investeerimist testimine, iii) koolitus; iv) juurdepääs rahastamisvõimalustele; v) rahaline ja tegevustoetus innovatsiooniprojektide arendamiseks (tehnoloogia valmisoleku tase on üle 5); vi) tehnoloogiline vahendamine; ning vii) teadlikkuse suurendamine kohalikul tasandil.</w:t>
      </w:r>
    </w:p>
    <w:p w14:paraId="3DA88BCF" w14:textId="77777777" w:rsidR="0084326C" w:rsidRPr="005D68A0" w:rsidRDefault="0084326C" w:rsidP="0084326C">
      <w:pPr>
        <w:spacing w:before="120" w:after="120"/>
        <w:jc w:val="both"/>
        <w:rPr>
          <w:rFonts w:eastAsia="Calibri"/>
          <w:noProof/>
        </w:rPr>
      </w:pPr>
      <w:r>
        <w:rPr>
          <w:noProof/>
        </w:rPr>
        <w:t xml:space="preserve">Euroopa digitaalse innovatsiooni keskust ja TEFi võidakse oma tegevuse elluviimiseks rahastada muudest ELi fondidest, sealhulgas programmist „Digitaalne Euroopa“. </w:t>
      </w:r>
    </w:p>
    <w:p w14:paraId="06084BAF" w14:textId="77777777" w:rsidR="0084326C" w:rsidRPr="005D68A0" w:rsidRDefault="0084326C" w:rsidP="0084326C">
      <w:pPr>
        <w:spacing w:before="120" w:after="120"/>
        <w:jc w:val="both"/>
        <w:rPr>
          <w:rFonts w:eastAsia="Calibri"/>
          <w:noProof/>
        </w:rPr>
      </w:pPr>
      <w:r>
        <w:rPr>
          <w:noProof/>
        </w:rPr>
        <w:t>Investeering koosneb kahest sekkumisliinist:</w:t>
      </w:r>
    </w:p>
    <w:p w14:paraId="074C36FE" w14:textId="77777777" w:rsidR="0084326C" w:rsidRPr="005D68A0" w:rsidRDefault="0084326C" w:rsidP="0084326C">
      <w:pPr>
        <w:spacing w:before="120" w:after="120"/>
        <w:jc w:val="both"/>
        <w:rPr>
          <w:rFonts w:eastAsia="Calibri"/>
          <w:noProof/>
        </w:rPr>
      </w:pPr>
      <w:r>
        <w:rPr>
          <w:noProof/>
        </w:rPr>
        <w:t xml:space="preserve">Esimese eelarverea raames rahastatakse taaste- ja vastupidavusrahastust üksnes 35 keskust ilma muudest ELi allikatest toetuseta. </w:t>
      </w:r>
    </w:p>
    <w:p w14:paraId="11E66D84" w14:textId="77777777" w:rsidR="0084326C" w:rsidRPr="005D68A0" w:rsidRDefault="53DC5198" w:rsidP="0084326C">
      <w:pPr>
        <w:spacing w:before="120" w:after="120"/>
        <w:jc w:val="both"/>
        <w:rPr>
          <w:rFonts w:eastAsia="Calibri"/>
          <w:noProof/>
        </w:rPr>
      </w:pPr>
      <w:r>
        <w:rPr>
          <w:noProof/>
        </w:rPr>
        <w:t>Teise eelarverea raames rahastatakse taaste- ja vastupidavusrahastust osa 13 Euroopa digitaalse innovatsiooni keskusest ning kahest katse- ja eksperimenteerimisrajatisest (TEF), millest teine osa tuleb programmist „Digitaalne Euroopa“. Eelkõige struktureeritakse 13 Euroopa digitaalse innovatsiooni keskuse ja kahe TEFi tegevus, mida rahastatakse taaste- ja vastupidavusrahastust ning programmist „Digitaalne Euroopa“, tööpakettideks</w:t>
      </w:r>
      <w:r w:rsidRPr="005D68A0">
        <w:rPr>
          <w:rStyle w:val="FootnoteReference"/>
          <w:noProof/>
          <w:color w:val="000000" w:themeColor="text1"/>
          <w:lang w:val="en-GB"/>
        </w:rPr>
        <w:footnoteReference w:id="100"/>
      </w:r>
      <w:r>
        <w:rPr>
          <w:noProof/>
        </w:rPr>
        <w:t>.</w:t>
      </w:r>
      <w:r>
        <w:rPr>
          <w:noProof/>
          <w:color w:val="000000" w:themeColor="text1"/>
        </w:rPr>
        <w:t xml:space="preserve"> Taaste- ja vastupidavusrahastu toetus ei hõlma tööpakette, mille jaoks Euroopa digitaalse innovatsiooni keskus ja TEF saavad toetust programmi „Digitaalne Euroopa“ raames.</w:t>
      </w:r>
    </w:p>
    <w:p w14:paraId="5004201E" w14:textId="77777777" w:rsidR="0084326C" w:rsidRPr="005D68A0" w:rsidRDefault="53DC5198" w:rsidP="0084326C">
      <w:pPr>
        <w:spacing w:before="120" w:after="120"/>
        <w:jc w:val="both"/>
        <w:rPr>
          <w:noProof/>
          <w:color w:val="000000" w:themeColor="text1"/>
        </w:rPr>
      </w:pPr>
      <w:r>
        <w:rPr>
          <w:noProof/>
          <w:color w:val="000000" w:themeColor="text1"/>
        </w:rPr>
        <w:t>Tagamaks, et meede vastab „ei kahjusta oluliselt“ tehnilistele suunistele (2021/C58/01), jäetakse tulevaste projektikonkursside juhendites sisalduvatest rahastamiskõlblikkuse kriteeriumidest välja järgmised tegevused: i) fossiilkütustega seotud tegevus, sealhulgas allkasutus tootmisahela järgmistes etappides</w:t>
      </w:r>
      <w:r w:rsidRPr="005D68A0">
        <w:rPr>
          <w:noProof/>
          <w:color w:val="000000" w:themeColor="text1"/>
          <w:vertAlign w:val="superscript"/>
          <w:lang w:val="en-GB"/>
        </w:rPr>
        <w:footnoteReference w:id="101"/>
      </w:r>
      <w:r>
        <w:rPr>
          <w:noProof/>
          <w:color w:val="000000" w:themeColor="text1"/>
        </w:rPr>
        <w:t>; ii) ELi heitkogustega kauplemise süsteemi (HKS) raames toimuv tegevus, mille prognoositav kasvuhoonegaaside heide ei ole asjaomastest võrdlusalustest</w:t>
      </w:r>
      <w:r w:rsidRPr="005D68A0">
        <w:rPr>
          <w:noProof/>
          <w:color w:val="000000" w:themeColor="text1"/>
          <w:vertAlign w:val="superscript"/>
          <w:lang w:val="en-GB"/>
        </w:rPr>
        <w:footnoteReference w:id="102"/>
      </w:r>
      <w:r>
        <w:rPr>
          <w:noProof/>
          <w:color w:val="000000" w:themeColor="text1"/>
        </w:rPr>
        <w:t xml:space="preserve"> madalam; iii) prügilate, jäätmepõletustehaste</w:t>
      </w:r>
      <w:r w:rsidRPr="005D68A0">
        <w:rPr>
          <w:noProof/>
          <w:color w:val="000000" w:themeColor="text1"/>
          <w:vertAlign w:val="superscript"/>
          <w:lang w:val="en-GB"/>
        </w:rPr>
        <w:footnoteReference w:id="103"/>
      </w:r>
      <w:r>
        <w:rPr>
          <w:noProof/>
          <w:color w:val="000000" w:themeColor="text1"/>
        </w:rPr>
        <w:t xml:space="preserve"> ja mehhaanilis-bioloogilise töötlemise jaamadega</w:t>
      </w:r>
      <w:r w:rsidRPr="005D68A0">
        <w:rPr>
          <w:noProof/>
          <w:color w:val="000000" w:themeColor="text1"/>
          <w:vertAlign w:val="superscript"/>
          <w:lang w:val="en-GB"/>
        </w:rPr>
        <w:footnoteReference w:id="104"/>
      </w:r>
      <w:r>
        <w:rPr>
          <w:noProof/>
          <w:color w:val="000000" w:themeColor="text1"/>
        </w:rPr>
        <w:t xml:space="preserve"> seotud tegevus; iv) tegevused, mille puhul jäätmete pikaajaline kõrvaldamine võib kahjustada keskkonda. Lisaks tuleb juhendites nõuda, et valida võib ainult tegevust, mis vastab asjakohastele ELi ja riiklikele keskkonnaalastele õigusaktidele.</w:t>
      </w:r>
    </w:p>
    <w:p w14:paraId="4950FD75" w14:textId="77777777" w:rsidR="0084326C" w:rsidRPr="005D68A0" w:rsidRDefault="0084326C" w:rsidP="0084326C">
      <w:pPr>
        <w:spacing w:before="120" w:after="120" w:line="288" w:lineRule="auto"/>
        <w:jc w:val="both"/>
        <w:rPr>
          <w:rFonts w:eastAsia="Calibri"/>
          <w:b/>
          <w:bCs/>
          <w:noProof/>
        </w:rPr>
      </w:pPr>
      <w:r>
        <w:rPr>
          <w:b/>
          <w:noProof/>
        </w:rPr>
        <w:t>Investeering 3.1. Teadusuuringute ja innovatsiooni infrastruktuuride integreeritud süsteemi loomise fond</w:t>
      </w:r>
    </w:p>
    <w:p w14:paraId="4318542F" w14:textId="77777777" w:rsidR="0084326C" w:rsidRPr="005D68A0" w:rsidRDefault="0084326C" w:rsidP="0084326C">
      <w:pPr>
        <w:spacing w:before="120" w:after="120"/>
        <w:jc w:val="both"/>
        <w:rPr>
          <w:rFonts w:eastAsia="Calibri"/>
          <w:noProof/>
        </w:rPr>
      </w:pPr>
      <w:r>
        <w:rPr>
          <w:noProof/>
        </w:rPr>
        <w:t>Fondi eesmärk on soodustada osmoosi kvaliteetsetes teadustaristutes loodud teaduslike teadmiste ja majandussektori vahel, edendades innovatsiooni. Selleks toetab meede, mida rakendab ülikoolide ja teadusuuringute ministeerium (MUR), tööstust ja akadeemilisi ringkondi ühendavate teadus- ja innovatsioonitaristute loomist. Ehitus- ja teadusuuringute infrastruktuuri fond toetab üleeuroopalise tähtsusega teadustaristute ja sihtotstarbeliste innovatsioonitaristute loomist või tugevdamist konkurentsi alusel, edendades avaliku ja erasektori investeeringute kombineerimist.</w:t>
      </w:r>
    </w:p>
    <w:p w14:paraId="17627162" w14:textId="77777777" w:rsidR="0084326C" w:rsidRPr="005D68A0" w:rsidRDefault="0084326C" w:rsidP="0084326C">
      <w:pPr>
        <w:spacing w:before="120" w:after="120"/>
        <w:jc w:val="both"/>
        <w:rPr>
          <w:rFonts w:eastAsia="Calibri"/>
          <w:noProof/>
        </w:rPr>
      </w:pPr>
      <w:r>
        <w:rPr>
          <w:noProof/>
        </w:rPr>
        <w:t>Eelkõige rahastatakse meetmega vähemalt 30 (olemasolevat või hiljuti rahastatud) taristuprojekti koos teadusettevõtjaga iga infrastruktuuri kohta.</w:t>
      </w:r>
    </w:p>
    <w:p w14:paraId="36A47C11" w14:textId="77777777" w:rsidR="0084326C" w:rsidRPr="005D68A0" w:rsidRDefault="53DC5198" w:rsidP="0084326C">
      <w:pPr>
        <w:spacing w:before="120" w:after="120"/>
        <w:jc w:val="both"/>
        <w:rPr>
          <w:noProof/>
          <w:color w:val="000000" w:themeColor="text1"/>
        </w:rPr>
      </w:pPr>
      <w:r>
        <w:rPr>
          <w:noProof/>
        </w:rPr>
        <w:t>Tagamaks, et meede vastab „ei kahjusta oluliselt“ tehnilistele suunistele (2021/C58/01), jäetakse tulevaste projektikonkursside juhendites sisalduvatest rahastamiskõlblikkuse kriteeriumidest välja järgmised tegevused: i) fossiilkütustega seotud tegevus, sealhulgas allkasutus tootmisahela järgmistes etappides</w:t>
      </w:r>
      <w:r w:rsidRPr="005D68A0">
        <w:rPr>
          <w:rStyle w:val="FootnoteReference"/>
          <w:noProof/>
          <w:lang w:val="en-GB"/>
        </w:rPr>
        <w:footnoteReference w:id="105"/>
      </w:r>
      <w:r>
        <w:rPr>
          <w:noProof/>
        </w:rPr>
        <w:t>; ii) ELi heitkogustega kauplemise süsteemi (HKS) raames toimuv tegevus, mille prognoositav kasvuhoonegaaside heide ei ole asjaomastest võrdlusalustest</w:t>
      </w:r>
      <w:r w:rsidRPr="005D68A0">
        <w:rPr>
          <w:rStyle w:val="FootnoteReference"/>
          <w:noProof/>
          <w:lang w:val="en-GB"/>
        </w:rPr>
        <w:footnoteReference w:id="106"/>
      </w:r>
      <w:r>
        <w:rPr>
          <w:noProof/>
        </w:rPr>
        <w:t xml:space="preserve"> madalam; iii) prügilate, jäätmepõletustehaste</w:t>
      </w:r>
      <w:r w:rsidRPr="005D68A0">
        <w:rPr>
          <w:rStyle w:val="FootnoteReference"/>
          <w:noProof/>
          <w:lang w:val="en-GB"/>
        </w:rPr>
        <w:footnoteReference w:id="107"/>
      </w:r>
      <w:r>
        <w:rPr>
          <w:noProof/>
        </w:rPr>
        <w:t xml:space="preserve"> ja mehhaanilis-bioloogilise töötlemise jaamadega</w:t>
      </w:r>
      <w:r w:rsidRPr="005D68A0">
        <w:rPr>
          <w:rStyle w:val="FootnoteReference"/>
          <w:noProof/>
          <w:lang w:val="en-GB"/>
        </w:rPr>
        <w:footnoteReference w:id="108"/>
      </w:r>
      <w:r>
        <w:rPr>
          <w:noProof/>
        </w:rPr>
        <w:t xml:space="preserve"> seotud tegevus; iv) tegevused, mille puhul jäätmete pikaajaline kõrvaldamine võib kahjustada keskkonda. Lisaks nõutakse pädevuses, et valituks osutuvad üksnes tegevused, mis vastavad asjakohastele ELi ja riiklikele keskkonnaalastele õigusaktidele.</w:t>
      </w:r>
    </w:p>
    <w:p w14:paraId="5F386C3E" w14:textId="517CED59" w:rsidR="0084326C" w:rsidRPr="005D68A0" w:rsidRDefault="0084326C" w:rsidP="0084326C">
      <w:pPr>
        <w:spacing w:after="120"/>
        <w:jc w:val="both"/>
        <w:rPr>
          <w:b/>
          <w:bCs/>
          <w:noProof/>
          <w:u w:val="single"/>
        </w:rPr>
      </w:pPr>
      <w:r>
        <w:rPr>
          <w:b/>
          <w:noProof/>
          <w:u w:val="single"/>
        </w:rPr>
        <w:t>Investeering 3.2. Idufirmade rahastamine, digiülemineku fond</w:t>
      </w:r>
    </w:p>
    <w:p w14:paraId="129D7F16" w14:textId="596B0AC3" w:rsidR="0084326C" w:rsidRPr="005D68A0" w:rsidRDefault="0084326C" w:rsidP="0084326C">
      <w:pPr>
        <w:spacing w:after="120"/>
        <w:jc w:val="both"/>
        <w:rPr>
          <w:noProof/>
        </w:rPr>
      </w:pPr>
      <w:r>
        <w:rPr>
          <w:noProof/>
        </w:rPr>
        <w:t>See meede koosneb avaliku sektori investeeringutest rahastusse ehk digiülemineku fondi, et stimuleerida erainvesteeringuid, parandada juurdepääsu rahastamisele Itaalia digitaalsete idufirmade ökosüsteemis ja arendada selles sektoris riskikapitaliturgu. Rahastu tegutseb otse või kaudselt omakapitali- või kvaasiomakapitali toetuse andmise kaudu. Eelkõige otseinvesteeringute puhul pakub DTF idufirmadele omakapitali- või kvaasiomakapitali (nagu konverteeritavad võlakirjad) toetust; kaudsete investeeringute korral tegutseb SGR, rahastades kolmandate isikute fonde (AIF – alternatiivne investeerimisfond), mis pakuvad omakapitali või kvaasiomakapitali, võla- või kvaasivõlainstrumente. Taaste- ja vastupidavusrahastu investeeringute põhjal on rahastu eesmärk esialgu eraldada vähemalt 400 000 000 eurot.</w:t>
      </w:r>
    </w:p>
    <w:p w14:paraId="3F212C6F" w14:textId="77777777" w:rsidR="0084326C" w:rsidRPr="005D68A0" w:rsidRDefault="0084326C" w:rsidP="0084326C">
      <w:pPr>
        <w:spacing w:after="120"/>
        <w:jc w:val="both"/>
        <w:rPr>
          <w:noProof/>
        </w:rPr>
      </w:pPr>
      <w:r>
        <w:rPr>
          <w:noProof/>
        </w:rPr>
        <w:t>Rahastut haldab rakenduspartnerina CDP riskikapitali SGR. DTFi kestus on 15 aastat, et see vastaks kolmandate isikute rahaliste vahendite kestusele, ning ta investeerib järgmistesse tooteliinidesse:</w:t>
      </w:r>
    </w:p>
    <w:p w14:paraId="76B27610" w14:textId="77777777" w:rsidR="0084326C" w:rsidRPr="005D68A0" w:rsidRDefault="0084326C" w:rsidP="0084326C">
      <w:pPr>
        <w:pStyle w:val="ListParagraph"/>
        <w:numPr>
          <w:ilvl w:val="0"/>
          <w:numId w:val="52"/>
        </w:numPr>
        <w:spacing w:before="0"/>
        <w:contextualSpacing w:val="0"/>
        <w:rPr>
          <w:noProof/>
        </w:rPr>
      </w:pPr>
      <w:r>
        <w:rPr>
          <w:noProof/>
        </w:rPr>
        <w:t>Omakapitali või kvaasiomakapitali toetus digitaalsetele idufirmadele (otseselt);</w:t>
      </w:r>
    </w:p>
    <w:p w14:paraId="3768388D" w14:textId="77777777" w:rsidR="0084326C" w:rsidRPr="005D68A0" w:rsidRDefault="0084326C" w:rsidP="0084326C">
      <w:pPr>
        <w:pStyle w:val="ListParagraph"/>
        <w:numPr>
          <w:ilvl w:val="0"/>
          <w:numId w:val="52"/>
        </w:numPr>
        <w:spacing w:before="0"/>
        <w:contextualSpacing w:val="0"/>
        <w:rPr>
          <w:noProof/>
        </w:rPr>
      </w:pPr>
      <w:r>
        <w:rPr>
          <w:noProof/>
        </w:rPr>
        <w:t>Omakapitali- või kvaasiomakapitali toetus riskikapitalifondidele/börsivälistesse ettevõtetesse investeerivatele fondidele (kaudne);</w:t>
      </w:r>
    </w:p>
    <w:p w14:paraId="344E5310" w14:textId="77777777" w:rsidR="0084326C" w:rsidRPr="005D68A0" w:rsidRDefault="0084326C" w:rsidP="0084326C">
      <w:pPr>
        <w:pStyle w:val="ListParagraph"/>
        <w:numPr>
          <w:ilvl w:val="0"/>
          <w:numId w:val="52"/>
        </w:numPr>
        <w:spacing w:before="0"/>
        <w:contextualSpacing w:val="0"/>
        <w:rPr>
          <w:noProof/>
        </w:rPr>
      </w:pPr>
      <w:r>
        <w:rPr>
          <w:noProof/>
        </w:rPr>
        <w:t>Toetus omakapitali ja kvaasiomakapitali kaudu inkubatsiooni-/kiirendusprogrammide rahastamiseks.</w:t>
      </w:r>
    </w:p>
    <w:p w14:paraId="3BD55E7C" w14:textId="77777777" w:rsidR="0084326C" w:rsidRPr="005D68A0" w:rsidRDefault="0084326C" w:rsidP="0084326C">
      <w:pPr>
        <w:spacing w:after="120"/>
        <w:jc w:val="both"/>
        <w:rPr>
          <w:noProof/>
        </w:rPr>
      </w:pPr>
      <w:r>
        <w:rPr>
          <w:noProof/>
        </w:rPr>
        <w:t>MIMIT ja SGR muudavad tegelikku rakenduskokkulepet („Accordo Finanziario“) ja DTFi eeskirju, et lisada järgmised sätted:</w:t>
      </w:r>
    </w:p>
    <w:p w14:paraId="03969471" w14:textId="77777777" w:rsidR="0084326C" w:rsidRPr="005D68A0" w:rsidRDefault="53DC5198" w:rsidP="0084326C">
      <w:pPr>
        <w:pStyle w:val="LegalNumPar"/>
        <w:numPr>
          <w:ilvl w:val="0"/>
          <w:numId w:val="31"/>
        </w:num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Rahastu otsustusprotsessi kirjeldus: rahastu lõpliku investeerimisotsuse teeb juhatus või muu samaväärne juhtorgan ning see kiidetakse heaks valitsusest sõltumatute liikmete häälteenamusega</w:t>
      </w:r>
      <w:r w:rsidRPr="005D68A0">
        <w:rPr>
          <w:rStyle w:val="FootnoteReference"/>
          <w:noProof/>
          <w:lang w:val="en-GB"/>
        </w:rPr>
        <w:footnoteReference w:id="109"/>
      </w:r>
      <w:r>
        <w:rPr>
          <w:rFonts w:ascii="Times New Roman" w:hAnsi="Times New Roman"/>
          <w:noProof/>
          <w:sz w:val="24"/>
        </w:rPr>
        <w:t>.</w:t>
      </w:r>
    </w:p>
    <w:p w14:paraId="42C95AEA" w14:textId="77777777" w:rsidR="0084326C" w:rsidRPr="005D68A0" w:rsidRDefault="0084326C" w:rsidP="0084326C">
      <w:pPr>
        <w:pStyle w:val="LegalNumPar"/>
        <w:spacing w:after="120" w:line="240" w:lineRule="auto"/>
        <w:jc w:val="both"/>
        <w:rPr>
          <w:rFonts w:ascii="Times New Roman" w:hAnsi="Times New Roman" w:cs="Times New Roman"/>
          <w:noProof/>
          <w:sz w:val="24"/>
          <w:szCs w:val="24"/>
        </w:rPr>
      </w:pPr>
      <w:r>
        <w:rPr>
          <w:rFonts w:ascii="Times New Roman" w:hAnsi="Times New Roman"/>
          <w:noProof/>
          <w:sz w:val="24"/>
        </w:rPr>
        <w:t>Seotud investeerimispoliitika põhinõuded, mis hõlmavad järgmist:</w:t>
      </w:r>
    </w:p>
    <w:p w14:paraId="41B18EC3" w14:textId="77777777" w:rsidR="0084326C" w:rsidRPr="005D68A0" w:rsidRDefault="0084326C" w:rsidP="0084326C">
      <w:pPr>
        <w:pStyle w:val="LegalNumPar2"/>
        <w:spacing w:after="120" w:line="240" w:lineRule="auto"/>
        <w:jc w:val="both"/>
        <w:rPr>
          <w:rFonts w:ascii="Times New Roman" w:hAnsi="Times New Roman" w:cs="Times New Roman"/>
          <w:noProof/>
          <w:sz w:val="24"/>
          <w:szCs w:val="24"/>
        </w:rPr>
      </w:pPr>
      <w:r>
        <w:rPr>
          <w:rFonts w:ascii="Times New Roman" w:hAnsi="Times New Roman"/>
          <w:noProof/>
          <w:sz w:val="24"/>
        </w:rPr>
        <w:t xml:space="preserve">Finantstoodete ja rahastamiskõlblike lõplike toetusesaajate kirjeldus. </w:t>
      </w:r>
    </w:p>
    <w:p w14:paraId="53BE9AD1" w14:textId="77777777" w:rsidR="0084326C" w:rsidRPr="005D68A0" w:rsidRDefault="0084326C" w:rsidP="0084326C">
      <w:pPr>
        <w:pStyle w:val="LegalNumPar2"/>
        <w:spacing w:after="120" w:line="240" w:lineRule="auto"/>
        <w:jc w:val="both"/>
        <w:rPr>
          <w:rFonts w:ascii="Times New Roman" w:hAnsi="Times New Roman" w:cs="Times New Roman"/>
          <w:noProof/>
          <w:sz w:val="24"/>
          <w:szCs w:val="24"/>
        </w:rPr>
      </w:pPr>
      <w:r>
        <w:rPr>
          <w:rFonts w:ascii="Times New Roman" w:hAnsi="Times New Roman"/>
          <w:noProof/>
          <w:sz w:val="24"/>
        </w:rPr>
        <w:t>Nõue, et kõik toetatavad investeeringud on majanduslikult elujõulised.</w:t>
      </w:r>
    </w:p>
    <w:p w14:paraId="524624CF" w14:textId="60D70787" w:rsidR="0084326C" w:rsidRPr="005D68A0" w:rsidRDefault="53DC5198" w:rsidP="0084326C">
      <w:pPr>
        <w:pStyle w:val="LegalNumPar2"/>
        <w:numPr>
          <w:ilvl w:val="0"/>
          <w:numId w:val="0"/>
        </w:num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Nõue järgida olulise kahju ärahoidmise põhimõtet, nagu on sätestatud põhimõtte „ei kahjusta oluliselt“ tehnilistes suunistes (2021/C58/01). Idufirmadele antava üldise toetuse korral jäetakse investeerimispoliitikast välja äriühingud, mis keskenduvad</w:t>
      </w:r>
      <w:r w:rsidRPr="005D68A0">
        <w:rPr>
          <w:rFonts w:ascii="Times New Roman" w:eastAsia="Times New Roman" w:hAnsi="Times New Roman" w:cs="Times New Roman"/>
          <w:noProof/>
          <w:sz w:val="24"/>
          <w:szCs w:val="24"/>
          <w:vertAlign w:val="superscript"/>
          <w:lang w:val="en-GB"/>
        </w:rPr>
        <w:footnoteReference w:id="110"/>
      </w:r>
      <w:r>
        <w:rPr>
          <w:rFonts w:ascii="Times New Roman" w:hAnsi="Times New Roman"/>
          <w:noProof/>
          <w:sz w:val="24"/>
        </w:rPr>
        <w:t xml:space="preserve"> olulisel määral järgmistele sektoritele: i) fossiilkütustel põhinev energiatootmine ja sellega seotud tegevus</w:t>
      </w:r>
      <w:r w:rsidRPr="005D68A0">
        <w:rPr>
          <w:rFonts w:ascii="Times New Roman" w:eastAsia="Times New Roman" w:hAnsi="Times New Roman" w:cs="Times New Roman"/>
          <w:noProof/>
          <w:sz w:val="24"/>
          <w:szCs w:val="24"/>
          <w:vertAlign w:val="superscript"/>
          <w:lang w:val="en-GB"/>
        </w:rPr>
        <w:footnoteReference w:id="111"/>
      </w:r>
      <w:r>
        <w:rPr>
          <w:rFonts w:ascii="Times New Roman" w:hAnsi="Times New Roman"/>
          <w:noProof/>
          <w:sz w:val="24"/>
        </w:rPr>
        <w:t>; ii) energiamahukad ja/või suure CO</w:t>
      </w:r>
      <w:r>
        <w:rPr>
          <w:rFonts w:ascii="Times New Roman" w:hAnsi="Times New Roman"/>
          <w:noProof/>
          <w:sz w:val="24"/>
          <w:vertAlign w:val="subscript"/>
        </w:rPr>
        <w:t>2</w:t>
      </w:r>
      <w:r>
        <w:rPr>
          <w:rFonts w:ascii="Times New Roman" w:hAnsi="Times New Roman"/>
          <w:noProof/>
          <w:sz w:val="24"/>
        </w:rPr>
        <w:t xml:space="preserve"> heitega tööstusharud</w:t>
      </w:r>
      <w:r w:rsidRPr="005D68A0">
        <w:rPr>
          <w:rFonts w:ascii="Times New Roman" w:eastAsia="Times New Roman" w:hAnsi="Times New Roman" w:cs="Times New Roman"/>
          <w:noProof/>
          <w:sz w:val="24"/>
          <w:szCs w:val="24"/>
          <w:vertAlign w:val="superscript"/>
          <w:lang w:val="en-GB"/>
        </w:rPr>
        <w:footnoteReference w:id="112"/>
      </w:r>
      <w:r>
        <w:rPr>
          <w:rFonts w:ascii="Times New Roman" w:hAnsi="Times New Roman"/>
          <w:noProof/>
          <w:sz w:val="24"/>
        </w:rPr>
        <w:t>; iii) saastavate sõidukite tootmine, rentimine või müük</w:t>
      </w:r>
      <w:r w:rsidRPr="005D68A0">
        <w:rPr>
          <w:rFonts w:ascii="Times New Roman" w:eastAsia="Times New Roman" w:hAnsi="Times New Roman" w:cs="Times New Roman"/>
          <w:noProof/>
          <w:sz w:val="24"/>
          <w:szCs w:val="24"/>
          <w:vertAlign w:val="superscript"/>
          <w:lang w:val="en-GB"/>
        </w:rPr>
        <w:footnoteReference w:id="113"/>
      </w:r>
      <w:r>
        <w:rPr>
          <w:rFonts w:ascii="Times New Roman" w:hAnsi="Times New Roman"/>
          <w:noProof/>
          <w:sz w:val="24"/>
        </w:rPr>
        <w:t>; iv)</w:t>
      </w:r>
      <w:r w:rsidR="00EB4CA1">
        <w:rPr>
          <w:rFonts w:ascii="Times New Roman" w:hAnsi="Times New Roman"/>
          <w:noProof/>
          <w:sz w:val="24"/>
        </w:rPr>
        <w:t> </w:t>
      </w:r>
      <w:r>
        <w:rPr>
          <w:rFonts w:ascii="Times New Roman" w:hAnsi="Times New Roman"/>
          <w:noProof/>
          <w:sz w:val="24"/>
        </w:rPr>
        <w:t>jäätmete kogumine, töötlemine ja kõrvaldamine,</w:t>
      </w:r>
      <w:r w:rsidRPr="005D68A0">
        <w:rPr>
          <w:rFonts w:ascii="Times New Roman" w:eastAsia="Times New Roman" w:hAnsi="Times New Roman" w:cs="Times New Roman"/>
          <w:noProof/>
          <w:sz w:val="24"/>
          <w:szCs w:val="24"/>
          <w:vertAlign w:val="superscript"/>
          <w:lang w:val="en-GB"/>
        </w:rPr>
        <w:footnoteReference w:id="114"/>
      </w:r>
      <w:r>
        <w:rPr>
          <w:rFonts w:ascii="Times New Roman" w:hAnsi="Times New Roman"/>
          <w:noProof/>
          <w:sz w:val="24"/>
        </w:rPr>
        <w:t xml:space="preserve"> v) tuumkütuse töötlemine, tuumaenergia tootmine. Lisaks nõutakse investeerimispoliitikas rahastu lõplike abisaajate vastavust asjakohastele ELi ja riiklikele keskkonnaalastele õigusaktidele.</w:t>
      </w:r>
    </w:p>
    <w:p w14:paraId="67FEEDB7" w14:textId="77777777" w:rsidR="0084326C" w:rsidRPr="005D68A0" w:rsidRDefault="0084326C" w:rsidP="0084326C">
      <w:pPr>
        <w:pStyle w:val="LegalNumPar2"/>
        <w:spacing w:after="120" w:line="240" w:lineRule="auto"/>
        <w:jc w:val="both"/>
        <w:rPr>
          <w:rFonts w:ascii="Times New Roman" w:hAnsi="Times New Roman" w:cs="Times New Roman"/>
          <w:bCs/>
          <w:noProof/>
          <w:sz w:val="24"/>
          <w:szCs w:val="24"/>
        </w:rPr>
      </w:pPr>
      <w:r>
        <w:rPr>
          <w:rFonts w:ascii="Times New Roman" w:hAnsi="Times New Roman"/>
          <w:noProof/>
          <w:sz w:val="24"/>
        </w:rPr>
        <w:t>Nõue, et rahastu lõplikud abisaajad ei saa samade kulude katmiseks toetust muudest liidu vahenditest.</w:t>
      </w:r>
    </w:p>
    <w:p w14:paraId="39F2817D" w14:textId="77777777" w:rsidR="0084326C" w:rsidRPr="005D68A0" w:rsidRDefault="0084326C" w:rsidP="0084326C">
      <w:pPr>
        <w:pStyle w:val="LegalNumPar"/>
        <w:spacing w:after="120" w:line="240" w:lineRule="auto"/>
        <w:jc w:val="both"/>
        <w:rPr>
          <w:rFonts w:ascii="Times New Roman" w:hAnsi="Times New Roman" w:cs="Times New Roman"/>
          <w:noProof/>
          <w:sz w:val="24"/>
          <w:szCs w:val="24"/>
        </w:rPr>
      </w:pPr>
      <w:r>
        <w:rPr>
          <w:rFonts w:ascii="Times New Roman" w:hAnsi="Times New Roman"/>
          <w:noProof/>
          <w:sz w:val="24"/>
        </w:rPr>
        <w:t>Rakenduslepinguga hõlmatud summa, rakenduspartneri tasude struktuur ja nõue reinvesteerida tagasisaadavaid vahendeid vastavalt rahastu investeerimispoliitikale.</w:t>
      </w:r>
    </w:p>
    <w:p w14:paraId="275E637D" w14:textId="77777777" w:rsidR="0084326C" w:rsidRPr="005D68A0" w:rsidRDefault="0084326C" w:rsidP="0084326C">
      <w:pPr>
        <w:pStyle w:val="LegalNumPar"/>
        <w:spacing w:after="120" w:line="240" w:lineRule="auto"/>
        <w:jc w:val="both"/>
        <w:rPr>
          <w:rFonts w:ascii="Times New Roman" w:hAnsi="Times New Roman" w:cs="Times New Roman"/>
          <w:noProof/>
          <w:sz w:val="24"/>
          <w:szCs w:val="24"/>
        </w:rPr>
      </w:pPr>
      <w:r>
        <w:rPr>
          <w:rFonts w:ascii="Times New Roman" w:hAnsi="Times New Roman"/>
          <w:noProof/>
          <w:sz w:val="24"/>
        </w:rPr>
        <w:t>Seire-, auditi- ja kontrollinõuded, sealhulgas:</w:t>
      </w:r>
    </w:p>
    <w:p w14:paraId="6B1B8C66" w14:textId="77777777" w:rsidR="0084326C" w:rsidRPr="005D68A0" w:rsidRDefault="0084326C" w:rsidP="0084326C">
      <w:pPr>
        <w:numPr>
          <w:ilvl w:val="0"/>
          <w:numId w:val="53"/>
        </w:numPr>
        <w:spacing w:after="120"/>
        <w:jc w:val="both"/>
        <w:rPr>
          <w:noProof/>
        </w:rPr>
      </w:pPr>
      <w:r>
        <w:rPr>
          <w:noProof/>
        </w:rPr>
        <w:t>Rakenduspartneri järelevalvesüsteemi kirjeldus kaasatud investeeringute kohta aru andmiseks.</w:t>
      </w:r>
    </w:p>
    <w:p w14:paraId="1AE604AA" w14:textId="77777777" w:rsidR="0084326C" w:rsidRPr="005D68A0" w:rsidRDefault="0084326C" w:rsidP="0084326C">
      <w:pPr>
        <w:numPr>
          <w:ilvl w:val="0"/>
          <w:numId w:val="53"/>
        </w:numPr>
        <w:spacing w:after="120"/>
        <w:jc w:val="both"/>
        <w:rPr>
          <w:noProof/>
        </w:rPr>
      </w:pPr>
      <w:r>
        <w:rPr>
          <w:noProof/>
        </w:rPr>
        <w:t xml:space="preserve">Selliste rakenduspartneri menetluste kirjeldus, millega tagatakse pettuste, korruptsiooni ja huvide konfliktide ennetamine, avastamine ja kõrvaldamine. </w:t>
      </w:r>
    </w:p>
    <w:p w14:paraId="054DBEE9" w14:textId="77777777" w:rsidR="0084326C" w:rsidRPr="005D68A0" w:rsidRDefault="0084326C" w:rsidP="0084326C">
      <w:pPr>
        <w:numPr>
          <w:ilvl w:val="0"/>
          <w:numId w:val="53"/>
        </w:numPr>
        <w:spacing w:after="120"/>
        <w:jc w:val="both"/>
        <w:rPr>
          <w:noProof/>
        </w:rPr>
      </w:pPr>
      <w:r>
        <w:rPr>
          <w:noProof/>
        </w:rPr>
        <w:t>Kohustus kontrollida iga toimingu rahastamiskõlblikkust kooskõlas rakenduslepingus sätestatud nõuetega enne toimingu rahastamise kohustuse võtmist.</w:t>
      </w:r>
    </w:p>
    <w:p w14:paraId="12A19942" w14:textId="77777777" w:rsidR="0084326C" w:rsidRPr="005D68A0" w:rsidRDefault="0084326C" w:rsidP="0084326C">
      <w:pPr>
        <w:numPr>
          <w:ilvl w:val="0"/>
          <w:numId w:val="53"/>
        </w:numPr>
        <w:spacing w:after="120"/>
        <w:jc w:val="both"/>
        <w:rPr>
          <w:noProof/>
        </w:rPr>
      </w:pPr>
      <w:r>
        <w:rPr>
          <w:noProof/>
        </w:rPr>
        <w:t xml:space="preserve">Kohustus teha riskipõhiseid järelauditeid kooskõlas riskirühma auditikavaga. Nende audititega kontrollitakse i) kontrollisüsteemide tõhusust, sealhulgas pettuste, korruptsiooni ja huvide konflikti avastamist; ii) järgitakse põhimõtet „ei kahjusta oluliselt“ ja riigiabi eeskirju ning iii) järgitakse nõuet, et rahastu lõplikud abisaajad ei ole saanud toetust muudest liidu vahenditest samade kulude katmiseks. Auditite käigus kontrollitakse ka tehingute seaduslikkust ning kohaldatava rakenduslepingu ja rahastamislepingute tingimuste täitmist. </w:t>
      </w:r>
    </w:p>
    <w:p w14:paraId="5C813DAF" w14:textId="77777777" w:rsidR="0084326C" w:rsidRPr="005D68A0" w:rsidRDefault="0084326C" w:rsidP="0084326C">
      <w:pPr>
        <w:numPr>
          <w:ilvl w:val="0"/>
          <w:numId w:val="25"/>
        </w:numPr>
        <w:spacing w:after="120"/>
        <w:ind w:left="720" w:hanging="360"/>
        <w:jc w:val="both"/>
        <w:rPr>
          <w:noProof/>
        </w:rPr>
      </w:pPr>
      <w:r>
        <w:rPr>
          <w:b/>
          <w:noProof/>
        </w:rPr>
        <w:t xml:space="preserve">Riskikapitali omakapitali/võlafondide valimise nõuded: </w:t>
      </w:r>
      <w:r>
        <w:rPr>
          <w:noProof/>
        </w:rPr>
        <w:t>Digiülemineku fond valib finantsvahendajad avatud, läbipaistval ja mittediskrimineerival viisil kooskõlas praeguse tavaga, avaldades muu hulgas kõik nõuded ja taotlusvormid nii SGRi kui ka MIMITi veebisaitidel. Finantsvahendajate huvide konflikti puudumist kontrollitakse eelnevalt kõigi asjaomaste finantsjuhtimises osalejate suhtes. Huvide konflikti puudumine viitab alati rahastu „lõplikule abisaajale“.</w:t>
      </w:r>
    </w:p>
    <w:p w14:paraId="65285211" w14:textId="77777777" w:rsidR="0084326C" w:rsidRPr="005D68A0" w:rsidRDefault="0084326C" w:rsidP="0084326C">
      <w:pPr>
        <w:numPr>
          <w:ilvl w:val="0"/>
          <w:numId w:val="25"/>
        </w:numPr>
        <w:spacing w:after="120"/>
        <w:ind w:left="720" w:hanging="360"/>
        <w:jc w:val="both"/>
        <w:rPr>
          <w:noProof/>
        </w:rPr>
      </w:pPr>
      <w:r>
        <w:rPr>
          <w:b/>
          <w:noProof/>
        </w:rPr>
        <w:t>Rahastamislepingute allkirjastamise nõue:</w:t>
      </w:r>
      <w:r>
        <w:rPr>
          <w:noProof/>
        </w:rPr>
        <w:t xml:space="preserve"> Digiülemineku fond allkirjastab finantsvahendajatega rahastamislepingud kooskõlas põhinõuetega, mis hõlmavad kõiki nõudeid, mille alusel DTF tegutseb, sealhulgas: </w:t>
      </w:r>
    </w:p>
    <w:p w14:paraId="56E13ACE" w14:textId="77777777" w:rsidR="0084326C" w:rsidRPr="005D68A0" w:rsidRDefault="0084326C" w:rsidP="0084326C">
      <w:pPr>
        <w:numPr>
          <w:ilvl w:val="0"/>
          <w:numId w:val="51"/>
        </w:numPr>
        <w:spacing w:after="120"/>
        <w:jc w:val="both"/>
        <w:rPr>
          <w:noProof/>
        </w:rPr>
      </w:pPr>
      <w:r>
        <w:rPr>
          <w:noProof/>
        </w:rPr>
        <w:t xml:space="preserve">Finantsvahendaja kohustus teha oma otsused </w:t>
      </w:r>
      <w:r>
        <w:rPr>
          <w:i/>
          <w:noProof/>
        </w:rPr>
        <w:t>mutatis mutandis</w:t>
      </w:r>
      <w:r>
        <w:rPr>
          <w:noProof/>
        </w:rPr>
        <w:t xml:space="preserve"> kooskõlas eespool nimetatud otsuste tegemise ja investeerimispoliitika nõuetega, sealhulgas seoses põhimõtte „ei kahjusta oluliselt“ järgimisega.</w:t>
      </w:r>
    </w:p>
    <w:p w14:paraId="1999C881" w14:textId="77777777" w:rsidR="0084326C" w:rsidRPr="005D68A0" w:rsidRDefault="0084326C" w:rsidP="0084326C">
      <w:pPr>
        <w:numPr>
          <w:ilvl w:val="0"/>
          <w:numId w:val="51"/>
        </w:numPr>
        <w:spacing w:after="120"/>
        <w:jc w:val="both"/>
        <w:rPr>
          <w:noProof/>
        </w:rPr>
      </w:pPr>
      <w:r>
        <w:rPr>
          <w:noProof/>
        </w:rPr>
        <w:t xml:space="preserve">Finantsvahendaja kehtestatava järelevalve-, auditi- ja kontrolliraamistiku kirjeldus, mille suhtes kohaldatakse </w:t>
      </w:r>
      <w:r>
        <w:rPr>
          <w:i/>
          <w:noProof/>
        </w:rPr>
        <w:t>mutatis mutandis</w:t>
      </w:r>
      <w:r>
        <w:rPr>
          <w:noProof/>
        </w:rPr>
        <w:t xml:space="preserve"> kõiki eespool nimetatud seire-, auditeerimis- ja kontrollinõudeid. </w:t>
      </w:r>
    </w:p>
    <w:p w14:paraId="3BADC445" w14:textId="77777777" w:rsidR="0084326C" w:rsidRPr="005D68A0" w:rsidRDefault="0084326C" w:rsidP="0084326C">
      <w:pPr>
        <w:spacing w:before="120" w:after="120"/>
        <w:jc w:val="both"/>
        <w:rPr>
          <w:noProof/>
        </w:rPr>
      </w:pPr>
      <w:r>
        <w:rPr>
          <w:noProof/>
        </w:rPr>
        <w:t>Meetme rakendamine viiakse lõpule 31. augustiks 2026.</w:t>
      </w:r>
    </w:p>
    <w:p w14:paraId="144F68E1" w14:textId="77777777" w:rsidR="0084326C" w:rsidRPr="005D68A0" w:rsidRDefault="0084326C" w:rsidP="0084326C">
      <w:pPr>
        <w:pStyle w:val="Heading3"/>
        <w:numPr>
          <w:ilvl w:val="0"/>
          <w:numId w:val="0"/>
        </w:numPr>
        <w:ind w:left="850" w:hanging="850"/>
        <w:rPr>
          <w:b/>
          <w:bCs w:val="0"/>
          <w:i w:val="0"/>
          <w:iCs/>
          <w:noProof/>
          <w:u w:val="single"/>
        </w:rPr>
      </w:pPr>
      <w:r>
        <w:rPr>
          <w:b/>
          <w:i w:val="0"/>
          <w:noProof/>
          <w:u w:val="single"/>
        </w:rPr>
        <w:t xml:space="preserve">K.4. </w:t>
      </w:r>
      <w:r>
        <w:rPr>
          <w:noProof/>
        </w:rPr>
        <w:tab/>
      </w:r>
      <w:r>
        <w:rPr>
          <w:b/>
          <w:i w:val="0"/>
          <w:noProof/>
          <w:u w:val="single"/>
        </w:rPr>
        <w:t xml:space="preserve">Laenu eesmärgid, sihid, näitajad ning seire ja rakendamise ajakava </w:t>
      </w:r>
    </w:p>
    <w:p w14:paraId="45774319" w14:textId="77777777" w:rsidR="0084326C" w:rsidRPr="00F33804" w:rsidRDefault="0084326C" w:rsidP="0084326C">
      <w:pPr>
        <w:spacing w:before="120" w:after="120"/>
        <w:ind w:left="709"/>
        <w:contextualSpacing/>
        <w:jc w:val="both"/>
        <w:rPr>
          <w:noProof/>
        </w:rPr>
        <w:sectPr w:rsidR="0084326C" w:rsidRPr="00F33804">
          <w:headerReference w:type="even" r:id="rId290"/>
          <w:headerReference w:type="default" r:id="rId291"/>
          <w:footerReference w:type="even" r:id="rId292"/>
          <w:footerReference w:type="default" r:id="rId293"/>
          <w:headerReference w:type="first" r:id="rId294"/>
          <w:footerReference w:type="first" r:id="rId295"/>
          <w:pgSz w:w="11907" w:h="16839"/>
          <w:pgMar w:top="1134" w:right="1134" w:bottom="1134" w:left="1134" w:header="567" w:footer="567" w:gutter="0"/>
          <w:cols w:space="720"/>
          <w:docGrid w:linePitch="360"/>
        </w:sectPr>
      </w:pPr>
    </w:p>
    <w:tbl>
      <w:tblPr>
        <w:tblW w:w="543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419"/>
        <w:gridCol w:w="1132"/>
        <w:gridCol w:w="1418"/>
        <w:gridCol w:w="1275"/>
        <w:gridCol w:w="1134"/>
        <w:gridCol w:w="993"/>
        <w:gridCol w:w="1275"/>
        <w:gridCol w:w="993"/>
        <w:gridCol w:w="708"/>
        <w:gridCol w:w="3686"/>
      </w:tblGrid>
      <w:tr w:rsidR="00F51189" w:rsidRPr="00D90835" w14:paraId="623C5D9D" w14:textId="77777777">
        <w:trPr>
          <w:trHeight w:val="939"/>
          <w:tblHeader/>
        </w:trPr>
        <w:tc>
          <w:tcPr>
            <w:tcW w:w="1135" w:type="dxa"/>
            <w:vMerge w:val="restart"/>
            <w:shd w:val="clear" w:color="auto" w:fill="BDD7EE"/>
            <w:vAlign w:val="center"/>
            <w:hideMark/>
          </w:tcPr>
          <w:p w14:paraId="0B55FB3D" w14:textId="77777777" w:rsidR="0084326C" w:rsidRPr="005D68A0" w:rsidRDefault="0084326C">
            <w:pPr>
              <w:jc w:val="center"/>
              <w:rPr>
                <w:rFonts w:ascii="Arial Narrow" w:hAnsi="Arial Narrow"/>
                <w:b/>
                <w:noProof/>
                <w:sz w:val="20"/>
                <w:szCs w:val="20"/>
              </w:rPr>
            </w:pPr>
            <w:r>
              <w:rPr>
                <w:rFonts w:ascii="Arial Narrow" w:hAnsi="Arial Narrow"/>
                <w:b/>
                <w:noProof/>
                <w:sz w:val="20"/>
              </w:rPr>
              <w:t>Järjekorranumber</w:t>
            </w:r>
          </w:p>
        </w:tc>
        <w:tc>
          <w:tcPr>
            <w:tcW w:w="1419" w:type="dxa"/>
            <w:vMerge w:val="restart"/>
            <w:shd w:val="clear" w:color="auto" w:fill="BDD7EE"/>
            <w:vAlign w:val="center"/>
            <w:hideMark/>
          </w:tcPr>
          <w:p w14:paraId="7C940EE0" w14:textId="77777777" w:rsidR="0084326C" w:rsidRPr="005D68A0" w:rsidRDefault="0084326C">
            <w:pPr>
              <w:jc w:val="center"/>
              <w:rPr>
                <w:rFonts w:ascii="Arial Narrow" w:hAnsi="Arial Narrow"/>
                <w:b/>
                <w:noProof/>
                <w:sz w:val="20"/>
                <w:szCs w:val="20"/>
              </w:rPr>
            </w:pPr>
            <w:r>
              <w:rPr>
                <w:rFonts w:ascii="Arial Narrow" w:hAnsi="Arial Narrow"/>
                <w:b/>
                <w:noProof/>
                <w:sz w:val="20"/>
              </w:rPr>
              <w:t>Seotud meede (reform või investeering)</w:t>
            </w:r>
          </w:p>
        </w:tc>
        <w:tc>
          <w:tcPr>
            <w:tcW w:w="1132" w:type="dxa"/>
            <w:vMerge w:val="restart"/>
            <w:shd w:val="clear" w:color="auto" w:fill="BDD7EE"/>
            <w:vAlign w:val="center"/>
            <w:hideMark/>
          </w:tcPr>
          <w:p w14:paraId="570B9EA9" w14:textId="77777777" w:rsidR="0084326C" w:rsidRPr="005D68A0" w:rsidRDefault="0084326C">
            <w:pPr>
              <w:jc w:val="center"/>
              <w:rPr>
                <w:rFonts w:ascii="Arial Narrow" w:hAnsi="Arial Narrow"/>
                <w:b/>
                <w:noProof/>
                <w:sz w:val="20"/>
                <w:szCs w:val="20"/>
              </w:rPr>
            </w:pPr>
            <w:r>
              <w:rPr>
                <w:rFonts w:ascii="Arial Narrow" w:hAnsi="Arial Narrow"/>
                <w:b/>
                <w:noProof/>
                <w:sz w:val="20"/>
              </w:rPr>
              <w:t>Eesmärk / siht</w:t>
            </w:r>
          </w:p>
        </w:tc>
        <w:tc>
          <w:tcPr>
            <w:tcW w:w="1418" w:type="dxa"/>
            <w:vMerge w:val="restart"/>
            <w:shd w:val="clear" w:color="auto" w:fill="BDD7EE"/>
            <w:vAlign w:val="center"/>
            <w:hideMark/>
          </w:tcPr>
          <w:p w14:paraId="73D299D3" w14:textId="77777777" w:rsidR="0084326C" w:rsidRPr="005D68A0" w:rsidRDefault="0084326C">
            <w:pPr>
              <w:jc w:val="center"/>
              <w:rPr>
                <w:rFonts w:ascii="Arial Narrow" w:hAnsi="Arial Narrow"/>
                <w:b/>
                <w:noProof/>
                <w:sz w:val="20"/>
                <w:szCs w:val="20"/>
              </w:rPr>
            </w:pPr>
            <w:r>
              <w:rPr>
                <w:rFonts w:ascii="Arial Narrow" w:hAnsi="Arial Narrow"/>
                <w:b/>
                <w:noProof/>
                <w:sz w:val="20"/>
              </w:rPr>
              <w:t>Nimi</w:t>
            </w:r>
          </w:p>
        </w:tc>
        <w:tc>
          <w:tcPr>
            <w:tcW w:w="1275" w:type="dxa"/>
            <w:vMerge w:val="restart"/>
            <w:shd w:val="clear" w:color="auto" w:fill="BDD7EE"/>
            <w:vAlign w:val="center"/>
            <w:hideMark/>
          </w:tcPr>
          <w:p w14:paraId="71642B16" w14:textId="77777777" w:rsidR="0084326C" w:rsidRPr="005D68A0" w:rsidRDefault="0084326C">
            <w:pPr>
              <w:jc w:val="center"/>
              <w:rPr>
                <w:rFonts w:ascii="Arial Narrow" w:hAnsi="Arial Narrow"/>
                <w:b/>
                <w:noProof/>
                <w:sz w:val="20"/>
                <w:szCs w:val="20"/>
              </w:rPr>
            </w:pPr>
            <w:r>
              <w:rPr>
                <w:rFonts w:ascii="Arial Narrow" w:hAnsi="Arial Narrow"/>
                <w:b/>
                <w:noProof/>
                <w:sz w:val="20"/>
              </w:rPr>
              <w:t>Kvalitatiivsed näitajad</w:t>
            </w:r>
            <w:r>
              <w:rPr>
                <w:noProof/>
              </w:rPr>
              <w:t xml:space="preserve"> </w:t>
            </w:r>
            <w:r>
              <w:rPr>
                <w:noProof/>
              </w:rPr>
              <w:br/>
            </w:r>
            <w:r>
              <w:rPr>
                <w:rFonts w:ascii="Arial Narrow" w:hAnsi="Arial Narrow"/>
                <w:b/>
                <w:noProof/>
                <w:sz w:val="20"/>
              </w:rPr>
              <w:t>(eesmärkide puhul)</w:t>
            </w:r>
          </w:p>
        </w:tc>
        <w:tc>
          <w:tcPr>
            <w:tcW w:w="3402" w:type="dxa"/>
            <w:gridSpan w:val="3"/>
            <w:shd w:val="clear" w:color="auto" w:fill="BDD7EE"/>
            <w:vAlign w:val="center"/>
            <w:hideMark/>
          </w:tcPr>
          <w:p w14:paraId="2AD5D983" w14:textId="77777777" w:rsidR="0084326C" w:rsidRPr="005D68A0" w:rsidRDefault="0084326C">
            <w:pPr>
              <w:jc w:val="center"/>
              <w:rPr>
                <w:rFonts w:ascii="Arial Narrow" w:hAnsi="Arial Narrow"/>
                <w:b/>
                <w:noProof/>
                <w:sz w:val="20"/>
                <w:szCs w:val="20"/>
              </w:rPr>
            </w:pPr>
            <w:r>
              <w:rPr>
                <w:rFonts w:ascii="Arial Narrow" w:hAnsi="Arial Narrow"/>
                <w:b/>
                <w:noProof/>
                <w:sz w:val="20"/>
              </w:rPr>
              <w:t xml:space="preserve">Kvantitatiivsed näitajad </w:t>
            </w:r>
            <w:r>
              <w:rPr>
                <w:noProof/>
              </w:rPr>
              <w:br/>
            </w:r>
            <w:r>
              <w:rPr>
                <w:rFonts w:ascii="Arial Narrow" w:hAnsi="Arial Narrow"/>
                <w:b/>
                <w:noProof/>
                <w:sz w:val="20"/>
              </w:rPr>
              <w:t>(sihtide puhul)</w:t>
            </w:r>
          </w:p>
        </w:tc>
        <w:tc>
          <w:tcPr>
            <w:tcW w:w="1701" w:type="dxa"/>
            <w:gridSpan w:val="2"/>
            <w:shd w:val="clear" w:color="auto" w:fill="BDD7EE"/>
            <w:vAlign w:val="center"/>
            <w:hideMark/>
          </w:tcPr>
          <w:p w14:paraId="69064D6E" w14:textId="77777777" w:rsidR="0084326C" w:rsidRPr="005D68A0" w:rsidRDefault="0084326C">
            <w:pPr>
              <w:jc w:val="center"/>
              <w:rPr>
                <w:rFonts w:ascii="Arial Narrow" w:hAnsi="Arial Narrow"/>
                <w:b/>
                <w:noProof/>
                <w:sz w:val="20"/>
                <w:szCs w:val="20"/>
              </w:rPr>
            </w:pPr>
            <w:r>
              <w:rPr>
                <w:rFonts w:ascii="Arial Narrow" w:hAnsi="Arial Narrow"/>
                <w:b/>
                <w:noProof/>
                <w:sz w:val="20"/>
              </w:rPr>
              <w:t>Lõpuleviimise soovituslik ajakava</w:t>
            </w:r>
          </w:p>
        </w:tc>
        <w:tc>
          <w:tcPr>
            <w:tcW w:w="3686" w:type="dxa"/>
            <w:vMerge w:val="restart"/>
            <w:shd w:val="clear" w:color="auto" w:fill="BDD7EE"/>
            <w:vAlign w:val="center"/>
            <w:hideMark/>
          </w:tcPr>
          <w:p w14:paraId="31D562CF" w14:textId="77777777" w:rsidR="0084326C" w:rsidRPr="005D68A0" w:rsidRDefault="0084326C">
            <w:pPr>
              <w:jc w:val="center"/>
              <w:rPr>
                <w:rFonts w:ascii="Arial Narrow" w:hAnsi="Arial Narrow"/>
                <w:b/>
                <w:noProof/>
                <w:sz w:val="20"/>
                <w:szCs w:val="20"/>
              </w:rPr>
            </w:pPr>
            <w:r>
              <w:rPr>
                <w:rFonts w:ascii="Arial Narrow" w:hAnsi="Arial Narrow"/>
                <w:b/>
                <w:noProof/>
                <w:sz w:val="20"/>
              </w:rPr>
              <w:t>Iga eesmärgi ja sihi kirjeldus</w:t>
            </w:r>
          </w:p>
        </w:tc>
      </w:tr>
      <w:tr w:rsidR="00F51189" w:rsidRPr="005D68A0" w14:paraId="02BA6B23" w14:textId="77777777">
        <w:trPr>
          <w:trHeight w:val="741"/>
        </w:trPr>
        <w:tc>
          <w:tcPr>
            <w:tcW w:w="1135" w:type="dxa"/>
            <w:vMerge/>
            <w:vAlign w:val="center"/>
            <w:hideMark/>
          </w:tcPr>
          <w:p w14:paraId="40E035A3" w14:textId="77777777" w:rsidR="0084326C" w:rsidRPr="00F33804" w:rsidRDefault="0084326C">
            <w:pPr>
              <w:jc w:val="center"/>
              <w:rPr>
                <w:rFonts w:ascii="Arial Narrow" w:hAnsi="Arial Narrow"/>
                <w:b/>
                <w:noProof/>
                <w:sz w:val="20"/>
                <w:szCs w:val="20"/>
              </w:rPr>
            </w:pPr>
          </w:p>
        </w:tc>
        <w:tc>
          <w:tcPr>
            <w:tcW w:w="1419" w:type="dxa"/>
            <w:vMerge/>
            <w:vAlign w:val="center"/>
            <w:hideMark/>
          </w:tcPr>
          <w:p w14:paraId="747693BD" w14:textId="77777777" w:rsidR="0084326C" w:rsidRPr="00F33804" w:rsidRDefault="0084326C">
            <w:pPr>
              <w:jc w:val="center"/>
              <w:rPr>
                <w:rFonts w:ascii="Arial Narrow" w:hAnsi="Arial Narrow"/>
                <w:b/>
                <w:noProof/>
                <w:sz w:val="20"/>
                <w:szCs w:val="20"/>
              </w:rPr>
            </w:pPr>
          </w:p>
        </w:tc>
        <w:tc>
          <w:tcPr>
            <w:tcW w:w="1132" w:type="dxa"/>
            <w:vMerge/>
            <w:vAlign w:val="center"/>
            <w:hideMark/>
          </w:tcPr>
          <w:p w14:paraId="040EBE96" w14:textId="77777777" w:rsidR="0084326C" w:rsidRPr="00F33804" w:rsidRDefault="0084326C">
            <w:pPr>
              <w:jc w:val="center"/>
              <w:rPr>
                <w:rFonts w:ascii="Arial Narrow" w:hAnsi="Arial Narrow"/>
                <w:b/>
                <w:noProof/>
                <w:sz w:val="20"/>
                <w:szCs w:val="20"/>
              </w:rPr>
            </w:pPr>
          </w:p>
        </w:tc>
        <w:tc>
          <w:tcPr>
            <w:tcW w:w="1418" w:type="dxa"/>
            <w:vMerge/>
            <w:vAlign w:val="center"/>
            <w:hideMark/>
          </w:tcPr>
          <w:p w14:paraId="44B23CF6" w14:textId="77777777" w:rsidR="0084326C" w:rsidRPr="00F33804" w:rsidRDefault="0084326C">
            <w:pPr>
              <w:jc w:val="center"/>
              <w:rPr>
                <w:rFonts w:ascii="Arial Narrow" w:hAnsi="Arial Narrow"/>
                <w:b/>
                <w:noProof/>
                <w:sz w:val="20"/>
                <w:szCs w:val="20"/>
              </w:rPr>
            </w:pPr>
          </w:p>
        </w:tc>
        <w:tc>
          <w:tcPr>
            <w:tcW w:w="1275" w:type="dxa"/>
            <w:vMerge/>
            <w:vAlign w:val="center"/>
            <w:hideMark/>
          </w:tcPr>
          <w:p w14:paraId="04D97340" w14:textId="77777777" w:rsidR="0084326C" w:rsidRPr="00F33804" w:rsidRDefault="0084326C">
            <w:pPr>
              <w:jc w:val="center"/>
              <w:rPr>
                <w:rFonts w:ascii="Arial Narrow" w:hAnsi="Arial Narrow"/>
                <w:b/>
                <w:noProof/>
                <w:sz w:val="20"/>
                <w:szCs w:val="20"/>
              </w:rPr>
            </w:pPr>
          </w:p>
        </w:tc>
        <w:tc>
          <w:tcPr>
            <w:tcW w:w="1134" w:type="dxa"/>
            <w:shd w:val="clear" w:color="auto" w:fill="BDD7EE"/>
            <w:vAlign w:val="center"/>
            <w:hideMark/>
          </w:tcPr>
          <w:p w14:paraId="25271579" w14:textId="77777777" w:rsidR="0084326C" w:rsidRPr="005D68A0" w:rsidRDefault="0084326C">
            <w:pPr>
              <w:jc w:val="center"/>
              <w:rPr>
                <w:rFonts w:ascii="Arial Narrow" w:hAnsi="Arial Narrow"/>
                <w:b/>
                <w:noProof/>
                <w:sz w:val="20"/>
                <w:szCs w:val="20"/>
              </w:rPr>
            </w:pPr>
            <w:r>
              <w:rPr>
                <w:rFonts w:ascii="Arial Narrow" w:hAnsi="Arial Narrow"/>
                <w:b/>
                <w:noProof/>
                <w:sz w:val="20"/>
              </w:rPr>
              <w:t>Mõõtühik</w:t>
            </w:r>
          </w:p>
        </w:tc>
        <w:tc>
          <w:tcPr>
            <w:tcW w:w="993" w:type="dxa"/>
            <w:shd w:val="clear" w:color="auto" w:fill="BDD7EE"/>
            <w:vAlign w:val="center"/>
            <w:hideMark/>
          </w:tcPr>
          <w:p w14:paraId="676F97C6" w14:textId="77777777" w:rsidR="0084326C" w:rsidRPr="005D68A0" w:rsidRDefault="0084326C">
            <w:pPr>
              <w:jc w:val="center"/>
              <w:rPr>
                <w:rFonts w:ascii="Arial Narrow" w:hAnsi="Arial Narrow"/>
                <w:b/>
                <w:noProof/>
                <w:sz w:val="20"/>
                <w:szCs w:val="20"/>
              </w:rPr>
            </w:pPr>
            <w:r>
              <w:rPr>
                <w:rFonts w:ascii="Arial Narrow" w:hAnsi="Arial Narrow"/>
                <w:b/>
                <w:noProof/>
                <w:sz w:val="20"/>
              </w:rPr>
              <w:t>Lähtetase</w:t>
            </w:r>
          </w:p>
        </w:tc>
        <w:tc>
          <w:tcPr>
            <w:tcW w:w="1275" w:type="dxa"/>
            <w:shd w:val="clear" w:color="auto" w:fill="BDD7EE"/>
            <w:vAlign w:val="center"/>
            <w:hideMark/>
          </w:tcPr>
          <w:p w14:paraId="3F1E7872" w14:textId="77777777" w:rsidR="0084326C" w:rsidRPr="005D68A0" w:rsidRDefault="0084326C">
            <w:pPr>
              <w:jc w:val="center"/>
              <w:rPr>
                <w:rFonts w:ascii="Arial Narrow" w:hAnsi="Arial Narrow"/>
                <w:b/>
                <w:noProof/>
                <w:sz w:val="20"/>
                <w:szCs w:val="20"/>
              </w:rPr>
            </w:pPr>
            <w:r>
              <w:rPr>
                <w:rFonts w:ascii="Arial Narrow" w:hAnsi="Arial Narrow"/>
                <w:b/>
                <w:noProof/>
                <w:sz w:val="20"/>
              </w:rPr>
              <w:t>Eesmärk</w:t>
            </w:r>
          </w:p>
        </w:tc>
        <w:tc>
          <w:tcPr>
            <w:tcW w:w="993" w:type="dxa"/>
            <w:shd w:val="clear" w:color="auto" w:fill="BDD7EE"/>
            <w:vAlign w:val="center"/>
            <w:hideMark/>
          </w:tcPr>
          <w:p w14:paraId="0EFF8E60" w14:textId="77777777" w:rsidR="0084326C" w:rsidRPr="005D68A0" w:rsidRDefault="0084326C">
            <w:pPr>
              <w:jc w:val="center"/>
              <w:rPr>
                <w:rFonts w:ascii="Arial Narrow" w:hAnsi="Arial Narrow"/>
                <w:b/>
                <w:noProof/>
                <w:sz w:val="20"/>
                <w:szCs w:val="20"/>
              </w:rPr>
            </w:pPr>
            <w:r>
              <w:rPr>
                <w:rFonts w:ascii="Arial Narrow" w:hAnsi="Arial Narrow"/>
                <w:b/>
                <w:noProof/>
                <w:sz w:val="20"/>
              </w:rPr>
              <w:t>Kvartal</w:t>
            </w:r>
          </w:p>
        </w:tc>
        <w:tc>
          <w:tcPr>
            <w:tcW w:w="708" w:type="dxa"/>
            <w:shd w:val="clear" w:color="auto" w:fill="BDD7EE"/>
            <w:vAlign w:val="center"/>
            <w:hideMark/>
          </w:tcPr>
          <w:p w14:paraId="7D05ADFF" w14:textId="77777777" w:rsidR="0084326C" w:rsidRPr="005D68A0" w:rsidRDefault="0084326C">
            <w:pPr>
              <w:jc w:val="center"/>
              <w:rPr>
                <w:rFonts w:ascii="Arial Narrow" w:hAnsi="Arial Narrow"/>
                <w:b/>
                <w:noProof/>
                <w:sz w:val="20"/>
                <w:szCs w:val="20"/>
              </w:rPr>
            </w:pPr>
            <w:r>
              <w:rPr>
                <w:rFonts w:ascii="Arial Narrow" w:hAnsi="Arial Narrow"/>
                <w:b/>
                <w:noProof/>
                <w:sz w:val="20"/>
              </w:rPr>
              <w:t>Aasta</w:t>
            </w:r>
          </w:p>
        </w:tc>
        <w:tc>
          <w:tcPr>
            <w:tcW w:w="3686" w:type="dxa"/>
            <w:vMerge/>
            <w:vAlign w:val="center"/>
            <w:hideMark/>
          </w:tcPr>
          <w:p w14:paraId="5DF10785" w14:textId="77777777" w:rsidR="0084326C" w:rsidRPr="005D68A0" w:rsidRDefault="0084326C">
            <w:pPr>
              <w:rPr>
                <w:rFonts w:ascii="Arial Narrow" w:hAnsi="Arial Narrow"/>
                <w:b/>
                <w:noProof/>
                <w:sz w:val="20"/>
                <w:szCs w:val="20"/>
                <w:lang w:val="en-GB"/>
              </w:rPr>
            </w:pPr>
          </w:p>
        </w:tc>
      </w:tr>
      <w:tr w:rsidR="00512838" w:rsidRPr="00D90835" w14:paraId="7A753D6A" w14:textId="77777777">
        <w:trPr>
          <w:trHeight w:val="1740"/>
        </w:trPr>
        <w:tc>
          <w:tcPr>
            <w:tcW w:w="1135" w:type="dxa"/>
            <w:shd w:val="clear" w:color="auto" w:fill="C6EFCE"/>
            <w:noWrap/>
            <w:vAlign w:val="center"/>
            <w:hideMark/>
          </w:tcPr>
          <w:p w14:paraId="44ACCDD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M4C2-5</w:t>
            </w:r>
          </w:p>
          <w:p w14:paraId="3460BC4C" w14:textId="77777777" w:rsidR="0084326C" w:rsidRPr="005D68A0" w:rsidRDefault="0084326C">
            <w:pPr>
              <w:jc w:val="center"/>
              <w:rPr>
                <w:rFonts w:ascii="Arial Narrow" w:hAnsi="Arial Narrow"/>
                <w:noProof/>
                <w:color w:val="006100"/>
                <w:sz w:val="20"/>
                <w:szCs w:val="20"/>
                <w:lang w:val="en-GB"/>
              </w:rPr>
            </w:pPr>
          </w:p>
        </w:tc>
        <w:tc>
          <w:tcPr>
            <w:tcW w:w="1419" w:type="dxa"/>
            <w:shd w:val="clear" w:color="auto" w:fill="C6EFCE"/>
            <w:noWrap/>
            <w:vAlign w:val="center"/>
          </w:tcPr>
          <w:p w14:paraId="7E24734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1.1. Olulist riiklikku huvi pakkuvad uurimisprojektid (PRIN)</w:t>
            </w:r>
          </w:p>
        </w:tc>
        <w:tc>
          <w:tcPr>
            <w:tcW w:w="1132" w:type="dxa"/>
            <w:shd w:val="clear" w:color="auto" w:fill="C6EFCE"/>
            <w:noWrap/>
            <w:vAlign w:val="center"/>
            <w:hideMark/>
          </w:tcPr>
          <w:p w14:paraId="5766F8B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1418" w:type="dxa"/>
            <w:shd w:val="clear" w:color="auto" w:fill="C6EFCE"/>
            <w:noWrap/>
            <w:vAlign w:val="center"/>
          </w:tcPr>
          <w:p w14:paraId="2460EFA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Eraldatud teadusprojektide arv</w:t>
            </w:r>
          </w:p>
        </w:tc>
        <w:tc>
          <w:tcPr>
            <w:tcW w:w="1275" w:type="dxa"/>
            <w:shd w:val="clear" w:color="auto" w:fill="C6EFCE"/>
            <w:noWrap/>
            <w:vAlign w:val="center"/>
            <w:hideMark/>
          </w:tcPr>
          <w:p w14:paraId="35D7C69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hideMark/>
          </w:tcPr>
          <w:p w14:paraId="31E9992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993" w:type="dxa"/>
            <w:shd w:val="clear" w:color="auto" w:fill="C6EFCE"/>
            <w:noWrap/>
            <w:vAlign w:val="center"/>
          </w:tcPr>
          <w:p w14:paraId="69A4EC9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1275" w:type="dxa"/>
            <w:shd w:val="clear" w:color="auto" w:fill="C6EFCE"/>
            <w:noWrap/>
            <w:vAlign w:val="center"/>
          </w:tcPr>
          <w:p w14:paraId="7714657E" w14:textId="3A5AA2D1"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3 150</w:t>
            </w:r>
          </w:p>
        </w:tc>
        <w:tc>
          <w:tcPr>
            <w:tcW w:w="993" w:type="dxa"/>
            <w:shd w:val="clear" w:color="auto" w:fill="C6EFCE"/>
            <w:noWrap/>
            <w:vAlign w:val="center"/>
            <w:hideMark/>
          </w:tcPr>
          <w:p w14:paraId="6486856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708" w:type="dxa"/>
            <w:shd w:val="clear" w:color="auto" w:fill="C6EFCE"/>
            <w:noWrap/>
            <w:vAlign w:val="center"/>
            <w:hideMark/>
          </w:tcPr>
          <w:p w14:paraId="17B90A0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2023</w:t>
            </w:r>
          </w:p>
        </w:tc>
        <w:tc>
          <w:tcPr>
            <w:tcW w:w="3686" w:type="dxa"/>
            <w:shd w:val="clear" w:color="auto" w:fill="C6EFCE"/>
            <w:noWrap/>
            <w:vAlign w:val="center"/>
            <w:hideMark/>
          </w:tcPr>
          <w:p w14:paraId="30C366B2" w14:textId="4294D62F"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Vähemalt 3 150 </w:t>
            </w:r>
            <w:r>
              <w:rPr>
                <w:rFonts w:ascii="Arial Narrow" w:hAnsi="Arial Narrow"/>
                <w:i/>
                <w:noProof/>
                <w:color w:val="006100"/>
                <w:sz w:val="20"/>
              </w:rPr>
              <w:t>Progetti di Ricerca di Interesse Nazionale</w:t>
            </w:r>
            <w:r>
              <w:rPr>
                <w:rFonts w:ascii="Arial Narrow" w:hAnsi="Arial Narrow"/>
                <w:noProof/>
                <w:color w:val="006100"/>
                <w:sz w:val="20"/>
              </w:rPr>
              <w:t xml:space="preserve"> uurimisprojekti auhind. </w:t>
            </w:r>
          </w:p>
          <w:p w14:paraId="53478990" w14:textId="667175FD" w:rsidR="0084326C" w:rsidRPr="005D68A0" w:rsidRDefault="0084326C">
            <w:pPr>
              <w:rPr>
                <w:rFonts w:ascii="Arial Narrow" w:hAnsi="Arial Narrow"/>
                <w:noProof/>
                <w:color w:val="006100"/>
                <w:sz w:val="20"/>
                <w:szCs w:val="20"/>
              </w:rPr>
            </w:pPr>
            <w:r>
              <w:rPr>
                <w:rFonts w:ascii="Arial Narrow" w:hAnsi="Arial Narrow"/>
                <w:noProof/>
                <w:color w:val="006100"/>
                <w:sz w:val="20"/>
              </w:rPr>
              <w:t>Lepingud sõlmitakse projektidega, mis on välja valitud konkursikutsete alusel, järgides tehnilisi suuniseid „Mitte tekitada olulist kahju“ (2021/C58/01), kasutades kõrvalejätmise loetelu ning asjaomaste ELi ja riiklike keskkonnaalaste õigusaktide järgimise nõuet.</w:t>
            </w:r>
          </w:p>
        </w:tc>
      </w:tr>
      <w:tr w:rsidR="00512838" w:rsidRPr="00D90835" w14:paraId="02CDAD03" w14:textId="77777777">
        <w:trPr>
          <w:trHeight w:val="313"/>
        </w:trPr>
        <w:tc>
          <w:tcPr>
            <w:tcW w:w="1135" w:type="dxa"/>
            <w:shd w:val="clear" w:color="auto" w:fill="C6EFCE"/>
            <w:noWrap/>
            <w:vAlign w:val="center"/>
            <w:hideMark/>
          </w:tcPr>
          <w:p w14:paraId="7EC1FF1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M4C2-6</w:t>
            </w:r>
          </w:p>
        </w:tc>
        <w:tc>
          <w:tcPr>
            <w:tcW w:w="1419" w:type="dxa"/>
            <w:shd w:val="clear" w:color="auto" w:fill="C6EFCE"/>
            <w:noWrap/>
            <w:vAlign w:val="center"/>
          </w:tcPr>
          <w:p w14:paraId="73652C9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1.1. Olulist riiklikku huvi pakkuvad uurimisprojektid (PRIN)</w:t>
            </w:r>
          </w:p>
        </w:tc>
        <w:tc>
          <w:tcPr>
            <w:tcW w:w="1132" w:type="dxa"/>
            <w:shd w:val="clear" w:color="auto" w:fill="C6EFCE"/>
            <w:noWrap/>
            <w:vAlign w:val="center"/>
            <w:hideMark/>
          </w:tcPr>
          <w:p w14:paraId="0B6C7F1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1418" w:type="dxa"/>
            <w:shd w:val="clear" w:color="auto" w:fill="C6EFCE"/>
            <w:noWrap/>
            <w:vAlign w:val="center"/>
          </w:tcPr>
          <w:p w14:paraId="5C544DE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Eraldatud teadusprojektide arv</w:t>
            </w:r>
          </w:p>
        </w:tc>
        <w:tc>
          <w:tcPr>
            <w:tcW w:w="1275" w:type="dxa"/>
            <w:shd w:val="clear" w:color="auto" w:fill="C6EFCE"/>
            <w:noWrap/>
            <w:vAlign w:val="center"/>
            <w:hideMark/>
          </w:tcPr>
          <w:p w14:paraId="293E5C4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hideMark/>
          </w:tcPr>
          <w:p w14:paraId="58661DA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993" w:type="dxa"/>
            <w:shd w:val="clear" w:color="auto" w:fill="C6EFCE"/>
            <w:noWrap/>
            <w:vAlign w:val="center"/>
          </w:tcPr>
          <w:p w14:paraId="608D5D8C" w14:textId="383BE4ED"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3 150</w:t>
            </w:r>
          </w:p>
        </w:tc>
        <w:tc>
          <w:tcPr>
            <w:tcW w:w="1275" w:type="dxa"/>
            <w:shd w:val="clear" w:color="auto" w:fill="C6EFCE"/>
            <w:noWrap/>
            <w:vAlign w:val="center"/>
          </w:tcPr>
          <w:p w14:paraId="2A4AACB0" w14:textId="239FD939"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5 350</w:t>
            </w:r>
          </w:p>
        </w:tc>
        <w:tc>
          <w:tcPr>
            <w:tcW w:w="993" w:type="dxa"/>
            <w:shd w:val="clear" w:color="auto" w:fill="C6EFCE"/>
            <w:noWrap/>
            <w:vAlign w:val="center"/>
            <w:hideMark/>
          </w:tcPr>
          <w:p w14:paraId="0DCF93D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708" w:type="dxa"/>
            <w:shd w:val="clear" w:color="auto" w:fill="C6EFCE"/>
            <w:noWrap/>
            <w:vAlign w:val="center"/>
            <w:hideMark/>
          </w:tcPr>
          <w:p w14:paraId="6F673F8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2025</w:t>
            </w:r>
          </w:p>
        </w:tc>
        <w:tc>
          <w:tcPr>
            <w:tcW w:w="3686" w:type="dxa"/>
            <w:shd w:val="clear" w:color="auto" w:fill="C6EFCE"/>
            <w:noWrap/>
            <w:vAlign w:val="center"/>
            <w:hideMark/>
          </w:tcPr>
          <w:p w14:paraId="66FDD0A6" w14:textId="1E80E2BA" w:rsidR="0084326C" w:rsidRPr="005D68A0" w:rsidRDefault="0084326C">
            <w:pPr>
              <w:rPr>
                <w:rFonts w:ascii="Arial Narrow" w:hAnsi="Arial Narrow"/>
                <w:noProof/>
                <w:color w:val="006100"/>
                <w:sz w:val="20"/>
                <w:szCs w:val="20"/>
              </w:rPr>
            </w:pPr>
            <w:r>
              <w:rPr>
                <w:rFonts w:ascii="Arial Narrow" w:hAnsi="Arial Narrow"/>
                <w:noProof/>
                <w:color w:val="006100"/>
                <w:sz w:val="20"/>
              </w:rPr>
              <w:t>Vähemalt 5 350 Progetti di Ricerca di Interesse Nazionale uurimisprojekti auhind.</w:t>
            </w:r>
          </w:p>
          <w:p w14:paraId="323A54A3" w14:textId="3448C319" w:rsidR="0084326C" w:rsidRPr="005D68A0" w:rsidRDefault="0084326C">
            <w:pPr>
              <w:rPr>
                <w:rFonts w:ascii="Arial Narrow" w:hAnsi="Arial Narrow"/>
                <w:noProof/>
                <w:color w:val="006100"/>
                <w:sz w:val="20"/>
                <w:szCs w:val="20"/>
              </w:rPr>
            </w:pPr>
            <w:r>
              <w:rPr>
                <w:rFonts w:ascii="Arial Narrow" w:hAnsi="Arial Narrow"/>
                <w:noProof/>
                <w:color w:val="006100"/>
                <w:sz w:val="20"/>
              </w:rPr>
              <w:t>Lepingud sõlmitakse projektidega, mis on välja valitud konkursikutsete alusel, järgides tehnilisi suuniseid „Mitte tekitada olulist kahju“ (2021/C58/01), kasutades kõrvalejätmise loetelu ning asjaomaste ELi ja riiklike keskkonnaalaste õigusaktide järgimise nõuet.</w:t>
            </w:r>
          </w:p>
        </w:tc>
      </w:tr>
      <w:tr w:rsidR="00512838" w:rsidRPr="00D90835" w14:paraId="60CBA4E1" w14:textId="77777777">
        <w:trPr>
          <w:trHeight w:val="313"/>
        </w:trPr>
        <w:tc>
          <w:tcPr>
            <w:tcW w:w="1135" w:type="dxa"/>
            <w:shd w:val="clear" w:color="auto" w:fill="C6EFCE"/>
            <w:noWrap/>
            <w:vAlign w:val="center"/>
            <w:hideMark/>
          </w:tcPr>
          <w:p w14:paraId="2772FD9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M4C2-7</w:t>
            </w:r>
          </w:p>
        </w:tc>
        <w:tc>
          <w:tcPr>
            <w:tcW w:w="1419" w:type="dxa"/>
            <w:shd w:val="clear" w:color="auto" w:fill="C6EFCE"/>
            <w:noWrap/>
            <w:vAlign w:val="center"/>
            <w:hideMark/>
          </w:tcPr>
          <w:p w14:paraId="017872B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1.1. Olulist riiklikku huvi pakkuvad uurimisprojektid (PRIN)</w:t>
            </w:r>
          </w:p>
        </w:tc>
        <w:tc>
          <w:tcPr>
            <w:tcW w:w="1132" w:type="dxa"/>
            <w:shd w:val="clear" w:color="auto" w:fill="C6EFCE"/>
            <w:noWrap/>
            <w:vAlign w:val="center"/>
            <w:hideMark/>
          </w:tcPr>
          <w:p w14:paraId="04D5989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1418" w:type="dxa"/>
            <w:shd w:val="clear" w:color="auto" w:fill="C6EFCE"/>
            <w:noWrap/>
            <w:vAlign w:val="center"/>
            <w:hideMark/>
          </w:tcPr>
          <w:p w14:paraId="114AD47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Tööle võetud tähtajalise lepinguga teadlaste arv</w:t>
            </w:r>
          </w:p>
        </w:tc>
        <w:tc>
          <w:tcPr>
            <w:tcW w:w="1275" w:type="dxa"/>
            <w:shd w:val="clear" w:color="auto" w:fill="C6EFCE"/>
            <w:noWrap/>
            <w:vAlign w:val="center"/>
            <w:hideMark/>
          </w:tcPr>
          <w:p w14:paraId="7EC5736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hideMark/>
          </w:tcPr>
          <w:p w14:paraId="77E97B1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993" w:type="dxa"/>
            <w:shd w:val="clear" w:color="auto" w:fill="C6EFCE"/>
            <w:noWrap/>
            <w:vAlign w:val="center"/>
            <w:hideMark/>
          </w:tcPr>
          <w:p w14:paraId="5323D54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1275" w:type="dxa"/>
            <w:shd w:val="clear" w:color="auto" w:fill="C6EFCE"/>
            <w:noWrap/>
            <w:vAlign w:val="center"/>
            <w:hideMark/>
          </w:tcPr>
          <w:p w14:paraId="20BA005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900</w:t>
            </w:r>
          </w:p>
        </w:tc>
        <w:tc>
          <w:tcPr>
            <w:tcW w:w="993" w:type="dxa"/>
            <w:shd w:val="clear" w:color="auto" w:fill="C6EFCE"/>
            <w:noWrap/>
            <w:vAlign w:val="center"/>
            <w:hideMark/>
          </w:tcPr>
          <w:p w14:paraId="1AAC445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708" w:type="dxa"/>
            <w:shd w:val="clear" w:color="auto" w:fill="C6EFCE"/>
            <w:noWrap/>
            <w:vAlign w:val="center"/>
            <w:hideMark/>
          </w:tcPr>
          <w:p w14:paraId="5DC616D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2025</w:t>
            </w:r>
          </w:p>
        </w:tc>
        <w:tc>
          <w:tcPr>
            <w:tcW w:w="3686" w:type="dxa"/>
            <w:shd w:val="clear" w:color="auto" w:fill="C6EFCE"/>
            <w:noWrap/>
            <w:vAlign w:val="center"/>
            <w:hideMark/>
          </w:tcPr>
          <w:p w14:paraId="13682003"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Tööle võetakse vähemalt 900 uut tähtajalise lepinguga teadlast.</w:t>
            </w:r>
          </w:p>
          <w:p w14:paraId="1CA0D302"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Palgatud teadlased keskenduvad prioriteetidele, mis on kooskõlas Euroopa teadusuuringute ja innovatsiooni raamprogrammi (2021–2027) kuue teemavaldkonnaga: i) tervishoid; ii) humanistlik kultuur, loovus, sotsiaalsed muutused, kaasav ühiskond; iii) sotsiaalsüsteemide turvalisus; iv) digitaalvaldkond, tööstus, lennundus ja kosmosetööstus; v) kliima, energia, säästev liikuvus; vi) toiduained, biomajandus, bioloogiline mitmekesisus, põllumajandus, keskkond.</w:t>
            </w:r>
          </w:p>
        </w:tc>
      </w:tr>
      <w:tr w:rsidR="00512838" w:rsidRPr="00D90835" w14:paraId="194E7572" w14:textId="77777777">
        <w:trPr>
          <w:trHeight w:val="1278"/>
        </w:trPr>
        <w:tc>
          <w:tcPr>
            <w:tcW w:w="1135" w:type="dxa"/>
            <w:shd w:val="clear" w:color="auto" w:fill="C6EFCE"/>
            <w:noWrap/>
            <w:vAlign w:val="center"/>
            <w:hideMark/>
          </w:tcPr>
          <w:p w14:paraId="7F812B9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M4C2-8</w:t>
            </w:r>
          </w:p>
        </w:tc>
        <w:tc>
          <w:tcPr>
            <w:tcW w:w="1419" w:type="dxa"/>
            <w:shd w:val="clear" w:color="auto" w:fill="C6EFCE"/>
            <w:noWrap/>
            <w:vAlign w:val="center"/>
            <w:hideMark/>
          </w:tcPr>
          <w:p w14:paraId="1971661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1.3. Ülikoolidele, uurimiskeskustele, ettevõtetele ja alusuuringute projektide rahastamisele laiendatud partnerlused</w:t>
            </w:r>
          </w:p>
        </w:tc>
        <w:tc>
          <w:tcPr>
            <w:tcW w:w="1132" w:type="dxa"/>
            <w:shd w:val="clear" w:color="auto" w:fill="C6EFCE"/>
            <w:noWrap/>
            <w:vAlign w:val="center"/>
            <w:hideMark/>
          </w:tcPr>
          <w:p w14:paraId="2E66697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1418" w:type="dxa"/>
            <w:shd w:val="clear" w:color="auto" w:fill="C6EFCE"/>
            <w:noWrap/>
            <w:vAlign w:val="center"/>
            <w:hideMark/>
          </w:tcPr>
          <w:p w14:paraId="29E96775" w14:textId="29978A16"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Uurimisinstituutide ja eraettevõtete vahel sõlmitud kavandatavate alusuuringute partnerluste jaoks tööle võetud tähtajaliste teadlaste arv</w:t>
            </w:r>
          </w:p>
        </w:tc>
        <w:tc>
          <w:tcPr>
            <w:tcW w:w="1275" w:type="dxa"/>
            <w:shd w:val="clear" w:color="auto" w:fill="C6EFCE"/>
            <w:noWrap/>
            <w:vAlign w:val="center"/>
            <w:hideMark/>
          </w:tcPr>
          <w:p w14:paraId="7A32A9D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hideMark/>
          </w:tcPr>
          <w:p w14:paraId="04A9F7F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993" w:type="dxa"/>
            <w:shd w:val="clear" w:color="auto" w:fill="C6EFCE"/>
            <w:noWrap/>
            <w:vAlign w:val="center"/>
            <w:hideMark/>
          </w:tcPr>
          <w:p w14:paraId="0799AEC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1275" w:type="dxa"/>
            <w:shd w:val="clear" w:color="auto" w:fill="C6EFCE"/>
            <w:noWrap/>
            <w:vAlign w:val="center"/>
            <w:hideMark/>
          </w:tcPr>
          <w:p w14:paraId="2DD37E36" w14:textId="00339005"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1 400</w:t>
            </w:r>
          </w:p>
        </w:tc>
        <w:tc>
          <w:tcPr>
            <w:tcW w:w="993" w:type="dxa"/>
            <w:shd w:val="clear" w:color="auto" w:fill="C6EFCE"/>
            <w:noWrap/>
            <w:vAlign w:val="center"/>
            <w:hideMark/>
          </w:tcPr>
          <w:p w14:paraId="259D96A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708" w:type="dxa"/>
            <w:shd w:val="clear" w:color="auto" w:fill="C6EFCE"/>
            <w:noWrap/>
            <w:vAlign w:val="center"/>
            <w:hideMark/>
          </w:tcPr>
          <w:p w14:paraId="29A8CDD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2025</w:t>
            </w:r>
          </w:p>
        </w:tc>
        <w:tc>
          <w:tcPr>
            <w:tcW w:w="3686" w:type="dxa"/>
            <w:shd w:val="clear" w:color="auto" w:fill="C6EFCE"/>
            <w:noWrap/>
            <w:vAlign w:val="center"/>
            <w:hideMark/>
          </w:tcPr>
          <w:p w14:paraId="4BECCCA0"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 xml:space="preserve">Vähemalt 100 uut tähtajalist teadlast, kes on tööle võetud iga kavandatud alusuuringute partnerluse jaoks, mis on sõlmitud uurimisinstituutide ja eraettevõtete vahel (1.3); </w:t>
            </w:r>
          </w:p>
          <w:p w14:paraId="56730013"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 xml:space="preserve">Uurimisinstituutide ja eraettevõtete vahel sõlmitakse vähemalt 14 alusuuringute partnerlust. </w:t>
            </w:r>
          </w:p>
          <w:p w14:paraId="14D6AC9A"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Eesmärgi rahuldav täitmine sõltub naisteadlastega sõlmitud tähtajaliste lepingute osakaalust: vähemalt 40 %.</w:t>
            </w:r>
          </w:p>
          <w:p w14:paraId="0AA83F4E"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Projektid valitakse välja konkurentsikriteeriumide alusel, mis hõlmavad i) broneeringuinfo (Piano Nazionale di Ricerca) eesmärkide ja prioriteetide järgimist; ii) sidusrühmade kaasamine, et ühendada tehnoloogilise valmisoleku tase (TRL) ühiskondliku valmisoleku tasemega (SRL);</w:t>
            </w:r>
          </w:p>
          <w:p w14:paraId="73913F04"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Lisaks määratakse kindlaks konkreetsed valikukriteeriumid, et tagada i) asjaomaste territooriumide tasakaal (toetades riigi eri piirkondade ja piirkondade, sealhulgas lõunapoolsete ja saarte osalejate kaasamist), ii) nii suurte kui ka väikeste ja keskmise suurusega ettevõtjate (VKEd) kaasamine, pöörates erilist tähelepanu noorematele (vähem kui viis aastat pärast asutamist) ja innovaatilistele ettevõtjatele.</w:t>
            </w:r>
          </w:p>
          <w:p w14:paraId="262B78B0" w14:textId="77777777" w:rsidR="0084326C" w:rsidRPr="005D68A0" w:rsidRDefault="0084326C">
            <w:pPr>
              <w:pStyle w:val="paragraph"/>
              <w:spacing w:before="0" w:beforeAutospacing="0" w:after="120" w:afterAutospacing="0"/>
              <w:textAlignment w:val="baseline"/>
              <w:rPr>
                <w:rFonts w:ascii="Arial Narrow" w:hAnsi="Arial Narrow"/>
                <w:noProof/>
                <w:color w:val="006100"/>
                <w:sz w:val="20"/>
                <w:szCs w:val="20"/>
              </w:rPr>
            </w:pPr>
            <w:r>
              <w:rPr>
                <w:rFonts w:ascii="Arial Narrow" w:hAnsi="Arial Narrow"/>
                <w:noProof/>
                <w:color w:val="006100"/>
                <w:sz w:val="20"/>
              </w:rPr>
              <w:t>Programmitaotluste esitamise kutse ja valikumenetlus sisaldavad järgmist:</w:t>
            </w:r>
          </w:p>
          <w:p w14:paraId="6CC1B1B4" w14:textId="77777777" w:rsidR="0084326C" w:rsidRPr="005D68A0" w:rsidRDefault="0084326C">
            <w:pPr>
              <w:pStyle w:val="paragraph"/>
              <w:spacing w:before="0" w:beforeAutospacing="0" w:after="120" w:afterAutospacing="0"/>
              <w:textAlignment w:val="baseline"/>
              <w:rPr>
                <w:rFonts w:ascii="Arial Narrow" w:hAnsi="Arial Narrow"/>
                <w:noProof/>
                <w:color w:val="006100"/>
                <w:sz w:val="20"/>
                <w:szCs w:val="20"/>
              </w:rPr>
            </w:pPr>
            <w:r>
              <w:rPr>
                <w:rFonts w:ascii="Arial Narrow" w:hAnsi="Arial Narrow"/>
                <w:noProof/>
                <w:color w:val="006100"/>
                <w:sz w:val="20"/>
              </w:rPr>
              <w:t>a) Abikõlblikkuskriteeriumid, millega tagatakse, et valitud projektid vastavad tehnilisele juhendile „Mitte tekitada olulist kahju“ (2021/C58/01), kasutades kõrvalejätmise loetelu ning asjaomaste ELi ja riiklike keskkonnaalaste õigusaktide järgimise nõuet.</w:t>
            </w:r>
          </w:p>
          <w:p w14:paraId="5DCB4851" w14:textId="77777777" w:rsidR="0084326C" w:rsidRPr="005D68A0" w:rsidRDefault="0084326C">
            <w:pPr>
              <w:pStyle w:val="paragraph"/>
              <w:spacing w:before="0" w:beforeAutospacing="0" w:after="120" w:afterAutospacing="0"/>
              <w:textAlignment w:val="baseline"/>
              <w:rPr>
                <w:rFonts w:ascii="Arial Narrow" w:hAnsi="Arial Narrow"/>
                <w:noProof/>
                <w:color w:val="006100"/>
                <w:sz w:val="20"/>
                <w:szCs w:val="20"/>
              </w:rPr>
            </w:pPr>
            <w:r>
              <w:rPr>
                <w:rFonts w:ascii="Arial Narrow" w:hAnsi="Arial Narrow"/>
                <w:noProof/>
                <w:color w:val="006100"/>
                <w:sz w:val="20"/>
              </w:rPr>
              <w:t>b) Kohustus, et määruse (EL) 2021/241 VI lisas sätestatud metoodika kohane investeeringu panus kliimameetmetesse moodustab vähemalt 42 % taaste- ja vastupidavusrahastust toetatavate investeeringute kogukuludest.</w:t>
            </w:r>
          </w:p>
          <w:p w14:paraId="5AA22411" w14:textId="77777777" w:rsidR="0084326C" w:rsidRPr="005D68A0" w:rsidRDefault="0084326C">
            <w:pPr>
              <w:pStyle w:val="paragraph"/>
              <w:spacing w:before="0" w:beforeAutospacing="0" w:after="120" w:afterAutospacing="0"/>
              <w:textAlignment w:val="baseline"/>
              <w:rPr>
                <w:rFonts w:ascii="Arial Narrow" w:hAnsi="Arial Narrow"/>
                <w:noProof/>
                <w:color w:val="006100"/>
                <w:sz w:val="20"/>
                <w:szCs w:val="20"/>
              </w:rPr>
            </w:pPr>
            <w:r>
              <w:rPr>
                <w:rFonts w:ascii="Arial Narrow" w:hAnsi="Arial Narrow"/>
                <w:noProof/>
                <w:color w:val="006100"/>
                <w:sz w:val="20"/>
              </w:rPr>
              <w:t>c) Kohustus esitada aruanne meetme rakendamise kohta kava kehtivusaja keskel ja kava lõppedes.</w:t>
            </w:r>
          </w:p>
        </w:tc>
      </w:tr>
      <w:tr w:rsidR="00512838" w:rsidRPr="00D90835" w14:paraId="7A573179" w14:textId="77777777">
        <w:trPr>
          <w:trHeight w:val="313"/>
        </w:trPr>
        <w:tc>
          <w:tcPr>
            <w:tcW w:w="1135" w:type="dxa"/>
            <w:shd w:val="clear" w:color="auto" w:fill="C6EFCE"/>
            <w:noWrap/>
            <w:vAlign w:val="center"/>
            <w:hideMark/>
          </w:tcPr>
          <w:p w14:paraId="71FC650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M4C2-9</w:t>
            </w:r>
          </w:p>
        </w:tc>
        <w:tc>
          <w:tcPr>
            <w:tcW w:w="1419" w:type="dxa"/>
            <w:shd w:val="clear" w:color="auto" w:fill="C6EFCE"/>
            <w:noWrap/>
            <w:vAlign w:val="center"/>
            <w:hideMark/>
          </w:tcPr>
          <w:p w14:paraId="7ABC12A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1.4. Teadusstruktuuride tugevdamine ja „riiklike teadus- ja arendustegevuse juhtide“ loomise toetamine mõnede progressi võimaldavate tehnoloogiate valdkonnas</w:t>
            </w:r>
          </w:p>
        </w:tc>
        <w:tc>
          <w:tcPr>
            <w:tcW w:w="1132" w:type="dxa"/>
            <w:shd w:val="clear" w:color="auto" w:fill="C6EFCE"/>
            <w:noWrap/>
            <w:vAlign w:val="center"/>
            <w:hideMark/>
          </w:tcPr>
          <w:p w14:paraId="1C25A15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1418" w:type="dxa"/>
            <w:shd w:val="clear" w:color="auto" w:fill="C6EFCE"/>
            <w:noWrap/>
            <w:vAlign w:val="center"/>
            <w:hideMark/>
          </w:tcPr>
          <w:p w14:paraId="6AAA3687" w14:textId="77777777" w:rsidR="0084326C" w:rsidRPr="00F33804" w:rsidRDefault="0084326C">
            <w:pPr>
              <w:jc w:val="center"/>
              <w:rPr>
                <w:rFonts w:ascii="Arial Narrow" w:hAnsi="Arial Narrow"/>
                <w:noProof/>
                <w:color w:val="006100"/>
                <w:sz w:val="20"/>
                <w:szCs w:val="20"/>
              </w:rPr>
            </w:pPr>
          </w:p>
          <w:p w14:paraId="1EFAC94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Riiklikud keskused on riiklike keskuste tegevus ja tegevus peamiste progressi võimaldavate tehnoloogiate valdkonnas.</w:t>
            </w:r>
          </w:p>
        </w:tc>
        <w:tc>
          <w:tcPr>
            <w:tcW w:w="1275" w:type="dxa"/>
            <w:shd w:val="clear" w:color="auto" w:fill="C6EFCE"/>
            <w:noWrap/>
            <w:vAlign w:val="center"/>
            <w:hideMark/>
          </w:tcPr>
          <w:p w14:paraId="1608D31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hideMark/>
          </w:tcPr>
          <w:p w14:paraId="6B9787A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993" w:type="dxa"/>
            <w:shd w:val="clear" w:color="auto" w:fill="C6EFCE"/>
            <w:noWrap/>
            <w:vAlign w:val="center"/>
            <w:hideMark/>
          </w:tcPr>
          <w:p w14:paraId="2F3AF6A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1275" w:type="dxa"/>
            <w:shd w:val="clear" w:color="auto" w:fill="C6EFCE"/>
            <w:noWrap/>
            <w:vAlign w:val="center"/>
            <w:hideMark/>
          </w:tcPr>
          <w:p w14:paraId="0414D29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5</w:t>
            </w:r>
          </w:p>
        </w:tc>
        <w:tc>
          <w:tcPr>
            <w:tcW w:w="993" w:type="dxa"/>
            <w:shd w:val="clear" w:color="auto" w:fill="C6EFCE"/>
            <w:noWrap/>
            <w:vAlign w:val="center"/>
            <w:hideMark/>
          </w:tcPr>
          <w:p w14:paraId="2DE08D2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708" w:type="dxa"/>
            <w:shd w:val="clear" w:color="auto" w:fill="C6EFCE"/>
            <w:noWrap/>
            <w:vAlign w:val="center"/>
            <w:hideMark/>
          </w:tcPr>
          <w:p w14:paraId="1A92F86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3686" w:type="dxa"/>
            <w:shd w:val="clear" w:color="auto" w:fill="C6EFCE"/>
            <w:noWrap/>
            <w:vAlign w:val="center"/>
            <w:hideMark/>
          </w:tcPr>
          <w:p w14:paraId="134FE029" w14:textId="77777777" w:rsidR="0084326C" w:rsidRPr="005D68A0" w:rsidRDefault="0084326C">
            <w:pPr>
              <w:ind w:left="30" w:hanging="30"/>
              <w:jc w:val="both"/>
              <w:rPr>
                <w:rFonts w:ascii="Arial Narrow" w:hAnsi="Arial Narrow"/>
                <w:noProof/>
                <w:color w:val="006100"/>
                <w:sz w:val="20"/>
                <w:szCs w:val="20"/>
              </w:rPr>
            </w:pPr>
            <w:r>
              <w:rPr>
                <w:rFonts w:ascii="Arial Narrow" w:hAnsi="Arial Narrow"/>
                <w:noProof/>
                <w:color w:val="006100"/>
                <w:sz w:val="20"/>
              </w:rPr>
              <w:t xml:space="preserve">Riiklikud keskused, kellega sõlmiti lepingud ja mida hinnati eesmärgiga M4C2–19, on toimivad ja on lõpetanud asjakohases konkursikutses määratletud tegevuse. </w:t>
            </w:r>
          </w:p>
        </w:tc>
      </w:tr>
      <w:tr w:rsidR="00512838" w:rsidRPr="00D90835" w14:paraId="2650459E" w14:textId="77777777">
        <w:trPr>
          <w:trHeight w:val="313"/>
        </w:trPr>
        <w:tc>
          <w:tcPr>
            <w:tcW w:w="1135" w:type="dxa"/>
            <w:shd w:val="clear" w:color="auto" w:fill="C6EFCE"/>
            <w:noWrap/>
            <w:vAlign w:val="center"/>
            <w:hideMark/>
          </w:tcPr>
          <w:p w14:paraId="7E11F21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M4C2-10</w:t>
            </w:r>
          </w:p>
        </w:tc>
        <w:tc>
          <w:tcPr>
            <w:tcW w:w="1419" w:type="dxa"/>
            <w:shd w:val="clear" w:color="auto" w:fill="C6EFCE"/>
            <w:noWrap/>
            <w:vAlign w:val="center"/>
            <w:hideMark/>
          </w:tcPr>
          <w:p w14:paraId="1180E4A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2.1. Üleeuroopalist huvi pakkuvad tähtsad projektid</w:t>
            </w:r>
          </w:p>
        </w:tc>
        <w:tc>
          <w:tcPr>
            <w:tcW w:w="1132" w:type="dxa"/>
            <w:shd w:val="clear" w:color="auto" w:fill="C6EFCE"/>
            <w:noWrap/>
            <w:vAlign w:val="center"/>
            <w:hideMark/>
          </w:tcPr>
          <w:p w14:paraId="18D17A9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vAlign w:val="center"/>
            <w:hideMark/>
          </w:tcPr>
          <w:p w14:paraId="3759DAF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Osalemiskutse avaldamine riiklike projektide, sealhulgas üleeuroopalist huvi pakkuvat mikroelektroonikat käsitlevate projektide kindlakstegemiseks</w:t>
            </w:r>
          </w:p>
        </w:tc>
        <w:tc>
          <w:tcPr>
            <w:tcW w:w="1275" w:type="dxa"/>
            <w:shd w:val="clear" w:color="auto" w:fill="C6EFCE"/>
            <w:noWrap/>
            <w:vAlign w:val="center"/>
            <w:hideMark/>
          </w:tcPr>
          <w:p w14:paraId="0D31E7DC" w14:textId="29C857EF"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Osalemiskutse avaldatakse </w:t>
            </w:r>
          </w:p>
        </w:tc>
        <w:tc>
          <w:tcPr>
            <w:tcW w:w="1134" w:type="dxa"/>
            <w:shd w:val="clear" w:color="auto" w:fill="C6EFCE"/>
            <w:noWrap/>
            <w:vAlign w:val="center"/>
            <w:hideMark/>
          </w:tcPr>
          <w:p w14:paraId="4E98AA4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noWrap/>
            <w:vAlign w:val="center"/>
            <w:hideMark/>
          </w:tcPr>
          <w:p w14:paraId="51C8567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275" w:type="dxa"/>
            <w:shd w:val="clear" w:color="auto" w:fill="C6EFCE"/>
            <w:noWrap/>
            <w:vAlign w:val="center"/>
            <w:hideMark/>
          </w:tcPr>
          <w:p w14:paraId="0DA98DF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noWrap/>
            <w:vAlign w:val="center"/>
            <w:hideMark/>
          </w:tcPr>
          <w:p w14:paraId="3CB8E15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708" w:type="dxa"/>
            <w:shd w:val="clear" w:color="auto" w:fill="C6EFCE"/>
            <w:noWrap/>
            <w:vAlign w:val="center"/>
            <w:hideMark/>
          </w:tcPr>
          <w:p w14:paraId="1BA912C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2021</w:t>
            </w:r>
          </w:p>
        </w:tc>
        <w:tc>
          <w:tcPr>
            <w:tcW w:w="3686" w:type="dxa"/>
            <w:shd w:val="clear" w:color="auto" w:fill="C6EFCE"/>
            <w:noWrap/>
            <w:vAlign w:val="center"/>
            <w:hideMark/>
          </w:tcPr>
          <w:p w14:paraId="40415BA4"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Toetust saavate üleeuroopalist huvi pakkuvate projektide puhul eeldatakse, et neid ajakohastatakse sõltuvalt käimasoleva riikliku üleeuroopalist huvi pakkuvate projektide menetluse tegelikust edenemisetapist ja riigiabist teatamise menetluse edenemisetapist.</w:t>
            </w:r>
          </w:p>
          <w:p w14:paraId="26658124"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Valitud üleeuroopalist huvi pakkuvad projektid käsitlevad konkreetseid innovaatilisi tööstussektoreid kooskõlas juba kindlaks määratud Euroopa väärtusahelatega.</w:t>
            </w:r>
          </w:p>
          <w:p w14:paraId="1F17FE66"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See sekkumine hõlmab nii juba heakskiidetud üleeuroopalist huvi pakkuvaid projekte kui ka tulevasi, näiteks pilvandmetöötlust, tervishoidu, reamaterjale ja küberturvalisust.</w:t>
            </w:r>
          </w:p>
          <w:p w14:paraId="76874AFF"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Konkursikutse tingimused hõlmavad järgmist:</w:t>
            </w:r>
          </w:p>
          <w:p w14:paraId="3F54FE77" w14:textId="77777777" w:rsidR="0084326C" w:rsidRPr="00CD5533" w:rsidRDefault="0084326C" w:rsidP="00CD5533">
            <w:pPr>
              <w:pStyle w:val="paragraph"/>
              <w:spacing w:before="0" w:beforeAutospacing="0" w:after="0" w:afterAutospacing="0"/>
              <w:textAlignment w:val="baseline"/>
              <w:rPr>
                <w:rFonts w:ascii="Arial Narrow" w:hAnsi="Arial Narrow"/>
                <w:noProof/>
                <w:color w:val="006100"/>
                <w:sz w:val="20"/>
              </w:rPr>
            </w:pPr>
            <w:r>
              <w:rPr>
                <w:rFonts w:ascii="Arial Narrow" w:hAnsi="Arial Narrow"/>
                <w:noProof/>
                <w:color w:val="006100"/>
                <w:sz w:val="20"/>
              </w:rPr>
              <w:t>a) Abikõlblikkuskriteeriumid, millega tagatakse, et valitud projektid vastavad tehnilisele juhendile „Mitte tekitada olulist kahju“ (2021/C58/01), kasutades kõrvalejätmise loetelu ning asjaomaste ELi ja riiklike keskkonnaalaste õigusaktide järgimise nõuet.</w:t>
            </w:r>
          </w:p>
          <w:p w14:paraId="3AB2EF60" w14:textId="77777777" w:rsidR="0084326C" w:rsidRPr="005D68A0" w:rsidRDefault="0084326C">
            <w:pPr>
              <w:pStyle w:val="paragraph"/>
              <w:spacing w:before="0" w:beforeAutospacing="0" w:after="0" w:afterAutospacing="0"/>
              <w:textAlignment w:val="baseline"/>
              <w:rPr>
                <w:rFonts w:ascii="Arial Narrow" w:hAnsi="Arial Narrow"/>
                <w:noProof/>
                <w:color w:val="006100"/>
                <w:sz w:val="20"/>
                <w:szCs w:val="20"/>
              </w:rPr>
            </w:pPr>
            <w:r>
              <w:rPr>
                <w:rFonts w:ascii="Arial Narrow" w:hAnsi="Arial Narrow"/>
                <w:noProof/>
                <w:color w:val="006100"/>
                <w:sz w:val="20"/>
              </w:rPr>
              <w:t>b) Kohustus, et määruse (EL) 2021/241 VI lisas sätestatud metoodika kohane investeeringu panus kliimameetmetesse moodustab vähemalt 40 % taaste- ja vastupidavusrahastust toetatava investeeringu kogukuludest.</w:t>
            </w:r>
          </w:p>
          <w:p w14:paraId="7D960F09" w14:textId="77777777" w:rsidR="0084326C" w:rsidRPr="00CD5533" w:rsidRDefault="0084326C" w:rsidP="00CD5533">
            <w:pPr>
              <w:pStyle w:val="paragraph"/>
              <w:spacing w:before="0" w:beforeAutospacing="0" w:after="0" w:afterAutospacing="0"/>
              <w:textAlignment w:val="baseline"/>
              <w:rPr>
                <w:rFonts w:ascii="Arial Narrow" w:hAnsi="Arial Narrow"/>
                <w:noProof/>
                <w:color w:val="006100"/>
                <w:sz w:val="20"/>
              </w:rPr>
            </w:pPr>
            <w:r>
              <w:rPr>
                <w:rFonts w:ascii="Arial Narrow" w:hAnsi="Arial Narrow"/>
                <w:noProof/>
                <w:color w:val="006100"/>
                <w:sz w:val="20"/>
              </w:rPr>
              <w:t>c) Kohustus, et määruse (EL) 2021/241 VII lisas esitatud metoodika kohane investeeringu digivaldkonna panus moodustab vähemalt 60 % taaste- ja vastupidavusrahastust toetatavate investeeringute kogukuludest.</w:t>
            </w:r>
          </w:p>
          <w:p w14:paraId="00CBD252" w14:textId="77777777" w:rsidR="0084326C" w:rsidRPr="005D68A0" w:rsidRDefault="0084326C" w:rsidP="00CD5533">
            <w:pPr>
              <w:pStyle w:val="paragraph"/>
              <w:spacing w:before="0" w:beforeAutospacing="0" w:after="0" w:afterAutospacing="0"/>
              <w:textAlignment w:val="baseline"/>
              <w:rPr>
                <w:rFonts w:ascii="Arial Narrow" w:hAnsi="Arial Narrow"/>
                <w:noProof/>
                <w:color w:val="006100"/>
                <w:sz w:val="20"/>
                <w:szCs w:val="20"/>
              </w:rPr>
            </w:pPr>
            <w:r>
              <w:rPr>
                <w:rFonts w:ascii="Arial Narrow" w:hAnsi="Arial Narrow"/>
                <w:noProof/>
                <w:color w:val="006100"/>
                <w:sz w:val="20"/>
              </w:rPr>
              <w:t>d) Kohustus esitada aruanne meetme rakendamise kohta kava kehtivusaja keskel ja kava lõppedes.</w:t>
            </w:r>
          </w:p>
        </w:tc>
      </w:tr>
      <w:tr w:rsidR="00512838" w:rsidRPr="00D90835" w14:paraId="39B8231D" w14:textId="77777777">
        <w:trPr>
          <w:trHeight w:val="313"/>
        </w:trPr>
        <w:tc>
          <w:tcPr>
            <w:tcW w:w="1135" w:type="dxa"/>
            <w:shd w:val="clear" w:color="auto" w:fill="C6EFCE"/>
            <w:noWrap/>
            <w:vAlign w:val="center"/>
            <w:hideMark/>
          </w:tcPr>
          <w:p w14:paraId="708B903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M4C2-11</w:t>
            </w:r>
          </w:p>
        </w:tc>
        <w:tc>
          <w:tcPr>
            <w:tcW w:w="1419" w:type="dxa"/>
            <w:shd w:val="clear" w:color="auto" w:fill="C6EFCE"/>
            <w:noWrap/>
            <w:vAlign w:val="center"/>
            <w:hideMark/>
          </w:tcPr>
          <w:p w14:paraId="3528A72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2.1. Üleeuroopalist huvi pakkuvad tähtsad projektid</w:t>
            </w:r>
          </w:p>
        </w:tc>
        <w:tc>
          <w:tcPr>
            <w:tcW w:w="1132" w:type="dxa"/>
            <w:shd w:val="clear" w:color="auto" w:fill="C6EFCE"/>
            <w:noWrap/>
            <w:vAlign w:val="center"/>
            <w:hideMark/>
          </w:tcPr>
          <w:p w14:paraId="73A217B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vAlign w:val="center"/>
            <w:hideMark/>
          </w:tcPr>
          <w:p w14:paraId="2C75251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Jõustub riiklik õigusakt, millega eraldatakse projektis osalejatele toetuse andmiseks vajalikud rahalised vahendid.</w:t>
            </w:r>
          </w:p>
        </w:tc>
        <w:tc>
          <w:tcPr>
            <w:tcW w:w="1275" w:type="dxa"/>
            <w:shd w:val="clear" w:color="auto" w:fill="C6EFCE"/>
            <w:noWrap/>
            <w:vAlign w:val="center"/>
            <w:hideMark/>
          </w:tcPr>
          <w:p w14:paraId="251DD52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Siseriikliku õigusakti säte, milles on märgitud õigusakti jõustumine</w:t>
            </w:r>
          </w:p>
        </w:tc>
        <w:tc>
          <w:tcPr>
            <w:tcW w:w="1134" w:type="dxa"/>
            <w:shd w:val="clear" w:color="auto" w:fill="C6EFCE"/>
            <w:noWrap/>
            <w:vAlign w:val="center"/>
            <w:hideMark/>
          </w:tcPr>
          <w:p w14:paraId="048615A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noWrap/>
            <w:vAlign w:val="center"/>
            <w:hideMark/>
          </w:tcPr>
          <w:p w14:paraId="26FA5AA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275" w:type="dxa"/>
            <w:shd w:val="clear" w:color="auto" w:fill="C6EFCE"/>
            <w:noWrap/>
            <w:vAlign w:val="center"/>
            <w:hideMark/>
          </w:tcPr>
          <w:p w14:paraId="6D74731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noWrap/>
            <w:vAlign w:val="center"/>
            <w:hideMark/>
          </w:tcPr>
          <w:p w14:paraId="2770ED1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708" w:type="dxa"/>
            <w:shd w:val="clear" w:color="auto" w:fill="C6EFCE"/>
            <w:noWrap/>
            <w:vAlign w:val="center"/>
            <w:hideMark/>
          </w:tcPr>
          <w:p w14:paraId="32443ED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2022</w:t>
            </w:r>
          </w:p>
        </w:tc>
        <w:tc>
          <w:tcPr>
            <w:tcW w:w="3686" w:type="dxa"/>
            <w:shd w:val="clear" w:color="auto" w:fill="C6EFCE"/>
            <w:noWrap/>
            <w:vAlign w:val="center"/>
            <w:hideMark/>
          </w:tcPr>
          <w:p w14:paraId="7F2B430C"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Riiklikus õigusaktis sätestatakse projektide esitamise kord ja tähtajad ning võimalike toetusesaajate juurdepääsunõuded.</w:t>
            </w:r>
          </w:p>
        </w:tc>
      </w:tr>
      <w:tr w:rsidR="00512838" w:rsidRPr="00D90835" w14:paraId="2AD353BA" w14:textId="77777777">
        <w:trPr>
          <w:trHeight w:val="313"/>
        </w:trPr>
        <w:tc>
          <w:tcPr>
            <w:tcW w:w="1135" w:type="dxa"/>
            <w:shd w:val="clear" w:color="auto" w:fill="C6EFCE"/>
            <w:noWrap/>
            <w:vAlign w:val="center"/>
            <w:hideMark/>
          </w:tcPr>
          <w:p w14:paraId="6827DDD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M4C2-12</w:t>
            </w:r>
          </w:p>
        </w:tc>
        <w:tc>
          <w:tcPr>
            <w:tcW w:w="1419" w:type="dxa"/>
            <w:shd w:val="clear" w:color="auto" w:fill="C6EFCE"/>
            <w:noWrap/>
            <w:vAlign w:val="center"/>
            <w:hideMark/>
          </w:tcPr>
          <w:p w14:paraId="5C762D7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2.1. Üleeuroopalist huvi pakkuvad tähtsad projektid</w:t>
            </w:r>
          </w:p>
        </w:tc>
        <w:tc>
          <w:tcPr>
            <w:tcW w:w="1132" w:type="dxa"/>
            <w:shd w:val="clear" w:color="auto" w:fill="C6EFCE"/>
            <w:noWrap/>
            <w:vAlign w:val="center"/>
            <w:hideMark/>
          </w:tcPr>
          <w:p w14:paraId="3CBAF61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vAlign w:val="center"/>
            <w:hideMark/>
          </w:tcPr>
          <w:p w14:paraId="6B7F8B3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Üleeuroopalist huvi pakkuvate tähtsate projektide osalejate nimekiri on valmis 30. juuniks 2023</w:t>
            </w:r>
          </w:p>
        </w:tc>
        <w:tc>
          <w:tcPr>
            <w:tcW w:w="1275" w:type="dxa"/>
            <w:shd w:val="clear" w:color="auto" w:fill="C6EFCE"/>
            <w:noWrap/>
            <w:vAlign w:val="center"/>
            <w:hideMark/>
          </w:tcPr>
          <w:p w14:paraId="170DE74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Osalejate nimekirja avaldamine</w:t>
            </w:r>
          </w:p>
        </w:tc>
        <w:tc>
          <w:tcPr>
            <w:tcW w:w="1134" w:type="dxa"/>
            <w:shd w:val="clear" w:color="auto" w:fill="C6EFCE"/>
            <w:noWrap/>
            <w:vAlign w:val="center"/>
            <w:hideMark/>
          </w:tcPr>
          <w:p w14:paraId="0B6D435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noWrap/>
            <w:vAlign w:val="center"/>
            <w:hideMark/>
          </w:tcPr>
          <w:p w14:paraId="79BE1AB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275" w:type="dxa"/>
            <w:shd w:val="clear" w:color="auto" w:fill="C6EFCE"/>
            <w:noWrap/>
            <w:vAlign w:val="center"/>
            <w:hideMark/>
          </w:tcPr>
          <w:p w14:paraId="0D13560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noWrap/>
            <w:vAlign w:val="center"/>
            <w:hideMark/>
          </w:tcPr>
          <w:p w14:paraId="39D79D3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708" w:type="dxa"/>
            <w:shd w:val="clear" w:color="auto" w:fill="C6EFCE"/>
            <w:noWrap/>
            <w:vAlign w:val="center"/>
            <w:hideMark/>
          </w:tcPr>
          <w:p w14:paraId="1FB6FE9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2023</w:t>
            </w:r>
          </w:p>
        </w:tc>
        <w:tc>
          <w:tcPr>
            <w:tcW w:w="3686" w:type="dxa"/>
            <w:shd w:val="clear" w:color="auto" w:fill="C6EFCE"/>
            <w:noWrap/>
            <w:vAlign w:val="center"/>
            <w:hideMark/>
          </w:tcPr>
          <w:p w14:paraId="4A514510" w14:textId="2A59FF36" w:rsidR="0084326C" w:rsidRPr="005D68A0" w:rsidRDefault="0084326C">
            <w:pPr>
              <w:rPr>
                <w:rFonts w:ascii="Arial Narrow" w:hAnsi="Arial Narrow"/>
                <w:noProof/>
                <w:color w:val="006100"/>
                <w:sz w:val="20"/>
                <w:szCs w:val="20"/>
              </w:rPr>
            </w:pPr>
            <w:r>
              <w:rPr>
                <w:rFonts w:ascii="Arial Narrow" w:hAnsi="Arial Narrow"/>
                <w:noProof/>
                <w:color w:val="006100"/>
                <w:sz w:val="20"/>
              </w:rPr>
              <w:t>Pärast esitatud projektide kontrollimist ja hindamist, mis viiakse läbi vastavalt tehnilisele juhendile „Mitte tekitada olulist kahju“ (2021/C58/01), kasutades kõrvalejätmist põhjustavate asjaolude loetelu ning järgides nõuet järgida asjaomast ELi ja riiklikku keskkonnapoliitikat, sisaldab loetelu heakskiidetud osalejatest, kes osalevad üleeuroopalist huvi pakkuvate projektides.</w:t>
            </w:r>
          </w:p>
        </w:tc>
      </w:tr>
      <w:tr w:rsidR="00512838" w:rsidRPr="00D90835" w14:paraId="042BB513" w14:textId="77777777">
        <w:trPr>
          <w:trHeight w:val="313"/>
        </w:trPr>
        <w:tc>
          <w:tcPr>
            <w:tcW w:w="1135" w:type="dxa"/>
            <w:shd w:val="clear" w:color="auto" w:fill="C6EFCE"/>
            <w:noWrap/>
            <w:vAlign w:val="center"/>
            <w:hideMark/>
          </w:tcPr>
          <w:p w14:paraId="083FC30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M4C2-13</w:t>
            </w:r>
          </w:p>
        </w:tc>
        <w:tc>
          <w:tcPr>
            <w:tcW w:w="1419" w:type="dxa"/>
            <w:shd w:val="clear" w:color="auto" w:fill="C6EFCE"/>
            <w:noWrap/>
            <w:vAlign w:val="center"/>
            <w:hideMark/>
          </w:tcPr>
          <w:p w14:paraId="112A208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2.3. Tehnosiirdekeskuste tugevdamine ja valdkondlik/territoriaalne laiendamine tööstussektorite kaupa</w:t>
            </w:r>
          </w:p>
        </w:tc>
        <w:tc>
          <w:tcPr>
            <w:tcW w:w="1132" w:type="dxa"/>
            <w:shd w:val="clear" w:color="auto" w:fill="C6EFCE"/>
            <w:noWrap/>
            <w:vAlign w:val="center"/>
            <w:hideMark/>
          </w:tcPr>
          <w:p w14:paraId="182E1F2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1418" w:type="dxa"/>
            <w:shd w:val="clear" w:color="auto" w:fill="C6EFCE"/>
            <w:noWrap/>
            <w:vAlign w:val="center"/>
            <w:hideMark/>
          </w:tcPr>
          <w:p w14:paraId="3C6ED62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Loodavate uute keskuste arv</w:t>
            </w:r>
          </w:p>
        </w:tc>
        <w:tc>
          <w:tcPr>
            <w:tcW w:w="1275" w:type="dxa"/>
            <w:shd w:val="clear" w:color="auto" w:fill="C6EFCE"/>
            <w:noWrap/>
            <w:vAlign w:val="center"/>
            <w:hideMark/>
          </w:tcPr>
          <w:p w14:paraId="031AFAC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hideMark/>
          </w:tcPr>
          <w:p w14:paraId="3D135EE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993" w:type="dxa"/>
            <w:shd w:val="clear" w:color="auto" w:fill="C6EFCE"/>
            <w:noWrap/>
            <w:vAlign w:val="center"/>
            <w:hideMark/>
          </w:tcPr>
          <w:p w14:paraId="2B2C05F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8</w:t>
            </w:r>
          </w:p>
        </w:tc>
        <w:tc>
          <w:tcPr>
            <w:tcW w:w="1275" w:type="dxa"/>
            <w:shd w:val="clear" w:color="auto" w:fill="C6EFCE"/>
            <w:noWrap/>
            <w:vAlign w:val="center"/>
            <w:hideMark/>
          </w:tcPr>
          <w:p w14:paraId="52ED4A2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35</w:t>
            </w:r>
          </w:p>
        </w:tc>
        <w:tc>
          <w:tcPr>
            <w:tcW w:w="993" w:type="dxa"/>
            <w:shd w:val="clear" w:color="auto" w:fill="C6EFCE"/>
            <w:noWrap/>
            <w:vAlign w:val="center"/>
            <w:hideMark/>
          </w:tcPr>
          <w:p w14:paraId="7443160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708" w:type="dxa"/>
            <w:shd w:val="clear" w:color="auto" w:fill="C6EFCE"/>
            <w:noWrap/>
            <w:vAlign w:val="center"/>
            <w:hideMark/>
          </w:tcPr>
          <w:p w14:paraId="4CB0220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2025</w:t>
            </w:r>
          </w:p>
        </w:tc>
        <w:tc>
          <w:tcPr>
            <w:tcW w:w="3686" w:type="dxa"/>
            <w:shd w:val="clear" w:color="auto" w:fill="C6EFCE"/>
            <w:noWrap/>
            <w:vAlign w:val="center"/>
            <w:hideMark/>
          </w:tcPr>
          <w:p w14:paraId="1C15E4D2"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27 uue sõlmlennujaama käivitamine meetme esimese sekkumisliini raames.  </w:t>
            </w:r>
          </w:p>
          <w:p w14:paraId="0EF81F50"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Eesmärk keskendub kolme liiki keskustele:</w:t>
            </w:r>
          </w:p>
          <w:p w14:paraId="5FD5FD6D" w14:textId="77777777" w:rsidR="0084326C" w:rsidRPr="005D68A0" w:rsidRDefault="0084326C">
            <w:pPr>
              <w:pStyle w:val="ListParagraph"/>
              <w:numPr>
                <w:ilvl w:val="0"/>
                <w:numId w:val="50"/>
              </w:numPr>
              <w:jc w:val="left"/>
              <w:rPr>
                <w:rFonts w:ascii="Arial Narrow" w:hAnsi="Arial Narrow"/>
                <w:noProof/>
                <w:color w:val="006100"/>
                <w:sz w:val="20"/>
                <w:szCs w:val="20"/>
              </w:rPr>
            </w:pPr>
            <w:r>
              <w:rPr>
                <w:rFonts w:ascii="Arial Narrow" w:hAnsi="Arial Narrow"/>
                <w:noProof/>
                <w:color w:val="006100"/>
                <w:sz w:val="20"/>
              </w:rPr>
              <w:t>Pädevuskeskused</w:t>
            </w:r>
          </w:p>
          <w:p w14:paraId="2F6835BC" w14:textId="77777777" w:rsidR="0084326C" w:rsidRPr="005D68A0" w:rsidRDefault="0084326C">
            <w:pPr>
              <w:pStyle w:val="ListParagraph"/>
              <w:numPr>
                <w:ilvl w:val="0"/>
                <w:numId w:val="50"/>
              </w:numPr>
              <w:jc w:val="left"/>
              <w:rPr>
                <w:rFonts w:ascii="Arial Narrow" w:hAnsi="Arial Narrow"/>
                <w:noProof/>
                <w:color w:val="006100"/>
                <w:sz w:val="20"/>
                <w:szCs w:val="20"/>
              </w:rPr>
            </w:pPr>
            <w:r>
              <w:rPr>
                <w:rFonts w:ascii="Arial Narrow" w:hAnsi="Arial Narrow"/>
                <w:noProof/>
                <w:color w:val="006100"/>
                <w:sz w:val="20"/>
              </w:rPr>
              <w:t>Kvaliteedimärgis</w:t>
            </w:r>
          </w:p>
          <w:p w14:paraId="41B62810" w14:textId="18B29FA4" w:rsidR="0084326C" w:rsidRPr="005D68A0" w:rsidRDefault="0084326C" w:rsidP="00CD5533">
            <w:pPr>
              <w:pStyle w:val="ListParagraph"/>
              <w:numPr>
                <w:ilvl w:val="0"/>
                <w:numId w:val="50"/>
              </w:numPr>
              <w:jc w:val="left"/>
              <w:rPr>
                <w:rFonts w:ascii="Arial Narrow" w:hAnsi="Arial Narrow"/>
                <w:noProof/>
                <w:color w:val="006100"/>
                <w:sz w:val="20"/>
                <w:szCs w:val="20"/>
              </w:rPr>
            </w:pPr>
            <w:r>
              <w:rPr>
                <w:rFonts w:ascii="Arial Narrow" w:hAnsi="Arial Narrow"/>
                <w:noProof/>
                <w:color w:val="006100"/>
                <w:sz w:val="20"/>
              </w:rPr>
              <w:t>Kohapealsete innovatsioonikeskuste võrgustik</w:t>
            </w:r>
          </w:p>
        </w:tc>
      </w:tr>
      <w:tr w:rsidR="00512838" w:rsidRPr="00D90835" w14:paraId="3F82A36F" w14:textId="77777777">
        <w:trPr>
          <w:trHeight w:val="313"/>
        </w:trPr>
        <w:tc>
          <w:tcPr>
            <w:tcW w:w="1135" w:type="dxa"/>
            <w:shd w:val="clear" w:color="auto" w:fill="C6EFCE"/>
            <w:noWrap/>
            <w:vAlign w:val="center"/>
            <w:hideMark/>
          </w:tcPr>
          <w:p w14:paraId="1BCE436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M4C2-14</w:t>
            </w:r>
          </w:p>
        </w:tc>
        <w:tc>
          <w:tcPr>
            <w:tcW w:w="1419" w:type="dxa"/>
            <w:shd w:val="clear" w:color="auto" w:fill="C6EFCE"/>
            <w:noWrap/>
            <w:vAlign w:val="center"/>
            <w:hideMark/>
          </w:tcPr>
          <w:p w14:paraId="52FD051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2.3. Tehnosiirdekeskuste tugevdamine ja valdkondlik/territoriaalne laiendamine tööstussektorite kaupa</w:t>
            </w:r>
          </w:p>
        </w:tc>
        <w:tc>
          <w:tcPr>
            <w:tcW w:w="1132" w:type="dxa"/>
            <w:shd w:val="clear" w:color="auto" w:fill="C6EFCE"/>
            <w:noWrap/>
            <w:vAlign w:val="center"/>
            <w:hideMark/>
          </w:tcPr>
          <w:p w14:paraId="4FB9E79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1418" w:type="dxa"/>
            <w:shd w:val="clear" w:color="auto" w:fill="C6EFCE"/>
            <w:noWrap/>
            <w:vAlign w:val="center"/>
            <w:hideMark/>
          </w:tcPr>
          <w:p w14:paraId="29F5DB8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Väljamaksed summas 307 000 000 eurot.</w:t>
            </w:r>
          </w:p>
        </w:tc>
        <w:tc>
          <w:tcPr>
            <w:tcW w:w="1275" w:type="dxa"/>
            <w:shd w:val="clear" w:color="auto" w:fill="C6EFCE"/>
            <w:noWrap/>
            <w:vAlign w:val="center"/>
            <w:hideMark/>
          </w:tcPr>
          <w:p w14:paraId="57F39DD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hideMark/>
          </w:tcPr>
          <w:p w14:paraId="37FA114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eurodes</w:t>
            </w:r>
          </w:p>
        </w:tc>
        <w:tc>
          <w:tcPr>
            <w:tcW w:w="993" w:type="dxa"/>
            <w:shd w:val="clear" w:color="auto" w:fill="C6EFCE"/>
            <w:noWrap/>
            <w:vAlign w:val="center"/>
            <w:hideMark/>
          </w:tcPr>
          <w:p w14:paraId="0F74922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1275" w:type="dxa"/>
            <w:shd w:val="clear" w:color="auto" w:fill="C6EFCE"/>
            <w:noWrap/>
            <w:vAlign w:val="center"/>
            <w:hideMark/>
          </w:tcPr>
          <w:p w14:paraId="06189E98" w14:textId="19D4D5C4"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307 000 000</w:t>
            </w:r>
          </w:p>
        </w:tc>
        <w:tc>
          <w:tcPr>
            <w:tcW w:w="993" w:type="dxa"/>
            <w:shd w:val="clear" w:color="auto" w:fill="C6EFCE"/>
            <w:noWrap/>
            <w:vAlign w:val="center"/>
            <w:hideMark/>
          </w:tcPr>
          <w:p w14:paraId="7988E35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708" w:type="dxa"/>
            <w:shd w:val="clear" w:color="auto" w:fill="C6EFCE"/>
            <w:noWrap/>
            <w:vAlign w:val="center"/>
            <w:hideMark/>
          </w:tcPr>
          <w:p w14:paraId="138579D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3686" w:type="dxa"/>
            <w:shd w:val="clear" w:color="auto" w:fill="C6EFCE"/>
            <w:noWrap/>
            <w:vAlign w:val="center"/>
            <w:hideMark/>
          </w:tcPr>
          <w:p w14:paraId="029EDCE2" w14:textId="77777777" w:rsidR="0084326C" w:rsidRPr="005D68A0" w:rsidRDefault="0084326C">
            <w:pPr>
              <w:jc w:val="both"/>
              <w:rPr>
                <w:rFonts w:ascii="Arial Narrow" w:eastAsia="Calibri" w:hAnsi="Arial Narrow"/>
                <w:noProof/>
                <w:sz w:val="20"/>
                <w:szCs w:val="20"/>
              </w:rPr>
            </w:pPr>
            <w:r>
              <w:rPr>
                <w:rFonts w:ascii="Arial Narrow" w:hAnsi="Arial Narrow"/>
                <w:noProof/>
                <w:color w:val="006100"/>
                <w:sz w:val="20"/>
              </w:rPr>
              <w:t>307 000 000 eurot makstakse meetme esimese sekkumisrea raames välja tehnosiirde keskustele, et tugevdada riiklikku võrgustikku ja osutada teenuseid ettevõtetele.</w:t>
            </w:r>
            <w:r>
              <w:rPr>
                <w:rFonts w:ascii="Arial Narrow" w:hAnsi="Arial Narrow"/>
                <w:noProof/>
                <w:sz w:val="20"/>
              </w:rPr>
              <w:t xml:space="preserve">  </w:t>
            </w:r>
          </w:p>
          <w:p w14:paraId="238C860C" w14:textId="77777777" w:rsidR="0084326C" w:rsidRPr="005D68A0" w:rsidRDefault="0084326C">
            <w:pPr>
              <w:spacing w:before="120" w:after="120"/>
              <w:rPr>
                <w:rFonts w:ascii="Arial Narrow" w:hAnsi="Arial Narrow"/>
                <w:noProof/>
                <w:color w:val="006100"/>
                <w:sz w:val="20"/>
                <w:szCs w:val="20"/>
              </w:rPr>
            </w:pPr>
            <w:r>
              <w:rPr>
                <w:rFonts w:ascii="Arial Narrow" w:hAnsi="Arial Narrow"/>
                <w:noProof/>
                <w:color w:val="006100"/>
                <w:sz w:val="20"/>
              </w:rPr>
              <w:t>Osutatavad teenused hõlmavad järgmist:</w:t>
            </w:r>
          </w:p>
          <w:p w14:paraId="60FF39D3" w14:textId="77777777" w:rsidR="0084326C" w:rsidRPr="005D68A0" w:rsidRDefault="0084326C">
            <w:pPr>
              <w:pStyle w:val="ListParagraph"/>
              <w:numPr>
                <w:ilvl w:val="0"/>
                <w:numId w:val="49"/>
              </w:numPr>
              <w:jc w:val="left"/>
              <w:rPr>
                <w:rFonts w:ascii="Arial Narrow" w:hAnsi="Arial Narrow"/>
                <w:noProof/>
                <w:color w:val="006100"/>
                <w:sz w:val="20"/>
                <w:szCs w:val="20"/>
              </w:rPr>
            </w:pPr>
            <w:r>
              <w:rPr>
                <w:rFonts w:ascii="Arial Narrow" w:hAnsi="Arial Narrow"/>
                <w:noProof/>
                <w:color w:val="006100"/>
                <w:sz w:val="20"/>
              </w:rPr>
              <w:t xml:space="preserve">i) digitaalne hindamine, ii) enne investeerimist testimine, iii) koolitus; </w:t>
            </w:r>
          </w:p>
          <w:p w14:paraId="3A5A3EBA" w14:textId="77777777" w:rsidR="0084326C" w:rsidRPr="005D68A0" w:rsidRDefault="0084326C">
            <w:pPr>
              <w:pStyle w:val="ListParagraph"/>
              <w:numPr>
                <w:ilvl w:val="0"/>
                <w:numId w:val="49"/>
              </w:numPr>
              <w:jc w:val="left"/>
              <w:rPr>
                <w:rFonts w:ascii="Arial Narrow" w:hAnsi="Arial Narrow"/>
                <w:noProof/>
                <w:color w:val="006100"/>
                <w:sz w:val="20"/>
                <w:szCs w:val="20"/>
              </w:rPr>
            </w:pPr>
            <w:r>
              <w:rPr>
                <w:rFonts w:ascii="Arial Narrow" w:hAnsi="Arial Narrow"/>
                <w:noProof/>
                <w:color w:val="006100"/>
                <w:sz w:val="20"/>
              </w:rPr>
              <w:t>iv) juurdepääs rahastamisvõimalustele;</w:t>
            </w:r>
          </w:p>
          <w:p w14:paraId="33252EB4" w14:textId="359938FF" w:rsidR="0084326C" w:rsidRPr="005D68A0" w:rsidRDefault="0084326C">
            <w:pPr>
              <w:pStyle w:val="ListParagraph"/>
              <w:numPr>
                <w:ilvl w:val="0"/>
                <w:numId w:val="49"/>
              </w:numPr>
              <w:jc w:val="left"/>
              <w:rPr>
                <w:rFonts w:ascii="Arial Narrow" w:hAnsi="Arial Narrow"/>
                <w:noProof/>
                <w:color w:val="006100"/>
                <w:sz w:val="20"/>
                <w:szCs w:val="20"/>
              </w:rPr>
            </w:pPr>
            <w:r>
              <w:rPr>
                <w:rFonts w:ascii="Arial Narrow" w:hAnsi="Arial Narrow"/>
                <w:noProof/>
                <w:color w:val="006100"/>
                <w:sz w:val="20"/>
              </w:rPr>
              <w:t xml:space="preserve">v) rahaline ja tegevustoetus innovatsiooniprojektide arendamiseks (TRL rohkem kui 5); </w:t>
            </w:r>
          </w:p>
          <w:p w14:paraId="347D6DA8" w14:textId="77777777" w:rsidR="0084326C" w:rsidRPr="005D68A0" w:rsidRDefault="0084326C">
            <w:pPr>
              <w:pStyle w:val="ListParagraph"/>
              <w:numPr>
                <w:ilvl w:val="0"/>
                <w:numId w:val="49"/>
              </w:numPr>
              <w:jc w:val="left"/>
              <w:rPr>
                <w:rFonts w:ascii="Arial Narrow" w:hAnsi="Arial Narrow"/>
                <w:noProof/>
                <w:color w:val="006100"/>
                <w:sz w:val="20"/>
                <w:szCs w:val="20"/>
              </w:rPr>
            </w:pPr>
            <w:r>
              <w:rPr>
                <w:rFonts w:ascii="Arial Narrow" w:hAnsi="Arial Narrow"/>
                <w:noProof/>
                <w:color w:val="006100"/>
                <w:sz w:val="20"/>
              </w:rPr>
              <w:t xml:space="preserve">vi) tehnoloogiline vahendamine </w:t>
            </w:r>
          </w:p>
          <w:p w14:paraId="4AE49DB2" w14:textId="77777777" w:rsidR="0084326C" w:rsidRPr="005D68A0" w:rsidRDefault="0084326C">
            <w:pPr>
              <w:pStyle w:val="ListParagraph"/>
              <w:numPr>
                <w:ilvl w:val="0"/>
                <w:numId w:val="49"/>
              </w:numPr>
              <w:jc w:val="left"/>
              <w:rPr>
                <w:rFonts w:ascii="Arial Narrow" w:hAnsi="Arial Narrow"/>
                <w:noProof/>
                <w:color w:val="006100"/>
                <w:sz w:val="20"/>
                <w:szCs w:val="20"/>
              </w:rPr>
            </w:pPr>
            <w:r>
              <w:rPr>
                <w:rFonts w:ascii="Arial Narrow" w:hAnsi="Arial Narrow"/>
                <w:noProof/>
                <w:color w:val="006100"/>
                <w:sz w:val="20"/>
              </w:rPr>
              <w:t>vii) teadlikkuse suurendamine kohalikul tasandil.</w:t>
            </w:r>
          </w:p>
        </w:tc>
      </w:tr>
      <w:tr w:rsidR="00512838" w:rsidRPr="00D90835" w14:paraId="2B123D24" w14:textId="77777777">
        <w:trPr>
          <w:trHeight w:val="313"/>
        </w:trPr>
        <w:tc>
          <w:tcPr>
            <w:tcW w:w="1135" w:type="dxa"/>
            <w:shd w:val="clear" w:color="auto" w:fill="C6EFCE"/>
            <w:noWrap/>
            <w:vAlign w:val="center"/>
            <w:hideMark/>
          </w:tcPr>
          <w:p w14:paraId="11C4B72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M4C2-15</w:t>
            </w:r>
          </w:p>
        </w:tc>
        <w:tc>
          <w:tcPr>
            <w:tcW w:w="1419" w:type="dxa"/>
            <w:shd w:val="clear" w:color="auto" w:fill="C6EFCE"/>
            <w:noWrap/>
            <w:vAlign w:val="center"/>
            <w:hideMark/>
          </w:tcPr>
          <w:p w14:paraId="42B27D1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2.3. Tehnosiirdekeskuste tugevdamine ja valdkondlik/territoriaalne laiendamine tööstussektorite kaupa</w:t>
            </w:r>
          </w:p>
        </w:tc>
        <w:tc>
          <w:tcPr>
            <w:tcW w:w="1132" w:type="dxa"/>
            <w:shd w:val="clear" w:color="auto" w:fill="C6EFCE"/>
            <w:noWrap/>
            <w:vAlign w:val="center"/>
            <w:hideMark/>
          </w:tcPr>
          <w:p w14:paraId="5475270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1418" w:type="dxa"/>
            <w:shd w:val="clear" w:color="auto" w:fill="C6EFCE"/>
            <w:noWrap/>
            <w:vAlign w:val="center"/>
            <w:hideMark/>
          </w:tcPr>
          <w:p w14:paraId="2D68262B"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Toetust saavate VKEde arv</w:t>
            </w:r>
          </w:p>
        </w:tc>
        <w:tc>
          <w:tcPr>
            <w:tcW w:w="1275" w:type="dxa"/>
            <w:shd w:val="clear" w:color="auto" w:fill="C6EFCE"/>
            <w:noWrap/>
            <w:vAlign w:val="center"/>
            <w:hideMark/>
          </w:tcPr>
          <w:p w14:paraId="0F8D108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hideMark/>
          </w:tcPr>
          <w:p w14:paraId="31C084E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993" w:type="dxa"/>
            <w:shd w:val="clear" w:color="auto" w:fill="C6EFCE"/>
            <w:noWrap/>
            <w:vAlign w:val="center"/>
            <w:hideMark/>
          </w:tcPr>
          <w:p w14:paraId="41B86F8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1275" w:type="dxa"/>
            <w:shd w:val="clear" w:color="auto" w:fill="C6EFCE"/>
            <w:noWrap/>
            <w:vAlign w:val="center"/>
            <w:hideMark/>
          </w:tcPr>
          <w:p w14:paraId="5B9BA2C6" w14:textId="03749A80"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5 000</w:t>
            </w:r>
          </w:p>
        </w:tc>
        <w:tc>
          <w:tcPr>
            <w:tcW w:w="993" w:type="dxa"/>
            <w:shd w:val="clear" w:color="auto" w:fill="C6EFCE"/>
            <w:noWrap/>
            <w:vAlign w:val="center"/>
            <w:hideMark/>
          </w:tcPr>
          <w:p w14:paraId="7CC0751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708" w:type="dxa"/>
            <w:shd w:val="clear" w:color="auto" w:fill="C6EFCE"/>
            <w:noWrap/>
            <w:vAlign w:val="center"/>
            <w:hideMark/>
          </w:tcPr>
          <w:p w14:paraId="7E5A156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3686" w:type="dxa"/>
            <w:shd w:val="clear" w:color="auto" w:fill="C6EFCE"/>
            <w:noWrap/>
            <w:vAlign w:val="center"/>
            <w:hideMark/>
          </w:tcPr>
          <w:p w14:paraId="60F31276" w14:textId="6246BCAE" w:rsidR="0084326C" w:rsidRPr="005D68A0" w:rsidRDefault="0084326C">
            <w:pPr>
              <w:rPr>
                <w:rFonts w:ascii="Arial Narrow" w:hAnsi="Arial Narrow"/>
                <w:noProof/>
                <w:color w:val="006100"/>
                <w:sz w:val="20"/>
                <w:szCs w:val="20"/>
              </w:rPr>
            </w:pPr>
            <w:r>
              <w:rPr>
                <w:rFonts w:ascii="Arial Narrow" w:hAnsi="Arial Narrow"/>
                <w:noProof/>
                <w:color w:val="006100"/>
                <w:sz w:val="20"/>
              </w:rPr>
              <w:t>Vähemalt 5 000 VKEd, keda toetavad riiklikud rahastatavad keskused (pädevuskeskused; Kvaliteedimärgis; Riiklikud digitaalse innovatsiooni keskused) meetme esimese sekkumisliini raames selliste teenuste osutamise kaudu, mis hõlmavad järgmist:</w:t>
            </w:r>
          </w:p>
          <w:p w14:paraId="68182C2E" w14:textId="77777777" w:rsidR="0084326C" w:rsidRPr="005D68A0" w:rsidRDefault="0084326C">
            <w:pPr>
              <w:pStyle w:val="ListParagraph"/>
              <w:numPr>
                <w:ilvl w:val="0"/>
                <w:numId w:val="55"/>
              </w:numPr>
              <w:spacing w:before="0" w:after="200" w:line="276" w:lineRule="auto"/>
              <w:jc w:val="left"/>
              <w:rPr>
                <w:rFonts w:ascii="Arial Narrow" w:hAnsi="Arial Narrow"/>
                <w:noProof/>
                <w:color w:val="006100"/>
                <w:sz w:val="20"/>
                <w:szCs w:val="20"/>
              </w:rPr>
            </w:pPr>
            <w:r>
              <w:rPr>
                <w:rFonts w:ascii="Arial Narrow" w:hAnsi="Arial Narrow"/>
                <w:noProof/>
                <w:color w:val="006100"/>
                <w:sz w:val="20"/>
              </w:rPr>
              <w:t xml:space="preserve">Digitaalne hindamine </w:t>
            </w:r>
          </w:p>
          <w:p w14:paraId="0263CF76" w14:textId="77777777" w:rsidR="0084326C" w:rsidRPr="005D68A0" w:rsidRDefault="0084326C">
            <w:pPr>
              <w:pStyle w:val="ListParagraph"/>
              <w:numPr>
                <w:ilvl w:val="0"/>
                <w:numId w:val="55"/>
              </w:numPr>
              <w:spacing w:before="0" w:after="200" w:line="276" w:lineRule="auto"/>
              <w:jc w:val="left"/>
              <w:rPr>
                <w:rFonts w:ascii="Arial Narrow" w:hAnsi="Arial Narrow"/>
                <w:noProof/>
                <w:color w:val="006100"/>
                <w:sz w:val="20"/>
                <w:szCs w:val="20"/>
              </w:rPr>
            </w:pPr>
            <w:r>
              <w:rPr>
                <w:rFonts w:ascii="Arial Narrow" w:hAnsi="Arial Narrow"/>
                <w:noProof/>
                <w:color w:val="006100"/>
                <w:sz w:val="20"/>
              </w:rPr>
              <w:t xml:space="preserve">Testi enne investeerimist, </w:t>
            </w:r>
          </w:p>
          <w:p w14:paraId="4A1A80D0" w14:textId="77777777" w:rsidR="0084326C" w:rsidRPr="005D68A0" w:rsidRDefault="0084326C">
            <w:pPr>
              <w:pStyle w:val="ListParagraph"/>
              <w:numPr>
                <w:ilvl w:val="0"/>
                <w:numId w:val="55"/>
              </w:numPr>
              <w:spacing w:before="0" w:after="200" w:line="276" w:lineRule="auto"/>
              <w:jc w:val="left"/>
              <w:rPr>
                <w:rFonts w:ascii="Arial Narrow" w:hAnsi="Arial Narrow"/>
                <w:noProof/>
                <w:color w:val="006100"/>
                <w:sz w:val="20"/>
                <w:szCs w:val="20"/>
              </w:rPr>
            </w:pPr>
            <w:r>
              <w:rPr>
                <w:rFonts w:ascii="Arial Narrow" w:hAnsi="Arial Narrow"/>
                <w:noProof/>
                <w:color w:val="006100"/>
                <w:sz w:val="20"/>
              </w:rPr>
              <w:t xml:space="preserve">koolitus; </w:t>
            </w:r>
          </w:p>
          <w:p w14:paraId="75CC8613" w14:textId="77777777" w:rsidR="0084326C" w:rsidRPr="005D68A0" w:rsidRDefault="0084326C">
            <w:pPr>
              <w:pStyle w:val="ListParagraph"/>
              <w:numPr>
                <w:ilvl w:val="0"/>
                <w:numId w:val="55"/>
              </w:numPr>
              <w:spacing w:before="0" w:after="200" w:line="276" w:lineRule="auto"/>
              <w:jc w:val="left"/>
              <w:rPr>
                <w:rFonts w:ascii="Arial Narrow" w:hAnsi="Arial Narrow"/>
                <w:noProof/>
                <w:color w:val="006100"/>
                <w:sz w:val="20"/>
                <w:szCs w:val="20"/>
              </w:rPr>
            </w:pPr>
            <w:r>
              <w:rPr>
                <w:rFonts w:ascii="Arial Narrow" w:hAnsi="Arial Narrow"/>
                <w:noProof/>
                <w:color w:val="006100"/>
                <w:sz w:val="20"/>
              </w:rPr>
              <w:t xml:space="preserve">juurdepääs rahastamisvõimalustele; </w:t>
            </w:r>
          </w:p>
          <w:p w14:paraId="424087EE" w14:textId="77777777" w:rsidR="0084326C" w:rsidRPr="005D68A0" w:rsidRDefault="0084326C">
            <w:pPr>
              <w:pStyle w:val="ListParagraph"/>
              <w:numPr>
                <w:ilvl w:val="0"/>
                <w:numId w:val="55"/>
              </w:numPr>
              <w:spacing w:before="0" w:after="200" w:line="276" w:lineRule="auto"/>
              <w:jc w:val="left"/>
              <w:rPr>
                <w:rFonts w:ascii="Arial Narrow" w:hAnsi="Arial Narrow"/>
                <w:noProof/>
                <w:color w:val="006100"/>
                <w:sz w:val="20"/>
                <w:szCs w:val="20"/>
              </w:rPr>
            </w:pPr>
            <w:r>
              <w:rPr>
                <w:rFonts w:ascii="Arial Narrow" w:hAnsi="Arial Narrow"/>
                <w:noProof/>
                <w:color w:val="006100"/>
                <w:sz w:val="20"/>
              </w:rPr>
              <w:t xml:space="preserve">rahaline ja tegevustoetus innovatsiooniprojektide arendamiseks (TRL rohkem kui 5); </w:t>
            </w:r>
          </w:p>
          <w:p w14:paraId="40AB8735" w14:textId="77777777" w:rsidR="0084326C" w:rsidRPr="005D68A0" w:rsidRDefault="0084326C">
            <w:pPr>
              <w:pStyle w:val="ListParagraph"/>
              <w:numPr>
                <w:ilvl w:val="0"/>
                <w:numId w:val="55"/>
              </w:numPr>
              <w:spacing w:before="0" w:after="200" w:line="276" w:lineRule="auto"/>
              <w:jc w:val="left"/>
              <w:rPr>
                <w:rFonts w:ascii="Arial Narrow" w:hAnsi="Arial Narrow"/>
                <w:noProof/>
                <w:color w:val="006100"/>
                <w:sz w:val="20"/>
                <w:szCs w:val="20"/>
              </w:rPr>
            </w:pPr>
            <w:r>
              <w:rPr>
                <w:rFonts w:ascii="Arial Narrow" w:hAnsi="Arial Narrow"/>
                <w:noProof/>
                <w:color w:val="006100"/>
                <w:sz w:val="20"/>
              </w:rPr>
              <w:t xml:space="preserve">tehnoloogiline vahendamine </w:t>
            </w:r>
          </w:p>
          <w:p w14:paraId="0F6EDC9D" w14:textId="77777777" w:rsidR="0084326C" w:rsidRPr="005D68A0" w:rsidRDefault="0084326C">
            <w:pPr>
              <w:pStyle w:val="ListParagraph"/>
              <w:numPr>
                <w:ilvl w:val="0"/>
                <w:numId w:val="55"/>
              </w:numPr>
              <w:spacing w:before="0" w:after="200" w:line="276" w:lineRule="auto"/>
              <w:jc w:val="left"/>
              <w:rPr>
                <w:rFonts w:ascii="Arial Narrow" w:hAnsi="Arial Narrow"/>
                <w:noProof/>
                <w:color w:val="006100"/>
                <w:sz w:val="20"/>
                <w:szCs w:val="20"/>
              </w:rPr>
            </w:pPr>
            <w:r>
              <w:rPr>
                <w:rFonts w:ascii="Arial Narrow" w:hAnsi="Arial Narrow"/>
                <w:noProof/>
                <w:color w:val="006100"/>
                <w:sz w:val="20"/>
              </w:rPr>
              <w:t>teadlikkuse suurendamine kohalikul tasandil.</w:t>
            </w:r>
          </w:p>
        </w:tc>
      </w:tr>
      <w:tr w:rsidR="00512838" w:rsidRPr="00D90835" w14:paraId="02BD6A88" w14:textId="77777777">
        <w:trPr>
          <w:trHeight w:val="313"/>
        </w:trPr>
        <w:tc>
          <w:tcPr>
            <w:tcW w:w="1135" w:type="dxa"/>
            <w:shd w:val="clear" w:color="auto" w:fill="C6EFCE"/>
            <w:noWrap/>
            <w:vAlign w:val="center"/>
          </w:tcPr>
          <w:p w14:paraId="75C05A3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M4C2–15a</w:t>
            </w:r>
          </w:p>
        </w:tc>
        <w:tc>
          <w:tcPr>
            <w:tcW w:w="1419" w:type="dxa"/>
            <w:shd w:val="clear" w:color="auto" w:fill="C6EFCE"/>
            <w:noWrap/>
            <w:vAlign w:val="center"/>
          </w:tcPr>
          <w:p w14:paraId="6F516BB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2.3. Tehnosiirdekeskuste tugevdamine ja valdkondlik/territoriaalne laiendamine tööstussektorite kaupa</w:t>
            </w:r>
          </w:p>
        </w:tc>
        <w:tc>
          <w:tcPr>
            <w:tcW w:w="1132" w:type="dxa"/>
            <w:shd w:val="clear" w:color="auto" w:fill="C6EFCE"/>
            <w:noWrap/>
            <w:vAlign w:val="center"/>
          </w:tcPr>
          <w:p w14:paraId="219DF17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vAlign w:val="center"/>
          </w:tcPr>
          <w:p w14:paraId="4345660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Euroopa digitaalse innovatsiooni keskuste ja TEFi tööpakettide lõpuleviimine</w:t>
            </w:r>
          </w:p>
        </w:tc>
        <w:tc>
          <w:tcPr>
            <w:tcW w:w="1275" w:type="dxa"/>
            <w:shd w:val="clear" w:color="auto" w:fill="C6EFCE"/>
            <w:noWrap/>
            <w:vAlign w:val="center"/>
          </w:tcPr>
          <w:p w14:paraId="586807C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Euroopa digitaalse innovatsiooni keskuse (EDIH) ning testimis- ja eksperimenteerimisrajatiste (TEF) tööpaketid on lõpule viidud</w:t>
            </w:r>
          </w:p>
        </w:tc>
        <w:tc>
          <w:tcPr>
            <w:tcW w:w="1134" w:type="dxa"/>
            <w:shd w:val="clear" w:color="auto" w:fill="C6EFCE"/>
            <w:noWrap/>
            <w:vAlign w:val="center"/>
          </w:tcPr>
          <w:p w14:paraId="29FFA3C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noWrap/>
            <w:vAlign w:val="center"/>
          </w:tcPr>
          <w:p w14:paraId="4F3AE98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275" w:type="dxa"/>
            <w:shd w:val="clear" w:color="auto" w:fill="C6EFCE"/>
            <w:noWrap/>
            <w:vAlign w:val="center"/>
          </w:tcPr>
          <w:p w14:paraId="221CB60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noWrap/>
            <w:vAlign w:val="center"/>
          </w:tcPr>
          <w:p w14:paraId="4280254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708" w:type="dxa"/>
            <w:shd w:val="clear" w:color="auto" w:fill="C6EFCE"/>
            <w:noWrap/>
            <w:vAlign w:val="center"/>
          </w:tcPr>
          <w:p w14:paraId="4922DC8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3686" w:type="dxa"/>
            <w:shd w:val="clear" w:color="auto" w:fill="C6EFCE"/>
            <w:noWrap/>
            <w:vAlign w:val="center"/>
          </w:tcPr>
          <w:p w14:paraId="5971EDD2" w14:textId="77777777" w:rsidR="0084326C" w:rsidRPr="005D68A0" w:rsidRDefault="0084326C">
            <w:pPr>
              <w:spacing w:after="120"/>
              <w:jc w:val="both"/>
              <w:rPr>
                <w:rFonts w:ascii="Arial Narrow" w:hAnsi="Arial Narrow"/>
                <w:noProof/>
                <w:color w:val="006100"/>
                <w:sz w:val="20"/>
                <w:szCs w:val="20"/>
              </w:rPr>
            </w:pPr>
            <w:r>
              <w:rPr>
                <w:rFonts w:ascii="Arial Narrow" w:hAnsi="Arial Narrow"/>
                <w:noProof/>
                <w:color w:val="006100"/>
                <w:sz w:val="20"/>
              </w:rPr>
              <w:t>13 Euroopa digitaalse innovatsiooni keskuse ning kahe testimis- ja eksperimenteerimisrajatise kõigi tööpakettide lõpuleviimine meetme teise sekkumistasandi raames, välja arvatud need tööpaketid, mida rahastatakse programmist „Digitaalne Euroopa“.</w:t>
            </w:r>
          </w:p>
        </w:tc>
      </w:tr>
      <w:tr w:rsidR="00512838" w:rsidRPr="00D90835" w14:paraId="3E7E2DD3" w14:textId="77777777">
        <w:trPr>
          <w:trHeight w:val="313"/>
        </w:trPr>
        <w:tc>
          <w:tcPr>
            <w:tcW w:w="1135" w:type="dxa"/>
            <w:shd w:val="clear" w:color="auto" w:fill="C6EFCE"/>
            <w:noWrap/>
            <w:vAlign w:val="center"/>
            <w:hideMark/>
          </w:tcPr>
          <w:p w14:paraId="37ACA3B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M4C2-16</w:t>
            </w:r>
          </w:p>
        </w:tc>
        <w:tc>
          <w:tcPr>
            <w:tcW w:w="1419" w:type="dxa"/>
            <w:shd w:val="clear" w:color="auto" w:fill="C6EFCE"/>
            <w:noWrap/>
            <w:vAlign w:val="center"/>
            <w:hideMark/>
          </w:tcPr>
          <w:p w14:paraId="7510B7A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3.1. Teadusuuringute ja innovatsiooni infrastruktuuride integreeritud süsteemi loomise fond</w:t>
            </w:r>
          </w:p>
        </w:tc>
        <w:tc>
          <w:tcPr>
            <w:tcW w:w="1132" w:type="dxa"/>
            <w:shd w:val="clear" w:color="auto" w:fill="C6EFCE"/>
            <w:noWrap/>
            <w:vAlign w:val="center"/>
            <w:hideMark/>
          </w:tcPr>
          <w:p w14:paraId="1D62B0A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1418" w:type="dxa"/>
            <w:shd w:val="clear" w:color="auto" w:fill="C6EFCE"/>
            <w:noWrap/>
            <w:vAlign w:val="center"/>
            <w:hideMark/>
          </w:tcPr>
          <w:p w14:paraId="6E1EC90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Rahastatud taristute arv</w:t>
            </w:r>
          </w:p>
        </w:tc>
        <w:tc>
          <w:tcPr>
            <w:tcW w:w="1275" w:type="dxa"/>
            <w:shd w:val="clear" w:color="auto" w:fill="C6EFCE"/>
            <w:noWrap/>
            <w:vAlign w:val="center"/>
            <w:hideMark/>
          </w:tcPr>
          <w:p w14:paraId="2E14239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hideMark/>
          </w:tcPr>
          <w:p w14:paraId="55A6E58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993" w:type="dxa"/>
            <w:shd w:val="clear" w:color="auto" w:fill="C6EFCE"/>
            <w:noWrap/>
            <w:vAlign w:val="center"/>
            <w:hideMark/>
          </w:tcPr>
          <w:p w14:paraId="7EC014F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1275" w:type="dxa"/>
            <w:shd w:val="clear" w:color="auto" w:fill="C6EFCE"/>
            <w:noWrap/>
            <w:vAlign w:val="center"/>
            <w:hideMark/>
          </w:tcPr>
          <w:p w14:paraId="29F0B53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30</w:t>
            </w:r>
          </w:p>
        </w:tc>
        <w:tc>
          <w:tcPr>
            <w:tcW w:w="993" w:type="dxa"/>
            <w:shd w:val="clear" w:color="auto" w:fill="C6EFCE"/>
            <w:noWrap/>
            <w:vAlign w:val="center"/>
            <w:hideMark/>
          </w:tcPr>
          <w:p w14:paraId="12652AC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708" w:type="dxa"/>
            <w:shd w:val="clear" w:color="auto" w:fill="C6EFCE"/>
            <w:noWrap/>
            <w:vAlign w:val="center"/>
            <w:hideMark/>
          </w:tcPr>
          <w:p w14:paraId="4E27747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2023</w:t>
            </w:r>
          </w:p>
        </w:tc>
        <w:tc>
          <w:tcPr>
            <w:tcW w:w="3686" w:type="dxa"/>
            <w:shd w:val="clear" w:color="auto" w:fill="C6EFCE"/>
            <w:noWrap/>
            <w:vAlign w:val="center"/>
            <w:hideMark/>
          </w:tcPr>
          <w:p w14:paraId="5AAC5824" w14:textId="69550DE9" w:rsidR="0084326C" w:rsidRPr="005D68A0" w:rsidRDefault="0084326C">
            <w:pPr>
              <w:spacing w:after="120"/>
              <w:jc w:val="both"/>
              <w:rPr>
                <w:rFonts w:ascii="Arial Narrow" w:hAnsi="Arial Narrow"/>
                <w:noProof/>
                <w:color w:val="006100"/>
                <w:sz w:val="20"/>
                <w:szCs w:val="20"/>
              </w:rPr>
            </w:pPr>
            <w:r>
              <w:rPr>
                <w:rFonts w:ascii="Arial Narrow" w:hAnsi="Arial Narrow"/>
                <w:noProof/>
                <w:color w:val="006100"/>
                <w:sz w:val="20"/>
              </w:rPr>
              <w:t>Vähemalt 30 taristut, mida rahastatakse teadusuuringute ja innovatsiooni taristu integreeritud süsteemi jaoks.</w:t>
            </w:r>
            <w:r>
              <w:rPr>
                <w:rFonts w:ascii="Arial Narrow" w:hAnsi="Arial Narrow"/>
                <w:noProof/>
              </w:rPr>
              <w:t xml:space="preserve"> </w:t>
            </w:r>
            <w:r>
              <w:rPr>
                <w:noProof/>
              </w:rPr>
              <w:t xml:space="preserve"> </w:t>
            </w:r>
            <w:r>
              <w:rPr>
                <w:noProof/>
              </w:rPr>
              <w:br/>
            </w:r>
            <w:r>
              <w:rPr>
                <w:rFonts w:ascii="Arial Narrow" w:hAnsi="Arial Narrow"/>
                <w:noProof/>
                <w:color w:val="006100"/>
                <w:sz w:val="20"/>
              </w:rPr>
              <w:t>Innovatsioonitaristu hõlmab mitmeotstarbelisi taristuid, mis suudavad hõlmata vähemalt kolme teemavaldkonda: i) kvant, ii) kõrgtehnoloogilised materjalid, iii) fotoonika, iv) eluteadused, v) tehisintellekt, vi) energiasüsteemi ümberkujundamine.</w:t>
            </w:r>
          </w:p>
          <w:p w14:paraId="20BE4588" w14:textId="59A089BD" w:rsidR="0084326C" w:rsidRPr="005D68A0" w:rsidRDefault="0084326C">
            <w:pPr>
              <w:spacing w:after="120"/>
              <w:jc w:val="both"/>
              <w:rPr>
                <w:rFonts w:ascii="Arial Narrow" w:hAnsi="Arial Narrow"/>
                <w:noProof/>
                <w:color w:val="006100"/>
                <w:sz w:val="20"/>
                <w:szCs w:val="20"/>
              </w:rPr>
            </w:pPr>
            <w:r>
              <w:rPr>
                <w:rFonts w:ascii="Arial Narrow" w:hAnsi="Arial Narrow"/>
                <w:noProof/>
                <w:color w:val="006100"/>
                <w:sz w:val="20"/>
              </w:rPr>
              <w:t>Eesmärgi rahuldav täitmine sõltub ka vähemalt 30 teadusjuhi töölevõtmisest teadusuuringute ja innovatsiooni infrastruktuuri integreeritud süsteemi jaoks.</w:t>
            </w:r>
          </w:p>
        </w:tc>
      </w:tr>
      <w:tr w:rsidR="00512838" w:rsidRPr="00D90835" w14:paraId="3B6CEAC0" w14:textId="77777777">
        <w:trPr>
          <w:trHeight w:val="313"/>
        </w:trPr>
        <w:tc>
          <w:tcPr>
            <w:tcW w:w="1135" w:type="dxa"/>
            <w:shd w:val="clear" w:color="auto" w:fill="C6EFCE"/>
            <w:noWrap/>
            <w:vAlign w:val="center"/>
            <w:hideMark/>
          </w:tcPr>
          <w:p w14:paraId="09B0D31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M4C2–16a </w:t>
            </w:r>
          </w:p>
        </w:tc>
        <w:tc>
          <w:tcPr>
            <w:tcW w:w="1419" w:type="dxa"/>
            <w:shd w:val="clear" w:color="auto" w:fill="C6EFCE"/>
            <w:noWrap/>
            <w:vAlign w:val="center"/>
            <w:hideMark/>
          </w:tcPr>
          <w:p w14:paraId="5F9DFDB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3.1. Teadusuuringute ja innovatsiooni infrastruktuuride integreeritud süsteemi loomise fond</w:t>
            </w:r>
          </w:p>
        </w:tc>
        <w:tc>
          <w:tcPr>
            <w:tcW w:w="1132" w:type="dxa"/>
            <w:shd w:val="clear" w:color="auto" w:fill="C6EFCE"/>
            <w:noWrap/>
            <w:vAlign w:val="center"/>
            <w:hideMark/>
          </w:tcPr>
          <w:p w14:paraId="4B1BBE8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1418" w:type="dxa"/>
            <w:shd w:val="clear" w:color="auto" w:fill="C6EFCE"/>
            <w:noWrap/>
            <w:vAlign w:val="center"/>
            <w:hideMark/>
          </w:tcPr>
          <w:p w14:paraId="0268575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Loodud või tegevuse lõpetanud teadus- ja innovatsioonitaristute arv </w:t>
            </w:r>
          </w:p>
        </w:tc>
        <w:tc>
          <w:tcPr>
            <w:tcW w:w="1275" w:type="dxa"/>
            <w:shd w:val="clear" w:color="auto" w:fill="C6EFCE"/>
            <w:noWrap/>
            <w:vAlign w:val="center"/>
            <w:hideMark/>
          </w:tcPr>
          <w:p w14:paraId="77EAB35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hideMark/>
          </w:tcPr>
          <w:p w14:paraId="01EDEBB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993" w:type="dxa"/>
            <w:shd w:val="clear" w:color="auto" w:fill="C6EFCE"/>
            <w:noWrap/>
            <w:vAlign w:val="center"/>
            <w:hideMark/>
          </w:tcPr>
          <w:p w14:paraId="1F77B7C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1275" w:type="dxa"/>
            <w:shd w:val="clear" w:color="auto" w:fill="C6EFCE"/>
            <w:noWrap/>
            <w:vAlign w:val="center"/>
            <w:hideMark/>
          </w:tcPr>
          <w:p w14:paraId="4ED2E66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30</w:t>
            </w:r>
          </w:p>
        </w:tc>
        <w:tc>
          <w:tcPr>
            <w:tcW w:w="993" w:type="dxa"/>
            <w:shd w:val="clear" w:color="auto" w:fill="C6EFCE"/>
            <w:noWrap/>
            <w:vAlign w:val="center"/>
            <w:hideMark/>
          </w:tcPr>
          <w:p w14:paraId="0BDEC1D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708" w:type="dxa"/>
            <w:shd w:val="clear" w:color="auto" w:fill="C6EFCE"/>
            <w:noWrap/>
            <w:vAlign w:val="center"/>
            <w:hideMark/>
          </w:tcPr>
          <w:p w14:paraId="7BBFDBB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3686" w:type="dxa"/>
            <w:shd w:val="clear" w:color="auto" w:fill="C6EFCE"/>
            <w:noWrap/>
            <w:vAlign w:val="center"/>
            <w:hideMark/>
          </w:tcPr>
          <w:p w14:paraId="0A5D615D" w14:textId="77777777" w:rsidR="0084326C" w:rsidRPr="005D68A0" w:rsidRDefault="0084326C">
            <w:pPr>
              <w:jc w:val="both"/>
              <w:rPr>
                <w:rFonts w:ascii="Arial Narrow" w:hAnsi="Arial Narrow"/>
                <w:noProof/>
                <w:color w:val="006100"/>
                <w:sz w:val="20"/>
                <w:szCs w:val="20"/>
              </w:rPr>
            </w:pPr>
            <w:r>
              <w:rPr>
                <w:rFonts w:ascii="Arial Narrow" w:hAnsi="Arial Narrow"/>
                <w:noProof/>
                <w:color w:val="006100"/>
                <w:sz w:val="20"/>
              </w:rPr>
              <w:t xml:space="preserve">Vähemalt 30 teadus- ja innovatsioonitaristut, mis on loonud või lõpetanud oma tegevuse vastavalt asjaomasele projektikonkursile. </w:t>
            </w:r>
          </w:p>
        </w:tc>
      </w:tr>
      <w:tr w:rsidR="00512838" w:rsidRPr="00D90835" w14:paraId="2B6EBB70" w14:textId="77777777">
        <w:trPr>
          <w:trHeight w:val="313"/>
        </w:trPr>
        <w:tc>
          <w:tcPr>
            <w:tcW w:w="1135" w:type="dxa"/>
            <w:shd w:val="clear" w:color="auto" w:fill="C6EFCE"/>
            <w:noWrap/>
            <w:vAlign w:val="center"/>
            <w:hideMark/>
          </w:tcPr>
          <w:p w14:paraId="5C76A9E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M4C2-17</w:t>
            </w:r>
          </w:p>
        </w:tc>
        <w:tc>
          <w:tcPr>
            <w:tcW w:w="1419" w:type="dxa"/>
            <w:shd w:val="clear" w:color="auto" w:fill="C6EFCE"/>
            <w:noWrap/>
            <w:vAlign w:val="center"/>
            <w:hideMark/>
          </w:tcPr>
          <w:p w14:paraId="4F61012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3.1. Teadusuuringute ja innovatsiooni infrastruktuuride integreeritud süsteemi loomise fond; Investeering</w:t>
            </w:r>
          </w:p>
        </w:tc>
        <w:tc>
          <w:tcPr>
            <w:tcW w:w="1132" w:type="dxa"/>
            <w:shd w:val="clear" w:color="auto" w:fill="C6EFCE"/>
            <w:noWrap/>
            <w:vAlign w:val="center"/>
            <w:hideMark/>
          </w:tcPr>
          <w:p w14:paraId="5776D14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vAlign w:val="center"/>
            <w:hideMark/>
          </w:tcPr>
          <w:p w14:paraId="0448220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Lepingute sõlmimine projektide kohta, mis käsitlevad: a) Teadusuuringute ja innovatsiooni infrastruktuuride integreeritud süsteem</w:t>
            </w:r>
          </w:p>
        </w:tc>
        <w:tc>
          <w:tcPr>
            <w:tcW w:w="1275" w:type="dxa"/>
            <w:shd w:val="clear" w:color="auto" w:fill="C6EFCE"/>
            <w:noWrap/>
            <w:vAlign w:val="center"/>
            <w:hideMark/>
          </w:tcPr>
          <w:p w14:paraId="5E4F5DE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Lepingute sõlmimisest teatamine</w:t>
            </w:r>
          </w:p>
        </w:tc>
        <w:tc>
          <w:tcPr>
            <w:tcW w:w="1134" w:type="dxa"/>
            <w:shd w:val="clear" w:color="auto" w:fill="C6EFCE"/>
            <w:noWrap/>
            <w:vAlign w:val="center"/>
            <w:hideMark/>
          </w:tcPr>
          <w:p w14:paraId="25D3746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noWrap/>
            <w:vAlign w:val="center"/>
            <w:hideMark/>
          </w:tcPr>
          <w:p w14:paraId="3C25D12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275" w:type="dxa"/>
            <w:shd w:val="clear" w:color="auto" w:fill="C6EFCE"/>
            <w:noWrap/>
            <w:vAlign w:val="center"/>
            <w:hideMark/>
          </w:tcPr>
          <w:p w14:paraId="11D5024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noWrap/>
            <w:vAlign w:val="center"/>
            <w:hideMark/>
          </w:tcPr>
          <w:p w14:paraId="33C46FF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708" w:type="dxa"/>
            <w:shd w:val="clear" w:color="auto" w:fill="C6EFCE"/>
            <w:noWrap/>
            <w:vAlign w:val="center"/>
            <w:hideMark/>
          </w:tcPr>
          <w:p w14:paraId="12078C2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2022</w:t>
            </w:r>
          </w:p>
        </w:tc>
        <w:tc>
          <w:tcPr>
            <w:tcW w:w="3686" w:type="dxa"/>
            <w:shd w:val="clear" w:color="auto" w:fill="C6EFCE"/>
            <w:noWrap/>
            <w:vAlign w:val="center"/>
            <w:hideMark/>
          </w:tcPr>
          <w:p w14:paraId="46997E74" w14:textId="20EB8064" w:rsidR="0084326C" w:rsidRPr="005D68A0" w:rsidRDefault="0084326C">
            <w:pPr>
              <w:spacing w:after="120"/>
              <w:jc w:val="both"/>
              <w:rPr>
                <w:rFonts w:ascii="Arial Narrow" w:hAnsi="Arial Narrow"/>
                <w:noProof/>
                <w:color w:val="006100"/>
                <w:sz w:val="20"/>
                <w:szCs w:val="20"/>
              </w:rPr>
            </w:pPr>
            <w:r>
              <w:rPr>
                <w:rFonts w:ascii="Arial Narrow" w:hAnsi="Arial Narrow"/>
                <w:noProof/>
                <w:color w:val="006100"/>
                <w:sz w:val="20"/>
              </w:rPr>
              <w:t>Hankekonkursside alusel välja valitud projektidega seotud lepingute sõlmimisest teatamine vastavalt tehnilisele juhendile „Mitte tekitada olulist kahju“ (2021/C58/01), kasutades kõrvalejätmise loetelu ning asjaomaste ELi ja riiklike keskkonnaalaste õigusaktide järgimise nõuet.</w:t>
            </w:r>
          </w:p>
          <w:p w14:paraId="0994F565" w14:textId="77777777" w:rsidR="0084326C" w:rsidRPr="005D68A0" w:rsidRDefault="0084326C">
            <w:pPr>
              <w:spacing w:after="120"/>
              <w:jc w:val="both"/>
              <w:rPr>
                <w:rFonts w:ascii="Arial Narrow" w:hAnsi="Arial Narrow"/>
                <w:noProof/>
                <w:color w:val="006100"/>
                <w:sz w:val="20"/>
              </w:rPr>
            </w:pPr>
            <w:r>
              <w:rPr>
                <w:rFonts w:ascii="Arial Narrow" w:hAnsi="Arial Narrow"/>
                <w:noProof/>
                <w:color w:val="006100"/>
                <w:sz w:val="20"/>
              </w:rPr>
              <w:t xml:space="preserve">Taotlused valitakse järgmiste kriteeriumide alusel: </w:t>
            </w:r>
          </w:p>
          <w:p w14:paraId="3296E195" w14:textId="77777777" w:rsidR="0084326C" w:rsidRPr="005D68A0" w:rsidRDefault="0084326C">
            <w:pPr>
              <w:spacing w:after="120"/>
              <w:jc w:val="both"/>
              <w:rPr>
                <w:rFonts w:ascii="Arial Narrow" w:hAnsi="Arial Narrow"/>
                <w:noProof/>
                <w:color w:val="006100"/>
                <w:sz w:val="20"/>
                <w:szCs w:val="20"/>
              </w:rPr>
            </w:pPr>
            <w:r>
              <w:rPr>
                <w:rFonts w:ascii="Arial Narrow" w:hAnsi="Arial Narrow"/>
                <w:noProof/>
                <w:color w:val="006100"/>
                <w:sz w:val="20"/>
              </w:rPr>
              <w:t>juhtpositsioon teaduses/tehnoloogias/innovatsioonis, nende innovatsioonipotentsiaal (nii avatud innovatsiooni/avatud andmete kui ka omandiõigusega seotud arengute osas), nende vastavus teemavaldkondadele või uudsetele murrangulistele arengutele, nende translatiivsed ja innovatsioonikavad, tööstuse kui partneri toetus avatud innovatsioonile ja/või kasutajatele, äritegevuse arendamise tugevus, intellektuaalomandi loomine, selged eeskirjad avatud ja kaitstud väljundite eristamiseks ning litsentsikavad, nende võime arendada ja vastu võtta tööstusdoktoreid, seosed uute ettevõtete või muud liiki fondide arendamise hõlbustamiseks.</w:t>
            </w:r>
          </w:p>
          <w:p w14:paraId="6158EC51" w14:textId="77777777" w:rsidR="0084326C" w:rsidRPr="005D68A0" w:rsidRDefault="0084326C">
            <w:pPr>
              <w:spacing w:after="120"/>
              <w:jc w:val="both"/>
              <w:rPr>
                <w:rFonts w:ascii="Arial Narrow" w:hAnsi="Arial Narrow"/>
                <w:noProof/>
                <w:color w:val="006100"/>
                <w:sz w:val="20"/>
                <w:szCs w:val="20"/>
              </w:rPr>
            </w:pPr>
            <w:r>
              <w:rPr>
                <w:rFonts w:ascii="Arial Narrow" w:hAnsi="Arial Narrow"/>
                <w:noProof/>
                <w:color w:val="006100"/>
                <w:sz w:val="20"/>
              </w:rPr>
              <w:t>Valikumenetlus nõuab DNSH hindamist ja, kui see on asjakohane, keskkonnamõju strateegilist hindamist juhul, kui projektilt eeldatakse järjepidevat mõju territooriumile.</w:t>
            </w:r>
          </w:p>
        </w:tc>
      </w:tr>
      <w:tr w:rsidR="00512838" w:rsidRPr="00D90835" w14:paraId="41EE434F" w14:textId="77777777">
        <w:trPr>
          <w:trHeight w:val="313"/>
        </w:trPr>
        <w:tc>
          <w:tcPr>
            <w:tcW w:w="1135" w:type="dxa"/>
            <w:shd w:val="clear" w:color="auto" w:fill="C6EFCE"/>
            <w:noWrap/>
            <w:vAlign w:val="center"/>
          </w:tcPr>
          <w:p w14:paraId="521993A0"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M4C2-18</w:t>
            </w:r>
          </w:p>
        </w:tc>
        <w:tc>
          <w:tcPr>
            <w:tcW w:w="1419" w:type="dxa"/>
            <w:shd w:val="clear" w:color="auto" w:fill="C6EFCE"/>
            <w:noWrap/>
            <w:vAlign w:val="center"/>
          </w:tcPr>
          <w:p w14:paraId="3A413618"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Invesment1.5: „Innovatsiooni ökosüsteemide loomine ja tugevdamine jätkusuutlikkuse tagamiseks“, „teadus- ja arendustegevuse territoriaalsete liidrite“ ülesehitamine.</w:t>
            </w:r>
          </w:p>
        </w:tc>
        <w:tc>
          <w:tcPr>
            <w:tcW w:w="1132" w:type="dxa"/>
            <w:shd w:val="clear" w:color="auto" w:fill="C6EFCE"/>
            <w:noWrap/>
            <w:vAlign w:val="center"/>
          </w:tcPr>
          <w:p w14:paraId="72C50FCE"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vAlign w:val="center"/>
          </w:tcPr>
          <w:p w14:paraId="0CFC50EB"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Lepingute sõlmimine innovatsiooni ökosüsteemidega seotud projektide jaoks;</w:t>
            </w:r>
          </w:p>
        </w:tc>
        <w:tc>
          <w:tcPr>
            <w:tcW w:w="1275" w:type="dxa"/>
            <w:shd w:val="clear" w:color="auto" w:fill="C6EFCE"/>
            <w:noWrap/>
            <w:vAlign w:val="center"/>
          </w:tcPr>
          <w:p w14:paraId="46B8FD3F"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Lepingute sõlmimisest teatamine</w:t>
            </w:r>
          </w:p>
        </w:tc>
        <w:tc>
          <w:tcPr>
            <w:tcW w:w="1134" w:type="dxa"/>
            <w:shd w:val="clear" w:color="auto" w:fill="C6EFCE"/>
            <w:noWrap/>
            <w:vAlign w:val="center"/>
          </w:tcPr>
          <w:p w14:paraId="41D8245E"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noWrap/>
            <w:vAlign w:val="center"/>
          </w:tcPr>
          <w:p w14:paraId="1BF7F2C2"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Ei kohaldata</w:t>
            </w:r>
          </w:p>
        </w:tc>
        <w:tc>
          <w:tcPr>
            <w:tcW w:w="1275" w:type="dxa"/>
            <w:shd w:val="clear" w:color="auto" w:fill="C6EFCE"/>
            <w:noWrap/>
            <w:vAlign w:val="center"/>
          </w:tcPr>
          <w:p w14:paraId="1228B054"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noWrap/>
            <w:vAlign w:val="center"/>
          </w:tcPr>
          <w:p w14:paraId="3E0154AB"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 kv</w:t>
            </w:r>
          </w:p>
        </w:tc>
        <w:tc>
          <w:tcPr>
            <w:tcW w:w="708" w:type="dxa"/>
            <w:shd w:val="clear" w:color="auto" w:fill="C6EFCE"/>
            <w:noWrap/>
            <w:vAlign w:val="center"/>
          </w:tcPr>
          <w:p w14:paraId="5419E8E8"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2022</w:t>
            </w:r>
          </w:p>
        </w:tc>
        <w:tc>
          <w:tcPr>
            <w:tcW w:w="3686" w:type="dxa"/>
            <w:shd w:val="clear" w:color="auto" w:fill="C6EFCE"/>
            <w:noWrap/>
            <w:vAlign w:val="center"/>
          </w:tcPr>
          <w:p w14:paraId="0108DC62" w14:textId="05A94949" w:rsidR="0084326C" w:rsidRPr="005D68A0" w:rsidRDefault="0084326C">
            <w:pPr>
              <w:spacing w:after="120"/>
              <w:jc w:val="both"/>
              <w:rPr>
                <w:rFonts w:ascii="Arial Narrow" w:hAnsi="Arial Narrow"/>
                <w:noProof/>
                <w:color w:val="006100"/>
                <w:sz w:val="20"/>
                <w:szCs w:val="20"/>
              </w:rPr>
            </w:pPr>
            <w:r>
              <w:rPr>
                <w:rFonts w:ascii="Arial Narrow" w:hAnsi="Arial Narrow"/>
                <w:noProof/>
                <w:color w:val="006100"/>
                <w:sz w:val="20"/>
              </w:rPr>
              <w:t>Hankekonkursside alusel välja valitud projektidega seotud lepingute sõlmimisest teatamine vastavalt tehnilisele juhendile „Mitte tekitada olulist kahju“ (2021/C58/01), kasutades kõrvalejätmise loetelu ning asjaomaste ELi ja riiklike keskkonnaalaste õigusaktide järgimise nõuet.</w:t>
            </w:r>
          </w:p>
          <w:p w14:paraId="4BFB55BF" w14:textId="77777777" w:rsidR="0084326C" w:rsidRPr="005D68A0" w:rsidRDefault="0084326C">
            <w:pPr>
              <w:spacing w:after="120"/>
              <w:jc w:val="both"/>
              <w:rPr>
                <w:rFonts w:ascii="Arial Narrow" w:hAnsi="Arial Narrow"/>
                <w:noProof/>
                <w:color w:val="006100"/>
                <w:sz w:val="20"/>
                <w:szCs w:val="20"/>
              </w:rPr>
            </w:pPr>
            <w:r>
              <w:rPr>
                <w:rFonts w:ascii="Arial Narrow" w:hAnsi="Arial Narrow"/>
                <w:noProof/>
                <w:color w:val="006100"/>
                <w:sz w:val="20"/>
              </w:rPr>
              <w:t>Valikumenetlus nõuab DNSH hindamist ja, kui see on asjakohane, keskkonnamõju strateegilist hindamist juhul, kui eeldatakse, et projekt avaldab piirkonnale järjepidevat mõju.</w:t>
            </w:r>
          </w:p>
          <w:p w14:paraId="0415586F" w14:textId="77777777" w:rsidR="0084326C" w:rsidRPr="005D68A0" w:rsidRDefault="0084326C">
            <w:pPr>
              <w:spacing w:after="120"/>
              <w:jc w:val="both"/>
              <w:rPr>
                <w:rFonts w:ascii="Arial Narrow" w:hAnsi="Arial Narrow"/>
                <w:noProof/>
                <w:color w:val="006100"/>
                <w:sz w:val="20"/>
                <w:szCs w:val="20"/>
              </w:rPr>
            </w:pPr>
            <w:r>
              <w:rPr>
                <w:rFonts w:ascii="Arial Narrow" w:hAnsi="Arial Narrow"/>
                <w:noProof/>
                <w:color w:val="006100"/>
                <w:sz w:val="20"/>
              </w:rPr>
              <w:t>Riiklikud keskused luuakse konkursi alusel, ühendades ülikoolides juba tegutsevad maailma juhtivad laborid ning avalik-õiguslikud ja eraõiguslikud uurimiskeskused ning luues uue sihtotstarbelise infrastruktuuri.</w:t>
            </w:r>
          </w:p>
        </w:tc>
      </w:tr>
      <w:tr w:rsidR="00512838" w:rsidRPr="00D90835" w14:paraId="7B533243" w14:textId="77777777">
        <w:trPr>
          <w:trHeight w:val="313"/>
        </w:trPr>
        <w:tc>
          <w:tcPr>
            <w:tcW w:w="1135" w:type="dxa"/>
            <w:shd w:val="clear" w:color="auto" w:fill="C6EFCE"/>
            <w:noWrap/>
            <w:vAlign w:val="center"/>
          </w:tcPr>
          <w:p w14:paraId="6C99153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M4C2–18 Bis</w:t>
            </w:r>
          </w:p>
        </w:tc>
        <w:tc>
          <w:tcPr>
            <w:tcW w:w="1419" w:type="dxa"/>
            <w:shd w:val="clear" w:color="auto" w:fill="C6EFCE"/>
            <w:noWrap/>
            <w:vAlign w:val="center"/>
          </w:tcPr>
          <w:p w14:paraId="47D1132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Invesment1.5: „Innovatsiooni ökosüsteemide loomine ja tugevdamine jätkusuutlikkuse tagamiseks“, „teadus- ja arendustegevuse territoriaalsete liidrite“ ülesehitamine.</w:t>
            </w:r>
          </w:p>
        </w:tc>
        <w:tc>
          <w:tcPr>
            <w:tcW w:w="1132" w:type="dxa"/>
            <w:shd w:val="clear" w:color="auto" w:fill="C6EFCE"/>
            <w:noWrap/>
            <w:vAlign w:val="center"/>
          </w:tcPr>
          <w:p w14:paraId="3AD80C4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1418" w:type="dxa"/>
            <w:shd w:val="clear" w:color="auto" w:fill="C6EFCE"/>
            <w:noWrap/>
            <w:vAlign w:val="center"/>
          </w:tcPr>
          <w:p w14:paraId="0D5C664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Innovatsiooni ökosüsteemide elluviidav tegevus</w:t>
            </w:r>
          </w:p>
        </w:tc>
        <w:tc>
          <w:tcPr>
            <w:tcW w:w="1275" w:type="dxa"/>
            <w:shd w:val="clear" w:color="auto" w:fill="C6EFCE"/>
            <w:noWrap/>
            <w:vAlign w:val="center"/>
          </w:tcPr>
          <w:p w14:paraId="2CCC5AC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36C36BD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993" w:type="dxa"/>
            <w:shd w:val="clear" w:color="auto" w:fill="C6EFCE"/>
            <w:noWrap/>
            <w:vAlign w:val="center"/>
          </w:tcPr>
          <w:p w14:paraId="020D185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1275" w:type="dxa"/>
            <w:shd w:val="clear" w:color="auto" w:fill="C6EFCE"/>
            <w:noWrap/>
            <w:vAlign w:val="center"/>
          </w:tcPr>
          <w:p w14:paraId="4B6C418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10</w:t>
            </w:r>
          </w:p>
        </w:tc>
        <w:tc>
          <w:tcPr>
            <w:tcW w:w="993" w:type="dxa"/>
            <w:shd w:val="clear" w:color="auto" w:fill="C6EFCE"/>
            <w:noWrap/>
            <w:vAlign w:val="center"/>
          </w:tcPr>
          <w:p w14:paraId="131BF76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708" w:type="dxa"/>
            <w:shd w:val="clear" w:color="auto" w:fill="C6EFCE"/>
            <w:noWrap/>
            <w:vAlign w:val="center"/>
          </w:tcPr>
          <w:p w14:paraId="32EDE1F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3686" w:type="dxa"/>
            <w:shd w:val="clear" w:color="auto" w:fill="C6EFCE"/>
            <w:noWrap/>
            <w:vAlign w:val="center"/>
          </w:tcPr>
          <w:p w14:paraId="6B035EA8" w14:textId="77777777" w:rsidR="0084326C" w:rsidRPr="005D68A0" w:rsidRDefault="0084326C">
            <w:pPr>
              <w:jc w:val="both"/>
              <w:rPr>
                <w:rFonts w:ascii="Arial Narrow" w:hAnsi="Arial Narrow"/>
                <w:noProof/>
                <w:color w:val="006100"/>
                <w:sz w:val="20"/>
                <w:szCs w:val="20"/>
              </w:rPr>
            </w:pPr>
            <w:r>
              <w:rPr>
                <w:rFonts w:ascii="Arial Narrow" w:hAnsi="Arial Narrow"/>
                <w:noProof/>
                <w:color w:val="006100"/>
                <w:sz w:val="20"/>
              </w:rPr>
              <w:t>Vähemalt kümme innovatsiooni ökosüsteemi on lõpule viinud asjaomases konkursikutses määratletud tegevuse.</w:t>
            </w:r>
          </w:p>
        </w:tc>
      </w:tr>
      <w:tr w:rsidR="00512838" w:rsidRPr="00D90835" w14:paraId="51463E3E" w14:textId="77777777">
        <w:trPr>
          <w:trHeight w:val="313"/>
        </w:trPr>
        <w:tc>
          <w:tcPr>
            <w:tcW w:w="1135" w:type="dxa"/>
            <w:shd w:val="clear" w:color="auto" w:fill="C6EFCE"/>
            <w:noWrap/>
            <w:vAlign w:val="center"/>
          </w:tcPr>
          <w:p w14:paraId="41BC2F7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M4C2-19</w:t>
            </w:r>
          </w:p>
        </w:tc>
        <w:tc>
          <w:tcPr>
            <w:tcW w:w="1419" w:type="dxa"/>
            <w:shd w:val="clear" w:color="auto" w:fill="C6EFCE"/>
            <w:noWrap/>
            <w:vAlign w:val="center"/>
          </w:tcPr>
          <w:p w14:paraId="6B75130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1.4. Teadusstruktuuride tugevdamine ja „riiklike teadus- ja arendustegevuse juhtide“ loomise toetamine mõnede progressi võimaldavate tehnoloogiate valdkonnas</w:t>
            </w:r>
          </w:p>
        </w:tc>
        <w:tc>
          <w:tcPr>
            <w:tcW w:w="1132" w:type="dxa"/>
            <w:shd w:val="clear" w:color="auto" w:fill="C6EFCE"/>
            <w:noWrap/>
            <w:vAlign w:val="center"/>
          </w:tcPr>
          <w:p w14:paraId="05682C5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vAlign w:val="center"/>
          </w:tcPr>
          <w:p w14:paraId="0878F69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Riiklike teadus- ja arendustegevuse projektide lepingute sõlmimine; võtmetehnoloogiate alal töötavad D-liidrid</w:t>
            </w:r>
          </w:p>
        </w:tc>
        <w:tc>
          <w:tcPr>
            <w:tcW w:w="1275" w:type="dxa"/>
            <w:shd w:val="clear" w:color="auto" w:fill="C6EFCE"/>
            <w:noWrap/>
            <w:vAlign w:val="center"/>
          </w:tcPr>
          <w:p w14:paraId="2397FC0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Lepingute sõlmimisest teatamine</w:t>
            </w:r>
          </w:p>
        </w:tc>
        <w:tc>
          <w:tcPr>
            <w:tcW w:w="1134" w:type="dxa"/>
            <w:shd w:val="clear" w:color="auto" w:fill="C6EFCE"/>
            <w:noWrap/>
            <w:vAlign w:val="center"/>
          </w:tcPr>
          <w:p w14:paraId="18AC933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noWrap/>
            <w:vAlign w:val="center"/>
          </w:tcPr>
          <w:p w14:paraId="2F97F2A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275" w:type="dxa"/>
            <w:shd w:val="clear" w:color="auto" w:fill="C6EFCE"/>
            <w:noWrap/>
            <w:vAlign w:val="center"/>
          </w:tcPr>
          <w:p w14:paraId="7343E1E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noWrap/>
            <w:vAlign w:val="center"/>
          </w:tcPr>
          <w:p w14:paraId="0E3F405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708" w:type="dxa"/>
            <w:shd w:val="clear" w:color="auto" w:fill="C6EFCE"/>
            <w:noWrap/>
            <w:vAlign w:val="center"/>
          </w:tcPr>
          <w:p w14:paraId="2B939A7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2022</w:t>
            </w:r>
          </w:p>
        </w:tc>
        <w:tc>
          <w:tcPr>
            <w:tcW w:w="3686" w:type="dxa"/>
            <w:shd w:val="clear" w:color="auto" w:fill="C6EFCE"/>
            <w:noWrap/>
            <w:vAlign w:val="center"/>
          </w:tcPr>
          <w:p w14:paraId="589A0A7E" w14:textId="4A6D1789" w:rsidR="0084326C" w:rsidRPr="005D68A0" w:rsidRDefault="0084326C">
            <w:pPr>
              <w:spacing w:after="120"/>
              <w:jc w:val="both"/>
              <w:rPr>
                <w:rFonts w:ascii="Arial Narrow" w:hAnsi="Arial Narrow"/>
                <w:noProof/>
                <w:color w:val="006100"/>
                <w:sz w:val="20"/>
                <w:szCs w:val="20"/>
              </w:rPr>
            </w:pPr>
            <w:r>
              <w:rPr>
                <w:rFonts w:ascii="Arial Narrow" w:hAnsi="Arial Narrow"/>
                <w:noProof/>
                <w:color w:val="006100"/>
                <w:sz w:val="20"/>
              </w:rPr>
              <w:t>Hankekonkursside alusel välja valitud projektidega seotud lepingute sõlmimisest teatamine vastavalt tehnilisele juhendile „Mitte tekitada olulist kahju“ (2021/C58/01), kasutades kõrvalejätmise loetelu ning asjaomaste ELi ja riiklike keskkonnaalaste õigusaktide järgimise nõuet.</w:t>
            </w:r>
          </w:p>
          <w:p w14:paraId="28916B40" w14:textId="77777777" w:rsidR="0084326C" w:rsidRPr="005D68A0" w:rsidRDefault="0084326C">
            <w:pPr>
              <w:spacing w:after="120"/>
              <w:jc w:val="both"/>
              <w:rPr>
                <w:rFonts w:ascii="Arial Narrow" w:hAnsi="Arial Narrow"/>
                <w:noProof/>
                <w:color w:val="006100"/>
                <w:sz w:val="20"/>
                <w:szCs w:val="20"/>
              </w:rPr>
            </w:pPr>
            <w:r>
              <w:rPr>
                <w:rFonts w:ascii="Arial Narrow" w:hAnsi="Arial Narrow"/>
                <w:noProof/>
                <w:color w:val="006100"/>
                <w:sz w:val="20"/>
              </w:rPr>
              <w:t>Projektid valitakse välja 30 % ulatuses sekkumisteks „Teadusuuringud ja innovatsiooniprotsessid, tehnosiire ja ettevõtetevaheline koostöö, keskendudes vähese süsinikuheitega majandusele, vastupanuvõimele ja kliimamuutustega kohanemisele“ (IF022) ning 15 % ulatuses sekkumisteks „Teadusuuringud ja innovatsiooniprotsessid, tehnosiire ja ettevõtetevaheline koostöö ringmajanduse valdkonnas“ (IF023).</w:t>
            </w:r>
          </w:p>
          <w:p w14:paraId="6DCC4A2B" w14:textId="77777777" w:rsidR="0084326C" w:rsidRPr="005D68A0" w:rsidRDefault="0084326C">
            <w:pPr>
              <w:spacing w:after="120"/>
              <w:jc w:val="both"/>
              <w:rPr>
                <w:rFonts w:ascii="Arial Narrow" w:hAnsi="Arial Narrow"/>
                <w:noProof/>
                <w:color w:val="006100"/>
                <w:sz w:val="20"/>
                <w:szCs w:val="20"/>
              </w:rPr>
            </w:pPr>
            <w:r>
              <w:rPr>
                <w:rFonts w:ascii="Arial Narrow" w:hAnsi="Arial Narrow"/>
                <w:noProof/>
                <w:color w:val="006100"/>
                <w:sz w:val="20"/>
              </w:rPr>
              <w:t>Projektide hindamisel võetakse arvesse nende teostatavust, jätkusuutlikkust, muudest allikatest (näiteks piirkondlikest fondidest) pärit koostööd, tootmissektori kaasamist, partnerite kvaliteeti ning mõju sotsiaalsele ja keskkonnaalasele jätkusuutlikkusele. Üleskutse rahastada projekte innovatsiooni ökosüsteemidena. Valikumenetlus nõuab DNSH hindamist ja vajaduse korral keskkonnamõju strateegilist hindamist, kui eeldatakse, et projekt avaldab piirkonnale järjepidevat mõju.</w:t>
            </w:r>
          </w:p>
        </w:tc>
      </w:tr>
      <w:tr w:rsidR="00512838" w:rsidRPr="00D90835" w14:paraId="73A2878D" w14:textId="77777777">
        <w:trPr>
          <w:trHeight w:val="313"/>
        </w:trPr>
        <w:tc>
          <w:tcPr>
            <w:tcW w:w="1135" w:type="dxa"/>
            <w:shd w:val="clear" w:color="auto" w:fill="C6EFCE"/>
            <w:noWrap/>
            <w:vAlign w:val="center"/>
            <w:hideMark/>
          </w:tcPr>
          <w:p w14:paraId="0ECEBCA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M4C2-20</w:t>
            </w:r>
          </w:p>
        </w:tc>
        <w:tc>
          <w:tcPr>
            <w:tcW w:w="1419" w:type="dxa"/>
            <w:shd w:val="clear" w:color="auto" w:fill="C6EFCE"/>
            <w:noWrap/>
            <w:vAlign w:val="center"/>
            <w:hideMark/>
          </w:tcPr>
          <w:p w14:paraId="2C27E3E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3.2. Uute ettevõtete rahastamine</w:t>
            </w:r>
          </w:p>
        </w:tc>
        <w:tc>
          <w:tcPr>
            <w:tcW w:w="1132" w:type="dxa"/>
            <w:shd w:val="clear" w:color="auto" w:fill="C6EFCE"/>
            <w:noWrap/>
            <w:vAlign w:val="center"/>
            <w:hideMark/>
          </w:tcPr>
          <w:p w14:paraId="115EE63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vAlign w:val="center"/>
            <w:hideMark/>
          </w:tcPr>
          <w:p w14:paraId="00B2A8E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IT valitsuse ja rakenduspartneri Cassa Depositi e Prestiti (CDP) vahel sõlmitud leping, millega luuakse rahastamisvahend</w:t>
            </w:r>
          </w:p>
        </w:tc>
        <w:tc>
          <w:tcPr>
            <w:tcW w:w="1275" w:type="dxa"/>
            <w:shd w:val="clear" w:color="auto" w:fill="C6EFCE"/>
            <w:noWrap/>
            <w:vAlign w:val="center"/>
            <w:hideMark/>
          </w:tcPr>
          <w:p w14:paraId="610615A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Lepingule on alla kirjutanud Itaalia valitsus ja Cassa Depositi e Prestiti</w:t>
            </w:r>
          </w:p>
        </w:tc>
        <w:tc>
          <w:tcPr>
            <w:tcW w:w="1134" w:type="dxa"/>
            <w:shd w:val="clear" w:color="auto" w:fill="C6EFCE"/>
            <w:noWrap/>
            <w:vAlign w:val="center"/>
            <w:hideMark/>
          </w:tcPr>
          <w:p w14:paraId="4179BE4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noWrap/>
            <w:vAlign w:val="center"/>
            <w:hideMark/>
          </w:tcPr>
          <w:p w14:paraId="76856C7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275" w:type="dxa"/>
            <w:shd w:val="clear" w:color="auto" w:fill="C6EFCE"/>
            <w:noWrap/>
            <w:vAlign w:val="center"/>
            <w:hideMark/>
          </w:tcPr>
          <w:p w14:paraId="779F777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noWrap/>
            <w:vAlign w:val="center"/>
            <w:hideMark/>
          </w:tcPr>
          <w:p w14:paraId="3BB7B0E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708" w:type="dxa"/>
            <w:shd w:val="clear" w:color="auto" w:fill="C6EFCE"/>
            <w:noWrap/>
            <w:vAlign w:val="center"/>
            <w:hideMark/>
          </w:tcPr>
          <w:p w14:paraId="110B6F0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2022</w:t>
            </w:r>
          </w:p>
        </w:tc>
        <w:tc>
          <w:tcPr>
            <w:tcW w:w="3686" w:type="dxa"/>
            <w:shd w:val="clear" w:color="auto" w:fill="C6EFCE"/>
            <w:noWrap/>
            <w:vAlign w:val="center"/>
            <w:hideMark/>
          </w:tcPr>
          <w:p w14:paraId="7EB048B2" w14:textId="77777777" w:rsidR="0084326C" w:rsidRPr="005D68A0" w:rsidRDefault="0084326C">
            <w:pPr>
              <w:jc w:val="both"/>
              <w:rPr>
                <w:rFonts w:ascii="Arial Narrow" w:hAnsi="Arial Narrow"/>
                <w:noProof/>
                <w:color w:val="006100"/>
                <w:sz w:val="20"/>
                <w:szCs w:val="20"/>
              </w:rPr>
            </w:pPr>
            <w:r>
              <w:rPr>
                <w:rFonts w:ascii="Arial Narrow" w:hAnsi="Arial Narrow"/>
                <w:noProof/>
                <w:color w:val="006100"/>
                <w:sz w:val="20"/>
              </w:rPr>
              <w:t>Rahastamisvahendi investeerimispoliitikas/-strateegias sisalduvad elemendid on järgmised:</w:t>
            </w:r>
          </w:p>
          <w:p w14:paraId="4BE1C1FC" w14:textId="77777777" w:rsidR="0084326C" w:rsidRPr="005D68A0" w:rsidRDefault="0084326C">
            <w:pPr>
              <w:ind w:left="176" w:hanging="176"/>
              <w:jc w:val="both"/>
              <w:rPr>
                <w:rFonts w:ascii="Arial Narrow" w:hAnsi="Arial Narrow"/>
                <w:noProof/>
                <w:color w:val="006100"/>
                <w:sz w:val="20"/>
                <w:szCs w:val="20"/>
              </w:rPr>
            </w:pPr>
            <w:r>
              <w:rPr>
                <w:rFonts w:ascii="Arial Narrow" w:hAnsi="Arial Narrow"/>
                <w:noProof/>
                <w:color w:val="006100"/>
                <w:sz w:val="20"/>
              </w:rPr>
              <w:t>–</w:t>
            </w:r>
            <w:r>
              <w:rPr>
                <w:noProof/>
              </w:rPr>
              <w:tab/>
            </w:r>
            <w:r>
              <w:rPr>
                <w:rFonts w:ascii="Arial Narrow" w:hAnsi="Arial Narrow"/>
                <w:noProof/>
                <w:color w:val="006100"/>
                <w:sz w:val="20"/>
              </w:rPr>
              <w:t>Investeerimiseesmärgid (fondi suurus, tegevuste arv, aja jooksul toetatavad summad toetusesaajate kaupa, näiteks VKEd ja keskmise turukapitalisatsiooniga ettevõtjad/suurettevõtjad)</w:t>
            </w:r>
          </w:p>
          <w:p w14:paraId="2EDBBAFD" w14:textId="77777777" w:rsidR="0084326C" w:rsidRPr="005D68A0" w:rsidRDefault="0084326C">
            <w:pPr>
              <w:ind w:left="176" w:hanging="176"/>
              <w:jc w:val="both"/>
              <w:rPr>
                <w:rFonts w:ascii="Arial Narrow" w:hAnsi="Arial Narrow"/>
                <w:noProof/>
                <w:color w:val="006100"/>
                <w:sz w:val="20"/>
                <w:szCs w:val="20"/>
              </w:rPr>
            </w:pPr>
            <w:r>
              <w:rPr>
                <w:rFonts w:ascii="Arial Narrow" w:hAnsi="Arial Narrow"/>
                <w:noProof/>
                <w:color w:val="006100"/>
                <w:sz w:val="20"/>
              </w:rPr>
              <w:t>–</w:t>
            </w:r>
            <w:r>
              <w:rPr>
                <w:noProof/>
              </w:rPr>
              <w:tab/>
            </w:r>
            <w:r>
              <w:rPr>
                <w:rFonts w:ascii="Arial Narrow" w:hAnsi="Arial Narrow"/>
                <w:noProof/>
                <w:color w:val="006100"/>
                <w:sz w:val="20"/>
              </w:rPr>
              <w:t>Reguleerimisala ja rahastamiskõlblikud toetusesaajad</w:t>
            </w:r>
          </w:p>
          <w:p w14:paraId="3EA1389A" w14:textId="77777777" w:rsidR="0084326C" w:rsidRPr="005D68A0" w:rsidRDefault="0084326C">
            <w:pPr>
              <w:ind w:left="176" w:hanging="176"/>
              <w:jc w:val="both"/>
              <w:rPr>
                <w:rFonts w:ascii="Arial Narrow" w:hAnsi="Arial Narrow"/>
                <w:noProof/>
                <w:color w:val="006100"/>
                <w:sz w:val="20"/>
                <w:szCs w:val="20"/>
              </w:rPr>
            </w:pPr>
            <w:r>
              <w:rPr>
                <w:rFonts w:ascii="Arial Narrow" w:hAnsi="Arial Narrow"/>
                <w:noProof/>
                <w:color w:val="006100"/>
                <w:sz w:val="20"/>
              </w:rPr>
              <w:t>–</w:t>
            </w:r>
            <w:r>
              <w:rPr>
                <w:noProof/>
              </w:rPr>
              <w:tab/>
            </w:r>
            <w:r>
              <w:rPr>
                <w:rFonts w:ascii="Arial Narrow" w:hAnsi="Arial Narrow"/>
                <w:noProof/>
                <w:color w:val="006100"/>
                <w:sz w:val="20"/>
              </w:rPr>
              <w:t>Rahastamiskõlblikud finantsvahendajad ja valikuprotsess</w:t>
            </w:r>
          </w:p>
          <w:p w14:paraId="4A054ABB" w14:textId="77777777" w:rsidR="0084326C" w:rsidRPr="005D68A0" w:rsidRDefault="0084326C">
            <w:pPr>
              <w:ind w:left="176" w:hanging="176"/>
              <w:jc w:val="both"/>
              <w:rPr>
                <w:rFonts w:ascii="Arial Narrow" w:hAnsi="Arial Narrow"/>
                <w:noProof/>
                <w:color w:val="006100"/>
                <w:sz w:val="20"/>
                <w:szCs w:val="20"/>
              </w:rPr>
            </w:pPr>
            <w:r>
              <w:rPr>
                <w:rFonts w:ascii="Arial Narrow" w:hAnsi="Arial Narrow"/>
                <w:noProof/>
                <w:color w:val="006100"/>
                <w:sz w:val="20"/>
              </w:rPr>
              <w:t>–</w:t>
            </w:r>
            <w:r>
              <w:rPr>
                <w:noProof/>
              </w:rPr>
              <w:tab/>
            </w:r>
            <w:r>
              <w:rPr>
                <w:rFonts w:ascii="Arial Narrow" w:hAnsi="Arial Narrow"/>
                <w:noProof/>
                <w:color w:val="006100"/>
                <w:sz w:val="20"/>
              </w:rPr>
              <w:t>Antava toetuse liik (tagatised, laenud, omakapital ja kvaasikapital)</w:t>
            </w:r>
          </w:p>
          <w:p w14:paraId="4810B928" w14:textId="77777777" w:rsidR="0084326C" w:rsidRPr="005D68A0" w:rsidRDefault="0084326C">
            <w:pPr>
              <w:ind w:left="176" w:hanging="176"/>
              <w:jc w:val="both"/>
              <w:rPr>
                <w:rFonts w:ascii="Arial Narrow" w:hAnsi="Arial Narrow"/>
                <w:noProof/>
                <w:color w:val="006100"/>
                <w:sz w:val="20"/>
                <w:szCs w:val="20"/>
              </w:rPr>
            </w:pPr>
            <w:r>
              <w:rPr>
                <w:rFonts w:ascii="Arial Narrow" w:hAnsi="Arial Narrow"/>
                <w:noProof/>
                <w:color w:val="006100"/>
                <w:sz w:val="20"/>
              </w:rPr>
              <w:t>–</w:t>
            </w:r>
            <w:r>
              <w:rPr>
                <w:noProof/>
              </w:rPr>
              <w:tab/>
            </w:r>
            <w:r>
              <w:rPr>
                <w:rFonts w:ascii="Arial Narrow" w:hAnsi="Arial Narrow"/>
                <w:noProof/>
                <w:color w:val="006100"/>
                <w:sz w:val="20"/>
              </w:rPr>
              <w:t>Sihipärane risk/sissetulek iga investoriliigi puhul</w:t>
            </w:r>
          </w:p>
          <w:p w14:paraId="449C0979" w14:textId="77777777" w:rsidR="0084326C" w:rsidRPr="005D68A0" w:rsidRDefault="0084326C">
            <w:pPr>
              <w:ind w:left="176" w:hanging="176"/>
              <w:jc w:val="both"/>
              <w:rPr>
                <w:rFonts w:ascii="Arial Narrow" w:hAnsi="Arial Narrow"/>
                <w:noProof/>
                <w:color w:val="006100"/>
                <w:sz w:val="20"/>
                <w:szCs w:val="20"/>
              </w:rPr>
            </w:pPr>
            <w:r>
              <w:rPr>
                <w:rFonts w:ascii="Arial Narrow" w:hAnsi="Arial Narrow"/>
                <w:noProof/>
                <w:color w:val="006100"/>
                <w:sz w:val="20"/>
              </w:rPr>
              <w:t>–</w:t>
            </w:r>
            <w:r>
              <w:rPr>
                <w:noProof/>
              </w:rPr>
              <w:tab/>
            </w:r>
            <w:r>
              <w:rPr>
                <w:rFonts w:ascii="Arial Narrow" w:hAnsi="Arial Narrow"/>
                <w:noProof/>
                <w:color w:val="006100"/>
                <w:sz w:val="20"/>
              </w:rPr>
              <w:t>Riskipoliitika ja rahapesu tõkestamise poliitika</w:t>
            </w:r>
          </w:p>
          <w:p w14:paraId="31244DE9" w14:textId="77777777" w:rsidR="0084326C" w:rsidRPr="005D68A0" w:rsidRDefault="0084326C">
            <w:pPr>
              <w:ind w:left="176" w:hanging="176"/>
              <w:jc w:val="both"/>
              <w:rPr>
                <w:rFonts w:ascii="Arial Narrow" w:hAnsi="Arial Narrow"/>
                <w:noProof/>
                <w:color w:val="006100"/>
                <w:sz w:val="20"/>
                <w:szCs w:val="20"/>
              </w:rPr>
            </w:pPr>
            <w:r>
              <w:rPr>
                <w:rFonts w:ascii="Arial Narrow" w:hAnsi="Arial Narrow"/>
                <w:noProof/>
                <w:color w:val="006100"/>
                <w:sz w:val="20"/>
              </w:rPr>
              <w:t>–</w:t>
            </w:r>
            <w:r>
              <w:rPr>
                <w:noProof/>
              </w:rPr>
              <w:tab/>
            </w:r>
            <w:r>
              <w:rPr>
                <w:rFonts w:ascii="Arial Narrow" w:hAnsi="Arial Narrow"/>
                <w:noProof/>
                <w:color w:val="006100"/>
                <w:sz w:val="20"/>
              </w:rPr>
              <w:t>Juhtimine (partnerid, fondivalitsejad, juhatus, investeeringute komitee, roll ja vastutusalad)</w:t>
            </w:r>
          </w:p>
          <w:p w14:paraId="58CDAD26" w14:textId="77777777" w:rsidR="0084326C" w:rsidRPr="005D68A0" w:rsidRDefault="0084326C">
            <w:pPr>
              <w:ind w:left="176" w:hanging="176"/>
              <w:jc w:val="both"/>
              <w:rPr>
                <w:rFonts w:ascii="Arial Narrow" w:hAnsi="Arial Narrow"/>
                <w:noProof/>
                <w:color w:val="006100"/>
                <w:sz w:val="20"/>
                <w:szCs w:val="20"/>
              </w:rPr>
            </w:pPr>
            <w:r>
              <w:rPr>
                <w:rFonts w:ascii="Arial Narrow" w:hAnsi="Arial Narrow"/>
                <w:noProof/>
                <w:color w:val="006100"/>
                <w:sz w:val="20"/>
              </w:rPr>
              <w:t>–</w:t>
            </w:r>
            <w:r>
              <w:rPr>
                <w:noProof/>
              </w:rPr>
              <w:tab/>
            </w:r>
            <w:r>
              <w:rPr>
                <w:rFonts w:ascii="Arial Narrow" w:hAnsi="Arial Narrow"/>
                <w:noProof/>
                <w:color w:val="006100"/>
                <w:sz w:val="20"/>
              </w:rPr>
              <w:t>Riskide hajutamine ja kontsentratsiooni piirmäärad</w:t>
            </w:r>
          </w:p>
          <w:p w14:paraId="65786BE9" w14:textId="77777777" w:rsidR="0084326C" w:rsidRPr="005D68A0" w:rsidRDefault="0084326C">
            <w:pPr>
              <w:ind w:left="176" w:hanging="176"/>
              <w:jc w:val="both"/>
              <w:rPr>
                <w:rFonts w:ascii="Arial Narrow" w:hAnsi="Arial Narrow"/>
                <w:noProof/>
                <w:color w:val="006100"/>
                <w:sz w:val="20"/>
                <w:szCs w:val="20"/>
              </w:rPr>
            </w:pPr>
            <w:r>
              <w:rPr>
                <w:rFonts w:ascii="Arial Narrow" w:hAnsi="Arial Narrow"/>
                <w:noProof/>
                <w:color w:val="006100"/>
                <w:sz w:val="20"/>
              </w:rPr>
              <w:t>–</w:t>
            </w:r>
            <w:r>
              <w:rPr>
                <w:noProof/>
              </w:rPr>
              <w:tab/>
            </w:r>
            <w:r>
              <w:rPr>
                <w:rFonts w:ascii="Arial Narrow" w:hAnsi="Arial Narrow"/>
                <w:noProof/>
                <w:color w:val="006100"/>
                <w:sz w:val="20"/>
              </w:rPr>
              <w:t>Omakapitalipoliitika, sealhulgas omakapitaliinvesteeringute väljumisstrateegia</w:t>
            </w:r>
          </w:p>
          <w:p w14:paraId="57D0B311" w14:textId="77777777" w:rsidR="0084326C" w:rsidRPr="005D68A0" w:rsidRDefault="0084326C">
            <w:pPr>
              <w:ind w:left="176" w:hanging="142"/>
              <w:jc w:val="both"/>
              <w:rPr>
                <w:rFonts w:ascii="Arial Narrow" w:hAnsi="Arial Narrow"/>
                <w:noProof/>
                <w:color w:val="006100"/>
                <w:sz w:val="20"/>
                <w:szCs w:val="20"/>
              </w:rPr>
            </w:pPr>
            <w:r>
              <w:rPr>
                <w:rFonts w:ascii="Arial Narrow" w:hAnsi="Arial Narrow"/>
                <w:noProof/>
                <w:color w:val="006100"/>
                <w:sz w:val="20"/>
              </w:rPr>
              <w:t>–</w:t>
            </w:r>
            <w:r>
              <w:rPr>
                <w:noProof/>
              </w:rPr>
              <w:tab/>
            </w:r>
            <w:r>
              <w:rPr>
                <w:rFonts w:ascii="Arial Narrow" w:hAnsi="Arial Narrow"/>
                <w:noProof/>
                <w:color w:val="006100"/>
                <w:sz w:val="20"/>
              </w:rPr>
              <w:t>DNSH ja jätkusuutlikkuse hindamise poliitika ning väljajätmiste loetelu</w:t>
            </w:r>
          </w:p>
          <w:p w14:paraId="7C7282D1" w14:textId="77777777" w:rsidR="0084326C" w:rsidRPr="005D68A0" w:rsidRDefault="0084326C">
            <w:pPr>
              <w:ind w:left="176" w:hanging="142"/>
              <w:jc w:val="both"/>
              <w:rPr>
                <w:rFonts w:ascii="Arial Narrow" w:hAnsi="Arial Narrow"/>
                <w:noProof/>
                <w:color w:val="006100"/>
                <w:sz w:val="20"/>
                <w:szCs w:val="20"/>
              </w:rPr>
            </w:pPr>
            <w:r>
              <w:rPr>
                <w:rFonts w:ascii="Arial Narrow" w:hAnsi="Arial Narrow"/>
                <w:noProof/>
                <w:color w:val="006100"/>
                <w:sz w:val="20"/>
              </w:rPr>
              <w:t>–</w:t>
            </w:r>
            <w:r>
              <w:rPr>
                <w:noProof/>
              </w:rPr>
              <w:tab/>
            </w:r>
            <w:r>
              <w:rPr>
                <w:rFonts w:ascii="Arial Narrow" w:hAnsi="Arial Narrow"/>
                <w:noProof/>
                <w:color w:val="006100"/>
                <w:sz w:val="20"/>
              </w:rPr>
              <w:t>Laenupoliitika võlainvesteeringute puhul, sealhulgas nõutavad garantiid ja tagatis</w:t>
            </w:r>
          </w:p>
          <w:p w14:paraId="50117E7E" w14:textId="77777777" w:rsidR="0084326C" w:rsidRPr="005D68A0" w:rsidRDefault="0084326C">
            <w:pPr>
              <w:ind w:left="176" w:hanging="142"/>
              <w:jc w:val="both"/>
              <w:rPr>
                <w:rFonts w:ascii="Arial Narrow" w:hAnsi="Arial Narrow"/>
                <w:noProof/>
                <w:color w:val="006100"/>
                <w:sz w:val="20"/>
                <w:szCs w:val="20"/>
              </w:rPr>
            </w:pPr>
            <w:r>
              <w:rPr>
                <w:rFonts w:ascii="Arial Narrow" w:hAnsi="Arial Narrow"/>
                <w:noProof/>
                <w:color w:val="006100"/>
                <w:sz w:val="20"/>
              </w:rPr>
              <w:t>–</w:t>
            </w:r>
            <w:r>
              <w:rPr>
                <w:noProof/>
              </w:rPr>
              <w:tab/>
            </w:r>
            <w:r>
              <w:rPr>
                <w:rFonts w:ascii="Arial Narrow" w:hAnsi="Arial Narrow"/>
                <w:noProof/>
                <w:color w:val="006100"/>
                <w:sz w:val="20"/>
              </w:rPr>
              <w:t>Rahaliste vahendite kogumise ja rakendamise ajakava</w:t>
            </w:r>
          </w:p>
          <w:p w14:paraId="4A2E7746" w14:textId="77777777" w:rsidR="0084326C" w:rsidRPr="00F33804" w:rsidRDefault="0084326C">
            <w:pPr>
              <w:ind w:left="176" w:hanging="142"/>
              <w:jc w:val="both"/>
              <w:rPr>
                <w:rFonts w:ascii="Arial Narrow" w:hAnsi="Arial Narrow"/>
                <w:noProof/>
                <w:color w:val="006100"/>
                <w:sz w:val="20"/>
                <w:szCs w:val="20"/>
                <w:lang w:val="fr-BE"/>
              </w:rPr>
            </w:pPr>
          </w:p>
        </w:tc>
      </w:tr>
      <w:tr w:rsidR="00F51189" w:rsidRPr="00D90835" w14:paraId="66A3B634" w14:textId="77777777">
        <w:trPr>
          <w:trHeight w:val="313"/>
        </w:trPr>
        <w:tc>
          <w:tcPr>
            <w:tcW w:w="1135" w:type="dxa"/>
            <w:shd w:val="clear" w:color="auto" w:fill="C6EFCE"/>
            <w:noWrap/>
            <w:hideMark/>
          </w:tcPr>
          <w:p w14:paraId="3D37253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M4C2–21bis</w:t>
            </w:r>
          </w:p>
        </w:tc>
        <w:tc>
          <w:tcPr>
            <w:tcW w:w="1419" w:type="dxa"/>
            <w:shd w:val="clear" w:color="auto" w:fill="C6EFCE"/>
            <w:noWrap/>
            <w:hideMark/>
          </w:tcPr>
          <w:p w14:paraId="079C2FC3" w14:textId="522C61A8"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Investeering 3.2. Idufirmade rahastamine </w:t>
            </w:r>
          </w:p>
        </w:tc>
        <w:tc>
          <w:tcPr>
            <w:tcW w:w="1132" w:type="dxa"/>
            <w:shd w:val="clear" w:color="auto" w:fill="C6EFCE"/>
            <w:noWrap/>
            <w:hideMark/>
          </w:tcPr>
          <w:p w14:paraId="0DE111D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hideMark/>
          </w:tcPr>
          <w:p w14:paraId="0E75982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Ministeerium on viinud lõpule vahendite ülekandmise CDP riskikapitali SGRile</w:t>
            </w:r>
          </w:p>
        </w:tc>
        <w:tc>
          <w:tcPr>
            <w:tcW w:w="1275" w:type="dxa"/>
            <w:shd w:val="clear" w:color="auto" w:fill="C6EFCE"/>
            <w:noWrap/>
            <w:hideMark/>
          </w:tcPr>
          <w:p w14:paraId="505AFB7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Üleviimistunnistus</w:t>
            </w:r>
          </w:p>
        </w:tc>
        <w:tc>
          <w:tcPr>
            <w:tcW w:w="1134" w:type="dxa"/>
            <w:shd w:val="clear" w:color="auto" w:fill="C6EFCE"/>
            <w:noWrap/>
            <w:hideMark/>
          </w:tcPr>
          <w:p w14:paraId="4D6DE244" w14:textId="77777777" w:rsidR="0084326C" w:rsidRPr="005D68A0" w:rsidRDefault="0084326C">
            <w:pPr>
              <w:jc w:val="center"/>
              <w:rPr>
                <w:rFonts w:ascii="Arial Narrow" w:hAnsi="Arial Narrow"/>
                <w:noProof/>
                <w:color w:val="006100"/>
                <w:sz w:val="20"/>
                <w:szCs w:val="20"/>
                <w:lang w:val="en-GB"/>
              </w:rPr>
            </w:pPr>
          </w:p>
        </w:tc>
        <w:tc>
          <w:tcPr>
            <w:tcW w:w="993" w:type="dxa"/>
            <w:shd w:val="clear" w:color="auto" w:fill="C6EFCE"/>
            <w:noWrap/>
            <w:hideMark/>
          </w:tcPr>
          <w:p w14:paraId="0B8E22F9" w14:textId="77777777" w:rsidR="0084326C" w:rsidRPr="005D68A0" w:rsidRDefault="0084326C">
            <w:pPr>
              <w:jc w:val="center"/>
              <w:rPr>
                <w:rFonts w:ascii="Arial Narrow" w:hAnsi="Arial Narrow"/>
                <w:noProof/>
                <w:color w:val="006100"/>
                <w:sz w:val="20"/>
                <w:szCs w:val="20"/>
                <w:lang w:val="en-GB"/>
              </w:rPr>
            </w:pPr>
          </w:p>
        </w:tc>
        <w:tc>
          <w:tcPr>
            <w:tcW w:w="1275" w:type="dxa"/>
            <w:shd w:val="clear" w:color="auto" w:fill="C6EFCE"/>
            <w:noWrap/>
            <w:hideMark/>
          </w:tcPr>
          <w:p w14:paraId="66E05CE2" w14:textId="77777777" w:rsidR="0084326C" w:rsidRPr="005D68A0" w:rsidRDefault="0084326C">
            <w:pPr>
              <w:jc w:val="center"/>
              <w:rPr>
                <w:rFonts w:ascii="Arial Narrow" w:hAnsi="Arial Narrow"/>
                <w:noProof/>
                <w:color w:val="006100"/>
                <w:sz w:val="20"/>
                <w:szCs w:val="20"/>
                <w:lang w:val="en-GB"/>
              </w:rPr>
            </w:pPr>
          </w:p>
        </w:tc>
        <w:tc>
          <w:tcPr>
            <w:tcW w:w="993" w:type="dxa"/>
            <w:shd w:val="clear" w:color="auto" w:fill="C6EFCE"/>
            <w:noWrap/>
            <w:hideMark/>
          </w:tcPr>
          <w:p w14:paraId="48582D4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708" w:type="dxa"/>
            <w:shd w:val="clear" w:color="auto" w:fill="C6EFCE"/>
            <w:noWrap/>
            <w:hideMark/>
          </w:tcPr>
          <w:p w14:paraId="79CEF60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2024</w:t>
            </w:r>
          </w:p>
        </w:tc>
        <w:tc>
          <w:tcPr>
            <w:tcW w:w="3686" w:type="dxa"/>
            <w:shd w:val="clear" w:color="auto" w:fill="C6EFCE"/>
            <w:noWrap/>
            <w:hideMark/>
          </w:tcPr>
          <w:p w14:paraId="13C2666F" w14:textId="32842312" w:rsidR="0084326C" w:rsidRPr="005D68A0" w:rsidRDefault="0084326C">
            <w:pPr>
              <w:rPr>
                <w:rFonts w:ascii="Arial Narrow" w:hAnsi="Arial Narrow"/>
                <w:noProof/>
                <w:color w:val="006100"/>
                <w:sz w:val="20"/>
                <w:szCs w:val="20"/>
              </w:rPr>
            </w:pPr>
            <w:r>
              <w:rPr>
                <w:rFonts w:ascii="Arial Narrow" w:hAnsi="Arial Narrow"/>
                <w:noProof/>
                <w:color w:val="006100"/>
                <w:sz w:val="20"/>
              </w:rPr>
              <w:t>Itaalia kannab rahastu jaoks üle 400 000 000 eurot CDP riskikapitali.</w:t>
            </w:r>
          </w:p>
          <w:p w14:paraId="23E060CE"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 </w:t>
            </w:r>
          </w:p>
          <w:p w14:paraId="71EE8651"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Eesmärgi rahuldavaks täitmiseks on vaja muuta ka Itaalia ning CDP riskikapitali SGRi ja rahastu vahelist rakenduskokkulepet kooskõlas nõukogu rakendusotsuses sätestatud tingimustega.</w:t>
            </w:r>
          </w:p>
        </w:tc>
      </w:tr>
      <w:tr w:rsidR="00F51189" w:rsidRPr="00D90835" w14:paraId="64123520" w14:textId="77777777">
        <w:trPr>
          <w:trHeight w:val="313"/>
        </w:trPr>
        <w:tc>
          <w:tcPr>
            <w:tcW w:w="1135" w:type="dxa"/>
            <w:shd w:val="clear" w:color="auto" w:fill="C6EFCE"/>
            <w:noWrap/>
          </w:tcPr>
          <w:p w14:paraId="3191CE9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M4C2-21</w:t>
            </w:r>
          </w:p>
        </w:tc>
        <w:tc>
          <w:tcPr>
            <w:tcW w:w="1419" w:type="dxa"/>
            <w:shd w:val="clear" w:color="auto" w:fill="C6EFCE"/>
            <w:noWrap/>
          </w:tcPr>
          <w:p w14:paraId="41AE7D2C" w14:textId="0BAB4DC4"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3.2. Idufirmade rahastamine.</w:t>
            </w:r>
          </w:p>
        </w:tc>
        <w:tc>
          <w:tcPr>
            <w:tcW w:w="1132" w:type="dxa"/>
            <w:shd w:val="clear" w:color="auto" w:fill="C6EFCE"/>
            <w:noWrap/>
          </w:tcPr>
          <w:p w14:paraId="5E04DB6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1418" w:type="dxa"/>
            <w:shd w:val="clear" w:color="auto" w:fill="C6EFCE"/>
            <w:noWrap/>
          </w:tcPr>
          <w:p w14:paraId="7B62A14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Idufirmade või riskikapitalifondidega sõlmitud õiguslikud lepingud</w:t>
            </w:r>
          </w:p>
        </w:tc>
        <w:tc>
          <w:tcPr>
            <w:tcW w:w="1275" w:type="dxa"/>
            <w:shd w:val="clear" w:color="auto" w:fill="C6EFCE"/>
            <w:noWrap/>
          </w:tcPr>
          <w:p w14:paraId="11D272A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Seaduslike rahastamislepingute jõustumine</w:t>
            </w:r>
          </w:p>
        </w:tc>
        <w:tc>
          <w:tcPr>
            <w:tcW w:w="1134" w:type="dxa"/>
            <w:shd w:val="clear" w:color="auto" w:fill="C6EFCE"/>
            <w:noWrap/>
          </w:tcPr>
          <w:p w14:paraId="5185DB6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eurodes</w:t>
            </w:r>
          </w:p>
        </w:tc>
        <w:tc>
          <w:tcPr>
            <w:tcW w:w="993" w:type="dxa"/>
            <w:shd w:val="clear" w:color="auto" w:fill="C6EFCE"/>
            <w:noWrap/>
          </w:tcPr>
          <w:p w14:paraId="173F74C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1275" w:type="dxa"/>
            <w:shd w:val="clear" w:color="auto" w:fill="C6EFCE"/>
            <w:noWrap/>
          </w:tcPr>
          <w:p w14:paraId="786FFF7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100 %</w:t>
            </w:r>
          </w:p>
        </w:tc>
        <w:tc>
          <w:tcPr>
            <w:tcW w:w="993" w:type="dxa"/>
            <w:shd w:val="clear" w:color="auto" w:fill="C6EFCE"/>
            <w:noWrap/>
          </w:tcPr>
          <w:p w14:paraId="7BA9284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708" w:type="dxa"/>
            <w:shd w:val="clear" w:color="auto" w:fill="C6EFCE"/>
            <w:noWrap/>
          </w:tcPr>
          <w:p w14:paraId="237B7C9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3686" w:type="dxa"/>
            <w:shd w:val="clear" w:color="auto" w:fill="C6EFCE"/>
            <w:noWrap/>
          </w:tcPr>
          <w:p w14:paraId="53689C3A"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Cassa Depositi e Prestiti Venture Capital peab olema sõlminud õiguslikud rahastamislepingud idufirmade, inkubatsiooni-/kiirendusprogrammide või riskikapitalifondidega summas, mis on vajalik selleks, et kasutada rahastusse 100 % taaste- ja vastupidavusrahastu investeeringust (400 miljonit eurot) (sealhulgas keskmine ülempiir 13 % haldustasudest ja kuludest fondi elutsükli jooksul ning mis hõlmavad ka eeltingimusi järgnevateks investeerimisvoorudeks, välja arvatud asjast huvitatud isikud, tulemustasud ning kõik kolmandate isikute vahenditega seotud kulud ja haldustasud).</w:t>
            </w:r>
          </w:p>
          <w:p w14:paraId="6F3E4D4F" w14:textId="77777777" w:rsidR="0084326C" w:rsidRPr="005D68A0" w:rsidRDefault="0084326C">
            <w:pPr>
              <w:rPr>
                <w:rFonts w:ascii="Arial Narrow" w:hAnsi="Arial Narrow"/>
                <w:noProof/>
                <w:color w:val="006100"/>
                <w:sz w:val="20"/>
                <w:szCs w:val="20"/>
              </w:rPr>
            </w:pPr>
            <w:r>
              <w:rPr>
                <w:rFonts w:ascii="Arial Narrow" w:hAnsi="Arial Narrow"/>
                <w:noProof/>
                <w:color w:val="006100"/>
              </w:rPr>
              <w:t xml:space="preserve"> </w:t>
            </w:r>
            <w:r>
              <w:rPr>
                <w:noProof/>
              </w:rPr>
              <w:t xml:space="preserve"> </w:t>
            </w:r>
            <w:r>
              <w:rPr>
                <w:noProof/>
              </w:rPr>
              <w:br/>
            </w:r>
            <w:r>
              <w:rPr>
                <w:rFonts w:ascii="Arial Narrow" w:hAnsi="Arial Narrow"/>
                <w:noProof/>
                <w:color w:val="006100"/>
                <w:sz w:val="20"/>
              </w:rPr>
              <w:t>Investeering jagatakse kaheks järgmiseks sekkumisreaks:</w:t>
            </w:r>
          </w:p>
          <w:p w14:paraId="4428D3A6" w14:textId="77777777" w:rsidR="0084326C" w:rsidRPr="005D68A0" w:rsidRDefault="0084326C">
            <w:pPr>
              <w:jc w:val="center"/>
              <w:rPr>
                <w:rFonts w:ascii="Arial Narrow" w:hAnsi="Arial Narrow"/>
                <w:noProof/>
                <w:color w:val="006100"/>
                <w:sz w:val="20"/>
                <w:szCs w:val="20"/>
                <w:lang w:val="en-GB"/>
              </w:rPr>
            </w:pPr>
          </w:p>
          <w:p w14:paraId="6D4C5C32"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Otseinvesteeringud.</w:t>
            </w:r>
          </w:p>
          <w:p w14:paraId="2579E2A7"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Kaudsed investeeringud.</w:t>
            </w:r>
          </w:p>
          <w:p w14:paraId="4FF8D724" w14:textId="77777777" w:rsidR="0084326C" w:rsidRPr="005D68A0" w:rsidRDefault="0084326C">
            <w:pPr>
              <w:rPr>
                <w:rFonts w:ascii="Arial Narrow" w:hAnsi="Arial Narrow"/>
                <w:noProof/>
                <w:color w:val="006100"/>
                <w:sz w:val="20"/>
                <w:szCs w:val="20"/>
                <w:lang w:val="en-GB"/>
              </w:rPr>
            </w:pPr>
          </w:p>
          <w:p w14:paraId="18625BF1"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Riskikapitalifondidesse tehtavate kaudsete investeeringute puhul peab Cassa Depositi e Prestiti Venture Capital olema sõlminud riskikapitalifondidega seaduslikud rahastamislepingud summas, mis on vajalik ligikaudu 60 % taaste- ja vastupidavusrahastu investeeringute soovituslikuks kasutamiseks rahastusse (välja arvatud haldustasud ja DTFi kulud fondi elutsükli jooksul).</w:t>
            </w:r>
          </w:p>
          <w:p w14:paraId="106DFA8E"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Idufirmadesse tehtavate kaudsete investeeringute puhul peavad riskikapitalifondidega sõlmitud seaduslikud rahastamislepingud sisaldama siduvat kohustust saavutada kasutatud kapitali kumulatiivne võimendav mõju nii fondide tasandil kui ka idufirmade tasandil vähemalt 1x1 fondi kogu eluea jooksul.</w:t>
            </w:r>
          </w:p>
          <w:p w14:paraId="6631D06E" w14:textId="77777777" w:rsidR="0084326C" w:rsidRPr="00F33804" w:rsidRDefault="0084326C">
            <w:pPr>
              <w:rPr>
                <w:rFonts w:ascii="Arial Narrow" w:hAnsi="Arial Narrow"/>
                <w:noProof/>
                <w:color w:val="006100"/>
                <w:sz w:val="20"/>
                <w:szCs w:val="20"/>
              </w:rPr>
            </w:pPr>
          </w:p>
          <w:p w14:paraId="20160AAB"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Otseinvesteeringute puhul peab CDP riskikapital olema sõlminud idufirmade/inkubatsiooni-/kiirendusprogrammidega seaduslikud rahastamislepingud summas, mis on vajalik ligikaudu 40 % taaste- ja vastupidavusrahastu investeeringutest (400 miljonit eurot) soovituslikuks kasutamiseks rahastusse (sealhulgas haldustasud ja DTFi kulud fondi elutsükli jooksul).</w:t>
            </w:r>
          </w:p>
          <w:p w14:paraId="08A3FB85"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Ka otseinvesteeringute puhul võib idufirmadega sõlmitav õiguslik rahastamisleping sisaldada eeltingimusi järgnevateks investeerimisvoorudeks. (st tingimused Serie B või Serie C rahastamiseks).</w:t>
            </w:r>
          </w:p>
          <w:p w14:paraId="15F4D60A" w14:textId="77777777" w:rsidR="0084326C" w:rsidRPr="00F33804" w:rsidRDefault="0084326C">
            <w:pPr>
              <w:rPr>
                <w:rFonts w:ascii="Arial Narrow" w:hAnsi="Arial Narrow"/>
                <w:noProof/>
                <w:color w:val="006100"/>
                <w:sz w:val="20"/>
                <w:szCs w:val="20"/>
              </w:rPr>
            </w:pPr>
          </w:p>
          <w:p w14:paraId="6CC4045D" w14:textId="4B181388"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Eesmärgi saavutamisel võetakse arvesse ka käesoleva meetme raames võetud kohustusi, mis on võetud enne rakenduslepingu investeerimispoliitika muudatuste jõustumist ja kooskõlas eesmärgiga M4C2–20 varasema investeerimispoliitika raames sõlmitud lepinguga. </w:t>
            </w:r>
          </w:p>
          <w:p w14:paraId="36E84F9C" w14:textId="77777777" w:rsidR="0084326C" w:rsidRPr="00F33804" w:rsidRDefault="0084326C">
            <w:pPr>
              <w:rPr>
                <w:rFonts w:ascii="Arial Narrow" w:hAnsi="Arial Narrow"/>
                <w:noProof/>
                <w:color w:val="006100"/>
                <w:sz w:val="20"/>
                <w:szCs w:val="20"/>
              </w:rPr>
            </w:pPr>
          </w:p>
          <w:p w14:paraId="0942D5D6"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Alates nõukogu rakendusotsuse jõustumise kuupäevast hakkavad uued kohustused järgima uut investeerimispoliitikat vastavalt uuele nõukogu rakendusotsusele.</w:t>
            </w:r>
          </w:p>
        </w:tc>
      </w:tr>
      <w:tr w:rsidR="00512838" w:rsidRPr="00D90835" w14:paraId="0D78F813" w14:textId="77777777">
        <w:trPr>
          <w:trHeight w:val="313"/>
        </w:trPr>
        <w:tc>
          <w:tcPr>
            <w:tcW w:w="1135" w:type="dxa"/>
            <w:shd w:val="clear" w:color="auto" w:fill="C6EFCE"/>
            <w:noWrap/>
            <w:vAlign w:val="center"/>
            <w:hideMark/>
          </w:tcPr>
          <w:p w14:paraId="298D0A4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M4C2-22</w:t>
            </w:r>
          </w:p>
        </w:tc>
        <w:tc>
          <w:tcPr>
            <w:tcW w:w="1419" w:type="dxa"/>
            <w:shd w:val="clear" w:color="auto" w:fill="C6EFCE"/>
            <w:noWrap/>
            <w:vAlign w:val="center"/>
            <w:hideMark/>
          </w:tcPr>
          <w:p w14:paraId="22D0371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2.1. Üleeuroopalist huvi pakkuvad tähtsad projektid</w:t>
            </w:r>
          </w:p>
        </w:tc>
        <w:tc>
          <w:tcPr>
            <w:tcW w:w="1132" w:type="dxa"/>
            <w:shd w:val="clear" w:color="auto" w:fill="C6EFCE"/>
            <w:noWrap/>
            <w:vAlign w:val="center"/>
            <w:hideMark/>
          </w:tcPr>
          <w:p w14:paraId="28DE130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1418" w:type="dxa"/>
            <w:shd w:val="clear" w:color="auto" w:fill="C6EFCE"/>
            <w:noWrap/>
            <w:vAlign w:val="center"/>
            <w:hideMark/>
          </w:tcPr>
          <w:p w14:paraId="6A8D74D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Toetust saanud projektide arv</w:t>
            </w:r>
          </w:p>
        </w:tc>
        <w:tc>
          <w:tcPr>
            <w:tcW w:w="1275" w:type="dxa"/>
            <w:shd w:val="clear" w:color="auto" w:fill="C6EFCE"/>
            <w:noWrap/>
            <w:vAlign w:val="center"/>
            <w:hideMark/>
          </w:tcPr>
          <w:p w14:paraId="4FC8793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hideMark/>
          </w:tcPr>
          <w:p w14:paraId="58DFA27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993" w:type="dxa"/>
            <w:shd w:val="clear" w:color="auto" w:fill="C6EFCE"/>
            <w:noWrap/>
            <w:vAlign w:val="center"/>
            <w:hideMark/>
          </w:tcPr>
          <w:p w14:paraId="166803B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w:t>
            </w:r>
          </w:p>
        </w:tc>
        <w:tc>
          <w:tcPr>
            <w:tcW w:w="1275" w:type="dxa"/>
            <w:shd w:val="clear" w:color="auto" w:fill="C6EFCE"/>
            <w:noWrap/>
            <w:vAlign w:val="center"/>
            <w:hideMark/>
          </w:tcPr>
          <w:p w14:paraId="2F62AF6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w:t>
            </w:r>
          </w:p>
        </w:tc>
        <w:tc>
          <w:tcPr>
            <w:tcW w:w="993" w:type="dxa"/>
            <w:shd w:val="clear" w:color="auto" w:fill="C6EFCE"/>
            <w:noWrap/>
            <w:vAlign w:val="center"/>
            <w:hideMark/>
          </w:tcPr>
          <w:p w14:paraId="77F030A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708" w:type="dxa"/>
            <w:shd w:val="clear" w:color="auto" w:fill="C6EFCE"/>
            <w:noWrap/>
            <w:vAlign w:val="center"/>
            <w:hideMark/>
          </w:tcPr>
          <w:p w14:paraId="5486500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2025</w:t>
            </w:r>
          </w:p>
        </w:tc>
        <w:tc>
          <w:tcPr>
            <w:tcW w:w="3686" w:type="dxa"/>
            <w:shd w:val="clear" w:color="auto" w:fill="C6EFCE"/>
            <w:noWrap/>
            <w:vAlign w:val="center"/>
            <w:hideMark/>
          </w:tcPr>
          <w:p w14:paraId="3FB8F795"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Vähemalt 20 projekti, mis saavad toetust üleeuroopalist huvi pakkuvate tähtsate projektide mudeli kaudu;</w:t>
            </w:r>
          </w:p>
          <w:p w14:paraId="35FEDD35"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Sihtväärtuste hindamine põhineb Itaalias käivitatud üleeuroopalist huvi pakkuvate projektide (Mikroelektroonika 1, akud 1 ja akud 2) töömeetoditel.</w:t>
            </w:r>
          </w:p>
        </w:tc>
      </w:tr>
    </w:tbl>
    <w:p w14:paraId="74D19EC1" w14:textId="77777777" w:rsidR="0084326C" w:rsidRPr="00F33804" w:rsidRDefault="0084326C" w:rsidP="0084326C">
      <w:pPr>
        <w:rPr>
          <w:noProof/>
        </w:rPr>
        <w:sectPr w:rsidR="0084326C" w:rsidRPr="00F33804">
          <w:headerReference w:type="even" r:id="rId296"/>
          <w:headerReference w:type="default" r:id="rId297"/>
          <w:footerReference w:type="even" r:id="rId298"/>
          <w:footerReference w:type="default" r:id="rId299"/>
          <w:headerReference w:type="first" r:id="rId300"/>
          <w:footerReference w:type="first" r:id="rId301"/>
          <w:pgSz w:w="16839" w:h="11907" w:orient="landscape"/>
          <w:pgMar w:top="1440" w:right="1440" w:bottom="1440" w:left="1440" w:header="567" w:footer="567" w:gutter="0"/>
          <w:cols w:space="720"/>
          <w:docGrid w:linePitch="360"/>
        </w:sectPr>
      </w:pPr>
    </w:p>
    <w:p w14:paraId="28C4589C" w14:textId="77777777" w:rsidR="0084326C" w:rsidRPr="005D68A0" w:rsidRDefault="0084326C" w:rsidP="0084326C">
      <w:pPr>
        <w:pStyle w:val="Heading2"/>
        <w:numPr>
          <w:ilvl w:val="1"/>
          <w:numId w:val="0"/>
        </w:numPr>
        <w:ind w:left="850" w:hanging="850"/>
        <w:rPr>
          <w:noProof/>
          <w:u w:val="single"/>
        </w:rPr>
      </w:pPr>
      <w:r>
        <w:rPr>
          <w:noProof/>
        </w:rPr>
        <w:t xml:space="preserve">L. ÜLESANNE 5, KOMPONENT 1: </w:t>
      </w:r>
      <w:r>
        <w:rPr>
          <w:noProof/>
          <w:u w:val="single"/>
        </w:rPr>
        <w:t>Töölevõtmise põhimõtted</w:t>
      </w:r>
    </w:p>
    <w:p w14:paraId="0F883450" w14:textId="77777777" w:rsidR="0084326C" w:rsidRPr="005D68A0" w:rsidRDefault="0084326C" w:rsidP="0084326C">
      <w:pPr>
        <w:spacing w:before="120" w:after="120"/>
        <w:jc w:val="both"/>
        <w:rPr>
          <w:rFonts w:eastAsia="Calibri"/>
          <w:noProof/>
        </w:rPr>
      </w:pPr>
      <w:r>
        <w:rPr>
          <w:noProof/>
        </w:rPr>
        <w:t>Itaalia taaste- ja vastupidavuskava selle komponendi meetmetega viiakse ellu aktiivse tööturupoliitika ja kutseõppe terviklik ja integreeritud reform. Eeldatakse, et aktiivse tööturupoliitika tugevdamine ja riiklike tööturuasutuste suutlikkuse suurendamine, sealhulgas nende integreerimine haridus- ja koolitusteenuste osutajate ning eraettevõtjatega, suurendavad teenuste tõhusust. Lisaks on selle komponendi meetmete eesmärk vähendada sotsiaalset haavatavust vapustuste suhtes, eelkõige tegeledes deklareerimata töö kõigi vormide ja sektoritega, kehtestades tõhusamad karistused ja tugevamad stiimulid seaduslikuks töötamiseks. Lisaks edendab see komponent soolist võrdõiguslikkust (võrdset töötasu) soolise võrdõiguslikkuse sertifitseerimissüsteemi kaudu. Samuti investeeritakse noortesse, suurendades koolitusprogrammide kvantiteeti ja kvaliteeti, näiteks osalemise kaudu universaalses avalikus teenistuses.</w:t>
      </w:r>
    </w:p>
    <w:p w14:paraId="774B9A28" w14:textId="77777777" w:rsidR="0084326C" w:rsidRPr="005D68A0" w:rsidRDefault="0084326C" w:rsidP="0084326C">
      <w:pPr>
        <w:spacing w:before="120" w:after="120"/>
        <w:jc w:val="both"/>
        <w:rPr>
          <w:noProof/>
        </w:rPr>
      </w:pPr>
      <w:r>
        <w:rPr>
          <w:noProof/>
        </w:rPr>
        <w:t>Nende meetmete rakendamine peaks aitama lahendada probleeme, mida käsitletakse 2020. aasta riigipõhises soovituses nr 2 (tööturu kohta), milles kutsutakse Itaaliat tungivalt üles leevendama kriisi mõju tööhõivele, sealhulgas tööhõive aktiivse toetamise kaudu“, 2020. aasta riigipõhises soovituses nr 2 „toetada oskusi (...), sealhulgas digioskusi“, 2019. aasta riigipõhises soovituses nr 2 „suurendada jõupingutusi deklareerimata töö vastu võitlemiseks ning tagada, et aktiivne tööturg ja sotsiaalpoliitika jõuaksid (...) eelkõige noorte ja haavatavate rühmadeni. Toetada naiste osalemist tööturul“ ja 2019. aasta riigipõhist soovitust nr 2 „edendada oskuste täiendamist, sealhulgas digioskuste tugevdamise kaudu“.</w:t>
      </w:r>
    </w:p>
    <w:p w14:paraId="2A65DA1B" w14:textId="77777777" w:rsidR="0084326C" w:rsidRPr="005D68A0" w:rsidRDefault="0084326C" w:rsidP="0084326C">
      <w:pPr>
        <w:pStyle w:val="Heading3"/>
        <w:numPr>
          <w:ilvl w:val="0"/>
          <w:numId w:val="0"/>
        </w:numPr>
        <w:ind w:left="850" w:hanging="850"/>
        <w:rPr>
          <w:b/>
          <w:bCs w:val="0"/>
          <w:i w:val="0"/>
          <w:iCs/>
          <w:noProof/>
          <w:color w:val="4472C4" w:themeColor="accent1"/>
          <w:u w:val="single"/>
        </w:rPr>
      </w:pPr>
      <w:r>
        <w:rPr>
          <w:b/>
          <w:i w:val="0"/>
          <w:noProof/>
          <w:u w:val="single"/>
        </w:rPr>
        <w:t xml:space="preserve">L.1. </w:t>
      </w:r>
      <w:r>
        <w:rPr>
          <w:noProof/>
        </w:rPr>
        <w:tab/>
      </w:r>
      <w:r>
        <w:rPr>
          <w:b/>
          <w:i w:val="0"/>
          <w:noProof/>
          <w:u w:val="single"/>
        </w:rPr>
        <w:t>Tagastamatu rahalise toetusega seotud reformide ja investeeringute kirjeldus</w:t>
      </w:r>
    </w:p>
    <w:p w14:paraId="206D151A" w14:textId="77777777" w:rsidR="0084326C" w:rsidRPr="005D68A0" w:rsidRDefault="0084326C" w:rsidP="0084326C">
      <w:pPr>
        <w:spacing w:before="120" w:after="120"/>
        <w:jc w:val="both"/>
        <w:rPr>
          <w:b/>
          <w:bCs/>
          <w:noProof/>
          <w:color w:val="006100"/>
        </w:rPr>
      </w:pPr>
      <w:r>
        <w:rPr>
          <w:b/>
          <w:noProof/>
        </w:rPr>
        <w:t xml:space="preserve">Reform 1. Aktiivne tööturupoliitika ja kutseõpe </w:t>
      </w:r>
    </w:p>
    <w:p w14:paraId="13CF5160" w14:textId="44BDE689" w:rsidR="0084326C" w:rsidRPr="005D68A0" w:rsidRDefault="0084326C" w:rsidP="0084326C">
      <w:pPr>
        <w:spacing w:before="120" w:after="120"/>
        <w:jc w:val="both"/>
        <w:rPr>
          <w:noProof/>
          <w:color w:val="000000" w:themeColor="text1"/>
        </w:rPr>
      </w:pPr>
      <w:r>
        <w:rPr>
          <w:noProof/>
        </w:rPr>
        <w:t xml:space="preserve">Reformi eesmärk on edendada tõhusamat aktiivset tööturusüsteemi, pakkudes spetsiaalseid tööhõiveteenuseid ja personaalseid tööturu aktiveerimise kavasid. </w:t>
      </w:r>
      <w:r>
        <w:rPr>
          <w:b/>
          <w:noProof/>
        </w:rPr>
        <w:t>Töötajate tagatud tööalase konkurentsivõime riikliku programmi</w:t>
      </w:r>
      <w:r>
        <w:rPr>
          <w:noProof/>
        </w:rPr>
        <w:t xml:space="preserve"> (GOL) loomine võimaldab pakkuda töötutele kohandatud teenuseid, tugevdades seeläbi töötute aktiveerimisvõimalusi.</w:t>
      </w:r>
      <w:r>
        <w:rPr>
          <w:noProof/>
          <w:color w:val="000000" w:themeColor="text1"/>
        </w:rPr>
        <w:t xml:space="preserve"> Programmile GL lisatakse </w:t>
      </w:r>
      <w:r>
        <w:rPr>
          <w:b/>
          <w:noProof/>
          <w:color w:val="000000" w:themeColor="text1"/>
        </w:rPr>
        <w:t>riiklik uute oskuste kava</w:t>
      </w:r>
      <w:r>
        <w:rPr>
          <w:noProof/>
          <w:color w:val="000000" w:themeColor="text1"/>
        </w:rPr>
        <w:t xml:space="preserve"> ja </w:t>
      </w:r>
      <w:r>
        <w:rPr>
          <w:b/>
          <w:noProof/>
          <w:color w:val="000000" w:themeColor="text1"/>
        </w:rPr>
        <w:t xml:space="preserve">kutseõppemeetmete riiklike oluliste tasemete kindlaksmääramine </w:t>
      </w:r>
      <w:r>
        <w:rPr>
          <w:noProof/>
          <w:color w:val="000000" w:themeColor="text1"/>
        </w:rPr>
        <w:t xml:space="preserve">Itaalias tugevdatakse kutsehariduse ja -koolituse süsteemi, edendades haridus-, koolitus- ja tööturuasutuste territoriaalset võrgustikku ning arendades välja kaasava elukestva õppe süsteemi ning uuenduslikud oskuste täiendamise ja ümberõppe meetmed. </w:t>
      </w:r>
    </w:p>
    <w:p w14:paraId="13719BEE" w14:textId="77777777" w:rsidR="0084326C" w:rsidRPr="005D68A0" w:rsidRDefault="0084326C" w:rsidP="0084326C">
      <w:pPr>
        <w:spacing w:before="120" w:after="120"/>
        <w:jc w:val="both"/>
        <w:rPr>
          <w:b/>
          <w:noProof/>
        </w:rPr>
      </w:pPr>
      <w:r>
        <w:rPr>
          <w:b/>
          <w:noProof/>
          <w:color w:val="000000" w:themeColor="text1"/>
        </w:rPr>
        <w:t xml:space="preserve">Investeering 1. </w:t>
      </w:r>
      <w:r>
        <w:rPr>
          <w:b/>
          <w:noProof/>
        </w:rPr>
        <w:t>Avalike tööturuasutuste tugevdamine</w:t>
      </w:r>
    </w:p>
    <w:p w14:paraId="0877BAF4" w14:textId="77777777" w:rsidR="0084326C" w:rsidRPr="005D68A0" w:rsidRDefault="0084326C" w:rsidP="0084326C">
      <w:pPr>
        <w:spacing w:before="120" w:after="120"/>
        <w:jc w:val="both"/>
        <w:rPr>
          <w:noProof/>
          <w:color w:val="000000" w:themeColor="text1"/>
        </w:rPr>
      </w:pPr>
      <w:r>
        <w:rPr>
          <w:noProof/>
          <w:color w:val="000000" w:themeColor="text1"/>
        </w:rPr>
        <w:t>Selle investeeringu eesmärk on võimaldada tööhõive- ja koolitusteenuste tõhusat osutamist. See meede hõlmab infrastruktuuriinvesteeringuid, piirkondlike tööturu vaatluskeskuste arendamist, piirkondlike ja riiklike infosüsteemide koostalitlusvõime arendamist ning koolitusmeetmete kavandamist ja rakendamist, et ajakohastada töönõustajate oskusi. Meetmega nähti ette ka pakutavate teenuste sisu ja sidekanalite kavandamine ja rakendamine.</w:t>
      </w:r>
    </w:p>
    <w:p w14:paraId="744BCCAC" w14:textId="77777777" w:rsidR="0084326C" w:rsidRPr="005D68A0" w:rsidRDefault="0084326C" w:rsidP="0084326C">
      <w:pPr>
        <w:spacing w:before="120" w:after="120"/>
        <w:jc w:val="both"/>
        <w:rPr>
          <w:b/>
          <w:bCs/>
          <w:noProof/>
          <w:color w:val="000000" w:themeColor="text1"/>
        </w:rPr>
      </w:pPr>
      <w:r>
        <w:rPr>
          <w:b/>
          <w:noProof/>
          <w:color w:val="000000" w:themeColor="text1"/>
        </w:rPr>
        <w:t>Reform 2. Deklareerimata tööga tegelemise riiklik kava.</w:t>
      </w:r>
    </w:p>
    <w:p w14:paraId="1AF7DEDE" w14:textId="61AF0F5C" w:rsidR="0084326C" w:rsidRPr="005D68A0" w:rsidRDefault="0084326C" w:rsidP="0084326C">
      <w:pPr>
        <w:spacing w:before="120" w:after="120"/>
        <w:jc w:val="both"/>
        <w:rPr>
          <w:noProof/>
          <w:color w:val="000000" w:themeColor="text1"/>
        </w:rPr>
      </w:pPr>
      <w:r>
        <w:rPr>
          <w:noProof/>
          <w:color w:val="000000" w:themeColor="text1"/>
        </w:rPr>
        <w:t xml:space="preserve">Meetme eesmärk on parandada töö kvaliteeti ja töötajate töötingimusi. See meede hõlmab meetmeid, mille eesmärk on </w:t>
      </w:r>
      <w:r>
        <w:rPr>
          <w:b/>
          <w:noProof/>
          <w:color w:val="000000" w:themeColor="text1"/>
        </w:rPr>
        <w:t>ennetada ja tõkestada deklareerimata tööd</w:t>
      </w:r>
      <w:r>
        <w:rPr>
          <w:noProof/>
          <w:color w:val="000000" w:themeColor="text1"/>
        </w:rPr>
        <w:t>, tööjõu ekspluateerimist (Caporalato) ja muid ebaseadusliku töö vorme. Reform hõlmab järgmist: i) otseste ja kaudsete meetmete kehtestamine deklareerimata tööks muutmiseks deklareeritud tööks, tagades, et deklareeritud majanduses tegutsemisest saadav kasu kaalub üles deklareerimata majanduses töötamise kulud; ii) Riikliku tööinspektsiooni kontrollisuutlikkuse tugevdamine; iii) deklareerimata tööd käsitlevate üksikasjalike andmete tootmise, kogumise ja õigeaegse levitamise parandamine; iv) toetada deklareerimata töö muutmist seaduslikuks tööks, toetades heidutusmeetmete ja korrapärase töö stiimulite vastuvõtmist; v)</w:t>
      </w:r>
      <w:r w:rsidR="00EB4CA1">
        <w:rPr>
          <w:noProof/>
          <w:color w:val="000000" w:themeColor="text1"/>
        </w:rPr>
        <w:t> </w:t>
      </w:r>
      <w:r>
        <w:rPr>
          <w:noProof/>
          <w:color w:val="000000" w:themeColor="text1"/>
        </w:rPr>
        <w:t>teavituskampaaniate, teavitamis- ja teadlikkuse suurendamise meetmete läbiviimine; v)</w:t>
      </w:r>
      <w:r w:rsidR="00EB4CA1">
        <w:rPr>
          <w:noProof/>
          <w:color w:val="000000" w:themeColor="text1"/>
        </w:rPr>
        <w:t> </w:t>
      </w:r>
      <w:r>
        <w:rPr>
          <w:noProof/>
          <w:color w:val="000000" w:themeColor="text1"/>
        </w:rPr>
        <w:t xml:space="preserve">juhtimissüsteemi tugevdamine deklareerimata töö vastu võitlemiseks riiklikul ja kohalikul tasandil. </w:t>
      </w:r>
    </w:p>
    <w:p w14:paraId="322DB235" w14:textId="77777777" w:rsidR="0084326C" w:rsidRPr="005D68A0" w:rsidRDefault="0084326C" w:rsidP="0084326C">
      <w:pPr>
        <w:spacing w:before="120" w:after="120"/>
        <w:jc w:val="both"/>
        <w:rPr>
          <w:b/>
          <w:noProof/>
          <w:color w:val="000000" w:themeColor="text1"/>
        </w:rPr>
      </w:pPr>
      <w:r>
        <w:rPr>
          <w:b/>
          <w:noProof/>
          <w:color w:val="000000" w:themeColor="text1"/>
        </w:rPr>
        <w:t>Investeering 2. Soolise võrdõiguslikkuse sertifitseerimise süsteem</w:t>
      </w:r>
    </w:p>
    <w:p w14:paraId="1E1A60A4" w14:textId="77777777" w:rsidR="0084326C" w:rsidRPr="005D68A0" w:rsidRDefault="0084326C" w:rsidP="0084326C">
      <w:pPr>
        <w:spacing w:before="120" w:after="120"/>
        <w:jc w:val="both"/>
        <w:rPr>
          <w:noProof/>
        </w:rPr>
      </w:pPr>
      <w:r>
        <w:rPr>
          <w:noProof/>
        </w:rPr>
        <w:t>Selle meetme eesmärk on tagada naiste suurem osalemine tööturul ja vähendada soolist palgalõhet.</w:t>
      </w:r>
      <w:r>
        <w:rPr>
          <w:noProof/>
          <w:color w:val="000000" w:themeColor="text1"/>
        </w:rPr>
        <w:t xml:space="preserve"> </w:t>
      </w:r>
      <w:r>
        <w:rPr>
          <w:noProof/>
        </w:rPr>
        <w:t xml:space="preserve">Need investeeringud hõlmavad </w:t>
      </w:r>
      <w:r>
        <w:rPr>
          <w:b/>
          <w:noProof/>
        </w:rPr>
        <w:t>soolise võrdõiguslikkuse sertifitseerimise riikliku süsteemi</w:t>
      </w:r>
      <w:r>
        <w:rPr>
          <w:noProof/>
        </w:rPr>
        <w:t xml:space="preserve"> rakendamist ja jõustamist, et edendada läbipaistvust tööturul ja äriprotsessides ning aidata keskpikas ja pikas perspektiivis parandada naiste töötingimusi kvaliteedi, tasustamise ja mõjuvõimu suurendamise osas.</w:t>
      </w:r>
    </w:p>
    <w:p w14:paraId="74FA2EB2" w14:textId="77777777" w:rsidR="0084326C" w:rsidRPr="005D68A0" w:rsidRDefault="0084326C" w:rsidP="0084326C">
      <w:pPr>
        <w:spacing w:before="120" w:after="120"/>
        <w:jc w:val="both"/>
        <w:rPr>
          <w:b/>
          <w:noProof/>
          <w:color w:val="000000" w:themeColor="text1"/>
        </w:rPr>
      </w:pPr>
      <w:r>
        <w:rPr>
          <w:b/>
          <w:noProof/>
        </w:rPr>
        <w:t>Investeering 3. Kahe süsteemi tugevdamine</w:t>
      </w:r>
    </w:p>
    <w:p w14:paraId="3CDE4891" w14:textId="1FAD9CE7" w:rsidR="0084326C" w:rsidRPr="005D68A0" w:rsidRDefault="0084326C" w:rsidP="0084326C">
      <w:pPr>
        <w:spacing w:before="120" w:after="120"/>
        <w:jc w:val="both"/>
        <w:rPr>
          <w:noProof/>
        </w:rPr>
      </w:pPr>
      <w:r>
        <w:rPr>
          <w:noProof/>
        </w:rPr>
        <w:t>Selle meetme eesmärk on toetada keskhariduseta noori ja täiskasvanuid, kes pääsevad ligi töövõimalustele, suurendades duaalse süsteemi, sealhulgas õpipoisiõppe kaudu formaalhariduses ning kutsehariduses ja -koolituses osalevate inimeste arvu. See investeering aitab muuta haridus- ja koolitussüsteemid tööturuga koostoimelisemaks ning suurendada noorte tööalast konkurentsivõimet, omandades uusi pädevusi kooskõlas digi- ja rohelisele majandusele ülemineku ning töökohal toimuva õppega. See aitab kaasa järgmisele: i)</w:t>
      </w:r>
      <w:r w:rsidR="00EB4CA1">
        <w:rPr>
          <w:noProof/>
        </w:rPr>
        <w:t> </w:t>
      </w:r>
      <w:r>
        <w:rPr>
          <w:noProof/>
        </w:rPr>
        <w:t xml:space="preserve">ajakohastada haridus- ja koolitussüsteemi, soodustades töökohapõhise õppe loomist ja tugevdades dialoogi ettevõtetega; ii) suurendada rahaeraldisi, et pakkuda koolitust tõrjutud piirkondades; iii) Luua tugev ja kaasav juhtimine, mis hõlmab majandus- ja sotsiaalpartnereid. </w:t>
      </w:r>
    </w:p>
    <w:p w14:paraId="3692BDB7" w14:textId="77777777" w:rsidR="0084326C" w:rsidRPr="005D68A0" w:rsidRDefault="0084326C" w:rsidP="0084326C">
      <w:pPr>
        <w:spacing w:before="120" w:after="120"/>
        <w:jc w:val="both"/>
        <w:rPr>
          <w:b/>
          <w:noProof/>
          <w:color w:val="000000" w:themeColor="text1"/>
        </w:rPr>
      </w:pPr>
      <w:r>
        <w:rPr>
          <w:b/>
          <w:noProof/>
        </w:rPr>
        <w:t>Investeering 4. Avaliku teenistuse tugevdamine</w:t>
      </w:r>
    </w:p>
    <w:p w14:paraId="3684E38F" w14:textId="77777777" w:rsidR="0084326C" w:rsidRPr="005D68A0" w:rsidRDefault="0084326C" w:rsidP="0084326C">
      <w:pPr>
        <w:spacing w:before="120" w:after="120"/>
        <w:jc w:val="both"/>
        <w:rPr>
          <w:noProof/>
          <w:color w:val="000000" w:themeColor="text1"/>
        </w:rPr>
      </w:pPr>
      <w:r>
        <w:rPr>
          <w:noProof/>
        </w:rPr>
        <w:t>Selle meetme eesmärk on tugevdada üldist avalikku teenistust, suurendada mitteformaalses õppes osalevate noorte arvu ning parandada nende teadmisi ja oskusi. Need investeeringud hõlmavad meetmeid, millega suurendatakse teadlikkust kodanikuaktiivsuse tähtsusest, edendatakse noorte tööalast konkurentsivõimet ja sotsiaalset ühtekuuluvust, pöörates erilist tähelepanu üleminekule rohelisele majandusele ja digitehnoloogiale.</w:t>
      </w:r>
    </w:p>
    <w:p w14:paraId="231AA2C4" w14:textId="77777777" w:rsidR="0084326C" w:rsidRPr="005D68A0" w:rsidRDefault="0084326C" w:rsidP="0084326C">
      <w:pPr>
        <w:pStyle w:val="Heading3"/>
        <w:numPr>
          <w:ilvl w:val="0"/>
          <w:numId w:val="0"/>
        </w:numPr>
        <w:ind w:left="850" w:hanging="850"/>
        <w:rPr>
          <w:b/>
          <w:bCs w:val="0"/>
          <w:i w:val="0"/>
          <w:iCs/>
          <w:noProof/>
          <w:u w:val="single"/>
        </w:rPr>
      </w:pPr>
      <w:r>
        <w:rPr>
          <w:b/>
          <w:i w:val="0"/>
          <w:noProof/>
          <w:u w:val="single"/>
        </w:rPr>
        <w:t xml:space="preserve">L.2. </w:t>
      </w:r>
      <w:r>
        <w:rPr>
          <w:noProof/>
        </w:rPr>
        <w:tab/>
      </w:r>
      <w:r>
        <w:rPr>
          <w:b/>
          <w:i w:val="0"/>
          <w:noProof/>
          <w:u w:val="single"/>
        </w:rPr>
        <w:t>Tagastamatu rahalise toetuse eesmärgid, sihid, näitajad ning seire ja rakendamise ajakava</w:t>
      </w:r>
    </w:p>
    <w:p w14:paraId="4FE30D6C" w14:textId="77777777" w:rsidR="0084326C" w:rsidRPr="00F33804" w:rsidRDefault="0084326C" w:rsidP="0084326C">
      <w:pPr>
        <w:spacing w:before="120" w:after="120"/>
        <w:ind w:left="709"/>
        <w:jc w:val="both"/>
        <w:rPr>
          <w:noProof/>
        </w:rPr>
        <w:sectPr w:rsidR="0084326C" w:rsidRPr="00F33804">
          <w:headerReference w:type="even" r:id="rId302"/>
          <w:headerReference w:type="default" r:id="rId303"/>
          <w:footerReference w:type="even" r:id="rId304"/>
          <w:footerReference w:type="default" r:id="rId305"/>
          <w:headerReference w:type="first" r:id="rId306"/>
          <w:footerReference w:type="first" r:id="rId307"/>
          <w:pgSz w:w="11907" w:h="16839"/>
          <w:pgMar w:top="1440" w:right="1440" w:bottom="1440" w:left="1440" w:header="567" w:footer="567" w:gutter="0"/>
          <w:cols w:space="720"/>
          <w:docGrid w:linePitch="360"/>
        </w:sect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
        <w:gridCol w:w="1513"/>
        <w:gridCol w:w="1281"/>
        <w:gridCol w:w="1597"/>
        <w:gridCol w:w="1470"/>
        <w:gridCol w:w="1275"/>
        <w:gridCol w:w="1134"/>
        <w:gridCol w:w="1134"/>
        <w:gridCol w:w="851"/>
        <w:gridCol w:w="709"/>
        <w:gridCol w:w="2835"/>
      </w:tblGrid>
      <w:tr w:rsidR="0084326C" w:rsidRPr="00D90835" w14:paraId="0EA14165" w14:textId="77777777">
        <w:trPr>
          <w:trHeight w:val="633"/>
          <w:tblHeader/>
          <w:jc w:val="center"/>
        </w:trPr>
        <w:tc>
          <w:tcPr>
            <w:tcW w:w="1364" w:type="dxa"/>
            <w:vMerge w:val="restart"/>
            <w:shd w:val="clear" w:color="auto" w:fill="BDD7EE"/>
            <w:vAlign w:val="center"/>
            <w:hideMark/>
          </w:tcPr>
          <w:p w14:paraId="5486C85E" w14:textId="77777777" w:rsidR="0084326C" w:rsidRPr="005D68A0" w:rsidRDefault="0084326C">
            <w:pPr>
              <w:jc w:val="center"/>
              <w:rPr>
                <w:rFonts w:ascii="Arial Narrow" w:hAnsi="Arial Narrow"/>
                <w:b/>
                <w:bCs/>
                <w:noProof/>
                <w:sz w:val="20"/>
                <w:szCs w:val="20"/>
              </w:rPr>
            </w:pPr>
            <w:r>
              <w:rPr>
                <w:rFonts w:ascii="Arial Narrow" w:hAnsi="Arial Narrow"/>
                <w:b/>
                <w:noProof/>
                <w:sz w:val="20"/>
              </w:rPr>
              <w:t>Järjekorranumber</w:t>
            </w:r>
          </w:p>
        </w:tc>
        <w:tc>
          <w:tcPr>
            <w:tcW w:w="1513" w:type="dxa"/>
            <w:vMerge w:val="restart"/>
            <w:shd w:val="clear" w:color="auto" w:fill="BDD7EE"/>
            <w:vAlign w:val="center"/>
            <w:hideMark/>
          </w:tcPr>
          <w:p w14:paraId="51C199B6" w14:textId="77777777" w:rsidR="0084326C" w:rsidRPr="005D68A0" w:rsidRDefault="0084326C">
            <w:pPr>
              <w:jc w:val="center"/>
              <w:rPr>
                <w:rFonts w:ascii="Arial Narrow" w:hAnsi="Arial Narrow"/>
                <w:b/>
                <w:bCs/>
                <w:noProof/>
                <w:sz w:val="20"/>
                <w:szCs w:val="20"/>
              </w:rPr>
            </w:pPr>
            <w:r>
              <w:rPr>
                <w:rFonts w:ascii="Arial Narrow" w:hAnsi="Arial Narrow"/>
                <w:b/>
                <w:noProof/>
                <w:sz w:val="20"/>
              </w:rPr>
              <w:t>Seotud meede (reform või investeering)</w:t>
            </w:r>
          </w:p>
        </w:tc>
        <w:tc>
          <w:tcPr>
            <w:tcW w:w="1281" w:type="dxa"/>
            <w:vMerge w:val="restart"/>
            <w:shd w:val="clear" w:color="auto" w:fill="BDD7EE"/>
            <w:vAlign w:val="center"/>
            <w:hideMark/>
          </w:tcPr>
          <w:p w14:paraId="0B32B39C" w14:textId="77777777" w:rsidR="0084326C" w:rsidRPr="005D68A0" w:rsidRDefault="0084326C">
            <w:pPr>
              <w:jc w:val="center"/>
              <w:rPr>
                <w:rFonts w:ascii="Arial Narrow" w:hAnsi="Arial Narrow"/>
                <w:b/>
                <w:bCs/>
                <w:noProof/>
                <w:sz w:val="20"/>
                <w:szCs w:val="20"/>
              </w:rPr>
            </w:pPr>
            <w:r>
              <w:rPr>
                <w:rFonts w:ascii="Arial Narrow" w:hAnsi="Arial Narrow"/>
                <w:b/>
                <w:noProof/>
                <w:sz w:val="20"/>
              </w:rPr>
              <w:t>Eesmärk / siht</w:t>
            </w:r>
          </w:p>
        </w:tc>
        <w:tc>
          <w:tcPr>
            <w:tcW w:w="1597" w:type="dxa"/>
            <w:vMerge w:val="restart"/>
            <w:shd w:val="clear" w:color="auto" w:fill="BDD7EE"/>
            <w:vAlign w:val="center"/>
            <w:hideMark/>
          </w:tcPr>
          <w:p w14:paraId="33212F01" w14:textId="77777777" w:rsidR="0084326C" w:rsidRPr="005D68A0" w:rsidRDefault="0084326C">
            <w:pPr>
              <w:jc w:val="center"/>
              <w:rPr>
                <w:rFonts w:ascii="Arial Narrow" w:hAnsi="Arial Narrow"/>
                <w:b/>
                <w:bCs/>
                <w:noProof/>
                <w:sz w:val="20"/>
                <w:szCs w:val="20"/>
              </w:rPr>
            </w:pPr>
            <w:r>
              <w:rPr>
                <w:rFonts w:ascii="Arial Narrow" w:hAnsi="Arial Narrow"/>
                <w:b/>
                <w:noProof/>
                <w:sz w:val="20"/>
              </w:rPr>
              <w:t>Nimi</w:t>
            </w:r>
          </w:p>
        </w:tc>
        <w:tc>
          <w:tcPr>
            <w:tcW w:w="1470" w:type="dxa"/>
            <w:vMerge w:val="restart"/>
            <w:shd w:val="clear" w:color="auto" w:fill="BDD7EE"/>
            <w:vAlign w:val="center"/>
            <w:hideMark/>
          </w:tcPr>
          <w:p w14:paraId="1B151035" w14:textId="77777777" w:rsidR="0084326C" w:rsidRPr="005D68A0" w:rsidRDefault="0084326C">
            <w:pPr>
              <w:jc w:val="center"/>
              <w:rPr>
                <w:rFonts w:ascii="Arial Narrow" w:hAnsi="Arial Narrow"/>
                <w:b/>
                <w:bCs/>
                <w:noProof/>
                <w:sz w:val="20"/>
                <w:szCs w:val="20"/>
              </w:rPr>
            </w:pPr>
            <w:r>
              <w:rPr>
                <w:rFonts w:ascii="Arial Narrow" w:hAnsi="Arial Narrow"/>
                <w:b/>
                <w:noProof/>
                <w:sz w:val="20"/>
              </w:rPr>
              <w:t>Kvalitatiivsed näitajad</w:t>
            </w:r>
            <w:r>
              <w:rPr>
                <w:noProof/>
              </w:rPr>
              <w:t xml:space="preserve"> </w:t>
            </w:r>
            <w:r>
              <w:rPr>
                <w:noProof/>
              </w:rPr>
              <w:br/>
            </w:r>
            <w:r>
              <w:rPr>
                <w:rFonts w:ascii="Arial Narrow" w:hAnsi="Arial Narrow"/>
                <w:b/>
                <w:noProof/>
                <w:sz w:val="20"/>
              </w:rPr>
              <w:t>(eesmärkide puhul)</w:t>
            </w:r>
          </w:p>
        </w:tc>
        <w:tc>
          <w:tcPr>
            <w:tcW w:w="3543" w:type="dxa"/>
            <w:gridSpan w:val="3"/>
            <w:shd w:val="clear" w:color="auto" w:fill="BDD7EE"/>
            <w:vAlign w:val="center"/>
            <w:hideMark/>
          </w:tcPr>
          <w:p w14:paraId="121B88BD" w14:textId="77777777" w:rsidR="0084326C" w:rsidRPr="005D68A0" w:rsidRDefault="0084326C">
            <w:pPr>
              <w:jc w:val="center"/>
              <w:rPr>
                <w:rFonts w:ascii="Arial Narrow" w:hAnsi="Arial Narrow"/>
                <w:b/>
                <w:bCs/>
                <w:noProof/>
                <w:sz w:val="20"/>
                <w:szCs w:val="20"/>
              </w:rPr>
            </w:pPr>
            <w:r>
              <w:rPr>
                <w:rFonts w:ascii="Arial Narrow" w:hAnsi="Arial Narrow"/>
                <w:b/>
                <w:noProof/>
                <w:sz w:val="20"/>
              </w:rPr>
              <w:t xml:space="preserve">Kvantitatiivsed näitajad </w:t>
            </w:r>
            <w:r>
              <w:rPr>
                <w:noProof/>
              </w:rPr>
              <w:br/>
            </w:r>
            <w:r>
              <w:rPr>
                <w:rFonts w:ascii="Arial Narrow" w:hAnsi="Arial Narrow"/>
                <w:b/>
                <w:noProof/>
                <w:sz w:val="20"/>
              </w:rPr>
              <w:t>(sihtide puhul)</w:t>
            </w:r>
          </w:p>
        </w:tc>
        <w:tc>
          <w:tcPr>
            <w:tcW w:w="1560" w:type="dxa"/>
            <w:gridSpan w:val="2"/>
            <w:shd w:val="clear" w:color="auto" w:fill="BDD7EE"/>
            <w:vAlign w:val="center"/>
            <w:hideMark/>
          </w:tcPr>
          <w:p w14:paraId="45597913" w14:textId="77777777" w:rsidR="0084326C" w:rsidRPr="005D68A0" w:rsidRDefault="0084326C">
            <w:pPr>
              <w:jc w:val="center"/>
              <w:rPr>
                <w:rFonts w:ascii="Arial Narrow" w:hAnsi="Arial Narrow"/>
                <w:b/>
                <w:bCs/>
                <w:noProof/>
                <w:sz w:val="20"/>
                <w:szCs w:val="20"/>
              </w:rPr>
            </w:pPr>
            <w:r>
              <w:rPr>
                <w:rFonts w:ascii="Arial Narrow" w:hAnsi="Arial Narrow"/>
                <w:b/>
                <w:noProof/>
                <w:sz w:val="20"/>
              </w:rPr>
              <w:t>Lõpuleviimise soovituslik ajakava</w:t>
            </w:r>
          </w:p>
        </w:tc>
        <w:tc>
          <w:tcPr>
            <w:tcW w:w="2835" w:type="dxa"/>
            <w:vMerge w:val="restart"/>
            <w:shd w:val="clear" w:color="auto" w:fill="BDD7EE"/>
            <w:vAlign w:val="center"/>
            <w:hideMark/>
          </w:tcPr>
          <w:p w14:paraId="1486B382" w14:textId="77777777" w:rsidR="0084326C" w:rsidRPr="005D68A0" w:rsidRDefault="0084326C">
            <w:pPr>
              <w:jc w:val="center"/>
              <w:rPr>
                <w:rFonts w:ascii="Arial Narrow" w:hAnsi="Arial Narrow"/>
                <w:b/>
                <w:bCs/>
                <w:noProof/>
                <w:sz w:val="20"/>
                <w:szCs w:val="20"/>
              </w:rPr>
            </w:pPr>
            <w:r>
              <w:rPr>
                <w:rFonts w:ascii="Arial Narrow" w:hAnsi="Arial Narrow"/>
                <w:b/>
                <w:noProof/>
                <w:sz w:val="20"/>
              </w:rPr>
              <w:t>Iga eesmärgi ja sihi kirjeldus</w:t>
            </w:r>
          </w:p>
        </w:tc>
      </w:tr>
      <w:tr w:rsidR="0084326C" w:rsidRPr="005D68A0" w14:paraId="234C9056" w14:textId="77777777">
        <w:trPr>
          <w:trHeight w:val="632"/>
          <w:jc w:val="center"/>
        </w:trPr>
        <w:tc>
          <w:tcPr>
            <w:tcW w:w="1364" w:type="dxa"/>
            <w:vMerge/>
            <w:vAlign w:val="center"/>
          </w:tcPr>
          <w:p w14:paraId="5B5677E3" w14:textId="77777777" w:rsidR="0084326C" w:rsidRPr="00F33804" w:rsidRDefault="0084326C">
            <w:pPr>
              <w:jc w:val="center"/>
              <w:rPr>
                <w:rFonts w:ascii="Arial Narrow" w:hAnsi="Arial Narrow"/>
                <w:b/>
                <w:noProof/>
                <w:sz w:val="20"/>
                <w:szCs w:val="20"/>
              </w:rPr>
            </w:pPr>
          </w:p>
        </w:tc>
        <w:tc>
          <w:tcPr>
            <w:tcW w:w="1513" w:type="dxa"/>
            <w:vMerge/>
            <w:vAlign w:val="center"/>
          </w:tcPr>
          <w:p w14:paraId="1F422226" w14:textId="77777777" w:rsidR="0084326C" w:rsidRPr="00F33804" w:rsidRDefault="0084326C">
            <w:pPr>
              <w:jc w:val="center"/>
              <w:rPr>
                <w:rFonts w:ascii="Arial Narrow" w:hAnsi="Arial Narrow"/>
                <w:b/>
                <w:noProof/>
                <w:sz w:val="20"/>
                <w:szCs w:val="20"/>
              </w:rPr>
            </w:pPr>
          </w:p>
        </w:tc>
        <w:tc>
          <w:tcPr>
            <w:tcW w:w="1281" w:type="dxa"/>
            <w:vMerge/>
            <w:vAlign w:val="center"/>
          </w:tcPr>
          <w:p w14:paraId="4724C7BF" w14:textId="77777777" w:rsidR="0084326C" w:rsidRPr="00F33804" w:rsidRDefault="0084326C">
            <w:pPr>
              <w:jc w:val="center"/>
              <w:rPr>
                <w:rFonts w:ascii="Arial Narrow" w:hAnsi="Arial Narrow"/>
                <w:b/>
                <w:noProof/>
                <w:sz w:val="20"/>
                <w:szCs w:val="20"/>
              </w:rPr>
            </w:pPr>
          </w:p>
        </w:tc>
        <w:tc>
          <w:tcPr>
            <w:tcW w:w="1597" w:type="dxa"/>
            <w:vMerge/>
            <w:vAlign w:val="center"/>
          </w:tcPr>
          <w:p w14:paraId="690FD036" w14:textId="77777777" w:rsidR="0084326C" w:rsidRPr="00F33804" w:rsidRDefault="0084326C">
            <w:pPr>
              <w:jc w:val="center"/>
              <w:rPr>
                <w:rFonts w:ascii="Arial Narrow" w:hAnsi="Arial Narrow"/>
                <w:b/>
                <w:noProof/>
                <w:sz w:val="20"/>
                <w:szCs w:val="20"/>
              </w:rPr>
            </w:pPr>
          </w:p>
        </w:tc>
        <w:tc>
          <w:tcPr>
            <w:tcW w:w="1470" w:type="dxa"/>
            <w:vMerge/>
            <w:vAlign w:val="center"/>
          </w:tcPr>
          <w:p w14:paraId="1EB3A20D" w14:textId="77777777" w:rsidR="0084326C" w:rsidRPr="00F33804" w:rsidRDefault="0084326C">
            <w:pPr>
              <w:jc w:val="center"/>
              <w:rPr>
                <w:rFonts w:ascii="Arial Narrow" w:hAnsi="Arial Narrow"/>
                <w:b/>
                <w:noProof/>
                <w:sz w:val="20"/>
                <w:szCs w:val="20"/>
              </w:rPr>
            </w:pPr>
          </w:p>
        </w:tc>
        <w:tc>
          <w:tcPr>
            <w:tcW w:w="1275" w:type="dxa"/>
            <w:shd w:val="clear" w:color="auto" w:fill="BDD7EE"/>
            <w:vAlign w:val="center"/>
          </w:tcPr>
          <w:p w14:paraId="6C5C9EEB" w14:textId="77777777" w:rsidR="0084326C" w:rsidRPr="005D68A0" w:rsidRDefault="0084326C">
            <w:pPr>
              <w:jc w:val="center"/>
              <w:rPr>
                <w:rFonts w:ascii="Arial Narrow" w:hAnsi="Arial Narrow"/>
                <w:b/>
                <w:noProof/>
                <w:sz w:val="20"/>
                <w:szCs w:val="20"/>
              </w:rPr>
            </w:pPr>
            <w:r>
              <w:rPr>
                <w:rFonts w:ascii="Arial Narrow" w:hAnsi="Arial Narrow"/>
                <w:b/>
                <w:noProof/>
                <w:sz w:val="20"/>
              </w:rPr>
              <w:t>Mõõtühik</w:t>
            </w:r>
          </w:p>
        </w:tc>
        <w:tc>
          <w:tcPr>
            <w:tcW w:w="1134" w:type="dxa"/>
            <w:shd w:val="clear" w:color="auto" w:fill="BDD7EE"/>
            <w:vAlign w:val="center"/>
          </w:tcPr>
          <w:p w14:paraId="3849812D" w14:textId="77777777" w:rsidR="0084326C" w:rsidRPr="005D68A0" w:rsidRDefault="0084326C">
            <w:pPr>
              <w:jc w:val="center"/>
              <w:rPr>
                <w:rFonts w:ascii="Arial Narrow" w:hAnsi="Arial Narrow"/>
                <w:b/>
                <w:noProof/>
                <w:sz w:val="20"/>
                <w:szCs w:val="20"/>
              </w:rPr>
            </w:pPr>
            <w:r>
              <w:rPr>
                <w:rFonts w:ascii="Arial Narrow" w:hAnsi="Arial Narrow"/>
                <w:b/>
                <w:noProof/>
                <w:sz w:val="20"/>
              </w:rPr>
              <w:t>Lähtetase</w:t>
            </w:r>
          </w:p>
        </w:tc>
        <w:tc>
          <w:tcPr>
            <w:tcW w:w="1134" w:type="dxa"/>
            <w:shd w:val="clear" w:color="auto" w:fill="BDD7EE"/>
            <w:vAlign w:val="center"/>
          </w:tcPr>
          <w:p w14:paraId="76ED7316" w14:textId="77777777" w:rsidR="0084326C" w:rsidRPr="005D68A0" w:rsidRDefault="0084326C">
            <w:pPr>
              <w:jc w:val="center"/>
              <w:rPr>
                <w:rFonts w:ascii="Arial Narrow" w:hAnsi="Arial Narrow"/>
                <w:b/>
                <w:noProof/>
                <w:sz w:val="20"/>
                <w:szCs w:val="20"/>
              </w:rPr>
            </w:pPr>
            <w:r>
              <w:rPr>
                <w:rFonts w:ascii="Arial Narrow" w:hAnsi="Arial Narrow"/>
                <w:b/>
                <w:noProof/>
                <w:sz w:val="20"/>
              </w:rPr>
              <w:t>Eesmärk</w:t>
            </w:r>
          </w:p>
        </w:tc>
        <w:tc>
          <w:tcPr>
            <w:tcW w:w="851" w:type="dxa"/>
            <w:shd w:val="clear" w:color="auto" w:fill="BDD7EE"/>
            <w:vAlign w:val="center"/>
          </w:tcPr>
          <w:p w14:paraId="0E6507BC" w14:textId="77777777" w:rsidR="0084326C" w:rsidRPr="005D68A0" w:rsidRDefault="0084326C">
            <w:pPr>
              <w:jc w:val="center"/>
              <w:rPr>
                <w:rFonts w:ascii="Arial Narrow" w:hAnsi="Arial Narrow"/>
                <w:b/>
                <w:noProof/>
                <w:sz w:val="20"/>
                <w:szCs w:val="20"/>
              </w:rPr>
            </w:pPr>
            <w:r>
              <w:rPr>
                <w:rFonts w:ascii="Arial Narrow" w:hAnsi="Arial Narrow"/>
                <w:b/>
                <w:noProof/>
                <w:sz w:val="20"/>
              </w:rPr>
              <w:t>Kvartal</w:t>
            </w:r>
          </w:p>
        </w:tc>
        <w:tc>
          <w:tcPr>
            <w:tcW w:w="709" w:type="dxa"/>
            <w:shd w:val="clear" w:color="auto" w:fill="BDD7EE"/>
            <w:vAlign w:val="center"/>
          </w:tcPr>
          <w:p w14:paraId="54E66AC6" w14:textId="77777777" w:rsidR="0084326C" w:rsidRPr="005D68A0" w:rsidRDefault="0084326C">
            <w:pPr>
              <w:jc w:val="center"/>
              <w:rPr>
                <w:rFonts w:ascii="Arial Narrow" w:hAnsi="Arial Narrow"/>
                <w:b/>
                <w:noProof/>
                <w:sz w:val="20"/>
                <w:szCs w:val="20"/>
              </w:rPr>
            </w:pPr>
            <w:r>
              <w:rPr>
                <w:rFonts w:ascii="Arial Narrow" w:hAnsi="Arial Narrow"/>
                <w:b/>
                <w:noProof/>
                <w:sz w:val="20"/>
              </w:rPr>
              <w:t>Aasta</w:t>
            </w:r>
          </w:p>
        </w:tc>
        <w:tc>
          <w:tcPr>
            <w:tcW w:w="2835" w:type="dxa"/>
            <w:vMerge/>
            <w:vAlign w:val="center"/>
          </w:tcPr>
          <w:p w14:paraId="269AFF9A" w14:textId="77777777" w:rsidR="0084326C" w:rsidRPr="005D68A0" w:rsidRDefault="0084326C">
            <w:pPr>
              <w:jc w:val="center"/>
              <w:rPr>
                <w:rFonts w:ascii="Arial Narrow" w:hAnsi="Arial Narrow"/>
                <w:b/>
                <w:noProof/>
                <w:sz w:val="20"/>
                <w:szCs w:val="20"/>
                <w:lang w:val="en-GB"/>
              </w:rPr>
            </w:pPr>
          </w:p>
        </w:tc>
      </w:tr>
      <w:tr w:rsidR="0084326C" w:rsidRPr="00D90835" w14:paraId="22AC461E" w14:textId="77777777">
        <w:trPr>
          <w:trHeight w:val="309"/>
          <w:jc w:val="center"/>
        </w:trPr>
        <w:tc>
          <w:tcPr>
            <w:tcW w:w="1364" w:type="dxa"/>
            <w:shd w:val="clear" w:color="auto" w:fill="C6EFCE"/>
            <w:noWrap/>
            <w:vAlign w:val="center"/>
            <w:hideMark/>
          </w:tcPr>
          <w:p w14:paraId="4B4A017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M5C1-1 </w:t>
            </w:r>
          </w:p>
        </w:tc>
        <w:tc>
          <w:tcPr>
            <w:tcW w:w="1513" w:type="dxa"/>
            <w:shd w:val="clear" w:color="auto" w:fill="C6EFCE"/>
            <w:noWrap/>
            <w:vAlign w:val="center"/>
            <w:hideMark/>
          </w:tcPr>
          <w:p w14:paraId="7127245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Reform 1. Aktiivne tööturupoliitika ja kutseõpe</w:t>
            </w:r>
          </w:p>
        </w:tc>
        <w:tc>
          <w:tcPr>
            <w:tcW w:w="1281" w:type="dxa"/>
            <w:shd w:val="clear" w:color="auto" w:fill="C6EFCE"/>
            <w:noWrap/>
            <w:vAlign w:val="center"/>
            <w:hideMark/>
          </w:tcPr>
          <w:p w14:paraId="05AA365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1597" w:type="dxa"/>
            <w:shd w:val="clear" w:color="auto" w:fill="C6EFCE"/>
            <w:noWrap/>
            <w:vAlign w:val="center"/>
            <w:hideMark/>
          </w:tcPr>
          <w:p w14:paraId="6DF255B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Ministeeriumidevahelise dekreedi, millega kehtestatakse töötajate tagatud tööalase konkurentsivõime riiklik programm, ja ministeeriumidevahelise dekreedi, millega kehtestatakse riiklik uute oskuste kava, jõustumine</w:t>
            </w:r>
          </w:p>
        </w:tc>
        <w:tc>
          <w:tcPr>
            <w:tcW w:w="1470" w:type="dxa"/>
            <w:shd w:val="clear" w:color="auto" w:fill="C6EFCE"/>
            <w:noWrap/>
            <w:vAlign w:val="center"/>
            <w:hideMark/>
          </w:tcPr>
          <w:p w14:paraId="04CFC96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Ministeeriumidevahelistes dekreetides sisalduv säte, milles osutatakse kahe ministeeriumidevahelise dekreedi jõustumisele pärast kokkuleppeid, mis sõlmiti riigi ja piirkondade konverentsil programmi GOL ja riikliku uute oskuste kava kohta.</w:t>
            </w:r>
          </w:p>
        </w:tc>
        <w:tc>
          <w:tcPr>
            <w:tcW w:w="1275" w:type="dxa"/>
            <w:shd w:val="clear" w:color="auto" w:fill="C6EFCE"/>
            <w:noWrap/>
            <w:vAlign w:val="center"/>
            <w:hideMark/>
          </w:tcPr>
          <w:p w14:paraId="326DCEE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hideMark/>
          </w:tcPr>
          <w:p w14:paraId="39A66781"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hideMark/>
          </w:tcPr>
          <w:p w14:paraId="3FDD8A9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851" w:type="dxa"/>
            <w:shd w:val="clear" w:color="auto" w:fill="C6EFCE"/>
            <w:noWrap/>
            <w:vAlign w:val="center"/>
            <w:hideMark/>
          </w:tcPr>
          <w:p w14:paraId="3119BA30"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4. kv</w:t>
            </w:r>
          </w:p>
        </w:tc>
        <w:tc>
          <w:tcPr>
            <w:tcW w:w="709" w:type="dxa"/>
            <w:shd w:val="clear" w:color="auto" w:fill="C6EFCE"/>
            <w:noWrap/>
            <w:vAlign w:val="center"/>
            <w:hideMark/>
          </w:tcPr>
          <w:p w14:paraId="4308914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2021</w:t>
            </w:r>
          </w:p>
        </w:tc>
        <w:tc>
          <w:tcPr>
            <w:tcW w:w="2835" w:type="dxa"/>
            <w:shd w:val="clear" w:color="auto" w:fill="C6EFCE"/>
            <w:noWrap/>
            <w:vAlign w:val="center"/>
            <w:hideMark/>
          </w:tcPr>
          <w:p w14:paraId="3ABA9328" w14:textId="77777777" w:rsidR="0084326C" w:rsidRPr="005D68A0" w:rsidRDefault="0084326C">
            <w:pPr>
              <w:rPr>
                <w:rFonts w:ascii="Arial Narrow" w:eastAsia="Calibri" w:hAnsi="Arial Narrow"/>
                <w:noProof/>
                <w:color w:val="006100"/>
                <w:sz w:val="20"/>
                <w:szCs w:val="20"/>
              </w:rPr>
            </w:pPr>
            <w:r>
              <w:rPr>
                <w:rFonts w:ascii="Arial Narrow" w:hAnsi="Arial Narrow"/>
                <w:noProof/>
                <w:color w:val="006100"/>
                <w:sz w:val="20"/>
              </w:rPr>
              <w:t>GOL-i tegevus hõlmab vähemalt järgmist: i) määrata kindlaks riiklike tööturuasutuste olulised elemendid ja standardid, sealhulgas oskuste prognoosimine, individuaalsed koolituskavad, nõustamine ja tööalane nõustamine, et tagada individuaalsete tööturuteenuste tõhus osutamine vastavalt ühistele ja ühtsetele standarditele kogu riigi territooriumil, ii) tagada, et riiklike tööturuasutuste pakutav oskuste täiendamise ja ümberõppe alane koolitus oleks täielikult kooskõlas riiklike uute oskuste, sealhulgas digioskuste kavaga, iii) tagada, et riiklikud tööturuasutused oleksid suunatud tööturuteenuste kasutajate vajadustele, iv) tagada, et riiklikud tööturuasutused oleksid sihtrühmad; v) seadma eesmärgiks, et vähemalt 25 % töötajate tagatud tööalase konkurentsivõime programmide toetusesaajatest oleksid asjakohase koolituse saajad, keskendudes eelkõige digioskustele ja seades esikohale kõige haavatavamad; vi) luua uusi mehhanisme, mis tugevdavad ja struktureerivad koostööd avaliku ja erasektori süsteemide vahel, sealhulgas seoses asjakohaste oskustega seotud vajaduste kindlakstegemise ja tööpakkumiste pakkumisega. Dekreedis on sätestatud, et sotsiaalsete turvavõrkude kasutajad saavad juurdepääsu riikliku programmi „Tööalane konkurentsivõime“ alusel pakutavatele teenustele 4 kuu jooksul alates hetkest, mil nad kujundavad välja õiguse sotsiaalsetele turvavõrkudele. Riikliku uute oskuste kavaga seotud aktid peavad sisaldama vähemalt järgmist: i) määratleb kutsehariduse ühised standardid ja olulised tasemed kogu riigi territooriumil, ii) on suunatud nii töötajatele ja töötutele kui ka inimestele, et parandada nende digitaaloskusi ja soodustada elukestvat õpet. iii) Määrata kindlaks oskused ja asjakohased standardid, mis põhinevad avaliku ja erasektori süsteemide vahelisel koostööl, iv) võtta arvesse asjaomaste sihtrühmade erinevaid vajadusi, mis hõlmavad vähemalt kõige haavatavamaid rühmi, v) hõlmata kõiki asjakohaseid valdkondlikke strateegiaid, et omada terviklikku lähenemisviisi, sealhulgas täiskasvanute pädevuste riiklikku strateegilist kava; vi) lisada säte tööturu lühiajalises ja keskpikas perspektiivis vajalike uute pädevuste prognoosimise süsteemi väljatöötamise kohta.</w:t>
            </w:r>
          </w:p>
        </w:tc>
      </w:tr>
      <w:tr w:rsidR="0084326C" w:rsidRPr="00D90835" w14:paraId="6031D842" w14:textId="77777777">
        <w:trPr>
          <w:trHeight w:val="309"/>
          <w:jc w:val="center"/>
        </w:trPr>
        <w:tc>
          <w:tcPr>
            <w:tcW w:w="1364" w:type="dxa"/>
            <w:shd w:val="clear" w:color="auto" w:fill="C6EFCE"/>
            <w:noWrap/>
            <w:vAlign w:val="center"/>
            <w:hideMark/>
          </w:tcPr>
          <w:p w14:paraId="460AA58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M5C1-2 </w:t>
            </w:r>
          </w:p>
        </w:tc>
        <w:tc>
          <w:tcPr>
            <w:tcW w:w="1513" w:type="dxa"/>
            <w:shd w:val="clear" w:color="auto" w:fill="C6EFCE"/>
            <w:noWrap/>
            <w:vAlign w:val="center"/>
            <w:hideMark/>
          </w:tcPr>
          <w:p w14:paraId="217DABA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Reform 1. Aktiivne tööturupoliitika ja kutseõpe</w:t>
            </w:r>
          </w:p>
        </w:tc>
        <w:tc>
          <w:tcPr>
            <w:tcW w:w="1281" w:type="dxa"/>
            <w:shd w:val="clear" w:color="auto" w:fill="C6EFCE"/>
            <w:noWrap/>
            <w:vAlign w:val="center"/>
            <w:hideMark/>
          </w:tcPr>
          <w:p w14:paraId="6D2DE2B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1597" w:type="dxa"/>
            <w:shd w:val="clear" w:color="auto" w:fill="C6EFCE"/>
            <w:noWrap/>
            <w:vAlign w:val="center"/>
            <w:hideMark/>
          </w:tcPr>
          <w:p w14:paraId="145EFB7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Kõigi riiklike tööturuasutuste kavade jõustumine piirkondlikul tasandil  </w:t>
            </w:r>
          </w:p>
        </w:tc>
        <w:tc>
          <w:tcPr>
            <w:tcW w:w="1470" w:type="dxa"/>
            <w:shd w:val="clear" w:color="auto" w:fill="C6EFCE"/>
            <w:noWrap/>
            <w:vAlign w:val="center"/>
            <w:hideMark/>
          </w:tcPr>
          <w:p w14:paraId="1AE1E99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Säte, milles osutatakse piirkondade poolt vastu võetud kavade jõustumisele ja elluviidud tegevustele.</w:t>
            </w:r>
          </w:p>
        </w:tc>
        <w:tc>
          <w:tcPr>
            <w:tcW w:w="1275" w:type="dxa"/>
            <w:shd w:val="clear" w:color="auto" w:fill="C6EFCE"/>
            <w:noWrap/>
            <w:vAlign w:val="center"/>
            <w:hideMark/>
          </w:tcPr>
          <w:p w14:paraId="67CBD64B"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hideMark/>
          </w:tcPr>
          <w:p w14:paraId="11E8E62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hideMark/>
          </w:tcPr>
          <w:p w14:paraId="2ED2E12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851" w:type="dxa"/>
            <w:shd w:val="clear" w:color="auto" w:fill="C6EFCE"/>
            <w:noWrap/>
            <w:vAlign w:val="center"/>
            <w:hideMark/>
          </w:tcPr>
          <w:p w14:paraId="6B156837"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4. kv</w:t>
            </w:r>
          </w:p>
        </w:tc>
        <w:tc>
          <w:tcPr>
            <w:tcW w:w="709" w:type="dxa"/>
            <w:shd w:val="clear" w:color="auto" w:fill="C6EFCE"/>
            <w:noWrap/>
            <w:vAlign w:val="center"/>
            <w:hideMark/>
          </w:tcPr>
          <w:p w14:paraId="2F4C034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2022</w:t>
            </w:r>
          </w:p>
        </w:tc>
        <w:tc>
          <w:tcPr>
            <w:tcW w:w="2835" w:type="dxa"/>
            <w:shd w:val="clear" w:color="auto" w:fill="C6EFCE"/>
            <w:noWrap/>
            <w:vAlign w:val="center"/>
            <w:hideMark/>
          </w:tcPr>
          <w:p w14:paraId="1225EFCB" w14:textId="77777777" w:rsidR="0084326C" w:rsidRPr="005D68A0" w:rsidRDefault="0084326C">
            <w:pPr>
              <w:rPr>
                <w:rFonts w:ascii="Arial Narrow" w:eastAsia="Calibri" w:hAnsi="Arial Narrow"/>
                <w:noProof/>
                <w:color w:val="006100"/>
                <w:sz w:val="20"/>
                <w:szCs w:val="20"/>
              </w:rPr>
            </w:pPr>
            <w:r>
              <w:rPr>
                <w:rFonts w:ascii="Arial Narrow" w:hAnsi="Arial Narrow"/>
                <w:noProof/>
                <w:color w:val="006100"/>
                <w:sz w:val="20"/>
              </w:rPr>
              <w:t xml:space="preserve">Töötajate tööhõive tagamise programmi (GOL) riiklikes eeskirjades nähakse ette programmi rakendamiseks vajalike operatiivmeetmete määratlemine piirkondlikul tasandil. Riikliku määruse ja piirkondliku rakendamise vahelise sidususe tagamiseks võetakse vastu riiklike tööturuasutuste piirkondlikud kavad. </w:t>
            </w:r>
          </w:p>
          <w:p w14:paraId="546CF90A" w14:textId="77777777" w:rsidR="0084326C" w:rsidRPr="00F33804" w:rsidRDefault="0084326C">
            <w:pPr>
              <w:rPr>
                <w:rFonts w:ascii="Arial Narrow" w:eastAsia="Calibri" w:hAnsi="Arial Narrow"/>
                <w:noProof/>
                <w:color w:val="006100"/>
                <w:sz w:val="20"/>
                <w:szCs w:val="20"/>
              </w:rPr>
            </w:pPr>
          </w:p>
          <w:p w14:paraId="739ADA9B" w14:textId="325551E6" w:rsidR="0084326C" w:rsidRPr="005D68A0" w:rsidRDefault="0084326C">
            <w:pPr>
              <w:rPr>
                <w:rFonts w:ascii="Arial Narrow" w:eastAsia="Calibri" w:hAnsi="Arial Narrow"/>
                <w:noProof/>
                <w:color w:val="006100"/>
                <w:sz w:val="20"/>
                <w:szCs w:val="20"/>
              </w:rPr>
            </w:pPr>
            <w:r>
              <w:rPr>
                <w:rFonts w:ascii="Arial Narrow" w:hAnsi="Arial Narrow"/>
                <w:noProof/>
                <w:color w:val="006100"/>
                <w:sz w:val="20"/>
              </w:rPr>
              <w:t>Lisaks viivad piirkonnad kavade vastuvõtmisele ellu kavadel põhinevaid tegevusi, jõudes vähemalt 10 %ni programmi kavandatud toetusesaajatest (lõppeesmärk 3 000 000 inimest).</w:t>
            </w:r>
          </w:p>
          <w:p w14:paraId="16C174AE" w14:textId="77777777" w:rsidR="0084326C" w:rsidRPr="00F33804" w:rsidRDefault="0084326C">
            <w:pPr>
              <w:rPr>
                <w:rFonts w:ascii="Arial Narrow" w:hAnsi="Arial Narrow"/>
                <w:noProof/>
                <w:color w:val="006100"/>
                <w:sz w:val="20"/>
                <w:szCs w:val="20"/>
              </w:rPr>
            </w:pPr>
          </w:p>
          <w:p w14:paraId="16A6012B"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Riiklike tööturuasutuste kavade jõustumine võimaldab täielikult rakendada töötajate tööhõive tagamise programmi.</w:t>
            </w:r>
          </w:p>
          <w:p w14:paraId="79878CCF" w14:textId="77777777" w:rsidR="0084326C" w:rsidRPr="00F33804" w:rsidRDefault="0084326C">
            <w:pPr>
              <w:rPr>
                <w:rFonts w:ascii="Arial Narrow" w:eastAsia="Calibri" w:hAnsi="Arial Narrow"/>
                <w:noProof/>
                <w:color w:val="006100"/>
                <w:sz w:val="20"/>
                <w:szCs w:val="20"/>
              </w:rPr>
            </w:pPr>
          </w:p>
        </w:tc>
      </w:tr>
      <w:tr w:rsidR="0084326C" w:rsidRPr="00D90835" w14:paraId="6EB0D5B7" w14:textId="77777777">
        <w:trPr>
          <w:trHeight w:val="309"/>
          <w:jc w:val="center"/>
        </w:trPr>
        <w:tc>
          <w:tcPr>
            <w:tcW w:w="1364" w:type="dxa"/>
            <w:shd w:val="clear" w:color="auto" w:fill="C6EFCE"/>
            <w:noWrap/>
            <w:vAlign w:val="center"/>
            <w:hideMark/>
          </w:tcPr>
          <w:p w14:paraId="73424DF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M5C1-3 </w:t>
            </w:r>
          </w:p>
        </w:tc>
        <w:tc>
          <w:tcPr>
            <w:tcW w:w="1513" w:type="dxa"/>
            <w:shd w:val="clear" w:color="auto" w:fill="C6EFCE"/>
            <w:noWrap/>
            <w:vAlign w:val="center"/>
            <w:hideMark/>
          </w:tcPr>
          <w:p w14:paraId="51B4FAF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Reform 1. Aktiivne tööturupoliitika ja kutseõpe</w:t>
            </w:r>
          </w:p>
        </w:tc>
        <w:tc>
          <w:tcPr>
            <w:tcW w:w="1281" w:type="dxa"/>
            <w:shd w:val="clear" w:color="auto" w:fill="C6EFCE"/>
            <w:noWrap/>
            <w:vAlign w:val="center"/>
            <w:hideMark/>
          </w:tcPr>
          <w:p w14:paraId="270C4BC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1597" w:type="dxa"/>
            <w:shd w:val="clear" w:color="auto" w:fill="C6EFCE"/>
            <w:noWrap/>
            <w:vAlign w:val="center"/>
            <w:hideMark/>
          </w:tcPr>
          <w:p w14:paraId="1DC371FA"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Isikud, kes on hõlmatud töötajate tagatud tööalase konkurentsivõime programmiga.</w:t>
            </w:r>
          </w:p>
        </w:tc>
        <w:tc>
          <w:tcPr>
            <w:tcW w:w="1470" w:type="dxa"/>
            <w:shd w:val="clear" w:color="auto" w:fill="C6EFCE"/>
            <w:noWrap/>
            <w:vAlign w:val="center"/>
            <w:hideMark/>
          </w:tcPr>
          <w:p w14:paraId="6DF83A2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275" w:type="dxa"/>
            <w:shd w:val="clear" w:color="auto" w:fill="C6EFCE"/>
            <w:noWrap/>
            <w:vAlign w:val="center"/>
            <w:hideMark/>
          </w:tcPr>
          <w:p w14:paraId="66DB6B5D"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 xml:space="preserve">Arv </w:t>
            </w:r>
          </w:p>
        </w:tc>
        <w:tc>
          <w:tcPr>
            <w:tcW w:w="1134" w:type="dxa"/>
            <w:shd w:val="clear" w:color="auto" w:fill="C6EFCE"/>
            <w:noWrap/>
            <w:vAlign w:val="center"/>
            <w:hideMark/>
          </w:tcPr>
          <w:p w14:paraId="0AB2CB65" w14:textId="7238B911"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300 000</w:t>
            </w:r>
          </w:p>
        </w:tc>
        <w:tc>
          <w:tcPr>
            <w:tcW w:w="1134" w:type="dxa"/>
            <w:shd w:val="clear" w:color="auto" w:fill="C6EFCE"/>
            <w:noWrap/>
            <w:vAlign w:val="center"/>
            <w:hideMark/>
          </w:tcPr>
          <w:p w14:paraId="083197CB" w14:textId="53006B76"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3 000 000</w:t>
            </w:r>
          </w:p>
        </w:tc>
        <w:tc>
          <w:tcPr>
            <w:tcW w:w="851" w:type="dxa"/>
            <w:shd w:val="clear" w:color="auto" w:fill="C6EFCE"/>
            <w:noWrap/>
            <w:vAlign w:val="center"/>
            <w:hideMark/>
          </w:tcPr>
          <w:p w14:paraId="7198FFC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709" w:type="dxa"/>
            <w:shd w:val="clear" w:color="auto" w:fill="C6EFCE"/>
            <w:noWrap/>
            <w:vAlign w:val="center"/>
            <w:hideMark/>
          </w:tcPr>
          <w:p w14:paraId="1598E4D0"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2025</w:t>
            </w:r>
          </w:p>
        </w:tc>
        <w:tc>
          <w:tcPr>
            <w:tcW w:w="2835" w:type="dxa"/>
            <w:shd w:val="clear" w:color="auto" w:fill="C6EFCE"/>
            <w:noWrap/>
            <w:vAlign w:val="center"/>
            <w:hideMark/>
          </w:tcPr>
          <w:p w14:paraId="258EB48A" w14:textId="2F3000E7" w:rsidR="0084326C" w:rsidRPr="005D68A0" w:rsidRDefault="0084326C">
            <w:pPr>
              <w:rPr>
                <w:rFonts w:ascii="Arial Narrow" w:eastAsia="Calibri" w:hAnsi="Arial Narrow"/>
                <w:noProof/>
                <w:color w:val="006100"/>
                <w:sz w:val="20"/>
                <w:szCs w:val="20"/>
              </w:rPr>
            </w:pPr>
            <w:r>
              <w:rPr>
                <w:rFonts w:ascii="Arial Narrow" w:hAnsi="Arial Narrow"/>
                <w:noProof/>
                <w:color w:val="006100"/>
                <w:sz w:val="20"/>
              </w:rPr>
              <w:t>Programmi „Tööalane konkurentsivõime“ raames saab toetust vähemalt 3 000 000 inimest. Eesmärgi rahuldav täitmine sõltub ka teisese eesmärgi rahuldavast täitmisest: vähemalt 75 % toetusesaajatest on naised, pikaajalised töötud, puuetega inimesed või alla 30- või üle 55-aastased.</w:t>
            </w:r>
          </w:p>
        </w:tc>
      </w:tr>
      <w:tr w:rsidR="0084326C" w:rsidRPr="00D90835" w14:paraId="265967A3" w14:textId="77777777">
        <w:trPr>
          <w:trHeight w:val="309"/>
          <w:jc w:val="center"/>
        </w:trPr>
        <w:tc>
          <w:tcPr>
            <w:tcW w:w="1364" w:type="dxa"/>
            <w:shd w:val="clear" w:color="auto" w:fill="C6EFCE"/>
            <w:noWrap/>
            <w:vAlign w:val="center"/>
            <w:hideMark/>
          </w:tcPr>
          <w:p w14:paraId="1103C78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M5C1-4 </w:t>
            </w:r>
          </w:p>
        </w:tc>
        <w:tc>
          <w:tcPr>
            <w:tcW w:w="1513" w:type="dxa"/>
            <w:shd w:val="clear" w:color="auto" w:fill="C6EFCE"/>
            <w:noWrap/>
            <w:vAlign w:val="center"/>
            <w:hideMark/>
          </w:tcPr>
          <w:p w14:paraId="590ACEED"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Reform 1. Aktiivne tööturupoliitika ja kutseõpe</w:t>
            </w:r>
          </w:p>
        </w:tc>
        <w:tc>
          <w:tcPr>
            <w:tcW w:w="1281" w:type="dxa"/>
            <w:shd w:val="clear" w:color="auto" w:fill="C6EFCE"/>
            <w:noWrap/>
            <w:vAlign w:val="center"/>
            <w:hideMark/>
          </w:tcPr>
          <w:p w14:paraId="0EB1331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1597" w:type="dxa"/>
            <w:shd w:val="clear" w:color="auto" w:fill="C6EFCE"/>
            <w:noWrap/>
            <w:vAlign w:val="center"/>
            <w:hideMark/>
          </w:tcPr>
          <w:p w14:paraId="3F02B14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Töötajate toetusesaajate tagatud tööalane konkurentsivõime on osalenud kutseõppes.</w:t>
            </w:r>
          </w:p>
        </w:tc>
        <w:tc>
          <w:tcPr>
            <w:tcW w:w="1470" w:type="dxa"/>
            <w:shd w:val="clear" w:color="auto" w:fill="C6EFCE"/>
            <w:noWrap/>
            <w:vAlign w:val="center"/>
            <w:hideMark/>
          </w:tcPr>
          <w:p w14:paraId="6557F78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275" w:type="dxa"/>
            <w:shd w:val="clear" w:color="auto" w:fill="C6EFCE"/>
            <w:noWrap/>
            <w:vAlign w:val="center"/>
            <w:hideMark/>
          </w:tcPr>
          <w:p w14:paraId="7ABF4D0E"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 xml:space="preserve">Arv </w:t>
            </w:r>
          </w:p>
        </w:tc>
        <w:tc>
          <w:tcPr>
            <w:tcW w:w="1134" w:type="dxa"/>
            <w:shd w:val="clear" w:color="auto" w:fill="C6EFCE"/>
            <w:noWrap/>
            <w:vAlign w:val="center"/>
            <w:hideMark/>
          </w:tcPr>
          <w:p w14:paraId="17FC0494"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0</w:t>
            </w:r>
          </w:p>
        </w:tc>
        <w:tc>
          <w:tcPr>
            <w:tcW w:w="1134" w:type="dxa"/>
            <w:shd w:val="clear" w:color="auto" w:fill="C6EFCE"/>
            <w:noWrap/>
            <w:vAlign w:val="center"/>
            <w:hideMark/>
          </w:tcPr>
          <w:p w14:paraId="3A486A39" w14:textId="1ED56E29"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800 000</w:t>
            </w:r>
          </w:p>
        </w:tc>
        <w:tc>
          <w:tcPr>
            <w:tcW w:w="851" w:type="dxa"/>
            <w:shd w:val="clear" w:color="auto" w:fill="C6EFCE"/>
            <w:noWrap/>
            <w:vAlign w:val="center"/>
            <w:hideMark/>
          </w:tcPr>
          <w:p w14:paraId="071FD8FD"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4. kv</w:t>
            </w:r>
          </w:p>
        </w:tc>
        <w:tc>
          <w:tcPr>
            <w:tcW w:w="709" w:type="dxa"/>
            <w:shd w:val="clear" w:color="auto" w:fill="C6EFCE"/>
            <w:noWrap/>
            <w:vAlign w:val="center"/>
            <w:hideMark/>
          </w:tcPr>
          <w:p w14:paraId="6BD411F0"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2025</w:t>
            </w:r>
          </w:p>
        </w:tc>
        <w:tc>
          <w:tcPr>
            <w:tcW w:w="2835" w:type="dxa"/>
            <w:shd w:val="clear" w:color="auto" w:fill="C6EFCE"/>
            <w:noWrap/>
            <w:vAlign w:val="center"/>
            <w:hideMark/>
          </w:tcPr>
          <w:p w14:paraId="41C10E96" w14:textId="24D711B0" w:rsidR="0084326C" w:rsidRPr="005D68A0" w:rsidRDefault="0084326C">
            <w:pPr>
              <w:rPr>
                <w:rFonts w:ascii="Arial Narrow" w:hAnsi="Arial Narrow"/>
                <w:noProof/>
                <w:color w:val="006100"/>
                <w:sz w:val="20"/>
                <w:szCs w:val="20"/>
              </w:rPr>
            </w:pPr>
            <w:r>
              <w:rPr>
                <w:rFonts w:ascii="Arial Narrow" w:hAnsi="Arial Narrow"/>
                <w:noProof/>
                <w:color w:val="006100"/>
                <w:sz w:val="20"/>
              </w:rPr>
              <w:t>Kutseõpe on viie aasta jooksul osa programmist 800 000 aktiivse tööturupoliitika toetusesaaja jaoks. Seetõttu on 3 000 000 töötajast, kellel on tagatud tööalane konkurentsivõime, kutseõppes osalenud vähemalt 800 000. Eesmärgi rahuldav täitmine sõltub ka teisese eesmärgi rahuldavast täitmisest: vähemalt 300 000 neist toetusesaajatest on osalenud digioskuste alastel koolitustel.</w:t>
            </w:r>
          </w:p>
        </w:tc>
      </w:tr>
      <w:tr w:rsidR="0084326C" w:rsidRPr="00D90835" w14:paraId="5CDC2E39" w14:textId="77777777">
        <w:trPr>
          <w:trHeight w:val="309"/>
          <w:jc w:val="center"/>
        </w:trPr>
        <w:tc>
          <w:tcPr>
            <w:tcW w:w="1364" w:type="dxa"/>
            <w:shd w:val="clear" w:color="auto" w:fill="C6EFCE"/>
            <w:noWrap/>
            <w:vAlign w:val="center"/>
            <w:hideMark/>
          </w:tcPr>
          <w:p w14:paraId="4EE9953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M5C1-5 </w:t>
            </w:r>
          </w:p>
        </w:tc>
        <w:tc>
          <w:tcPr>
            <w:tcW w:w="1513" w:type="dxa"/>
            <w:shd w:val="clear" w:color="auto" w:fill="C6EFCE"/>
            <w:noWrap/>
            <w:vAlign w:val="center"/>
            <w:hideMark/>
          </w:tcPr>
          <w:p w14:paraId="720DE68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Reform 1. Aktiivne tööturupoliitika ja kutseõpe</w:t>
            </w:r>
          </w:p>
        </w:tc>
        <w:tc>
          <w:tcPr>
            <w:tcW w:w="1281" w:type="dxa"/>
            <w:shd w:val="clear" w:color="auto" w:fill="C6EFCE"/>
            <w:noWrap/>
            <w:vAlign w:val="center"/>
            <w:hideMark/>
          </w:tcPr>
          <w:p w14:paraId="1A526FF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1597" w:type="dxa"/>
            <w:shd w:val="clear" w:color="auto" w:fill="C6EFCE"/>
            <w:noWrap/>
            <w:vAlign w:val="center"/>
            <w:hideMark/>
          </w:tcPr>
          <w:p w14:paraId="679E07CE"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 xml:space="preserve"> Iga piirkonna riiklikud tööturuasutused on täitnud riiklike tööturuasutuste teenuste olulise taseme kriteeriumid, nagu on määratletud töötajate tööhõive tagamise (GOL) programmis</w:t>
            </w:r>
          </w:p>
        </w:tc>
        <w:tc>
          <w:tcPr>
            <w:tcW w:w="1470" w:type="dxa"/>
            <w:shd w:val="clear" w:color="auto" w:fill="C6EFCE"/>
            <w:noWrap/>
            <w:vAlign w:val="center"/>
            <w:hideMark/>
          </w:tcPr>
          <w:p w14:paraId="349E691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275" w:type="dxa"/>
            <w:shd w:val="clear" w:color="auto" w:fill="C6EFCE"/>
            <w:noWrap/>
            <w:vAlign w:val="center"/>
            <w:hideMark/>
          </w:tcPr>
          <w:p w14:paraId="3C3174F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Protsent </w:t>
            </w:r>
          </w:p>
        </w:tc>
        <w:tc>
          <w:tcPr>
            <w:tcW w:w="1134" w:type="dxa"/>
            <w:shd w:val="clear" w:color="auto" w:fill="C6EFCE"/>
            <w:noWrap/>
            <w:vAlign w:val="center"/>
            <w:hideMark/>
          </w:tcPr>
          <w:p w14:paraId="5061D02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1134" w:type="dxa"/>
            <w:shd w:val="clear" w:color="auto" w:fill="C6EFCE"/>
            <w:noWrap/>
            <w:vAlign w:val="center"/>
            <w:hideMark/>
          </w:tcPr>
          <w:p w14:paraId="537B0B29"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80</w:t>
            </w:r>
          </w:p>
        </w:tc>
        <w:tc>
          <w:tcPr>
            <w:tcW w:w="851" w:type="dxa"/>
            <w:shd w:val="clear" w:color="auto" w:fill="C6EFCE"/>
            <w:noWrap/>
            <w:vAlign w:val="center"/>
            <w:hideMark/>
          </w:tcPr>
          <w:p w14:paraId="3267F711"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4. kv</w:t>
            </w:r>
          </w:p>
        </w:tc>
        <w:tc>
          <w:tcPr>
            <w:tcW w:w="709" w:type="dxa"/>
            <w:shd w:val="clear" w:color="auto" w:fill="C6EFCE"/>
            <w:noWrap/>
            <w:vAlign w:val="center"/>
            <w:hideMark/>
          </w:tcPr>
          <w:p w14:paraId="597E127A"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2025</w:t>
            </w:r>
          </w:p>
        </w:tc>
        <w:tc>
          <w:tcPr>
            <w:tcW w:w="2835" w:type="dxa"/>
            <w:shd w:val="clear" w:color="auto" w:fill="C6EFCE"/>
            <w:noWrap/>
            <w:vAlign w:val="center"/>
            <w:hideMark/>
          </w:tcPr>
          <w:p w14:paraId="5497C137" w14:textId="7ED110AA" w:rsidR="0084326C" w:rsidRPr="005D68A0" w:rsidRDefault="0084326C">
            <w:pPr>
              <w:rPr>
                <w:rFonts w:ascii="Arial Narrow" w:eastAsia="Calibri" w:hAnsi="Arial Narrow"/>
                <w:noProof/>
                <w:color w:val="006100"/>
                <w:sz w:val="20"/>
                <w:szCs w:val="20"/>
              </w:rPr>
            </w:pPr>
            <w:r>
              <w:rPr>
                <w:rFonts w:ascii="Arial Narrow" w:hAnsi="Arial Narrow"/>
                <w:noProof/>
                <w:color w:val="006100"/>
                <w:sz w:val="20"/>
              </w:rPr>
              <w:t>Programmi põhikomponendiks on määrata kindlaks mitu olulist teenuste taset, mida tuleb pakkuda ALMPSi toetusesaajatele, alustades neist, kes on kõige haavatavamad. 2025. aasta lõpuks on vähemalt 80 % igas piirkonnas osutatavatest avalikest tööturuasutustest täitnud riiklike tööturuasutuste teenuste olulise taseme kriteeriumid, nagu on määratletud töötajate tööhõive tagamise (GOL) programmis.</w:t>
            </w:r>
          </w:p>
        </w:tc>
      </w:tr>
      <w:tr w:rsidR="0084326C" w:rsidRPr="00D90835" w14:paraId="6A1A4546" w14:textId="77777777">
        <w:trPr>
          <w:trHeight w:val="309"/>
          <w:jc w:val="center"/>
        </w:trPr>
        <w:tc>
          <w:tcPr>
            <w:tcW w:w="1364" w:type="dxa"/>
            <w:shd w:val="clear" w:color="auto" w:fill="C6EFCE"/>
            <w:noWrap/>
            <w:vAlign w:val="center"/>
            <w:hideMark/>
          </w:tcPr>
          <w:p w14:paraId="05E63958"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M5C1-6</w:t>
            </w:r>
          </w:p>
        </w:tc>
        <w:tc>
          <w:tcPr>
            <w:tcW w:w="1513" w:type="dxa"/>
            <w:shd w:val="clear" w:color="auto" w:fill="C6EFCE"/>
            <w:noWrap/>
            <w:vAlign w:val="center"/>
            <w:hideMark/>
          </w:tcPr>
          <w:p w14:paraId="6C32A960"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Investeering 1. Avalike tööturuasutuste tugevdamine</w:t>
            </w:r>
          </w:p>
        </w:tc>
        <w:tc>
          <w:tcPr>
            <w:tcW w:w="1281" w:type="dxa"/>
            <w:shd w:val="clear" w:color="auto" w:fill="C6EFCE"/>
            <w:noWrap/>
            <w:vAlign w:val="center"/>
            <w:hideMark/>
          </w:tcPr>
          <w:p w14:paraId="6E98C1DB"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Siht</w:t>
            </w:r>
          </w:p>
        </w:tc>
        <w:tc>
          <w:tcPr>
            <w:tcW w:w="1597" w:type="dxa"/>
            <w:shd w:val="clear" w:color="auto" w:fill="C6EFCE"/>
            <w:noWrap/>
            <w:vAlign w:val="center"/>
            <w:hideMark/>
          </w:tcPr>
          <w:p w14:paraId="7551E3AB"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 xml:space="preserve"> Riiklikud tööturuasutused rakendavad tugevdamise kavas ette nähtud meetmeid kolme aasta jooksul (2021-2023).</w:t>
            </w:r>
          </w:p>
        </w:tc>
        <w:tc>
          <w:tcPr>
            <w:tcW w:w="1470" w:type="dxa"/>
            <w:shd w:val="clear" w:color="auto" w:fill="C6EFCE"/>
            <w:noWrap/>
            <w:vAlign w:val="center"/>
            <w:hideMark/>
          </w:tcPr>
          <w:p w14:paraId="619813BA"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1275" w:type="dxa"/>
            <w:shd w:val="clear" w:color="auto" w:fill="C6EFCE"/>
            <w:noWrap/>
            <w:vAlign w:val="center"/>
            <w:hideMark/>
          </w:tcPr>
          <w:p w14:paraId="2239A31C"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Arv</w:t>
            </w:r>
          </w:p>
        </w:tc>
        <w:tc>
          <w:tcPr>
            <w:tcW w:w="1134" w:type="dxa"/>
            <w:shd w:val="clear" w:color="auto" w:fill="C6EFCE"/>
            <w:noWrap/>
            <w:vAlign w:val="center"/>
            <w:hideMark/>
          </w:tcPr>
          <w:p w14:paraId="1833292A"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0</w:t>
            </w:r>
          </w:p>
        </w:tc>
        <w:tc>
          <w:tcPr>
            <w:tcW w:w="1134" w:type="dxa"/>
            <w:shd w:val="clear" w:color="auto" w:fill="C6EFCE"/>
            <w:noWrap/>
            <w:vAlign w:val="center"/>
            <w:hideMark/>
          </w:tcPr>
          <w:p w14:paraId="7DBEE860"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250</w:t>
            </w:r>
          </w:p>
        </w:tc>
        <w:tc>
          <w:tcPr>
            <w:tcW w:w="851" w:type="dxa"/>
            <w:shd w:val="clear" w:color="auto" w:fill="C6EFCE"/>
            <w:noWrap/>
            <w:vAlign w:val="center"/>
            <w:hideMark/>
          </w:tcPr>
          <w:p w14:paraId="1FE5ACF4"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4. kv</w:t>
            </w:r>
          </w:p>
        </w:tc>
        <w:tc>
          <w:tcPr>
            <w:tcW w:w="709" w:type="dxa"/>
            <w:shd w:val="clear" w:color="auto" w:fill="C6EFCE"/>
            <w:noWrap/>
            <w:vAlign w:val="center"/>
            <w:hideMark/>
          </w:tcPr>
          <w:p w14:paraId="4928CCB4"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2022</w:t>
            </w:r>
          </w:p>
        </w:tc>
        <w:tc>
          <w:tcPr>
            <w:tcW w:w="2835" w:type="dxa"/>
            <w:shd w:val="clear" w:color="auto" w:fill="C6EFCE"/>
            <w:noWrap/>
            <w:vAlign w:val="center"/>
            <w:hideMark/>
          </w:tcPr>
          <w:p w14:paraId="3D41FAD8" w14:textId="77777777"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Vähemalt 250 riiklikku tööturuasutust on kolme aasta jooksul (2021-2023) viinud lõpule vähemalt 50 % „Tugevdamiskavas“ ette nähtud tegevustest.</w:t>
            </w:r>
          </w:p>
          <w:p w14:paraId="27410810" w14:textId="77777777"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Need tegevused on kooskõlas tsentraalse tugevdamise kavaga ja täpsemalt määratletud piirkondlikul tasandil, tuginedes vajaduste analüüsile ja eraldatud vahenditele.</w:t>
            </w:r>
          </w:p>
          <w:p w14:paraId="04DF0E41" w14:textId="77777777"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 xml:space="preserve">See tegevus hõlmas järgmist: i) avalike tööturuasutuste praeguste asukohtade renoveerimine ja renoveerimine ning uute teenuste ostmine; ii) T-süsteemi edasine rakendamine, pidades silmas riiklikku koostalitlusvõimet; iii) töötajate kutsealane koolitus; iv) kohalike tööturgude piirkondlike vaatluskeskuste loomine; v) institutsiooniline teabevahetus ja teavitustegevus. </w:t>
            </w:r>
          </w:p>
          <w:p w14:paraId="7C328F2E" w14:textId="77777777"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See eesmärk ei hõlma infrastruktuuriga seotud tegevusi.</w:t>
            </w:r>
          </w:p>
          <w:p w14:paraId="3AABC110" w14:textId="77777777"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Territoriaalse jaotuse (Põhja-, Kesk- ja Lõuna-Euroopa) eesmärgi saavutamisel on tagatud võrdne tasakaal.</w:t>
            </w:r>
          </w:p>
        </w:tc>
      </w:tr>
      <w:tr w:rsidR="0084326C" w:rsidRPr="00D90835" w14:paraId="55BFE76F" w14:textId="77777777">
        <w:trPr>
          <w:trHeight w:val="309"/>
          <w:jc w:val="center"/>
        </w:trPr>
        <w:tc>
          <w:tcPr>
            <w:tcW w:w="1364" w:type="dxa"/>
            <w:shd w:val="clear" w:color="auto" w:fill="C6EFCE"/>
            <w:noWrap/>
            <w:vAlign w:val="center"/>
            <w:hideMark/>
          </w:tcPr>
          <w:p w14:paraId="0CE06CB1"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M5C1-7</w:t>
            </w:r>
          </w:p>
        </w:tc>
        <w:tc>
          <w:tcPr>
            <w:tcW w:w="1513" w:type="dxa"/>
            <w:shd w:val="clear" w:color="auto" w:fill="C6EFCE"/>
            <w:noWrap/>
            <w:vAlign w:val="center"/>
            <w:hideMark/>
          </w:tcPr>
          <w:p w14:paraId="18B6891C"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Investeering 1. Avalike tööturuasutuste tugevdamine</w:t>
            </w:r>
          </w:p>
        </w:tc>
        <w:tc>
          <w:tcPr>
            <w:tcW w:w="1281" w:type="dxa"/>
            <w:shd w:val="clear" w:color="auto" w:fill="C6EFCE"/>
            <w:noWrap/>
            <w:vAlign w:val="center"/>
            <w:hideMark/>
          </w:tcPr>
          <w:p w14:paraId="2DB6C39A"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Siht</w:t>
            </w:r>
          </w:p>
        </w:tc>
        <w:tc>
          <w:tcPr>
            <w:tcW w:w="1597" w:type="dxa"/>
            <w:shd w:val="clear" w:color="auto" w:fill="C6EFCE"/>
            <w:noWrap/>
            <w:vAlign w:val="center"/>
            <w:hideMark/>
          </w:tcPr>
          <w:p w14:paraId="577AA8E9"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Riiklikud tööturuasutused on viinud lõpule tugevdamise kavas kavandatud tegevused</w:t>
            </w:r>
          </w:p>
        </w:tc>
        <w:tc>
          <w:tcPr>
            <w:tcW w:w="1470" w:type="dxa"/>
            <w:shd w:val="clear" w:color="auto" w:fill="C6EFCE"/>
            <w:noWrap/>
            <w:vAlign w:val="center"/>
            <w:hideMark/>
          </w:tcPr>
          <w:p w14:paraId="17AED4CE"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1275" w:type="dxa"/>
            <w:shd w:val="clear" w:color="auto" w:fill="C6EFCE"/>
            <w:noWrap/>
            <w:vAlign w:val="center"/>
            <w:hideMark/>
          </w:tcPr>
          <w:p w14:paraId="2926945E"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 xml:space="preserve">Arv </w:t>
            </w:r>
          </w:p>
        </w:tc>
        <w:tc>
          <w:tcPr>
            <w:tcW w:w="1134" w:type="dxa"/>
            <w:shd w:val="clear" w:color="auto" w:fill="C6EFCE"/>
            <w:noWrap/>
            <w:vAlign w:val="center"/>
            <w:hideMark/>
          </w:tcPr>
          <w:p w14:paraId="48169019"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250</w:t>
            </w:r>
          </w:p>
        </w:tc>
        <w:tc>
          <w:tcPr>
            <w:tcW w:w="1134" w:type="dxa"/>
            <w:shd w:val="clear" w:color="auto" w:fill="C6EFCE"/>
            <w:noWrap/>
            <w:vAlign w:val="center"/>
            <w:hideMark/>
          </w:tcPr>
          <w:p w14:paraId="24A2E088"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500</w:t>
            </w:r>
          </w:p>
        </w:tc>
        <w:tc>
          <w:tcPr>
            <w:tcW w:w="851" w:type="dxa"/>
            <w:shd w:val="clear" w:color="auto" w:fill="C6EFCE"/>
            <w:noWrap/>
            <w:vAlign w:val="center"/>
            <w:hideMark/>
          </w:tcPr>
          <w:p w14:paraId="178C85E5"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4. kv</w:t>
            </w:r>
          </w:p>
        </w:tc>
        <w:tc>
          <w:tcPr>
            <w:tcW w:w="709" w:type="dxa"/>
            <w:shd w:val="clear" w:color="auto" w:fill="C6EFCE"/>
            <w:noWrap/>
            <w:vAlign w:val="center"/>
            <w:hideMark/>
          </w:tcPr>
          <w:p w14:paraId="04F9566C"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2025</w:t>
            </w:r>
          </w:p>
        </w:tc>
        <w:tc>
          <w:tcPr>
            <w:tcW w:w="2835" w:type="dxa"/>
            <w:shd w:val="clear" w:color="auto" w:fill="C6EFCE"/>
            <w:noWrap/>
            <w:vAlign w:val="center"/>
            <w:hideMark/>
          </w:tcPr>
          <w:p w14:paraId="6C75117F" w14:textId="77777777" w:rsidR="0084326C" w:rsidRPr="005D68A0" w:rsidRDefault="0084326C">
            <w:pPr>
              <w:spacing w:after="120"/>
              <w:rPr>
                <w:rFonts w:ascii="Arial Narrow" w:eastAsia="Calibri" w:hAnsi="Arial Narrow"/>
                <w:noProof/>
                <w:color w:val="006100"/>
                <w:sz w:val="20"/>
                <w:szCs w:val="20"/>
              </w:rPr>
            </w:pPr>
            <w:r>
              <w:rPr>
                <w:rFonts w:ascii="Arial Narrow" w:hAnsi="Arial Narrow"/>
                <w:noProof/>
                <w:color w:val="006100"/>
                <w:sz w:val="20"/>
              </w:rPr>
              <w:t>Vähemalt 500 riiklikku tööturuasutust on lõpule viinud 100 % riiklike tööhõivekeskuste (</w:t>
            </w:r>
            <w:r>
              <w:rPr>
                <w:rFonts w:ascii="Arial Narrow" w:hAnsi="Arial Narrow"/>
                <w:i/>
                <w:noProof/>
                <w:color w:val="006100"/>
                <w:sz w:val="20"/>
              </w:rPr>
              <w:t>Piani regionali di potenziamento dei centri per l’impiego</w:t>
            </w:r>
            <w:r>
              <w:rPr>
                <w:rFonts w:ascii="Arial Narrow" w:hAnsi="Arial Narrow"/>
                <w:noProof/>
                <w:color w:val="006100"/>
                <w:sz w:val="20"/>
              </w:rPr>
              <w:t>) arendamise piirkondlikes kavades ette nähtud tegevustest.</w:t>
            </w:r>
          </w:p>
          <w:p w14:paraId="622D320A" w14:textId="77777777"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Need tegevused on kooskõlas tsentraalse tugevdamise kavaga ja täpsemalt määratletud piirkondlikul tasandil, tuginedes vajaduste analüüsile ja eraldatud vahenditele.</w:t>
            </w:r>
          </w:p>
          <w:p w14:paraId="7AE5A20A" w14:textId="77777777"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 xml:space="preserve">See tegevus hõlmas järgmist: i) IT-süsteemi edasine rakendamine, pidades silmas riiklikku koostalitlusvõimet; ii) Töötajate kutsealane koolitus; </w:t>
            </w:r>
            <w:r>
              <w:rPr>
                <w:noProof/>
              </w:rPr>
              <w:t xml:space="preserve"> </w:t>
            </w:r>
            <w:r>
              <w:rPr>
                <w:noProof/>
              </w:rPr>
              <w:br/>
            </w:r>
            <w:r>
              <w:rPr>
                <w:rFonts w:ascii="Arial Narrow" w:hAnsi="Arial Narrow"/>
                <w:noProof/>
                <w:color w:val="006100"/>
                <w:sz w:val="20"/>
              </w:rPr>
              <w:t>iii) kohalike tööturgude piirkondlike vaatluskeskuste loomine; iv) institutsiooniline teabevahetus ja teavitustegevus.</w:t>
            </w:r>
          </w:p>
          <w:p w14:paraId="568655DD" w14:textId="77777777"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 xml:space="preserve">See eesmärk ei hõlma infrastruktuuriga seotud tegevusi. </w:t>
            </w:r>
          </w:p>
          <w:p w14:paraId="7A98DF6A" w14:textId="77777777"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Eesmärgi saavutamisel tagatakse tasakaal territoriaalse jaotuse (Põhja-, Kesk- ja lõunaosa) vahel, seda ka subsidiaarsuse meetmete kaudu.</w:t>
            </w:r>
          </w:p>
        </w:tc>
      </w:tr>
      <w:tr w:rsidR="0084326C" w:rsidRPr="00D90835" w14:paraId="0510FCB8" w14:textId="77777777">
        <w:trPr>
          <w:trHeight w:val="309"/>
          <w:jc w:val="center"/>
        </w:trPr>
        <w:tc>
          <w:tcPr>
            <w:tcW w:w="1364" w:type="dxa"/>
            <w:shd w:val="clear" w:color="auto" w:fill="C6EFCE"/>
            <w:noWrap/>
            <w:vAlign w:val="center"/>
          </w:tcPr>
          <w:p w14:paraId="3E1E65F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M5C1–7bis</w:t>
            </w:r>
          </w:p>
        </w:tc>
        <w:tc>
          <w:tcPr>
            <w:tcW w:w="1513" w:type="dxa"/>
            <w:shd w:val="clear" w:color="auto" w:fill="C6EFCE"/>
            <w:noWrap/>
            <w:vAlign w:val="center"/>
          </w:tcPr>
          <w:p w14:paraId="2F3A8A00"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Investeering 1. Avalike tööturuasutuste tugevdamine</w:t>
            </w:r>
          </w:p>
        </w:tc>
        <w:tc>
          <w:tcPr>
            <w:tcW w:w="1281" w:type="dxa"/>
            <w:shd w:val="clear" w:color="auto" w:fill="C6EFCE"/>
            <w:noWrap/>
            <w:vAlign w:val="center"/>
          </w:tcPr>
          <w:p w14:paraId="73CCF099"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Siht</w:t>
            </w:r>
          </w:p>
        </w:tc>
        <w:tc>
          <w:tcPr>
            <w:tcW w:w="1597" w:type="dxa"/>
            <w:shd w:val="clear" w:color="auto" w:fill="C6EFCE"/>
            <w:noWrap/>
            <w:vAlign w:val="center"/>
          </w:tcPr>
          <w:p w14:paraId="18370C2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Riiklikud tööturuasutused on viinud lõpule tugevdamise kavas kavandatud tegevused</w:t>
            </w:r>
          </w:p>
        </w:tc>
        <w:tc>
          <w:tcPr>
            <w:tcW w:w="1470" w:type="dxa"/>
            <w:shd w:val="clear" w:color="auto" w:fill="C6EFCE"/>
            <w:noWrap/>
            <w:vAlign w:val="center"/>
          </w:tcPr>
          <w:p w14:paraId="12DAF816"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1275" w:type="dxa"/>
            <w:shd w:val="clear" w:color="auto" w:fill="C6EFCE"/>
            <w:noWrap/>
            <w:vAlign w:val="center"/>
          </w:tcPr>
          <w:p w14:paraId="756C2062"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 xml:space="preserve">Arv </w:t>
            </w:r>
          </w:p>
        </w:tc>
        <w:tc>
          <w:tcPr>
            <w:tcW w:w="1134" w:type="dxa"/>
            <w:shd w:val="clear" w:color="auto" w:fill="C6EFCE"/>
            <w:noWrap/>
            <w:vAlign w:val="center"/>
          </w:tcPr>
          <w:p w14:paraId="502338E0"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0</w:t>
            </w:r>
          </w:p>
        </w:tc>
        <w:tc>
          <w:tcPr>
            <w:tcW w:w="1134" w:type="dxa"/>
            <w:shd w:val="clear" w:color="auto" w:fill="C6EFCE"/>
            <w:noWrap/>
            <w:vAlign w:val="center"/>
          </w:tcPr>
          <w:p w14:paraId="7249CB27"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500</w:t>
            </w:r>
          </w:p>
        </w:tc>
        <w:tc>
          <w:tcPr>
            <w:tcW w:w="851" w:type="dxa"/>
            <w:shd w:val="clear" w:color="auto" w:fill="C6EFCE"/>
            <w:noWrap/>
            <w:vAlign w:val="center"/>
          </w:tcPr>
          <w:p w14:paraId="140398F2"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2. kv</w:t>
            </w:r>
          </w:p>
        </w:tc>
        <w:tc>
          <w:tcPr>
            <w:tcW w:w="709" w:type="dxa"/>
            <w:shd w:val="clear" w:color="auto" w:fill="C6EFCE"/>
            <w:noWrap/>
            <w:vAlign w:val="center"/>
          </w:tcPr>
          <w:p w14:paraId="690F4677"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2026</w:t>
            </w:r>
          </w:p>
        </w:tc>
        <w:tc>
          <w:tcPr>
            <w:tcW w:w="2835" w:type="dxa"/>
            <w:shd w:val="clear" w:color="auto" w:fill="C6EFCE"/>
            <w:noWrap/>
            <w:vAlign w:val="center"/>
          </w:tcPr>
          <w:p w14:paraId="0A0F392C" w14:textId="77777777"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Vähemalt 500 riiklikku tööturuasutust on täielikult lõpule viinud riiklike tööhõivekeskuste (</w:t>
            </w:r>
            <w:r>
              <w:rPr>
                <w:rFonts w:ascii="Arial Narrow" w:hAnsi="Arial Narrow"/>
                <w:i/>
                <w:noProof/>
                <w:color w:val="006100"/>
                <w:sz w:val="20"/>
              </w:rPr>
              <w:t>Piani regionali di potenziamento dei centri per l’impiego</w:t>
            </w:r>
            <w:r>
              <w:rPr>
                <w:rFonts w:ascii="Arial Narrow" w:hAnsi="Arial Narrow"/>
                <w:noProof/>
                <w:color w:val="006100"/>
                <w:sz w:val="20"/>
              </w:rPr>
              <w:t>) arendamise piirkondlikes kavades ette nähtud tegevused, mis on seotud riiklike tööturuasutuste ja piirkondlike asutuste praeguste hoonete renoveerimise ja renoveerimisega ning uute ostmisega, nagu on kirjeldatud töö- ja sotsiaalpoliitika ministeeriumi peasekretäri dekreedis nr 123/2020.</w:t>
            </w:r>
          </w:p>
        </w:tc>
      </w:tr>
      <w:tr w:rsidR="0084326C" w:rsidRPr="00D90835" w14:paraId="288D6117" w14:textId="77777777">
        <w:trPr>
          <w:trHeight w:val="309"/>
          <w:jc w:val="center"/>
        </w:trPr>
        <w:tc>
          <w:tcPr>
            <w:tcW w:w="1364" w:type="dxa"/>
            <w:shd w:val="clear" w:color="auto" w:fill="C6EFCE"/>
            <w:noWrap/>
            <w:vAlign w:val="center"/>
            <w:hideMark/>
          </w:tcPr>
          <w:p w14:paraId="77BBC701"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M5C1-8</w:t>
            </w:r>
          </w:p>
        </w:tc>
        <w:tc>
          <w:tcPr>
            <w:tcW w:w="1513" w:type="dxa"/>
            <w:shd w:val="clear" w:color="auto" w:fill="C6EFCE"/>
            <w:noWrap/>
            <w:vAlign w:val="center"/>
            <w:hideMark/>
          </w:tcPr>
          <w:p w14:paraId="79CE58FC"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Reform 2. Deklareerimata töö</w:t>
            </w:r>
          </w:p>
        </w:tc>
        <w:tc>
          <w:tcPr>
            <w:tcW w:w="1281" w:type="dxa"/>
            <w:shd w:val="clear" w:color="auto" w:fill="C6EFCE"/>
            <w:noWrap/>
            <w:vAlign w:val="center"/>
            <w:hideMark/>
          </w:tcPr>
          <w:p w14:paraId="7C38C3D7"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Eesmärk</w:t>
            </w:r>
          </w:p>
        </w:tc>
        <w:tc>
          <w:tcPr>
            <w:tcW w:w="1597" w:type="dxa"/>
            <w:shd w:val="clear" w:color="auto" w:fill="C6EFCE"/>
            <w:noWrap/>
            <w:vAlign w:val="center"/>
            <w:hideMark/>
          </w:tcPr>
          <w:p w14:paraId="28BDF88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Riikliku kava jõustumine ja tegevuskava rakendamine, et võidelda deklareerimata töö vastu kõigis majandussektorites.</w:t>
            </w:r>
          </w:p>
        </w:tc>
        <w:tc>
          <w:tcPr>
            <w:tcW w:w="1470" w:type="dxa"/>
            <w:shd w:val="clear" w:color="auto" w:fill="C6EFCE"/>
            <w:noWrap/>
            <w:vAlign w:val="center"/>
            <w:hideMark/>
          </w:tcPr>
          <w:p w14:paraId="1AF442C3"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Seaduse sätted, milles on märgitud riikliku kava jõustumine ja sellise institutsioonidevahelise töörühma loomine, kes vastutab riikliku kava ja tegevuskava rakendamise eest</w:t>
            </w:r>
          </w:p>
        </w:tc>
        <w:tc>
          <w:tcPr>
            <w:tcW w:w="1275" w:type="dxa"/>
            <w:shd w:val="clear" w:color="auto" w:fill="C6EFCE"/>
            <w:noWrap/>
            <w:vAlign w:val="center"/>
            <w:hideMark/>
          </w:tcPr>
          <w:p w14:paraId="27B20603"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hideMark/>
          </w:tcPr>
          <w:p w14:paraId="739D6C64"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hideMark/>
          </w:tcPr>
          <w:p w14:paraId="79542738"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851" w:type="dxa"/>
            <w:shd w:val="clear" w:color="auto" w:fill="C6EFCE"/>
            <w:noWrap/>
            <w:vAlign w:val="center"/>
            <w:hideMark/>
          </w:tcPr>
          <w:p w14:paraId="2C7188F4"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4. kv</w:t>
            </w:r>
          </w:p>
        </w:tc>
        <w:tc>
          <w:tcPr>
            <w:tcW w:w="709" w:type="dxa"/>
            <w:shd w:val="clear" w:color="auto" w:fill="C6EFCE"/>
            <w:noWrap/>
            <w:vAlign w:val="center"/>
            <w:hideMark/>
          </w:tcPr>
          <w:p w14:paraId="1A9FCAFD"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2022</w:t>
            </w:r>
          </w:p>
        </w:tc>
        <w:tc>
          <w:tcPr>
            <w:tcW w:w="2835" w:type="dxa"/>
            <w:shd w:val="clear" w:color="auto" w:fill="C6EFCE"/>
            <w:noWrap/>
            <w:vAlign w:val="center"/>
            <w:hideMark/>
          </w:tcPr>
          <w:p w14:paraId="7F3B1749" w14:textId="77777777" w:rsidR="0084326C" w:rsidRPr="005D68A0" w:rsidRDefault="0084326C">
            <w:pPr>
              <w:rPr>
                <w:rFonts w:ascii="Arial Narrow" w:eastAsia="Calibri" w:hAnsi="Arial Narrow"/>
                <w:noProof/>
                <w:color w:val="006100"/>
                <w:sz w:val="20"/>
                <w:szCs w:val="20"/>
              </w:rPr>
            </w:pPr>
            <w:r>
              <w:rPr>
                <w:rFonts w:ascii="Arial Narrow" w:hAnsi="Arial Narrow"/>
                <w:noProof/>
                <w:color w:val="006100"/>
                <w:sz w:val="20"/>
              </w:rPr>
              <w:t xml:space="preserve">Riikliku kava vastuvõtmine ja tähtajaline (üheaastane) tegevuskava deklareerimata töö vastu võitlemiseks kõigis majandussektorites. Riiklik kava põhineb deklareerimata töö vastu võitlemise üldstrateegial ja mitut asutust hõlmaval lähenemisviisil, mida kasutatakse riikliku kava „Piano triennale di contrasto allo sfruttamento lavorativo in agricoltura e al caporalato (2020-2022)“ vastuvõtmiseks põllumajandussektoris. Riiklik kava ja rakendamise tegevuskava peavad sisaldama vähemalt järgmist: </w:t>
            </w:r>
            <w:r>
              <w:rPr>
                <w:rFonts w:ascii="Arial Narrow" w:hAnsi="Arial Narrow"/>
                <w:noProof/>
                <w:sz w:val="20"/>
              </w:rPr>
              <w:t xml:space="preserve"> </w:t>
            </w:r>
            <w:r>
              <w:rPr>
                <w:noProof/>
              </w:rPr>
              <w:t xml:space="preserve"> </w:t>
            </w:r>
            <w:r>
              <w:rPr>
                <w:noProof/>
              </w:rPr>
              <w:br/>
            </w:r>
            <w:r>
              <w:rPr>
                <w:rFonts w:ascii="Arial Narrow" w:hAnsi="Arial Narrow"/>
                <w:noProof/>
                <w:color w:val="006100"/>
                <w:sz w:val="20"/>
              </w:rPr>
              <w:t xml:space="preserve">i) Meetmed deklareerimata tööd käsitlevate üksikasjalike andmete tootmise, kogumise ja õigeaegse levitamise parandamiseks; </w:t>
            </w:r>
            <w:r>
              <w:rPr>
                <w:rFonts w:ascii="Arial Narrow" w:hAnsi="Arial Narrow"/>
                <w:noProof/>
                <w:sz w:val="20"/>
              </w:rPr>
              <w:t xml:space="preserve"> </w:t>
            </w:r>
            <w:r>
              <w:rPr>
                <w:noProof/>
              </w:rPr>
              <w:t xml:space="preserve"> </w:t>
            </w:r>
            <w:r>
              <w:rPr>
                <w:noProof/>
              </w:rPr>
              <w:br/>
            </w:r>
            <w:r>
              <w:rPr>
                <w:rFonts w:ascii="Arial Narrow" w:hAnsi="Arial Narrow"/>
                <w:noProof/>
                <w:color w:val="006100"/>
                <w:sz w:val="20"/>
              </w:rPr>
              <w:t xml:space="preserve">ii) otseste ja kaudsete meetmete kehtestamine deklareerimata tööks muutmiseks, tagades, et deklareeritud majanduses tegutsemisest saadav kasu kaalub üles deklareerimata majanduses töötamise kulud. Näiteks a) hoiatavad meetmed, nagu kontrolli ja sanktsioonide tugevdamine, ning ennetusmeetmed deklareeritud töö edendamiseks, näiteks sihipärased finantsstiimulid, sealhulgas olemasolevate meetmete läbivaatamise ja ratsionaliseerimise kaudu; b) tugevdada sidet tööhõive- ja sotsiaalpoliitikaga; </w:t>
            </w:r>
            <w:r>
              <w:rPr>
                <w:rFonts w:ascii="Arial Narrow" w:hAnsi="Arial Narrow"/>
                <w:noProof/>
                <w:sz w:val="20"/>
              </w:rPr>
              <w:t xml:space="preserve"> </w:t>
            </w:r>
            <w:r>
              <w:rPr>
                <w:noProof/>
              </w:rPr>
              <w:t xml:space="preserve"> </w:t>
            </w:r>
            <w:r>
              <w:rPr>
                <w:noProof/>
              </w:rPr>
              <w:br/>
            </w:r>
            <w:r>
              <w:rPr>
                <w:rFonts w:ascii="Arial Narrow" w:hAnsi="Arial Narrow"/>
                <w:noProof/>
                <w:color w:val="006100"/>
                <w:sz w:val="20"/>
              </w:rPr>
              <w:t xml:space="preserve">iii) deklareerimata töö väärtuse vähendamise riiklik teavituskampaania, mis on suunatud tööandjatele ja töötajatele, kaasates aktiivselt sotsiaalpartnereid; </w:t>
            </w:r>
            <w:r>
              <w:rPr>
                <w:rFonts w:ascii="Arial Narrow" w:hAnsi="Arial Narrow"/>
                <w:noProof/>
                <w:sz w:val="20"/>
              </w:rPr>
              <w:t xml:space="preserve"> </w:t>
            </w:r>
            <w:r>
              <w:rPr>
                <w:noProof/>
              </w:rPr>
              <w:t xml:space="preserve"> </w:t>
            </w:r>
            <w:r>
              <w:rPr>
                <w:noProof/>
              </w:rPr>
              <w:br/>
            </w:r>
            <w:r>
              <w:rPr>
                <w:rFonts w:ascii="Arial Narrow" w:hAnsi="Arial Narrow"/>
                <w:noProof/>
                <w:color w:val="006100"/>
                <w:sz w:val="20"/>
              </w:rPr>
              <w:t xml:space="preserve">iv) juhtimisstruktuur, et tagada meetmete tõhus rakendamine; </w:t>
            </w:r>
          </w:p>
          <w:p w14:paraId="2D4E1BCD" w14:textId="69CE5A30" w:rsidR="0084326C" w:rsidRPr="005D68A0" w:rsidRDefault="0084326C" w:rsidP="003C2120">
            <w:pPr>
              <w:rPr>
                <w:rFonts w:ascii="Arial Narrow" w:eastAsia="Calibri" w:hAnsi="Arial Narrow"/>
                <w:noProof/>
                <w:color w:val="006100"/>
                <w:sz w:val="20"/>
                <w:szCs w:val="20"/>
              </w:rPr>
            </w:pPr>
            <w:r>
              <w:rPr>
                <w:rFonts w:ascii="Arial Narrow" w:hAnsi="Arial Narrow"/>
                <w:noProof/>
                <w:color w:val="006100"/>
                <w:sz w:val="20"/>
              </w:rPr>
              <w:t>v) meetmed ebaseaduslike asunduste ületamiseks, et võidelda tööjõu ekspluateerimise vastu põllumajanduses.</w:t>
            </w:r>
          </w:p>
        </w:tc>
      </w:tr>
      <w:tr w:rsidR="0084326C" w:rsidRPr="00D90835" w14:paraId="0AD3C0EE" w14:textId="77777777">
        <w:trPr>
          <w:trHeight w:val="309"/>
          <w:jc w:val="center"/>
        </w:trPr>
        <w:tc>
          <w:tcPr>
            <w:tcW w:w="1364" w:type="dxa"/>
            <w:shd w:val="clear" w:color="auto" w:fill="C6EFCE"/>
            <w:noWrap/>
            <w:vAlign w:val="center"/>
            <w:hideMark/>
          </w:tcPr>
          <w:p w14:paraId="52D26C1F"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M5C1-9</w:t>
            </w:r>
          </w:p>
        </w:tc>
        <w:tc>
          <w:tcPr>
            <w:tcW w:w="1513" w:type="dxa"/>
            <w:shd w:val="clear" w:color="auto" w:fill="C6EFCE"/>
            <w:noWrap/>
            <w:vAlign w:val="center"/>
            <w:hideMark/>
          </w:tcPr>
          <w:p w14:paraId="6D8AC703"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Reform 2. Deklareerimata töö</w:t>
            </w:r>
          </w:p>
        </w:tc>
        <w:tc>
          <w:tcPr>
            <w:tcW w:w="1281" w:type="dxa"/>
            <w:shd w:val="clear" w:color="auto" w:fill="C6EFCE"/>
            <w:noWrap/>
            <w:vAlign w:val="center"/>
            <w:hideMark/>
          </w:tcPr>
          <w:p w14:paraId="0001B18F"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Eesmärk</w:t>
            </w:r>
          </w:p>
        </w:tc>
        <w:tc>
          <w:tcPr>
            <w:tcW w:w="1597" w:type="dxa"/>
            <w:shd w:val="clear" w:color="auto" w:fill="C6EFCE"/>
            <w:noWrap/>
            <w:vAlign w:val="center"/>
            <w:hideMark/>
          </w:tcPr>
          <w:p w14:paraId="5C056AF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Riiklikus kavas sisalduvate meetmete täielik rakendamine kooskõlas tegevuskavaga</w:t>
            </w:r>
          </w:p>
        </w:tc>
        <w:tc>
          <w:tcPr>
            <w:tcW w:w="1470" w:type="dxa"/>
            <w:shd w:val="clear" w:color="auto" w:fill="C6EFCE"/>
            <w:noWrap/>
            <w:vAlign w:val="center"/>
            <w:hideMark/>
          </w:tcPr>
          <w:p w14:paraId="56E5E33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Rakendatud riikliku kava meetmed</w:t>
            </w:r>
          </w:p>
        </w:tc>
        <w:tc>
          <w:tcPr>
            <w:tcW w:w="1275" w:type="dxa"/>
            <w:shd w:val="clear" w:color="auto" w:fill="C6EFCE"/>
            <w:noWrap/>
            <w:vAlign w:val="center"/>
            <w:hideMark/>
          </w:tcPr>
          <w:p w14:paraId="4C4AC059"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hideMark/>
          </w:tcPr>
          <w:p w14:paraId="6AC1EA79"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hideMark/>
          </w:tcPr>
          <w:p w14:paraId="2C4D237D"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851" w:type="dxa"/>
            <w:shd w:val="clear" w:color="auto" w:fill="C6EFCE"/>
            <w:noWrap/>
            <w:vAlign w:val="center"/>
            <w:hideMark/>
          </w:tcPr>
          <w:p w14:paraId="26572BBB"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1. kv</w:t>
            </w:r>
          </w:p>
        </w:tc>
        <w:tc>
          <w:tcPr>
            <w:tcW w:w="709" w:type="dxa"/>
            <w:shd w:val="clear" w:color="auto" w:fill="C6EFCE"/>
            <w:noWrap/>
            <w:vAlign w:val="center"/>
            <w:hideMark/>
          </w:tcPr>
          <w:p w14:paraId="79357D0C"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2024</w:t>
            </w:r>
          </w:p>
        </w:tc>
        <w:tc>
          <w:tcPr>
            <w:tcW w:w="2835" w:type="dxa"/>
            <w:shd w:val="clear" w:color="auto" w:fill="C6EFCE"/>
            <w:noWrap/>
            <w:vAlign w:val="center"/>
            <w:hideMark/>
          </w:tcPr>
          <w:p w14:paraId="140B2694" w14:textId="77777777" w:rsidR="0084326C" w:rsidRPr="005D68A0" w:rsidRDefault="0084326C">
            <w:pPr>
              <w:rPr>
                <w:rFonts w:ascii="Arial Narrow" w:eastAsia="Calibri" w:hAnsi="Arial Narrow"/>
                <w:noProof/>
                <w:color w:val="006100"/>
                <w:sz w:val="20"/>
                <w:szCs w:val="20"/>
              </w:rPr>
            </w:pPr>
            <w:r>
              <w:rPr>
                <w:rFonts w:ascii="Arial Narrow" w:hAnsi="Arial Narrow"/>
                <w:noProof/>
                <w:color w:val="006100"/>
                <w:sz w:val="20"/>
              </w:rPr>
              <w:t>Kõigi riiklikus kavas sisalduvate meetmete täielik rakendamine kooskõlas teekaardiga.</w:t>
            </w:r>
          </w:p>
        </w:tc>
      </w:tr>
      <w:tr w:rsidR="0084326C" w:rsidRPr="00D90835" w14:paraId="251A0A1A" w14:textId="77777777">
        <w:trPr>
          <w:trHeight w:val="309"/>
          <w:jc w:val="center"/>
        </w:trPr>
        <w:tc>
          <w:tcPr>
            <w:tcW w:w="1364" w:type="dxa"/>
            <w:shd w:val="clear" w:color="auto" w:fill="C6EFCE"/>
            <w:noWrap/>
            <w:vAlign w:val="center"/>
            <w:hideMark/>
          </w:tcPr>
          <w:p w14:paraId="789D10A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M5C1-10 </w:t>
            </w:r>
          </w:p>
        </w:tc>
        <w:tc>
          <w:tcPr>
            <w:tcW w:w="1513" w:type="dxa"/>
            <w:shd w:val="clear" w:color="auto" w:fill="C6EFCE"/>
            <w:noWrap/>
            <w:vAlign w:val="center"/>
            <w:hideMark/>
          </w:tcPr>
          <w:p w14:paraId="3C9588C0"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Reform 2. Deklareerimata töö</w:t>
            </w:r>
          </w:p>
        </w:tc>
        <w:tc>
          <w:tcPr>
            <w:tcW w:w="1281" w:type="dxa"/>
            <w:shd w:val="clear" w:color="auto" w:fill="C6EFCE"/>
            <w:noWrap/>
            <w:vAlign w:val="center"/>
            <w:hideMark/>
          </w:tcPr>
          <w:p w14:paraId="4FAC07BD"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Siht</w:t>
            </w:r>
          </w:p>
        </w:tc>
        <w:tc>
          <w:tcPr>
            <w:tcW w:w="1597" w:type="dxa"/>
            <w:shd w:val="clear" w:color="auto" w:fill="C6EFCE"/>
            <w:noWrap/>
            <w:vAlign w:val="center"/>
            <w:hideMark/>
          </w:tcPr>
          <w:p w14:paraId="15B1BD46"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Tööinspektsioonide arvu suurenemine</w:t>
            </w:r>
          </w:p>
        </w:tc>
        <w:tc>
          <w:tcPr>
            <w:tcW w:w="1470" w:type="dxa"/>
            <w:shd w:val="clear" w:color="auto" w:fill="C6EFCE"/>
            <w:noWrap/>
            <w:vAlign w:val="center"/>
            <w:hideMark/>
          </w:tcPr>
          <w:p w14:paraId="5EB6D136"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1275" w:type="dxa"/>
            <w:shd w:val="clear" w:color="auto" w:fill="C6EFCE"/>
            <w:noWrap/>
            <w:vAlign w:val="center"/>
            <w:hideMark/>
          </w:tcPr>
          <w:p w14:paraId="2684F9F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Protsent </w:t>
            </w:r>
          </w:p>
        </w:tc>
        <w:tc>
          <w:tcPr>
            <w:tcW w:w="1134" w:type="dxa"/>
            <w:shd w:val="clear" w:color="auto" w:fill="C6EFCE"/>
            <w:noWrap/>
            <w:vAlign w:val="center"/>
            <w:hideMark/>
          </w:tcPr>
          <w:p w14:paraId="5675F0B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1134" w:type="dxa"/>
            <w:shd w:val="clear" w:color="auto" w:fill="C6EFCE"/>
            <w:noWrap/>
            <w:vAlign w:val="center"/>
            <w:hideMark/>
          </w:tcPr>
          <w:p w14:paraId="05A0659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w:t>
            </w:r>
          </w:p>
        </w:tc>
        <w:tc>
          <w:tcPr>
            <w:tcW w:w="851" w:type="dxa"/>
            <w:shd w:val="clear" w:color="auto" w:fill="C6EFCE"/>
            <w:noWrap/>
            <w:vAlign w:val="center"/>
            <w:hideMark/>
          </w:tcPr>
          <w:p w14:paraId="7566F64C"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2. kv</w:t>
            </w:r>
          </w:p>
        </w:tc>
        <w:tc>
          <w:tcPr>
            <w:tcW w:w="709" w:type="dxa"/>
            <w:shd w:val="clear" w:color="auto" w:fill="C6EFCE"/>
            <w:noWrap/>
            <w:vAlign w:val="center"/>
            <w:hideMark/>
          </w:tcPr>
          <w:p w14:paraId="0A03BFA4"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2025</w:t>
            </w:r>
          </w:p>
        </w:tc>
        <w:tc>
          <w:tcPr>
            <w:tcW w:w="2835" w:type="dxa"/>
            <w:shd w:val="clear" w:color="auto" w:fill="C6EFCE"/>
            <w:noWrap/>
            <w:vAlign w:val="center"/>
            <w:hideMark/>
          </w:tcPr>
          <w:p w14:paraId="4CDBBE22" w14:textId="7E07AC7C" w:rsidR="0084326C" w:rsidRPr="005D68A0" w:rsidRDefault="0084326C">
            <w:pPr>
              <w:rPr>
                <w:rFonts w:ascii="Arial Narrow" w:hAnsi="Arial Narrow"/>
                <w:noProof/>
                <w:color w:val="006100"/>
                <w:sz w:val="20"/>
                <w:szCs w:val="20"/>
              </w:rPr>
            </w:pPr>
            <w:r>
              <w:rPr>
                <w:rFonts w:ascii="Arial Narrow" w:hAnsi="Arial Narrow"/>
                <w:noProof/>
                <w:color w:val="006100"/>
                <w:sz w:val="20"/>
              </w:rPr>
              <w:t>Kontrollide arvu suurenemine vähemalt + 20 % võrreldes ajavahemikuga 2019-2021. Kahe aasta jooksul (2019-2020) oli tööinspektsioonide keskmine arv ligikaudu 85 000.</w:t>
            </w:r>
          </w:p>
        </w:tc>
      </w:tr>
      <w:tr w:rsidR="0084326C" w:rsidRPr="00D90835" w14:paraId="41961FFF" w14:textId="77777777">
        <w:trPr>
          <w:trHeight w:val="309"/>
          <w:jc w:val="center"/>
        </w:trPr>
        <w:tc>
          <w:tcPr>
            <w:tcW w:w="1364" w:type="dxa"/>
            <w:shd w:val="clear" w:color="auto" w:fill="C6EFCE"/>
            <w:noWrap/>
            <w:vAlign w:val="center"/>
            <w:hideMark/>
          </w:tcPr>
          <w:p w14:paraId="73024290"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 xml:space="preserve">M5C1-11 </w:t>
            </w:r>
          </w:p>
        </w:tc>
        <w:tc>
          <w:tcPr>
            <w:tcW w:w="1513" w:type="dxa"/>
            <w:shd w:val="clear" w:color="auto" w:fill="C6EFCE"/>
            <w:noWrap/>
            <w:vAlign w:val="center"/>
            <w:hideMark/>
          </w:tcPr>
          <w:p w14:paraId="38C07437"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Reform 2. Deklareerimata töö</w:t>
            </w:r>
          </w:p>
        </w:tc>
        <w:tc>
          <w:tcPr>
            <w:tcW w:w="1281" w:type="dxa"/>
            <w:shd w:val="clear" w:color="auto" w:fill="C6EFCE"/>
            <w:noWrap/>
            <w:vAlign w:val="center"/>
            <w:hideMark/>
          </w:tcPr>
          <w:p w14:paraId="4A373D05"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Siht</w:t>
            </w:r>
          </w:p>
        </w:tc>
        <w:tc>
          <w:tcPr>
            <w:tcW w:w="1597" w:type="dxa"/>
            <w:shd w:val="clear" w:color="auto" w:fill="C6EFCE"/>
            <w:noWrap/>
            <w:vAlign w:val="center"/>
            <w:hideMark/>
          </w:tcPr>
          <w:p w14:paraId="442CB6E4"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Deklareerimata töö vähenemine</w:t>
            </w:r>
          </w:p>
        </w:tc>
        <w:tc>
          <w:tcPr>
            <w:tcW w:w="1470" w:type="dxa"/>
            <w:shd w:val="clear" w:color="auto" w:fill="C6EFCE"/>
            <w:noWrap/>
            <w:vAlign w:val="center"/>
            <w:hideMark/>
          </w:tcPr>
          <w:p w14:paraId="02712D0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275" w:type="dxa"/>
            <w:shd w:val="clear" w:color="auto" w:fill="C6EFCE"/>
            <w:noWrap/>
            <w:vAlign w:val="center"/>
            <w:hideMark/>
          </w:tcPr>
          <w:p w14:paraId="4AD879F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Protsent </w:t>
            </w:r>
          </w:p>
        </w:tc>
        <w:tc>
          <w:tcPr>
            <w:tcW w:w="1134" w:type="dxa"/>
            <w:shd w:val="clear" w:color="auto" w:fill="C6EFCE"/>
            <w:noWrap/>
            <w:vAlign w:val="center"/>
            <w:hideMark/>
          </w:tcPr>
          <w:p w14:paraId="6DCB190C"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0</w:t>
            </w:r>
          </w:p>
        </w:tc>
        <w:tc>
          <w:tcPr>
            <w:tcW w:w="1134" w:type="dxa"/>
            <w:shd w:val="clear" w:color="auto" w:fill="C6EFCE"/>
            <w:noWrap/>
            <w:vAlign w:val="center"/>
            <w:hideMark/>
          </w:tcPr>
          <w:p w14:paraId="238CD3E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w:t>
            </w:r>
          </w:p>
        </w:tc>
        <w:tc>
          <w:tcPr>
            <w:tcW w:w="851" w:type="dxa"/>
            <w:shd w:val="clear" w:color="auto" w:fill="C6EFCE"/>
            <w:noWrap/>
            <w:vAlign w:val="center"/>
            <w:hideMark/>
          </w:tcPr>
          <w:p w14:paraId="6CAAFA98"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1. kv</w:t>
            </w:r>
          </w:p>
        </w:tc>
        <w:tc>
          <w:tcPr>
            <w:tcW w:w="709" w:type="dxa"/>
            <w:shd w:val="clear" w:color="auto" w:fill="C6EFCE"/>
            <w:noWrap/>
            <w:vAlign w:val="center"/>
            <w:hideMark/>
          </w:tcPr>
          <w:p w14:paraId="765C8EB4"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2026</w:t>
            </w:r>
          </w:p>
        </w:tc>
        <w:tc>
          <w:tcPr>
            <w:tcW w:w="2835" w:type="dxa"/>
            <w:shd w:val="clear" w:color="auto" w:fill="C6EFCE"/>
            <w:noWrap/>
            <w:vAlign w:val="center"/>
            <w:hideMark/>
          </w:tcPr>
          <w:p w14:paraId="57DB8866"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Vähendada deklareerimata töö esinemissagedust vähemalt 2 protsendipunkti võrra sõltuvalt sihtsektoritest. </w:t>
            </w:r>
          </w:p>
          <w:p w14:paraId="2A3EAD96" w14:textId="0771136D" w:rsidR="0084326C" w:rsidRPr="005D68A0" w:rsidRDefault="0084326C" w:rsidP="003C2120">
            <w:pPr>
              <w:rPr>
                <w:rFonts w:ascii="Arial Narrow" w:hAnsi="Arial Narrow"/>
                <w:noProof/>
                <w:color w:val="006100"/>
                <w:sz w:val="20"/>
                <w:szCs w:val="20"/>
              </w:rPr>
            </w:pPr>
            <w:r>
              <w:rPr>
                <w:rFonts w:ascii="Arial Narrow" w:hAnsi="Arial Narrow"/>
                <w:noProof/>
                <w:color w:val="006100"/>
                <w:sz w:val="20"/>
              </w:rPr>
              <w:t>Eesmärgi peamine eesmärk on seada 2022. aastaks vastu võetava riikliku kava eesmärgid. Sellega seoses esitatakse analüütilised spetsifikatsioonid ning määratakse kindlaks asjakohased ja teostatavad näitajad.</w:t>
            </w:r>
          </w:p>
        </w:tc>
      </w:tr>
      <w:tr w:rsidR="0084326C" w:rsidRPr="00D90835" w14:paraId="27C50516" w14:textId="77777777">
        <w:trPr>
          <w:trHeight w:val="309"/>
          <w:jc w:val="center"/>
        </w:trPr>
        <w:tc>
          <w:tcPr>
            <w:tcW w:w="1364" w:type="dxa"/>
            <w:shd w:val="clear" w:color="auto" w:fill="C6EFCE"/>
            <w:noWrap/>
            <w:vAlign w:val="center"/>
            <w:hideMark/>
          </w:tcPr>
          <w:p w14:paraId="37563E92"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M5C1-12</w:t>
            </w:r>
          </w:p>
        </w:tc>
        <w:tc>
          <w:tcPr>
            <w:tcW w:w="1513" w:type="dxa"/>
            <w:shd w:val="clear" w:color="auto" w:fill="C6EFCE"/>
            <w:noWrap/>
            <w:vAlign w:val="center"/>
            <w:hideMark/>
          </w:tcPr>
          <w:p w14:paraId="02AB4514"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Investeering 2. Soolise võrdõiguslikkuse sertifitseerimise süsteem</w:t>
            </w:r>
          </w:p>
        </w:tc>
        <w:tc>
          <w:tcPr>
            <w:tcW w:w="1281" w:type="dxa"/>
            <w:shd w:val="clear" w:color="auto" w:fill="C6EFCE"/>
            <w:noWrap/>
            <w:vAlign w:val="center"/>
            <w:hideMark/>
          </w:tcPr>
          <w:p w14:paraId="7F85C22A"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Eesmärk</w:t>
            </w:r>
          </w:p>
        </w:tc>
        <w:tc>
          <w:tcPr>
            <w:tcW w:w="1597" w:type="dxa"/>
            <w:shd w:val="clear" w:color="auto" w:fill="C6EFCE"/>
            <w:noWrap/>
            <w:vAlign w:val="center"/>
            <w:hideMark/>
          </w:tcPr>
          <w:p w14:paraId="4976C46A"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 xml:space="preserve">Jõustub soolise võrdõiguslikkuse sertifitseerimise süsteem ja sellega kaasnevad ettevõtetele suunatud stimuleerimismehhanismid </w:t>
            </w:r>
          </w:p>
        </w:tc>
        <w:tc>
          <w:tcPr>
            <w:tcW w:w="1470" w:type="dxa"/>
            <w:shd w:val="clear" w:color="auto" w:fill="C6EFCE"/>
            <w:noWrap/>
            <w:vAlign w:val="center"/>
            <w:hideMark/>
          </w:tcPr>
          <w:p w14:paraId="6C59EA5A"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Seaduse sätted, mis viitavad sertifitseerimissüsteemi määratlemist reguleerivate õigusaktide ja rakendusmeetmete jõustumisele</w:t>
            </w:r>
          </w:p>
        </w:tc>
        <w:tc>
          <w:tcPr>
            <w:tcW w:w="1275" w:type="dxa"/>
            <w:shd w:val="clear" w:color="auto" w:fill="C6EFCE"/>
            <w:noWrap/>
            <w:vAlign w:val="center"/>
            <w:hideMark/>
          </w:tcPr>
          <w:p w14:paraId="50806259"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hideMark/>
          </w:tcPr>
          <w:p w14:paraId="6849E0A6"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hideMark/>
          </w:tcPr>
          <w:p w14:paraId="753C24DB"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851" w:type="dxa"/>
            <w:shd w:val="clear" w:color="auto" w:fill="C6EFCE"/>
            <w:noWrap/>
            <w:vAlign w:val="center"/>
            <w:hideMark/>
          </w:tcPr>
          <w:p w14:paraId="1F5EDC9F"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4. kv</w:t>
            </w:r>
          </w:p>
        </w:tc>
        <w:tc>
          <w:tcPr>
            <w:tcW w:w="709" w:type="dxa"/>
            <w:shd w:val="clear" w:color="auto" w:fill="C6EFCE"/>
            <w:noWrap/>
            <w:vAlign w:val="center"/>
            <w:hideMark/>
          </w:tcPr>
          <w:p w14:paraId="15428B5E"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2022</w:t>
            </w:r>
          </w:p>
        </w:tc>
        <w:tc>
          <w:tcPr>
            <w:tcW w:w="2835" w:type="dxa"/>
            <w:shd w:val="clear" w:color="auto" w:fill="C6EFCE"/>
            <w:noWrap/>
            <w:vAlign w:val="center"/>
            <w:hideMark/>
          </w:tcPr>
          <w:p w14:paraId="34E95331" w14:textId="77777777"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Ettevõtete soolise võrdõiguslikkuse sertifitseerimissüsteem ja sellega kaasnevad stimuleerimismehhanismid hõlmavad vähemalt järgmisi mõõtmeid: naiste kasvuvõimalused, võrdne tasu võrdse töö eest, soolise mitmekesisuse juhtimispoliitika, emaduse kaitse.</w:t>
            </w:r>
          </w:p>
          <w:p w14:paraId="7629418F" w14:textId="79578A23"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 xml:space="preserve">Sertifitseerimismenetlust teostavate organisatsioonide stimuleerimismehhanismide ja tehniliste suuniste kindlaksmääramine. Sealhulgas: i) äriühingute soolise sertifitseerimise süsteemi tehniliste standardite väljatöötamine; ii) stimuleerimismehhanismi kindlakstegemine; iii) Ettevõtted on saanud soolise võrdõiguslikkuse sertifikaadi. </w:t>
            </w:r>
          </w:p>
        </w:tc>
      </w:tr>
      <w:tr w:rsidR="0084326C" w:rsidRPr="00D90835" w14:paraId="4CCD51F6" w14:textId="77777777">
        <w:trPr>
          <w:trHeight w:val="309"/>
          <w:jc w:val="center"/>
        </w:trPr>
        <w:tc>
          <w:tcPr>
            <w:tcW w:w="1364" w:type="dxa"/>
            <w:shd w:val="clear" w:color="auto" w:fill="C6EFCE"/>
            <w:noWrap/>
            <w:vAlign w:val="center"/>
            <w:hideMark/>
          </w:tcPr>
          <w:p w14:paraId="4C60D377"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M5C1-13</w:t>
            </w:r>
          </w:p>
        </w:tc>
        <w:tc>
          <w:tcPr>
            <w:tcW w:w="1513" w:type="dxa"/>
            <w:shd w:val="clear" w:color="auto" w:fill="C6EFCE"/>
            <w:noWrap/>
            <w:vAlign w:val="center"/>
            <w:hideMark/>
          </w:tcPr>
          <w:p w14:paraId="399D5818"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Investeering 2. Soolise võrdõiguslikkuse sertifitseerimise süsteem</w:t>
            </w:r>
          </w:p>
        </w:tc>
        <w:tc>
          <w:tcPr>
            <w:tcW w:w="1281" w:type="dxa"/>
            <w:shd w:val="clear" w:color="auto" w:fill="C6EFCE"/>
            <w:noWrap/>
            <w:vAlign w:val="center"/>
            <w:hideMark/>
          </w:tcPr>
          <w:p w14:paraId="64495EB8"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Siht</w:t>
            </w:r>
          </w:p>
        </w:tc>
        <w:tc>
          <w:tcPr>
            <w:tcW w:w="1597" w:type="dxa"/>
            <w:shd w:val="clear" w:color="auto" w:fill="C6EFCE"/>
            <w:noWrap/>
            <w:vAlign w:val="center"/>
            <w:hideMark/>
          </w:tcPr>
          <w:p w14:paraId="6DC3960D"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Ettevõtted on saanud soolise võrdõiguslikkuse sertifikaadi.</w:t>
            </w:r>
          </w:p>
        </w:tc>
        <w:tc>
          <w:tcPr>
            <w:tcW w:w="1470" w:type="dxa"/>
            <w:shd w:val="clear" w:color="auto" w:fill="C6EFCE"/>
            <w:noWrap/>
            <w:vAlign w:val="center"/>
            <w:hideMark/>
          </w:tcPr>
          <w:p w14:paraId="03606F6E"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1275" w:type="dxa"/>
            <w:shd w:val="clear" w:color="auto" w:fill="C6EFCE"/>
            <w:noWrap/>
            <w:vAlign w:val="center"/>
            <w:hideMark/>
          </w:tcPr>
          <w:p w14:paraId="259F886F"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 xml:space="preserve">Arv </w:t>
            </w:r>
          </w:p>
        </w:tc>
        <w:tc>
          <w:tcPr>
            <w:tcW w:w="1134" w:type="dxa"/>
            <w:shd w:val="clear" w:color="auto" w:fill="C6EFCE"/>
            <w:noWrap/>
            <w:vAlign w:val="center"/>
            <w:hideMark/>
          </w:tcPr>
          <w:p w14:paraId="7441CA03"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0</w:t>
            </w:r>
          </w:p>
        </w:tc>
        <w:tc>
          <w:tcPr>
            <w:tcW w:w="1134" w:type="dxa"/>
            <w:shd w:val="clear" w:color="auto" w:fill="C6EFCE"/>
            <w:noWrap/>
            <w:vAlign w:val="center"/>
            <w:hideMark/>
          </w:tcPr>
          <w:p w14:paraId="1AEFBE11"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800</w:t>
            </w:r>
          </w:p>
        </w:tc>
        <w:tc>
          <w:tcPr>
            <w:tcW w:w="851" w:type="dxa"/>
            <w:shd w:val="clear" w:color="auto" w:fill="C6EFCE"/>
            <w:noWrap/>
            <w:vAlign w:val="center"/>
            <w:hideMark/>
          </w:tcPr>
          <w:p w14:paraId="7A5B5815"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2. kv</w:t>
            </w:r>
          </w:p>
        </w:tc>
        <w:tc>
          <w:tcPr>
            <w:tcW w:w="709" w:type="dxa"/>
            <w:shd w:val="clear" w:color="auto" w:fill="C6EFCE"/>
            <w:noWrap/>
            <w:vAlign w:val="center"/>
            <w:hideMark/>
          </w:tcPr>
          <w:p w14:paraId="1D4F0987"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2026</w:t>
            </w:r>
          </w:p>
        </w:tc>
        <w:tc>
          <w:tcPr>
            <w:tcW w:w="2835" w:type="dxa"/>
            <w:shd w:val="clear" w:color="auto" w:fill="C6EFCE"/>
            <w:noWrap/>
            <w:vAlign w:val="center"/>
            <w:hideMark/>
          </w:tcPr>
          <w:p w14:paraId="7C2D4918" w14:textId="77777777"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Vähemalt 800 ettevõtjat (neist 450 VKEd), keda tehnilise abi kaudu toetatakse, on saanud soolise võrdõiguslikkuse sertifikaadi.</w:t>
            </w:r>
          </w:p>
          <w:p w14:paraId="705A21BD" w14:textId="77777777"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 xml:space="preserve">Ettevõtjad kannavad ise sertifitseerimismenetluse kulud.  </w:t>
            </w:r>
          </w:p>
        </w:tc>
      </w:tr>
      <w:tr w:rsidR="0084326C" w:rsidRPr="00D90835" w14:paraId="0F6CF31F" w14:textId="77777777">
        <w:trPr>
          <w:trHeight w:val="309"/>
          <w:jc w:val="center"/>
        </w:trPr>
        <w:tc>
          <w:tcPr>
            <w:tcW w:w="1364" w:type="dxa"/>
            <w:shd w:val="clear" w:color="auto" w:fill="C6EFCE"/>
            <w:noWrap/>
            <w:vAlign w:val="center"/>
            <w:hideMark/>
          </w:tcPr>
          <w:p w14:paraId="7BCE1F68"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M5C1-14</w:t>
            </w:r>
          </w:p>
        </w:tc>
        <w:tc>
          <w:tcPr>
            <w:tcW w:w="1513" w:type="dxa"/>
            <w:shd w:val="clear" w:color="auto" w:fill="C6EFCE"/>
            <w:noWrap/>
            <w:vAlign w:val="center"/>
            <w:hideMark/>
          </w:tcPr>
          <w:p w14:paraId="2D97DF34"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Investeering 2. Soolise võrdõiguslikkuse sertifitseerimise süsteem</w:t>
            </w:r>
          </w:p>
        </w:tc>
        <w:tc>
          <w:tcPr>
            <w:tcW w:w="1281" w:type="dxa"/>
            <w:shd w:val="clear" w:color="auto" w:fill="C6EFCE"/>
            <w:noWrap/>
            <w:vAlign w:val="center"/>
            <w:hideMark/>
          </w:tcPr>
          <w:p w14:paraId="365AA2A3"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Siht</w:t>
            </w:r>
          </w:p>
        </w:tc>
        <w:tc>
          <w:tcPr>
            <w:tcW w:w="1597" w:type="dxa"/>
            <w:shd w:val="clear" w:color="auto" w:fill="C6EFCE"/>
            <w:noWrap/>
            <w:vAlign w:val="center"/>
            <w:hideMark/>
          </w:tcPr>
          <w:p w14:paraId="4E1E0B66"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Ettevõtjad, keda toetatakse tehnilise abiga, on saanud soolise võrdõiguslikkuse sertifikaadi.</w:t>
            </w:r>
          </w:p>
        </w:tc>
        <w:tc>
          <w:tcPr>
            <w:tcW w:w="1470" w:type="dxa"/>
            <w:shd w:val="clear" w:color="auto" w:fill="C6EFCE"/>
            <w:noWrap/>
            <w:vAlign w:val="center"/>
            <w:hideMark/>
          </w:tcPr>
          <w:p w14:paraId="71A82D21"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1275" w:type="dxa"/>
            <w:shd w:val="clear" w:color="auto" w:fill="C6EFCE"/>
            <w:noWrap/>
            <w:vAlign w:val="center"/>
            <w:hideMark/>
          </w:tcPr>
          <w:p w14:paraId="5BD84C77"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 xml:space="preserve">Arv </w:t>
            </w:r>
          </w:p>
        </w:tc>
        <w:tc>
          <w:tcPr>
            <w:tcW w:w="1134" w:type="dxa"/>
            <w:shd w:val="clear" w:color="auto" w:fill="C6EFCE"/>
            <w:noWrap/>
            <w:vAlign w:val="center"/>
            <w:hideMark/>
          </w:tcPr>
          <w:p w14:paraId="13FA4647"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0</w:t>
            </w:r>
          </w:p>
        </w:tc>
        <w:tc>
          <w:tcPr>
            <w:tcW w:w="1134" w:type="dxa"/>
            <w:shd w:val="clear" w:color="auto" w:fill="C6EFCE"/>
            <w:noWrap/>
            <w:vAlign w:val="center"/>
            <w:hideMark/>
          </w:tcPr>
          <w:p w14:paraId="0366CB7E" w14:textId="39CC89A6"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1 000</w:t>
            </w:r>
          </w:p>
        </w:tc>
        <w:tc>
          <w:tcPr>
            <w:tcW w:w="851" w:type="dxa"/>
            <w:shd w:val="clear" w:color="auto" w:fill="C6EFCE"/>
            <w:noWrap/>
            <w:vAlign w:val="center"/>
            <w:hideMark/>
          </w:tcPr>
          <w:p w14:paraId="19994F02"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2. kv</w:t>
            </w:r>
          </w:p>
        </w:tc>
        <w:tc>
          <w:tcPr>
            <w:tcW w:w="709" w:type="dxa"/>
            <w:shd w:val="clear" w:color="auto" w:fill="C6EFCE"/>
            <w:noWrap/>
            <w:vAlign w:val="center"/>
            <w:hideMark/>
          </w:tcPr>
          <w:p w14:paraId="2978B5FA"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2026</w:t>
            </w:r>
          </w:p>
        </w:tc>
        <w:tc>
          <w:tcPr>
            <w:tcW w:w="2835" w:type="dxa"/>
            <w:shd w:val="clear" w:color="auto" w:fill="C6EFCE"/>
            <w:noWrap/>
            <w:vAlign w:val="center"/>
            <w:hideMark/>
          </w:tcPr>
          <w:p w14:paraId="16E9FEC8" w14:textId="441156F4"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Vähemalt 1 000 ettevõtjat, keda tehnilise abi kaudu toetatakse, on saanud soolise võrdõiguslikkuse sertifikaadi.</w:t>
            </w:r>
          </w:p>
          <w:p w14:paraId="29DFF2A8" w14:textId="77777777"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Kaasnevate meetmete võtmiseks mentorluse, tehnilise ja juhtimisalase toe, töö- ja eraelu tasakaalustamise meetmete ning ettevõtlushariduse vormis kasutatakse vautšerisüsteemi.</w:t>
            </w:r>
          </w:p>
        </w:tc>
      </w:tr>
      <w:tr w:rsidR="0084326C" w:rsidRPr="00D90835" w14:paraId="2C409858" w14:textId="77777777">
        <w:trPr>
          <w:trHeight w:val="309"/>
          <w:jc w:val="center"/>
        </w:trPr>
        <w:tc>
          <w:tcPr>
            <w:tcW w:w="1364" w:type="dxa"/>
            <w:shd w:val="clear" w:color="auto" w:fill="C6EFCE"/>
            <w:noWrap/>
            <w:vAlign w:val="center"/>
            <w:hideMark/>
          </w:tcPr>
          <w:p w14:paraId="61B7A8CD"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M5C1-15</w:t>
            </w:r>
          </w:p>
        </w:tc>
        <w:tc>
          <w:tcPr>
            <w:tcW w:w="1513" w:type="dxa"/>
            <w:shd w:val="clear" w:color="auto" w:fill="C6EFCE"/>
            <w:noWrap/>
            <w:vAlign w:val="center"/>
            <w:hideMark/>
          </w:tcPr>
          <w:p w14:paraId="5DD3B7AF"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Investeering 3. Kahe süsteemi tugevdamine</w:t>
            </w:r>
          </w:p>
        </w:tc>
        <w:tc>
          <w:tcPr>
            <w:tcW w:w="1281" w:type="dxa"/>
            <w:shd w:val="clear" w:color="auto" w:fill="C6EFCE"/>
            <w:noWrap/>
            <w:vAlign w:val="center"/>
            <w:hideMark/>
          </w:tcPr>
          <w:p w14:paraId="1E3A8E0A"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Siht</w:t>
            </w:r>
          </w:p>
        </w:tc>
        <w:tc>
          <w:tcPr>
            <w:tcW w:w="1597" w:type="dxa"/>
            <w:shd w:val="clear" w:color="auto" w:fill="C6EFCE"/>
            <w:noWrap/>
            <w:vAlign w:val="center"/>
            <w:hideMark/>
          </w:tcPr>
          <w:p w14:paraId="4767EAD3"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Inimesed, kes on osalenud duaalses süsteemis ja saanud asjakohase sertifikaadi viieaastasel ajavahemikul 2021-2025</w:t>
            </w:r>
          </w:p>
        </w:tc>
        <w:tc>
          <w:tcPr>
            <w:tcW w:w="1470" w:type="dxa"/>
            <w:shd w:val="clear" w:color="auto" w:fill="C6EFCE"/>
            <w:noWrap/>
            <w:vAlign w:val="center"/>
            <w:hideMark/>
          </w:tcPr>
          <w:p w14:paraId="78A88EA5"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1275" w:type="dxa"/>
            <w:shd w:val="clear" w:color="auto" w:fill="C6EFCE"/>
            <w:noWrap/>
            <w:vAlign w:val="center"/>
            <w:hideMark/>
          </w:tcPr>
          <w:p w14:paraId="757542A7"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 xml:space="preserve">Arv </w:t>
            </w:r>
          </w:p>
        </w:tc>
        <w:tc>
          <w:tcPr>
            <w:tcW w:w="1134" w:type="dxa"/>
            <w:shd w:val="clear" w:color="auto" w:fill="C6EFCE"/>
            <w:noWrap/>
            <w:vAlign w:val="center"/>
            <w:hideMark/>
          </w:tcPr>
          <w:p w14:paraId="2E8B0478" w14:textId="0480658E"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39 000</w:t>
            </w:r>
          </w:p>
        </w:tc>
        <w:tc>
          <w:tcPr>
            <w:tcW w:w="1134" w:type="dxa"/>
            <w:shd w:val="clear" w:color="auto" w:fill="C6EFCE"/>
            <w:noWrap/>
            <w:vAlign w:val="center"/>
            <w:hideMark/>
          </w:tcPr>
          <w:p w14:paraId="2637368E" w14:textId="32CCD3AC"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129 000</w:t>
            </w:r>
          </w:p>
        </w:tc>
        <w:tc>
          <w:tcPr>
            <w:tcW w:w="851" w:type="dxa"/>
            <w:shd w:val="clear" w:color="auto" w:fill="C6EFCE"/>
            <w:noWrap/>
            <w:vAlign w:val="center"/>
            <w:hideMark/>
          </w:tcPr>
          <w:p w14:paraId="2F349996"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4. kv</w:t>
            </w:r>
          </w:p>
        </w:tc>
        <w:tc>
          <w:tcPr>
            <w:tcW w:w="709" w:type="dxa"/>
            <w:shd w:val="clear" w:color="auto" w:fill="C6EFCE"/>
            <w:noWrap/>
            <w:vAlign w:val="center"/>
            <w:hideMark/>
          </w:tcPr>
          <w:p w14:paraId="0FF4EB95"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2025</w:t>
            </w:r>
          </w:p>
        </w:tc>
        <w:tc>
          <w:tcPr>
            <w:tcW w:w="2835" w:type="dxa"/>
            <w:shd w:val="clear" w:color="auto" w:fill="C6EFCE"/>
            <w:noWrap/>
            <w:vAlign w:val="center"/>
            <w:hideMark/>
          </w:tcPr>
          <w:p w14:paraId="41FE6FAC" w14:textId="2B7B7BFA"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Võrreldes lähtestsenaariumiga on viie aasta jooksul (2021–2025) toimunud vähemalt 90 000 täiendavat registreerimist duaalsesse süsteemi ja asjaomased kursuse läbimist tõendavad tunnistused on saadud.</w:t>
            </w:r>
          </w:p>
          <w:p w14:paraId="590EEA55" w14:textId="77777777"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Vahendid jaotatakse piirkondadele duaalse süsteemi tugevdamiseks vastavalt kutseharidus- ja -koolituskursustel osalevate üliõpilaste arvule.</w:t>
            </w:r>
          </w:p>
        </w:tc>
      </w:tr>
      <w:tr w:rsidR="0084326C" w:rsidRPr="00D90835" w14:paraId="22CFE6E5" w14:textId="77777777">
        <w:trPr>
          <w:trHeight w:val="309"/>
          <w:jc w:val="center"/>
        </w:trPr>
        <w:tc>
          <w:tcPr>
            <w:tcW w:w="1364" w:type="dxa"/>
            <w:shd w:val="clear" w:color="auto" w:fill="C6EFCE"/>
            <w:noWrap/>
            <w:vAlign w:val="center"/>
          </w:tcPr>
          <w:p w14:paraId="45213D2A"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M5C1–15bis</w:t>
            </w:r>
          </w:p>
        </w:tc>
        <w:tc>
          <w:tcPr>
            <w:tcW w:w="1513" w:type="dxa"/>
            <w:shd w:val="clear" w:color="auto" w:fill="C6EFCE"/>
            <w:noWrap/>
            <w:vAlign w:val="center"/>
          </w:tcPr>
          <w:p w14:paraId="27343BE4"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Investeering 4. Avalik teenistus</w:t>
            </w:r>
          </w:p>
        </w:tc>
        <w:tc>
          <w:tcPr>
            <w:tcW w:w="1281" w:type="dxa"/>
            <w:shd w:val="clear" w:color="auto" w:fill="C6EFCE"/>
            <w:noWrap/>
            <w:vAlign w:val="center"/>
          </w:tcPr>
          <w:p w14:paraId="19EA662F"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Eesmärk</w:t>
            </w:r>
          </w:p>
        </w:tc>
        <w:tc>
          <w:tcPr>
            <w:tcW w:w="1597" w:type="dxa"/>
            <w:shd w:val="clear" w:color="auto" w:fill="C6EFCE"/>
            <w:noWrap/>
            <w:vAlign w:val="center"/>
          </w:tcPr>
          <w:p w14:paraId="505ED012" w14:textId="77777777" w:rsidR="0084326C" w:rsidRPr="00994F5E" w:rsidRDefault="0084326C">
            <w:pPr>
              <w:spacing w:before="120" w:after="120"/>
              <w:jc w:val="center"/>
              <w:rPr>
                <w:rFonts w:ascii="Arial Narrow" w:eastAsia="Calibri" w:hAnsi="Arial Narrow"/>
                <w:noProof/>
                <w:color w:val="006100"/>
                <w:sz w:val="20"/>
                <w:szCs w:val="20"/>
              </w:rPr>
            </w:pPr>
            <w:bookmarkStart w:id="12" w:name="_Hlk149581877"/>
            <w:r>
              <w:rPr>
                <w:rFonts w:ascii="Arial Narrow" w:hAnsi="Arial Narrow"/>
                <w:noProof/>
                <w:color w:val="006100"/>
                <w:sz w:val="20"/>
              </w:rPr>
              <w:t xml:space="preserve">„Disposizioni concernenti la disciplina dei rapporti tra enti e operatori Volontari del servizio civile universale“ normatiivne läbivaatamine, mis võeti vastu 14. jaanuaril 2019 ja mille eesmärk on tugevdada üldist avalikku teenistust </w:t>
            </w:r>
            <w:bookmarkEnd w:id="12"/>
          </w:p>
        </w:tc>
        <w:tc>
          <w:tcPr>
            <w:tcW w:w="1470" w:type="dxa"/>
            <w:shd w:val="clear" w:color="auto" w:fill="C6EFCE"/>
            <w:noWrap/>
            <w:vAlign w:val="center"/>
          </w:tcPr>
          <w:p w14:paraId="606128D1"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Asjaomase õigusakti vastuvõtmine</w:t>
            </w:r>
          </w:p>
        </w:tc>
        <w:tc>
          <w:tcPr>
            <w:tcW w:w="1275" w:type="dxa"/>
            <w:shd w:val="clear" w:color="auto" w:fill="C6EFCE"/>
            <w:noWrap/>
            <w:vAlign w:val="center"/>
          </w:tcPr>
          <w:p w14:paraId="0A67B172"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470F1BE2"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29AD9328"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851" w:type="dxa"/>
            <w:shd w:val="clear" w:color="auto" w:fill="C6EFCE"/>
            <w:noWrap/>
            <w:vAlign w:val="center"/>
          </w:tcPr>
          <w:p w14:paraId="02F32826"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4. kv</w:t>
            </w:r>
          </w:p>
        </w:tc>
        <w:tc>
          <w:tcPr>
            <w:tcW w:w="709" w:type="dxa"/>
            <w:shd w:val="clear" w:color="auto" w:fill="C6EFCE"/>
            <w:noWrap/>
            <w:vAlign w:val="center"/>
          </w:tcPr>
          <w:p w14:paraId="4557D946"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2024</w:t>
            </w:r>
          </w:p>
        </w:tc>
        <w:tc>
          <w:tcPr>
            <w:tcW w:w="2835" w:type="dxa"/>
            <w:shd w:val="clear" w:color="auto" w:fill="C6EFCE"/>
            <w:noWrap/>
            <w:vAlign w:val="center"/>
          </w:tcPr>
          <w:p w14:paraId="5637375C" w14:textId="77777777"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 xml:space="preserve">Üksuste ja vabatahtlike ettevõtjate vahelisi suhteid käsitleva muudetud õigusakti jõustumine, võttes arvesse tehnilise toe instrumendi projekti (20IT06 – „Ülemaailmse avaliku teenistuse taaste- ja vastupidavuskava projekti kavandamise ja rakendamise toetamine noorte tööhõivevõimaluste avamiseks“) tulemusi. </w:t>
            </w:r>
          </w:p>
          <w:p w14:paraId="1F53A89A" w14:textId="77777777" w:rsidR="0084326C" w:rsidRPr="005D68A0" w:rsidRDefault="0084326C">
            <w:pPr>
              <w:spacing w:before="120"/>
              <w:rPr>
                <w:rFonts w:ascii="Arial Narrow" w:eastAsia="Calibri" w:hAnsi="Arial Narrow"/>
                <w:noProof/>
                <w:color w:val="006100"/>
                <w:sz w:val="20"/>
                <w:szCs w:val="20"/>
              </w:rPr>
            </w:pPr>
            <w:r>
              <w:rPr>
                <w:rFonts w:ascii="Arial Narrow" w:hAnsi="Arial Narrow"/>
                <w:noProof/>
                <w:color w:val="006100"/>
                <w:sz w:val="20"/>
              </w:rPr>
              <w:t>Muudetud õigusakt:</w:t>
            </w:r>
          </w:p>
          <w:p w14:paraId="6777F02A" w14:textId="77777777" w:rsidR="0084326C" w:rsidRPr="005D68A0" w:rsidRDefault="0084326C">
            <w:pPr>
              <w:rPr>
                <w:rFonts w:ascii="Arial Narrow" w:eastAsia="Calibri" w:hAnsi="Arial Narrow"/>
                <w:noProof/>
                <w:color w:val="006100"/>
                <w:sz w:val="20"/>
                <w:szCs w:val="20"/>
              </w:rPr>
            </w:pPr>
            <w:r>
              <w:rPr>
                <w:rFonts w:ascii="Arial Narrow" w:hAnsi="Arial Narrow"/>
                <w:noProof/>
                <w:color w:val="006100"/>
                <w:sz w:val="20"/>
              </w:rPr>
              <w:t>suurendada noorte osalust;</w:t>
            </w:r>
          </w:p>
          <w:p w14:paraId="7F455B63" w14:textId="77777777" w:rsidR="0084326C" w:rsidRPr="005D68A0" w:rsidRDefault="0084326C">
            <w:pPr>
              <w:rPr>
                <w:rFonts w:ascii="Arial Narrow" w:eastAsia="Calibri" w:hAnsi="Arial Narrow"/>
                <w:noProof/>
                <w:color w:val="006100"/>
                <w:sz w:val="20"/>
                <w:szCs w:val="20"/>
              </w:rPr>
            </w:pPr>
            <w:r>
              <w:rPr>
                <w:rFonts w:ascii="Arial Narrow" w:hAnsi="Arial Narrow"/>
                <w:noProof/>
                <w:color w:val="006100"/>
                <w:sz w:val="20"/>
              </w:rPr>
              <w:t>– lihtsustada menetlusi; ning</w:t>
            </w:r>
            <w:r>
              <w:rPr>
                <w:noProof/>
              </w:rPr>
              <w:t xml:space="preserve"> </w:t>
            </w:r>
            <w:r>
              <w:rPr>
                <w:noProof/>
              </w:rPr>
              <w:br/>
            </w:r>
            <w:r>
              <w:rPr>
                <w:rFonts w:ascii="Arial Narrow" w:hAnsi="Arial Narrow"/>
                <w:noProof/>
                <w:color w:val="006100"/>
                <w:sz w:val="20"/>
              </w:rPr>
              <w:t>– parandada UCSi projektide kvaliteeti.</w:t>
            </w:r>
          </w:p>
        </w:tc>
      </w:tr>
      <w:tr w:rsidR="0084326C" w:rsidRPr="00D90835" w14:paraId="4987DC8A" w14:textId="77777777">
        <w:trPr>
          <w:trHeight w:val="309"/>
          <w:jc w:val="center"/>
        </w:trPr>
        <w:tc>
          <w:tcPr>
            <w:tcW w:w="1364" w:type="dxa"/>
            <w:shd w:val="clear" w:color="auto" w:fill="C6EFCE"/>
            <w:noWrap/>
            <w:vAlign w:val="center"/>
            <w:hideMark/>
          </w:tcPr>
          <w:p w14:paraId="1CD99179"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M5C1-16</w:t>
            </w:r>
          </w:p>
        </w:tc>
        <w:tc>
          <w:tcPr>
            <w:tcW w:w="1513" w:type="dxa"/>
            <w:shd w:val="clear" w:color="auto" w:fill="C6EFCE"/>
            <w:noWrap/>
            <w:vAlign w:val="center"/>
            <w:hideMark/>
          </w:tcPr>
          <w:p w14:paraId="61AE7DDC"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Investeering 4. Avalik teenistus</w:t>
            </w:r>
          </w:p>
        </w:tc>
        <w:tc>
          <w:tcPr>
            <w:tcW w:w="1281" w:type="dxa"/>
            <w:shd w:val="clear" w:color="auto" w:fill="C6EFCE"/>
            <w:noWrap/>
            <w:vAlign w:val="center"/>
            <w:hideMark/>
          </w:tcPr>
          <w:p w14:paraId="7E1F55E2"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Siht</w:t>
            </w:r>
          </w:p>
        </w:tc>
        <w:tc>
          <w:tcPr>
            <w:tcW w:w="1597" w:type="dxa"/>
            <w:shd w:val="clear" w:color="auto" w:fill="C6EFCE"/>
            <w:noWrap/>
            <w:vAlign w:val="center"/>
            <w:hideMark/>
          </w:tcPr>
          <w:p w14:paraId="132EADB3"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 xml:space="preserve"> Inimesed on osalenud universaalses avaliku teenistuse programmis ja saanud nelja-aastasel ajavahemikul 2021-2024 asjakohase sertifikaadi.</w:t>
            </w:r>
          </w:p>
        </w:tc>
        <w:tc>
          <w:tcPr>
            <w:tcW w:w="1470" w:type="dxa"/>
            <w:shd w:val="clear" w:color="auto" w:fill="C6EFCE"/>
            <w:noWrap/>
            <w:vAlign w:val="center"/>
            <w:hideMark/>
          </w:tcPr>
          <w:p w14:paraId="00CA6367"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1275" w:type="dxa"/>
            <w:shd w:val="clear" w:color="auto" w:fill="C6EFCE"/>
            <w:noWrap/>
            <w:vAlign w:val="center"/>
            <w:hideMark/>
          </w:tcPr>
          <w:p w14:paraId="6F5422CF"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 xml:space="preserve">Arv </w:t>
            </w:r>
          </w:p>
        </w:tc>
        <w:tc>
          <w:tcPr>
            <w:tcW w:w="1134" w:type="dxa"/>
            <w:shd w:val="clear" w:color="auto" w:fill="C6EFCE"/>
            <w:noWrap/>
            <w:vAlign w:val="center"/>
            <w:hideMark/>
          </w:tcPr>
          <w:p w14:paraId="09C8487A"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100"/>
                <w:sz w:val="20"/>
              </w:rPr>
              <w:t>0</w:t>
            </w:r>
          </w:p>
        </w:tc>
        <w:tc>
          <w:tcPr>
            <w:tcW w:w="1134" w:type="dxa"/>
            <w:shd w:val="clear" w:color="auto" w:fill="C6EFCE"/>
            <w:noWrap/>
            <w:vAlign w:val="center"/>
            <w:hideMark/>
          </w:tcPr>
          <w:p w14:paraId="63913747" w14:textId="72F50A8A"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166 670</w:t>
            </w:r>
          </w:p>
        </w:tc>
        <w:tc>
          <w:tcPr>
            <w:tcW w:w="851" w:type="dxa"/>
            <w:shd w:val="clear" w:color="auto" w:fill="C6EFCE"/>
            <w:noWrap/>
            <w:vAlign w:val="center"/>
            <w:hideMark/>
          </w:tcPr>
          <w:p w14:paraId="55027928"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2. kv</w:t>
            </w:r>
          </w:p>
        </w:tc>
        <w:tc>
          <w:tcPr>
            <w:tcW w:w="709" w:type="dxa"/>
            <w:shd w:val="clear" w:color="auto" w:fill="C6EFCE"/>
            <w:noWrap/>
            <w:vAlign w:val="center"/>
            <w:hideMark/>
          </w:tcPr>
          <w:p w14:paraId="5AEECF9E"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2026</w:t>
            </w:r>
          </w:p>
        </w:tc>
        <w:tc>
          <w:tcPr>
            <w:tcW w:w="2835" w:type="dxa"/>
            <w:shd w:val="clear" w:color="auto" w:fill="C6EFCE"/>
            <w:noWrap/>
            <w:vAlign w:val="center"/>
            <w:hideMark/>
          </w:tcPr>
          <w:p w14:paraId="169FC34E" w14:textId="38F629CB"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Nelja aasta jooksul (2021–2024) on universaalteenuse programmis osalenud vähemalt 166 670 inimest.</w:t>
            </w:r>
          </w:p>
          <w:p w14:paraId="0A145830" w14:textId="77777777"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 xml:space="preserve">Peamine eesmärk on tugevdada üldist avalikku teenistust, suurendada vabatahtlike arvu ning tõsta nende programmide ja projektide kvaliteeti, millesse noored on kaasatud. </w:t>
            </w:r>
          </w:p>
        </w:tc>
      </w:tr>
    </w:tbl>
    <w:p w14:paraId="7C246F53" w14:textId="77777777" w:rsidR="0084326C" w:rsidRPr="00F33804" w:rsidRDefault="0084326C" w:rsidP="0084326C">
      <w:pPr>
        <w:rPr>
          <w:noProof/>
        </w:rPr>
      </w:pPr>
    </w:p>
    <w:p w14:paraId="1CCFB126" w14:textId="77777777" w:rsidR="0084326C" w:rsidRPr="00F33804" w:rsidRDefault="0084326C" w:rsidP="0084326C">
      <w:pPr>
        <w:spacing w:before="120" w:after="120"/>
        <w:ind w:left="709"/>
        <w:jc w:val="both"/>
        <w:rPr>
          <w:noProof/>
        </w:rPr>
      </w:pPr>
    </w:p>
    <w:p w14:paraId="66CBCB28" w14:textId="77777777" w:rsidR="0084326C" w:rsidRPr="00F33804" w:rsidRDefault="0084326C" w:rsidP="0084326C">
      <w:pPr>
        <w:spacing w:before="120" w:after="120"/>
        <w:ind w:left="709"/>
        <w:jc w:val="both"/>
        <w:rPr>
          <w:noProof/>
        </w:rPr>
        <w:sectPr w:rsidR="0084326C" w:rsidRPr="00F33804">
          <w:headerReference w:type="even" r:id="rId308"/>
          <w:headerReference w:type="default" r:id="rId309"/>
          <w:footerReference w:type="even" r:id="rId310"/>
          <w:footerReference w:type="default" r:id="rId311"/>
          <w:headerReference w:type="first" r:id="rId312"/>
          <w:footerReference w:type="first" r:id="rId313"/>
          <w:pgSz w:w="16838" w:h="11906" w:orient="landscape" w:code="9"/>
          <w:pgMar w:top="1134" w:right="1134" w:bottom="1134" w:left="1134" w:header="567" w:footer="567" w:gutter="0"/>
          <w:cols w:space="720"/>
          <w:docGrid w:linePitch="360"/>
        </w:sectPr>
      </w:pPr>
    </w:p>
    <w:p w14:paraId="333D9AE5" w14:textId="77777777" w:rsidR="0084326C" w:rsidRPr="005D68A0" w:rsidRDefault="0084326C" w:rsidP="0084326C">
      <w:pPr>
        <w:pStyle w:val="Heading3"/>
        <w:numPr>
          <w:ilvl w:val="0"/>
          <w:numId w:val="0"/>
        </w:numPr>
        <w:ind w:left="850" w:hanging="850"/>
        <w:rPr>
          <w:b/>
          <w:bCs w:val="0"/>
          <w:i w:val="0"/>
          <w:iCs/>
          <w:noProof/>
          <w:color w:val="4472C4" w:themeColor="accent1"/>
          <w:u w:val="single"/>
        </w:rPr>
      </w:pPr>
      <w:r>
        <w:rPr>
          <w:b/>
          <w:i w:val="0"/>
          <w:noProof/>
          <w:u w:val="single"/>
        </w:rPr>
        <w:t xml:space="preserve">L.3. </w:t>
      </w:r>
      <w:r>
        <w:rPr>
          <w:noProof/>
        </w:rPr>
        <w:tab/>
      </w:r>
      <w:r>
        <w:rPr>
          <w:b/>
          <w:i w:val="0"/>
          <w:noProof/>
          <w:u w:val="single"/>
        </w:rPr>
        <w:t xml:space="preserve">Laenuga seotud reformide ja investeeringute kirjeldus </w:t>
      </w:r>
    </w:p>
    <w:p w14:paraId="5D6C031B" w14:textId="77777777" w:rsidR="0084326C" w:rsidRPr="005D68A0" w:rsidRDefault="0084326C" w:rsidP="0084326C">
      <w:pPr>
        <w:spacing w:before="120" w:after="120"/>
        <w:jc w:val="both"/>
        <w:rPr>
          <w:b/>
          <w:noProof/>
        </w:rPr>
      </w:pPr>
      <w:r>
        <w:rPr>
          <w:b/>
          <w:noProof/>
        </w:rPr>
        <w:t>Investeering 5. Naisettevõtete loomine</w:t>
      </w:r>
    </w:p>
    <w:p w14:paraId="13BFFA54" w14:textId="77777777" w:rsidR="0084326C" w:rsidRPr="005D68A0" w:rsidRDefault="0084326C" w:rsidP="0084326C">
      <w:pPr>
        <w:spacing w:before="120" w:after="120"/>
        <w:jc w:val="both"/>
        <w:rPr>
          <w:noProof/>
        </w:rPr>
      </w:pPr>
      <w:r>
        <w:rPr>
          <w:noProof/>
        </w:rPr>
        <w:t xml:space="preserve">Meetme eesmärk on aidata suurendada naiste osalemist tööturul ja eelkõige toetada naiste osalemist ettevõtluses. Investeeringuga toetatakse </w:t>
      </w:r>
      <w:r>
        <w:rPr>
          <w:b/>
          <w:noProof/>
        </w:rPr>
        <w:t>naisettevõtete</w:t>
      </w:r>
      <w:r>
        <w:rPr>
          <w:noProof/>
        </w:rPr>
        <w:t xml:space="preserve"> loomist. Meetme peamised eesmärgid on järgmised: i) praeguste toetusmeetmete süstematiseerimine ja ümberkujundamine, et toetada naisettevõtlust, et suurendada nende tõhusust; ii) juba loodud ja toimivate uuenduslike äriprojektide rakendamise toetamine; iii) Naiste ettevõtlustegevuse alustamise toetamine mentorluse, tehnilise ja juhtimisalase toetuse, töö- ja eraelu tasakaalustamise meetmete jne kaudu; iv) luua sihipäraste teavitusmeetmete abil naiste ettevõtlusele soodne kultuurikliima. </w:t>
      </w:r>
    </w:p>
    <w:p w14:paraId="46F321FC" w14:textId="77777777" w:rsidR="0084326C" w:rsidRPr="005D68A0" w:rsidRDefault="0084326C" w:rsidP="0084326C">
      <w:pPr>
        <w:pStyle w:val="Heading3"/>
        <w:numPr>
          <w:ilvl w:val="0"/>
          <w:numId w:val="0"/>
        </w:numPr>
        <w:ind w:left="850" w:hanging="850"/>
        <w:rPr>
          <w:b/>
          <w:bCs w:val="0"/>
          <w:i w:val="0"/>
          <w:iCs/>
          <w:noProof/>
          <w:u w:val="single"/>
        </w:rPr>
      </w:pPr>
      <w:r>
        <w:rPr>
          <w:b/>
          <w:i w:val="0"/>
          <w:noProof/>
          <w:u w:val="single"/>
        </w:rPr>
        <w:t xml:space="preserve">L.4. </w:t>
      </w:r>
      <w:r>
        <w:rPr>
          <w:noProof/>
        </w:rPr>
        <w:tab/>
      </w:r>
      <w:r>
        <w:rPr>
          <w:b/>
          <w:i w:val="0"/>
          <w:noProof/>
          <w:u w:val="single"/>
        </w:rPr>
        <w:t xml:space="preserve">Laenu eesmärgid, sihid, näitajad ning seire ja rakendamise ajakava </w:t>
      </w:r>
    </w:p>
    <w:p w14:paraId="786BA699" w14:textId="77777777" w:rsidR="0084326C" w:rsidRPr="00F33804" w:rsidRDefault="0084326C" w:rsidP="0084326C">
      <w:pPr>
        <w:spacing w:before="120" w:after="120"/>
        <w:ind w:left="709"/>
        <w:contextualSpacing/>
        <w:jc w:val="both"/>
        <w:rPr>
          <w:noProof/>
        </w:rPr>
        <w:sectPr w:rsidR="0084326C" w:rsidRPr="00F33804">
          <w:headerReference w:type="even" r:id="rId314"/>
          <w:headerReference w:type="default" r:id="rId315"/>
          <w:footerReference w:type="even" r:id="rId316"/>
          <w:footerReference w:type="default" r:id="rId317"/>
          <w:headerReference w:type="first" r:id="rId318"/>
          <w:footerReference w:type="first" r:id="rId319"/>
          <w:pgSz w:w="11907" w:h="16839"/>
          <w:pgMar w:top="1134" w:right="1134" w:bottom="1134" w:left="1134" w:header="567" w:footer="567" w:gutter="0"/>
          <w:cols w:space="720"/>
          <w:docGrid w:linePitch="360"/>
        </w:sectPr>
      </w:pPr>
    </w:p>
    <w:tbl>
      <w:tblPr>
        <w:tblW w:w="15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530"/>
        <w:gridCol w:w="1179"/>
        <w:gridCol w:w="1802"/>
        <w:gridCol w:w="1670"/>
        <w:gridCol w:w="1037"/>
        <w:gridCol w:w="999"/>
        <w:gridCol w:w="1189"/>
        <w:gridCol w:w="979"/>
        <w:gridCol w:w="689"/>
        <w:gridCol w:w="2982"/>
      </w:tblGrid>
      <w:tr w:rsidR="0084326C" w:rsidRPr="00D90835" w14:paraId="75D75D6D" w14:textId="77777777">
        <w:trPr>
          <w:trHeight w:val="701"/>
          <w:tblHeader/>
          <w:jc w:val="center"/>
        </w:trPr>
        <w:tc>
          <w:tcPr>
            <w:tcW w:w="1254" w:type="dxa"/>
            <w:vMerge w:val="restart"/>
            <w:shd w:val="clear" w:color="auto" w:fill="BDD7EE"/>
            <w:vAlign w:val="center"/>
            <w:hideMark/>
          </w:tcPr>
          <w:p w14:paraId="54E3248E" w14:textId="77777777" w:rsidR="0084326C" w:rsidRPr="005D68A0" w:rsidRDefault="0084326C">
            <w:pPr>
              <w:jc w:val="center"/>
              <w:rPr>
                <w:rFonts w:ascii="Arial Narrow" w:hAnsi="Arial Narrow"/>
                <w:b/>
                <w:bCs/>
                <w:noProof/>
                <w:color w:val="000000"/>
                <w:sz w:val="20"/>
                <w:szCs w:val="20"/>
              </w:rPr>
            </w:pPr>
            <w:r>
              <w:rPr>
                <w:rFonts w:ascii="Arial Narrow" w:hAnsi="Arial Narrow"/>
                <w:b/>
                <w:noProof/>
                <w:color w:val="000000"/>
                <w:sz w:val="20"/>
              </w:rPr>
              <w:t>Järjekorranumber</w:t>
            </w:r>
          </w:p>
        </w:tc>
        <w:tc>
          <w:tcPr>
            <w:tcW w:w="1530" w:type="dxa"/>
            <w:vMerge w:val="restart"/>
            <w:shd w:val="clear" w:color="auto" w:fill="BDD7EE"/>
            <w:vAlign w:val="center"/>
            <w:hideMark/>
          </w:tcPr>
          <w:p w14:paraId="28FE47DC" w14:textId="77777777" w:rsidR="0084326C" w:rsidRPr="005D68A0" w:rsidRDefault="0084326C">
            <w:pPr>
              <w:jc w:val="center"/>
              <w:rPr>
                <w:rFonts w:ascii="Arial Narrow" w:hAnsi="Arial Narrow"/>
                <w:b/>
                <w:bCs/>
                <w:noProof/>
                <w:color w:val="000000"/>
                <w:sz w:val="20"/>
                <w:szCs w:val="20"/>
              </w:rPr>
            </w:pPr>
            <w:r>
              <w:rPr>
                <w:rFonts w:ascii="Arial Narrow" w:hAnsi="Arial Narrow"/>
                <w:b/>
                <w:noProof/>
                <w:color w:val="000000"/>
                <w:sz w:val="20"/>
              </w:rPr>
              <w:t>Seotud meede (reform või investeering)</w:t>
            </w:r>
          </w:p>
        </w:tc>
        <w:tc>
          <w:tcPr>
            <w:tcW w:w="1179" w:type="dxa"/>
            <w:vMerge w:val="restart"/>
            <w:shd w:val="clear" w:color="auto" w:fill="BDD7EE"/>
            <w:vAlign w:val="center"/>
            <w:hideMark/>
          </w:tcPr>
          <w:p w14:paraId="3E178875" w14:textId="77777777" w:rsidR="0084326C" w:rsidRPr="005D68A0" w:rsidRDefault="0084326C">
            <w:pPr>
              <w:jc w:val="center"/>
              <w:rPr>
                <w:rFonts w:ascii="Arial Narrow" w:hAnsi="Arial Narrow"/>
                <w:b/>
                <w:bCs/>
                <w:noProof/>
                <w:color w:val="000000"/>
                <w:sz w:val="20"/>
                <w:szCs w:val="20"/>
              </w:rPr>
            </w:pPr>
            <w:r>
              <w:rPr>
                <w:rFonts w:ascii="Arial Narrow" w:hAnsi="Arial Narrow"/>
                <w:b/>
                <w:noProof/>
                <w:color w:val="000000"/>
                <w:sz w:val="20"/>
              </w:rPr>
              <w:t>Eesmärk / siht</w:t>
            </w:r>
          </w:p>
        </w:tc>
        <w:tc>
          <w:tcPr>
            <w:tcW w:w="1802" w:type="dxa"/>
            <w:vMerge w:val="restart"/>
            <w:shd w:val="clear" w:color="auto" w:fill="BDD7EE"/>
            <w:vAlign w:val="center"/>
            <w:hideMark/>
          </w:tcPr>
          <w:p w14:paraId="27DAB990" w14:textId="77777777" w:rsidR="0084326C" w:rsidRPr="005D68A0" w:rsidRDefault="0084326C">
            <w:pPr>
              <w:jc w:val="center"/>
              <w:rPr>
                <w:rFonts w:ascii="Arial Narrow" w:hAnsi="Arial Narrow"/>
                <w:b/>
                <w:bCs/>
                <w:noProof/>
                <w:color w:val="000000"/>
                <w:sz w:val="20"/>
                <w:szCs w:val="20"/>
              </w:rPr>
            </w:pPr>
            <w:r>
              <w:rPr>
                <w:rFonts w:ascii="Arial Narrow" w:hAnsi="Arial Narrow"/>
                <w:b/>
                <w:noProof/>
                <w:color w:val="000000"/>
                <w:sz w:val="20"/>
              </w:rPr>
              <w:t>Nimi</w:t>
            </w:r>
          </w:p>
        </w:tc>
        <w:tc>
          <w:tcPr>
            <w:tcW w:w="1670" w:type="dxa"/>
            <w:vMerge w:val="restart"/>
            <w:shd w:val="clear" w:color="auto" w:fill="BDD7EE"/>
            <w:vAlign w:val="center"/>
            <w:hideMark/>
          </w:tcPr>
          <w:p w14:paraId="0D0D809D" w14:textId="77777777" w:rsidR="0084326C" w:rsidRPr="005D68A0" w:rsidRDefault="0084326C">
            <w:pPr>
              <w:jc w:val="center"/>
              <w:rPr>
                <w:rFonts w:ascii="Arial Narrow" w:hAnsi="Arial Narrow"/>
                <w:b/>
                <w:bCs/>
                <w:noProof/>
                <w:color w:val="000000"/>
                <w:sz w:val="20"/>
                <w:szCs w:val="20"/>
              </w:rPr>
            </w:pPr>
            <w:r>
              <w:rPr>
                <w:rFonts w:ascii="Arial Narrow" w:hAnsi="Arial Narrow"/>
                <w:b/>
                <w:noProof/>
                <w:color w:val="000000"/>
                <w:sz w:val="20"/>
              </w:rPr>
              <w:t>Kvalitatiivsed näitajad</w:t>
            </w:r>
            <w:r>
              <w:rPr>
                <w:noProof/>
              </w:rPr>
              <w:t xml:space="preserve"> </w:t>
            </w:r>
            <w:r>
              <w:rPr>
                <w:noProof/>
              </w:rPr>
              <w:br/>
            </w:r>
            <w:r>
              <w:rPr>
                <w:rFonts w:ascii="Arial Narrow" w:hAnsi="Arial Narrow"/>
                <w:b/>
                <w:noProof/>
                <w:color w:val="000000"/>
                <w:sz w:val="20"/>
              </w:rPr>
              <w:t>(eesmärkide puhul)</w:t>
            </w:r>
          </w:p>
        </w:tc>
        <w:tc>
          <w:tcPr>
            <w:tcW w:w="3225" w:type="dxa"/>
            <w:gridSpan w:val="3"/>
            <w:shd w:val="clear" w:color="auto" w:fill="BDD7EE"/>
            <w:vAlign w:val="center"/>
            <w:hideMark/>
          </w:tcPr>
          <w:p w14:paraId="5A0BBC75" w14:textId="77777777" w:rsidR="0084326C" w:rsidRPr="005D68A0" w:rsidRDefault="0084326C">
            <w:pPr>
              <w:jc w:val="center"/>
              <w:rPr>
                <w:rFonts w:ascii="Arial Narrow" w:hAnsi="Arial Narrow"/>
                <w:b/>
                <w:bCs/>
                <w:noProof/>
                <w:color w:val="000000"/>
                <w:sz w:val="20"/>
                <w:szCs w:val="20"/>
              </w:rPr>
            </w:pPr>
            <w:r>
              <w:rPr>
                <w:rFonts w:ascii="Arial Narrow" w:hAnsi="Arial Narrow"/>
                <w:b/>
                <w:noProof/>
                <w:color w:val="000000"/>
                <w:sz w:val="20"/>
              </w:rPr>
              <w:t xml:space="preserve">Kvantitatiivsed näitajad </w:t>
            </w:r>
            <w:r>
              <w:rPr>
                <w:noProof/>
              </w:rPr>
              <w:br/>
            </w:r>
            <w:r>
              <w:rPr>
                <w:rFonts w:ascii="Arial Narrow" w:hAnsi="Arial Narrow"/>
                <w:b/>
                <w:noProof/>
                <w:color w:val="000000"/>
                <w:sz w:val="20"/>
              </w:rPr>
              <w:t>(sihtide puhul)</w:t>
            </w:r>
          </w:p>
        </w:tc>
        <w:tc>
          <w:tcPr>
            <w:tcW w:w="1668" w:type="dxa"/>
            <w:gridSpan w:val="2"/>
            <w:shd w:val="clear" w:color="auto" w:fill="BDD7EE"/>
            <w:vAlign w:val="center"/>
            <w:hideMark/>
          </w:tcPr>
          <w:p w14:paraId="0F49C1E7" w14:textId="77777777" w:rsidR="0084326C" w:rsidRPr="005D68A0" w:rsidRDefault="0084326C">
            <w:pPr>
              <w:jc w:val="center"/>
              <w:rPr>
                <w:rFonts w:ascii="Arial Narrow" w:hAnsi="Arial Narrow"/>
                <w:b/>
                <w:bCs/>
                <w:noProof/>
                <w:color w:val="000000"/>
                <w:sz w:val="20"/>
                <w:szCs w:val="20"/>
              </w:rPr>
            </w:pPr>
            <w:r>
              <w:rPr>
                <w:rFonts w:ascii="Arial Narrow" w:hAnsi="Arial Narrow"/>
                <w:b/>
                <w:noProof/>
                <w:color w:val="000000"/>
                <w:sz w:val="20"/>
              </w:rPr>
              <w:t>Lõpuleviimise soovituslik ajakava</w:t>
            </w:r>
          </w:p>
        </w:tc>
        <w:tc>
          <w:tcPr>
            <w:tcW w:w="2982" w:type="dxa"/>
            <w:vMerge w:val="restart"/>
            <w:shd w:val="clear" w:color="auto" w:fill="BDD7EE"/>
            <w:vAlign w:val="center"/>
            <w:hideMark/>
          </w:tcPr>
          <w:p w14:paraId="1BA075E4" w14:textId="77777777" w:rsidR="0084326C" w:rsidRPr="005D68A0" w:rsidRDefault="0084326C">
            <w:pPr>
              <w:jc w:val="center"/>
              <w:rPr>
                <w:rFonts w:ascii="Arial Narrow" w:hAnsi="Arial Narrow"/>
                <w:b/>
                <w:bCs/>
                <w:noProof/>
                <w:color w:val="000000"/>
                <w:sz w:val="20"/>
                <w:szCs w:val="20"/>
              </w:rPr>
            </w:pPr>
            <w:r>
              <w:rPr>
                <w:rFonts w:ascii="Arial Narrow" w:hAnsi="Arial Narrow"/>
                <w:b/>
                <w:noProof/>
                <w:color w:val="000000"/>
                <w:sz w:val="20"/>
              </w:rPr>
              <w:t>Iga eesmärgi ja sihi kirjeldus</w:t>
            </w:r>
          </w:p>
        </w:tc>
      </w:tr>
      <w:tr w:rsidR="0084326C" w:rsidRPr="005D68A0" w14:paraId="78FB60BD" w14:textId="77777777">
        <w:trPr>
          <w:trHeight w:val="701"/>
          <w:jc w:val="center"/>
        </w:trPr>
        <w:tc>
          <w:tcPr>
            <w:tcW w:w="1254" w:type="dxa"/>
            <w:vMerge/>
            <w:vAlign w:val="center"/>
          </w:tcPr>
          <w:p w14:paraId="6228283D" w14:textId="77777777" w:rsidR="0084326C" w:rsidRPr="00F33804" w:rsidRDefault="0084326C">
            <w:pPr>
              <w:rPr>
                <w:rFonts w:ascii="Arial Narrow" w:hAnsi="Arial Narrow"/>
                <w:b/>
                <w:bCs/>
                <w:noProof/>
                <w:color w:val="000000"/>
                <w:sz w:val="20"/>
                <w:szCs w:val="20"/>
              </w:rPr>
            </w:pPr>
          </w:p>
        </w:tc>
        <w:tc>
          <w:tcPr>
            <w:tcW w:w="1530" w:type="dxa"/>
            <w:vMerge/>
            <w:vAlign w:val="center"/>
          </w:tcPr>
          <w:p w14:paraId="399C9FED" w14:textId="77777777" w:rsidR="0084326C" w:rsidRPr="00F33804" w:rsidRDefault="0084326C">
            <w:pPr>
              <w:rPr>
                <w:rFonts w:ascii="Arial Narrow" w:hAnsi="Arial Narrow"/>
                <w:b/>
                <w:bCs/>
                <w:noProof/>
                <w:color w:val="000000"/>
                <w:sz w:val="20"/>
                <w:szCs w:val="20"/>
              </w:rPr>
            </w:pPr>
          </w:p>
        </w:tc>
        <w:tc>
          <w:tcPr>
            <w:tcW w:w="1179" w:type="dxa"/>
            <w:vMerge/>
            <w:vAlign w:val="center"/>
          </w:tcPr>
          <w:p w14:paraId="48B012ED" w14:textId="77777777" w:rsidR="0084326C" w:rsidRPr="00F33804" w:rsidRDefault="0084326C">
            <w:pPr>
              <w:rPr>
                <w:rFonts w:ascii="Arial Narrow" w:hAnsi="Arial Narrow"/>
                <w:b/>
                <w:bCs/>
                <w:noProof/>
                <w:color w:val="000000"/>
                <w:sz w:val="20"/>
                <w:szCs w:val="20"/>
              </w:rPr>
            </w:pPr>
          </w:p>
        </w:tc>
        <w:tc>
          <w:tcPr>
            <w:tcW w:w="1802" w:type="dxa"/>
            <w:vMerge/>
            <w:vAlign w:val="center"/>
          </w:tcPr>
          <w:p w14:paraId="25D2E10C" w14:textId="77777777" w:rsidR="0084326C" w:rsidRPr="00F33804" w:rsidRDefault="0084326C">
            <w:pPr>
              <w:rPr>
                <w:rFonts w:ascii="Arial Narrow" w:hAnsi="Arial Narrow"/>
                <w:b/>
                <w:bCs/>
                <w:noProof/>
                <w:color w:val="000000"/>
                <w:sz w:val="20"/>
                <w:szCs w:val="20"/>
              </w:rPr>
            </w:pPr>
          </w:p>
        </w:tc>
        <w:tc>
          <w:tcPr>
            <w:tcW w:w="1670" w:type="dxa"/>
            <w:vMerge/>
            <w:vAlign w:val="center"/>
          </w:tcPr>
          <w:p w14:paraId="26103FC2" w14:textId="77777777" w:rsidR="0084326C" w:rsidRPr="00F33804" w:rsidRDefault="0084326C">
            <w:pPr>
              <w:jc w:val="center"/>
              <w:rPr>
                <w:rFonts w:ascii="Arial Narrow" w:hAnsi="Arial Narrow"/>
                <w:b/>
                <w:bCs/>
                <w:noProof/>
                <w:color w:val="000000"/>
                <w:sz w:val="20"/>
                <w:szCs w:val="20"/>
              </w:rPr>
            </w:pPr>
          </w:p>
        </w:tc>
        <w:tc>
          <w:tcPr>
            <w:tcW w:w="1037" w:type="dxa"/>
            <w:shd w:val="clear" w:color="auto" w:fill="BDD7EE"/>
            <w:vAlign w:val="center"/>
          </w:tcPr>
          <w:p w14:paraId="586ACA5F" w14:textId="77777777" w:rsidR="0084326C" w:rsidRPr="005D68A0" w:rsidRDefault="0084326C">
            <w:pPr>
              <w:jc w:val="center"/>
              <w:rPr>
                <w:rFonts w:ascii="Arial Narrow" w:hAnsi="Arial Narrow"/>
                <w:b/>
                <w:bCs/>
                <w:noProof/>
                <w:color w:val="000000"/>
                <w:sz w:val="20"/>
                <w:szCs w:val="20"/>
              </w:rPr>
            </w:pPr>
            <w:r>
              <w:rPr>
                <w:rFonts w:ascii="Arial Narrow" w:hAnsi="Arial Narrow"/>
                <w:b/>
                <w:noProof/>
                <w:color w:val="000000"/>
                <w:sz w:val="20"/>
              </w:rPr>
              <w:t>Mõõtühik</w:t>
            </w:r>
          </w:p>
        </w:tc>
        <w:tc>
          <w:tcPr>
            <w:tcW w:w="999" w:type="dxa"/>
            <w:shd w:val="clear" w:color="auto" w:fill="BDD7EE"/>
            <w:vAlign w:val="center"/>
          </w:tcPr>
          <w:p w14:paraId="13E270A3" w14:textId="77777777" w:rsidR="0084326C" w:rsidRPr="005D68A0" w:rsidRDefault="0084326C">
            <w:pPr>
              <w:jc w:val="center"/>
              <w:rPr>
                <w:rFonts w:ascii="Arial Narrow" w:hAnsi="Arial Narrow"/>
                <w:b/>
                <w:bCs/>
                <w:noProof/>
                <w:color w:val="000000"/>
                <w:sz w:val="20"/>
                <w:szCs w:val="20"/>
              </w:rPr>
            </w:pPr>
            <w:r>
              <w:rPr>
                <w:rFonts w:ascii="Arial Narrow" w:hAnsi="Arial Narrow"/>
                <w:b/>
                <w:noProof/>
                <w:color w:val="000000"/>
                <w:sz w:val="20"/>
              </w:rPr>
              <w:t>Lähtetase</w:t>
            </w:r>
          </w:p>
        </w:tc>
        <w:tc>
          <w:tcPr>
            <w:tcW w:w="1189" w:type="dxa"/>
            <w:shd w:val="clear" w:color="auto" w:fill="BDD7EE"/>
            <w:vAlign w:val="center"/>
          </w:tcPr>
          <w:p w14:paraId="7107D3AF" w14:textId="77777777" w:rsidR="0084326C" w:rsidRPr="005D68A0" w:rsidRDefault="0084326C">
            <w:pPr>
              <w:jc w:val="center"/>
              <w:rPr>
                <w:rFonts w:ascii="Arial Narrow" w:hAnsi="Arial Narrow"/>
                <w:b/>
                <w:bCs/>
                <w:noProof/>
                <w:color w:val="000000"/>
                <w:sz w:val="20"/>
                <w:szCs w:val="20"/>
              </w:rPr>
            </w:pPr>
            <w:r>
              <w:rPr>
                <w:rFonts w:ascii="Arial Narrow" w:hAnsi="Arial Narrow"/>
                <w:b/>
                <w:noProof/>
                <w:color w:val="000000"/>
                <w:sz w:val="20"/>
              </w:rPr>
              <w:t>Eesmärk</w:t>
            </w:r>
          </w:p>
        </w:tc>
        <w:tc>
          <w:tcPr>
            <w:tcW w:w="979" w:type="dxa"/>
            <w:shd w:val="clear" w:color="auto" w:fill="BDD7EE"/>
            <w:vAlign w:val="center"/>
          </w:tcPr>
          <w:p w14:paraId="5450E2CC" w14:textId="77777777" w:rsidR="0084326C" w:rsidRPr="005D68A0" w:rsidRDefault="0084326C">
            <w:pPr>
              <w:jc w:val="center"/>
              <w:rPr>
                <w:rFonts w:ascii="Arial Narrow" w:hAnsi="Arial Narrow"/>
                <w:b/>
                <w:bCs/>
                <w:noProof/>
                <w:color w:val="000000"/>
                <w:sz w:val="20"/>
                <w:szCs w:val="20"/>
              </w:rPr>
            </w:pPr>
            <w:r>
              <w:rPr>
                <w:rFonts w:ascii="Arial Narrow" w:hAnsi="Arial Narrow"/>
                <w:b/>
                <w:noProof/>
                <w:color w:val="000000"/>
                <w:sz w:val="20"/>
              </w:rPr>
              <w:t>Kvartal</w:t>
            </w:r>
          </w:p>
        </w:tc>
        <w:tc>
          <w:tcPr>
            <w:tcW w:w="689" w:type="dxa"/>
            <w:shd w:val="clear" w:color="auto" w:fill="BDD7EE"/>
            <w:vAlign w:val="center"/>
          </w:tcPr>
          <w:p w14:paraId="3E19A0A0" w14:textId="77777777" w:rsidR="0084326C" w:rsidRPr="005D68A0" w:rsidRDefault="0084326C">
            <w:pPr>
              <w:jc w:val="center"/>
              <w:rPr>
                <w:rFonts w:ascii="Arial Narrow" w:hAnsi="Arial Narrow"/>
                <w:b/>
                <w:bCs/>
                <w:noProof/>
                <w:color w:val="000000"/>
                <w:sz w:val="20"/>
                <w:szCs w:val="20"/>
              </w:rPr>
            </w:pPr>
            <w:r>
              <w:rPr>
                <w:rFonts w:ascii="Arial Narrow" w:hAnsi="Arial Narrow"/>
                <w:b/>
                <w:noProof/>
                <w:color w:val="000000"/>
                <w:sz w:val="20"/>
              </w:rPr>
              <w:t>Aasta</w:t>
            </w:r>
          </w:p>
        </w:tc>
        <w:tc>
          <w:tcPr>
            <w:tcW w:w="2982" w:type="dxa"/>
            <w:vMerge/>
            <w:vAlign w:val="center"/>
          </w:tcPr>
          <w:p w14:paraId="7833DEE8" w14:textId="77777777" w:rsidR="0084326C" w:rsidRPr="005D68A0" w:rsidRDefault="0084326C">
            <w:pPr>
              <w:rPr>
                <w:rFonts w:ascii="Arial Narrow" w:hAnsi="Arial Narrow"/>
                <w:b/>
                <w:bCs/>
                <w:noProof/>
                <w:color w:val="000000"/>
                <w:sz w:val="20"/>
                <w:szCs w:val="20"/>
                <w:lang w:val="en-GB"/>
              </w:rPr>
            </w:pPr>
          </w:p>
        </w:tc>
      </w:tr>
      <w:tr w:rsidR="0084326C" w:rsidRPr="00D90835" w14:paraId="28A59E6C" w14:textId="77777777">
        <w:trPr>
          <w:trHeight w:val="1965"/>
          <w:jc w:val="center"/>
        </w:trPr>
        <w:tc>
          <w:tcPr>
            <w:tcW w:w="1254" w:type="dxa"/>
            <w:shd w:val="clear" w:color="auto" w:fill="C6EFCE"/>
            <w:vAlign w:val="center"/>
            <w:hideMark/>
          </w:tcPr>
          <w:p w14:paraId="5EBB399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M5C1-17</w:t>
            </w:r>
          </w:p>
        </w:tc>
        <w:tc>
          <w:tcPr>
            <w:tcW w:w="1530" w:type="dxa"/>
            <w:shd w:val="clear" w:color="auto" w:fill="C6EFCE"/>
            <w:vAlign w:val="center"/>
            <w:hideMark/>
          </w:tcPr>
          <w:p w14:paraId="4F9DCE6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5. Naistele kuuluvate ettevõtete loomine</w:t>
            </w:r>
          </w:p>
        </w:tc>
        <w:tc>
          <w:tcPr>
            <w:tcW w:w="1179" w:type="dxa"/>
            <w:shd w:val="clear" w:color="auto" w:fill="C6EFCE"/>
            <w:vAlign w:val="center"/>
            <w:hideMark/>
          </w:tcPr>
          <w:p w14:paraId="7403BF6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1802" w:type="dxa"/>
            <w:shd w:val="clear" w:color="auto" w:fill="C6EFCE"/>
            <w:vAlign w:val="center"/>
            <w:hideMark/>
          </w:tcPr>
          <w:p w14:paraId="4ED37E0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Võetakse vastu naiste ettevõtluse toetamise fond</w:t>
            </w:r>
          </w:p>
        </w:tc>
        <w:tc>
          <w:tcPr>
            <w:tcW w:w="1670" w:type="dxa"/>
            <w:shd w:val="clear" w:color="auto" w:fill="C6EFCE"/>
            <w:vAlign w:val="center"/>
            <w:hideMark/>
          </w:tcPr>
          <w:p w14:paraId="2297C79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Kiidetakse heaks ministri dekreet „Fondo Impresa Donna“ asutamise kohta.</w:t>
            </w:r>
          </w:p>
        </w:tc>
        <w:tc>
          <w:tcPr>
            <w:tcW w:w="1037" w:type="dxa"/>
            <w:shd w:val="clear" w:color="auto" w:fill="C6EFCE"/>
            <w:vAlign w:val="center"/>
            <w:hideMark/>
          </w:tcPr>
          <w:p w14:paraId="33D1946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999" w:type="dxa"/>
            <w:shd w:val="clear" w:color="auto" w:fill="C6EFCE"/>
            <w:vAlign w:val="center"/>
            <w:hideMark/>
          </w:tcPr>
          <w:p w14:paraId="0A37CA8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89" w:type="dxa"/>
            <w:shd w:val="clear" w:color="auto" w:fill="C6EFCE"/>
            <w:vAlign w:val="center"/>
            <w:hideMark/>
          </w:tcPr>
          <w:p w14:paraId="196167F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979" w:type="dxa"/>
            <w:shd w:val="clear" w:color="auto" w:fill="C6EFCE"/>
            <w:vAlign w:val="center"/>
            <w:hideMark/>
          </w:tcPr>
          <w:p w14:paraId="48DE878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3. kv</w:t>
            </w:r>
          </w:p>
        </w:tc>
        <w:tc>
          <w:tcPr>
            <w:tcW w:w="689" w:type="dxa"/>
            <w:shd w:val="clear" w:color="auto" w:fill="C6EFCE"/>
            <w:vAlign w:val="center"/>
            <w:hideMark/>
          </w:tcPr>
          <w:p w14:paraId="1C016E1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2021</w:t>
            </w:r>
          </w:p>
        </w:tc>
        <w:tc>
          <w:tcPr>
            <w:tcW w:w="2982" w:type="dxa"/>
            <w:shd w:val="clear" w:color="auto" w:fill="C6EFCE"/>
            <w:vAlign w:val="center"/>
            <w:hideMark/>
          </w:tcPr>
          <w:p w14:paraId="7DE8C5A9"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Naisettevõtluse toetamise fond võetakse vastu ministri käskkirjaga, millega kehtestatakse rahastamiskõlblikkuse kriteeriumid kooskõlas taaste- ja vastupidavusrahastu eesmärkidega, sealhulgas põhimõttega „ei kahjusta oluliselt“ ning rahastamislepingu ja tegevuslepingute allkirjastamine finantsvahendaja(te)ga.</w:t>
            </w:r>
          </w:p>
          <w:p w14:paraId="65F3E0C6" w14:textId="77777777" w:rsidR="0084326C" w:rsidRPr="00F33804" w:rsidRDefault="0084326C">
            <w:pPr>
              <w:rPr>
                <w:rFonts w:ascii="Arial Narrow" w:hAnsi="Arial Narrow"/>
                <w:noProof/>
                <w:color w:val="006100"/>
                <w:sz w:val="20"/>
                <w:szCs w:val="20"/>
              </w:rPr>
            </w:pPr>
          </w:p>
          <w:p w14:paraId="5802F9D9"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Need fondid moodustavad „Fondo Impresa Donna“, kes rakendab naisettevõtlust toetavat erimeedet. Rakendusmeetmed lepivad eelnevalt kokku majandusarengu ministeerium ja PCMi võrdsete võimaluste osakond ning nende eesmärk on:</w:t>
            </w:r>
          </w:p>
          <w:p w14:paraId="0537E595"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tugevdada olemasolevaid meetmeid, mida juba haldavad majandusarengu ministeeriumi siseorganid (nt NITO-ON, Smart &amp; Start) kapitalisüsti abil, mis on reserveeritud üksnes naiste juhitavatele ettevõtetele;</w:t>
            </w:r>
          </w:p>
          <w:p w14:paraId="4C6F403F"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täiendava toetuse andmine 2021. aasta eelarveseadusega loodud naiste ettevõtlusfondile (alates 2022. aasta kolmandast kvartalist);</w:t>
            </w:r>
          </w:p>
          <w:p w14:paraId="630096CA"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kaasnevate meetmete, järelevalve- ja teavituskampaaniate kavandamine. PCMi võrdsete võimaluste osakond viib läbi mitmeaastase teavituskampaania, et edendada naisettevõtlust, igas vanuses naiste ja ülikoolide naisüliõpilaste kutsenõustamist valdkondades ja kutsealadel, kus naised on alaesindatud, ning teabevahetusplatvormi loomist.</w:t>
            </w:r>
          </w:p>
        </w:tc>
      </w:tr>
      <w:tr w:rsidR="0084326C" w:rsidRPr="00D90835" w14:paraId="02911E13" w14:textId="77777777">
        <w:trPr>
          <w:trHeight w:val="845"/>
          <w:jc w:val="center"/>
        </w:trPr>
        <w:tc>
          <w:tcPr>
            <w:tcW w:w="1254" w:type="dxa"/>
            <w:shd w:val="clear" w:color="auto" w:fill="C6EFCE"/>
            <w:vAlign w:val="center"/>
            <w:hideMark/>
          </w:tcPr>
          <w:p w14:paraId="74BB634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M5C1-18</w:t>
            </w:r>
          </w:p>
        </w:tc>
        <w:tc>
          <w:tcPr>
            <w:tcW w:w="1530" w:type="dxa"/>
            <w:shd w:val="clear" w:color="auto" w:fill="C6EFCE"/>
            <w:vAlign w:val="center"/>
            <w:hideMark/>
          </w:tcPr>
          <w:p w14:paraId="53DDB1E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5. Naistele kuuluvate ettevõtete loomine</w:t>
            </w:r>
          </w:p>
        </w:tc>
        <w:tc>
          <w:tcPr>
            <w:tcW w:w="1179" w:type="dxa"/>
            <w:shd w:val="clear" w:color="auto" w:fill="C6EFCE"/>
            <w:vAlign w:val="center"/>
            <w:hideMark/>
          </w:tcPr>
          <w:p w14:paraId="7AFDD90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1802" w:type="dxa"/>
            <w:shd w:val="clear" w:color="auto" w:fill="C6EFCE"/>
            <w:vAlign w:val="center"/>
            <w:hideMark/>
          </w:tcPr>
          <w:p w14:paraId="777BEF0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 Ettevõtetele on antud finantstoetust </w:t>
            </w:r>
          </w:p>
        </w:tc>
        <w:tc>
          <w:tcPr>
            <w:tcW w:w="1670" w:type="dxa"/>
            <w:shd w:val="clear" w:color="auto" w:fill="C6EFCE"/>
            <w:vAlign w:val="center"/>
            <w:hideMark/>
          </w:tcPr>
          <w:p w14:paraId="688CF72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037" w:type="dxa"/>
            <w:shd w:val="clear" w:color="auto" w:fill="C6EFCE"/>
            <w:vAlign w:val="center"/>
            <w:hideMark/>
          </w:tcPr>
          <w:p w14:paraId="02F3059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999" w:type="dxa"/>
            <w:shd w:val="clear" w:color="auto" w:fill="C6EFCE"/>
            <w:vAlign w:val="center"/>
            <w:hideMark/>
          </w:tcPr>
          <w:p w14:paraId="4029301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1189" w:type="dxa"/>
            <w:shd w:val="clear" w:color="auto" w:fill="C6EFCE"/>
            <w:vAlign w:val="center"/>
            <w:hideMark/>
          </w:tcPr>
          <w:p w14:paraId="0726C6D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700</w:t>
            </w:r>
          </w:p>
        </w:tc>
        <w:tc>
          <w:tcPr>
            <w:tcW w:w="979" w:type="dxa"/>
            <w:shd w:val="clear" w:color="auto" w:fill="C6EFCE"/>
            <w:vAlign w:val="center"/>
            <w:hideMark/>
          </w:tcPr>
          <w:p w14:paraId="75A6E07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689" w:type="dxa"/>
            <w:shd w:val="clear" w:color="auto" w:fill="C6EFCE"/>
            <w:vAlign w:val="center"/>
            <w:hideMark/>
          </w:tcPr>
          <w:p w14:paraId="1DFE6EE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2023</w:t>
            </w:r>
          </w:p>
        </w:tc>
        <w:tc>
          <w:tcPr>
            <w:tcW w:w="2982" w:type="dxa"/>
            <w:shd w:val="clear" w:color="auto" w:fill="C6EFCE"/>
            <w:vAlign w:val="center"/>
            <w:hideMark/>
          </w:tcPr>
          <w:p w14:paraId="44F171F4"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Võrreldes lähteväärtusega on rahalist toetust antud vähemalt veel 700 ettevõttele. </w:t>
            </w:r>
          </w:p>
          <w:p w14:paraId="7DAD75E7"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Naisettevõtluse toetamine toimub juba aktiivsete vahendite (NITO-ON, Smart &amp; Start) ja uue fondi kaudu, mis loodi 2021. aasta eelarveseadusega (naiste ettevõtteid toetatakse kuni 2020. aasta novembrini olemasolevate rahastamisvahenditega).</w:t>
            </w:r>
          </w:p>
        </w:tc>
      </w:tr>
      <w:tr w:rsidR="0084326C" w:rsidRPr="00D90835" w14:paraId="6CED1DBB" w14:textId="77777777">
        <w:trPr>
          <w:trHeight w:val="703"/>
          <w:jc w:val="center"/>
        </w:trPr>
        <w:tc>
          <w:tcPr>
            <w:tcW w:w="1254" w:type="dxa"/>
            <w:shd w:val="clear" w:color="auto" w:fill="C6EFCE"/>
            <w:vAlign w:val="center"/>
            <w:hideMark/>
          </w:tcPr>
          <w:p w14:paraId="143B7BD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M5C1-19</w:t>
            </w:r>
          </w:p>
        </w:tc>
        <w:tc>
          <w:tcPr>
            <w:tcW w:w="1530" w:type="dxa"/>
            <w:shd w:val="clear" w:color="auto" w:fill="C6EFCE"/>
            <w:vAlign w:val="center"/>
            <w:hideMark/>
          </w:tcPr>
          <w:p w14:paraId="4909F49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5. Naistele kuuluvate ettevõtete loomine</w:t>
            </w:r>
          </w:p>
        </w:tc>
        <w:tc>
          <w:tcPr>
            <w:tcW w:w="1179" w:type="dxa"/>
            <w:shd w:val="clear" w:color="auto" w:fill="C6EFCE"/>
            <w:vAlign w:val="center"/>
            <w:hideMark/>
          </w:tcPr>
          <w:p w14:paraId="1DFA2D4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1802" w:type="dxa"/>
            <w:shd w:val="clear" w:color="auto" w:fill="C6EFCE"/>
            <w:vAlign w:val="center"/>
            <w:hideMark/>
          </w:tcPr>
          <w:p w14:paraId="21A7315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Asjakohases investeerimispoliitikas määratletud ettevõtted on saanud rahalist toetust</w:t>
            </w:r>
          </w:p>
        </w:tc>
        <w:tc>
          <w:tcPr>
            <w:tcW w:w="1670" w:type="dxa"/>
            <w:shd w:val="clear" w:color="auto" w:fill="C6EFCE"/>
            <w:vAlign w:val="center"/>
            <w:hideMark/>
          </w:tcPr>
          <w:p w14:paraId="261CB3D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037" w:type="dxa"/>
            <w:shd w:val="clear" w:color="auto" w:fill="C6EFCE"/>
            <w:vAlign w:val="center"/>
            <w:hideMark/>
          </w:tcPr>
          <w:p w14:paraId="362B314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999" w:type="dxa"/>
            <w:shd w:val="clear" w:color="auto" w:fill="C6EFCE"/>
            <w:vAlign w:val="center"/>
            <w:hideMark/>
          </w:tcPr>
          <w:p w14:paraId="320DDD7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1189" w:type="dxa"/>
            <w:shd w:val="clear" w:color="auto" w:fill="C6EFCE"/>
            <w:vAlign w:val="center"/>
            <w:hideMark/>
          </w:tcPr>
          <w:p w14:paraId="58F5D6F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2 400</w:t>
            </w:r>
          </w:p>
        </w:tc>
        <w:tc>
          <w:tcPr>
            <w:tcW w:w="979" w:type="dxa"/>
            <w:shd w:val="clear" w:color="auto" w:fill="C6EFCE"/>
            <w:vAlign w:val="center"/>
            <w:hideMark/>
          </w:tcPr>
          <w:p w14:paraId="6A44155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689" w:type="dxa"/>
            <w:shd w:val="clear" w:color="auto" w:fill="C6EFCE"/>
            <w:vAlign w:val="center"/>
            <w:hideMark/>
          </w:tcPr>
          <w:p w14:paraId="50F4C95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2982" w:type="dxa"/>
            <w:shd w:val="clear" w:color="auto" w:fill="C6EFCE"/>
            <w:vAlign w:val="center"/>
            <w:hideMark/>
          </w:tcPr>
          <w:p w14:paraId="59DCAA54"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Rahaline toetus on välja makstud vähemalt 2 400 ettevõttele, nagu on määratletud asjaomases investeerimispoliitikas.</w:t>
            </w:r>
          </w:p>
          <w:p w14:paraId="017F3A4D" w14:textId="77777777" w:rsidR="0084326C" w:rsidRPr="005D68A0" w:rsidRDefault="0084326C">
            <w:pPr>
              <w:rPr>
                <w:rFonts w:ascii="Arial Narrow" w:hAnsi="Arial Narrow"/>
                <w:noProof/>
                <w:color w:val="006100"/>
                <w:sz w:val="20"/>
                <w:szCs w:val="20"/>
                <w:lang w:val="en-GB"/>
              </w:rPr>
            </w:pPr>
          </w:p>
          <w:p w14:paraId="08EC5107" w14:textId="1625B873" w:rsidR="0084326C" w:rsidRPr="005D68A0" w:rsidRDefault="0084326C">
            <w:pPr>
              <w:rPr>
                <w:rFonts w:ascii="Arial Narrow" w:hAnsi="Arial Narrow"/>
                <w:noProof/>
                <w:color w:val="006100"/>
                <w:sz w:val="20"/>
                <w:szCs w:val="20"/>
              </w:rPr>
            </w:pPr>
            <w:r>
              <w:rPr>
                <w:rFonts w:ascii="Arial Narrow" w:hAnsi="Arial Narrow"/>
                <w:noProof/>
                <w:color w:val="006100"/>
                <w:sz w:val="20"/>
              </w:rPr>
              <w:t>Naisettevõtluse toetamist rakendatakse juba aktiivsete vahendite (NITO-ON, Smart &amp; Start) ja 2021. aasta eelarveseadusega loodud uue fondi kaudu.</w:t>
            </w:r>
          </w:p>
        </w:tc>
      </w:tr>
    </w:tbl>
    <w:p w14:paraId="5F9A905F" w14:textId="77777777" w:rsidR="0084326C" w:rsidRPr="005D68A0" w:rsidRDefault="0084326C" w:rsidP="0084326C">
      <w:pPr>
        <w:rPr>
          <w:rFonts w:ascii="Arial Narrow" w:hAnsi="Arial Narrow"/>
          <w:noProof/>
          <w:lang w:val="en-GB"/>
        </w:rPr>
      </w:pPr>
    </w:p>
    <w:p w14:paraId="47A1714A" w14:textId="77777777" w:rsidR="0084326C" w:rsidRPr="005D68A0" w:rsidRDefault="0084326C" w:rsidP="0084326C">
      <w:pPr>
        <w:tabs>
          <w:tab w:val="left" w:pos="4252"/>
        </w:tabs>
        <w:rPr>
          <w:i/>
          <w:noProof/>
          <w:lang w:val="en-GB"/>
        </w:rPr>
      </w:pPr>
    </w:p>
    <w:p w14:paraId="1784097D" w14:textId="77777777" w:rsidR="0084326C" w:rsidRPr="005D68A0" w:rsidRDefault="0084326C" w:rsidP="0084326C">
      <w:pPr>
        <w:tabs>
          <w:tab w:val="left" w:pos="4252"/>
        </w:tabs>
        <w:rPr>
          <w:i/>
          <w:noProof/>
          <w:lang w:val="en-GB"/>
        </w:rPr>
        <w:sectPr w:rsidR="0084326C" w:rsidRPr="005D68A0">
          <w:headerReference w:type="even" r:id="rId320"/>
          <w:headerReference w:type="default" r:id="rId321"/>
          <w:footerReference w:type="even" r:id="rId322"/>
          <w:footerReference w:type="default" r:id="rId323"/>
          <w:headerReference w:type="first" r:id="rId324"/>
          <w:footerReference w:type="first" r:id="rId325"/>
          <w:pgSz w:w="16838" w:h="11906" w:orient="landscape" w:code="9"/>
          <w:pgMar w:top="1134" w:right="1134" w:bottom="1134" w:left="1134" w:header="567" w:footer="567" w:gutter="0"/>
          <w:cols w:space="720"/>
          <w:docGrid w:linePitch="360"/>
        </w:sectPr>
      </w:pPr>
    </w:p>
    <w:p w14:paraId="3F6CBF93" w14:textId="77777777" w:rsidR="0084326C" w:rsidRPr="005D68A0" w:rsidRDefault="0084326C" w:rsidP="0084326C">
      <w:pPr>
        <w:pStyle w:val="Heading2"/>
        <w:numPr>
          <w:ilvl w:val="0"/>
          <w:numId w:val="0"/>
        </w:numPr>
        <w:ind w:left="850" w:hanging="850"/>
        <w:rPr>
          <w:noProof/>
        </w:rPr>
      </w:pPr>
      <w:r>
        <w:rPr>
          <w:noProof/>
        </w:rPr>
        <w:t>M. ÜLESANNE 5 KOMPONENT 2. Sotsiaalsed taristud, perekonnad, kogukonnad ja kolmas sektor</w:t>
      </w:r>
    </w:p>
    <w:p w14:paraId="49FE48F6" w14:textId="1B8B0619" w:rsidR="0084326C" w:rsidRPr="005D68A0" w:rsidRDefault="0084326C" w:rsidP="0084326C">
      <w:pPr>
        <w:spacing w:before="120" w:after="120"/>
        <w:jc w:val="both"/>
        <w:rPr>
          <w:noProof/>
        </w:rPr>
      </w:pPr>
      <w:r>
        <w:rPr>
          <w:noProof/>
        </w:rPr>
        <w:t>Selles komponendis sisalduvate kavandatud reformide ja investeeringute eesmärk on tugevdada vastupanuvõimet, toetades kõige haavatavamate integreerimist ja kaasamist individuaalses, perekondlikus ja sotsiaalses mõõtmes. Selle komponendiga nähakse ette riiklik strateegia haavatavate elanikkonnarühmade aktiivseks kaasamiseks. Selle komponendi eesmärgid on järgmised: i) tugevdada integreeritud sotsiaalteenuste rolli, et toetada perekondi, alaealisi ja noorukeid, toetada vanemaoskusi ning kaitsta haavatavaid perekondi ja puuetega inimesi, sealhulgas kolmandasse sektorisse kaasatud sotsiaalse taristu tõhustamise kaudu; ii)</w:t>
      </w:r>
      <w:r w:rsidR="00695260">
        <w:rPr>
          <w:noProof/>
        </w:rPr>
        <w:t> </w:t>
      </w:r>
      <w:r>
        <w:rPr>
          <w:noProof/>
        </w:rPr>
        <w:t>parandada puuetega inimeste iseseisvust, pakkudes kogukonna- ja kodupõhiseid sotsiaal- ja tervishoiuteenuseid ning kõrvaldades takistused juurdepääsult eluasemele ja töövõimalustele; iii) parandada äärmuslikus tõrjutuses ja halbades tingimustes elavate inimeste (nt kodutud) kaasamist ajutiste majutusvõimaluste ja -teenuste laiema pakkumise, isikustatud autonoomia ja isikliku vastupanuvõime suunas liikumise teel; iv) taskukohasemate avaliku ja erasektori eluasemete kättesaadavuse ning linna- ja territoriaalse taaselustamise parandamine; v) kõige haavatavamate inimeste vastupanuvõime suurendamine spordikultuuri levitamise ja sporditaristu rajamise kaudu linnaparkide loomise kaudu, kus sporditegevust võib kombineerida meelelahutustegevusega kogukondade hüvanguks.</w:t>
      </w:r>
    </w:p>
    <w:p w14:paraId="3B41E80C" w14:textId="77777777" w:rsidR="0084326C" w:rsidRPr="005D68A0" w:rsidRDefault="0084326C" w:rsidP="0084326C">
      <w:pPr>
        <w:spacing w:before="120" w:after="120"/>
        <w:jc w:val="both"/>
        <w:rPr>
          <w:noProof/>
        </w:rPr>
      </w:pPr>
      <w:r>
        <w:rPr>
          <w:noProof/>
        </w:rPr>
        <w:t xml:space="preserve">Nende meetmete rakendamine peaks aitama lahendada probleeme, mis on hõlmatud 2019. aasta riigipõhistes soovitustes nr 2 sotsiaalpoliitika kohta, milles kutsutakse Itaaliat üles „tagama, et [...] sotsiaalpoliitika oleks tõhusalt integreeritud ja jõuaks eelkõige noorte ja haavatavate rühmadeni“, ning 2020. aasta riigipõhistes soovitustes nr 2 „tagama piisava (...) juurdepääsu sotsiaalkaitsele“. </w:t>
      </w:r>
    </w:p>
    <w:p w14:paraId="6A6FF6AA" w14:textId="77777777" w:rsidR="0084326C" w:rsidRPr="005D68A0" w:rsidRDefault="0084326C" w:rsidP="0084326C">
      <w:pPr>
        <w:pStyle w:val="Heading3"/>
        <w:numPr>
          <w:ilvl w:val="0"/>
          <w:numId w:val="0"/>
        </w:numPr>
        <w:ind w:left="850" w:hanging="850"/>
        <w:rPr>
          <w:b/>
          <w:bCs w:val="0"/>
          <w:i w:val="0"/>
          <w:iCs/>
          <w:noProof/>
          <w:color w:val="4472C4" w:themeColor="accent1"/>
          <w:u w:val="single"/>
        </w:rPr>
      </w:pPr>
      <w:r>
        <w:rPr>
          <w:b/>
          <w:i w:val="0"/>
          <w:noProof/>
          <w:u w:val="single"/>
        </w:rPr>
        <w:t xml:space="preserve">M.1. </w:t>
      </w:r>
      <w:r>
        <w:rPr>
          <w:noProof/>
        </w:rPr>
        <w:tab/>
      </w:r>
      <w:r>
        <w:rPr>
          <w:b/>
          <w:i w:val="0"/>
          <w:noProof/>
          <w:u w:val="single"/>
        </w:rPr>
        <w:t>Tagastamatu rahalise toetusega seotud reformide ja investeeringute kirjeldus</w:t>
      </w:r>
    </w:p>
    <w:p w14:paraId="6456BD95" w14:textId="77777777" w:rsidR="0084326C" w:rsidRPr="005D68A0" w:rsidRDefault="0084326C" w:rsidP="0084326C">
      <w:pPr>
        <w:spacing w:before="120" w:after="120"/>
        <w:jc w:val="both"/>
        <w:rPr>
          <w:rFonts w:eastAsia="Calibri"/>
          <w:b/>
          <w:noProof/>
        </w:rPr>
      </w:pPr>
      <w:r>
        <w:rPr>
          <w:b/>
          <w:noProof/>
        </w:rPr>
        <w:t>Reform 1. Puuetega inimesi käsitlev raamseadus</w:t>
      </w:r>
    </w:p>
    <w:p w14:paraId="6EB3F78F" w14:textId="77777777" w:rsidR="0084326C" w:rsidRPr="005D68A0" w:rsidRDefault="0084326C" w:rsidP="0084326C">
      <w:pPr>
        <w:spacing w:before="120" w:after="120"/>
        <w:jc w:val="both"/>
        <w:rPr>
          <w:rFonts w:eastAsia="Calibri"/>
          <w:noProof/>
        </w:rPr>
      </w:pPr>
      <w:r>
        <w:rPr>
          <w:noProof/>
        </w:rPr>
        <w:t xml:space="preserve">Reformi peamine eesmärk on muuta puuetealaseid õigusakte ja edendada puuetega inimeste deinstitutsionaliseerimist (st üleminekut avaliku või erasektori asutustest oma perekondadesse või kogukonnapõhistesse kodudesse) ja iseseisvust. See hõlmab i) sotsiaalteenuste pakkumise tugevdamist, ii) sotsiaal- ja tervishoiuteenuste kättesaadavuse lihtsustamist, iii) puude hindamise reforme, iv) iseseisva toimetuleku projektide edendamist, v) selliste ekspertide rühmade töö edendamist, kes võivad toetada mitmemõõtmeliste vajadustega puuetega inimesi. </w:t>
      </w:r>
    </w:p>
    <w:p w14:paraId="092D2183" w14:textId="77777777" w:rsidR="0084326C" w:rsidRPr="005D68A0" w:rsidRDefault="0084326C" w:rsidP="0084326C">
      <w:pPr>
        <w:spacing w:before="120" w:after="120"/>
        <w:jc w:val="both"/>
        <w:rPr>
          <w:rFonts w:eastAsia="Calibri"/>
          <w:b/>
          <w:noProof/>
        </w:rPr>
      </w:pPr>
      <w:r>
        <w:rPr>
          <w:b/>
          <w:noProof/>
        </w:rPr>
        <w:t>Reform 2. Reform mittesõltuvate eakate jaoks</w:t>
      </w:r>
    </w:p>
    <w:p w14:paraId="236B5C1C" w14:textId="2129E244" w:rsidR="0084326C" w:rsidRPr="005D68A0" w:rsidRDefault="0084326C" w:rsidP="0084326C">
      <w:pPr>
        <w:spacing w:before="120" w:after="120"/>
        <w:jc w:val="both"/>
        <w:rPr>
          <w:rFonts w:eastAsia="Calibri"/>
          <w:noProof/>
        </w:rPr>
      </w:pPr>
      <w:r>
        <w:rPr>
          <w:noProof/>
        </w:rPr>
        <w:t xml:space="preserve">Selle meetme eesmärk on reformida sotsiaalteenuseid ja parandada end ise mittevarustavate eakate inimeste elutingimusi. Reform hõlmab järgmist: i) lihtsustada eakate inimeste juurdepääsu teenustele, luues ühtsed juurdepääsupunktid sotsiaal- ja tervishoiuteenustele, ii) teha kindlaks viisid, kuidas tunnistada omavarustatust vastavalt vajadusele abi järele, iii) anda mitmemõõtmeline hinnang, iv) määratleda individuaalsed projektid, mis edendavad deinstitutsionaliseerimist. Reformiks on kavas ette nähtud konkreetsed sekkumised, mis sisalduvad nii tervishoiumissioonis (M6) seoses projektidega, millega tugevdatakse kohalikke tervishoiuteenuseid ja koduhooldust, kui ka selle komponendi puhul, pöörates erilist tähelepanu investeeringule 1, meede II, mille eesmärk on deinstitutsionaliseerimine. </w:t>
      </w:r>
    </w:p>
    <w:p w14:paraId="68B95684" w14:textId="77777777" w:rsidR="0084326C" w:rsidRPr="005D68A0" w:rsidRDefault="0084326C" w:rsidP="0084326C">
      <w:pPr>
        <w:spacing w:before="120" w:after="120"/>
        <w:jc w:val="both"/>
        <w:rPr>
          <w:rFonts w:eastAsia="Calibri"/>
          <w:b/>
          <w:noProof/>
        </w:rPr>
      </w:pPr>
      <w:r>
        <w:rPr>
          <w:b/>
          <w:noProof/>
        </w:rPr>
        <w:t>Investeering 1. Haavatavate isikute toetamine ja institutsionaliseerimise ärahoidmine</w:t>
      </w:r>
    </w:p>
    <w:p w14:paraId="2938F692" w14:textId="3F75B191" w:rsidR="0084326C" w:rsidRPr="005D68A0" w:rsidRDefault="0084326C" w:rsidP="0084326C">
      <w:pPr>
        <w:spacing w:before="120" w:after="120"/>
        <w:jc w:val="both"/>
        <w:rPr>
          <w:rFonts w:eastAsia="Calibri"/>
          <w:noProof/>
        </w:rPr>
      </w:pPr>
      <w:r>
        <w:rPr>
          <w:noProof/>
        </w:rPr>
        <w:t xml:space="preserve">Selle meetme eesmärk on toetada haavatavaid inimesi ja vältida institutsionaliseerimist. Kõnealune investeering hõlmab järgmisi sekkumisi: i) lapsevanemaks olemise oskuste toetamine ning perekondade ja laste haavatavuse vältimine; ii) toetada eakate iseseisvat elu ja deinstitutsionaliseerimist; ii) Koduste sotsiaalteenuste tugevdamine, et tagada varajane toetatud haiglast väljalangemine ja hoida ära haiglaravi; iii) sotsiaalteenuste tugevdamine ja sotsiaaltöötajate läbipõlemise vältimine. </w:t>
      </w:r>
    </w:p>
    <w:p w14:paraId="0958191B" w14:textId="77777777" w:rsidR="0084326C" w:rsidRPr="005D68A0" w:rsidRDefault="0084326C" w:rsidP="0084326C">
      <w:pPr>
        <w:spacing w:before="120" w:after="120"/>
        <w:jc w:val="both"/>
        <w:rPr>
          <w:rFonts w:eastAsia="Calibri"/>
          <w:b/>
          <w:noProof/>
        </w:rPr>
      </w:pPr>
      <w:r>
        <w:rPr>
          <w:b/>
          <w:noProof/>
        </w:rPr>
        <w:t>Investeering 2. Autonoomsusmustrid puuetega inimeste jaoks</w:t>
      </w:r>
    </w:p>
    <w:p w14:paraId="13C7E106" w14:textId="77777777" w:rsidR="0084326C" w:rsidRPr="005D68A0" w:rsidRDefault="0084326C" w:rsidP="0084326C">
      <w:pPr>
        <w:spacing w:before="120" w:after="120"/>
        <w:jc w:val="both"/>
        <w:rPr>
          <w:rFonts w:eastAsia="Calibri"/>
          <w:noProof/>
        </w:rPr>
      </w:pPr>
      <w:r>
        <w:rPr>
          <w:noProof/>
        </w:rPr>
        <w:t xml:space="preserve">Selle meetme eesmärk on suurendada puuetega inimeste iseseisvust. Investeeringute eesmärk on kiirendada deinstitutsionaliseerimise protsessi, pakkudes kogukonna- ja kodupõhiseid sotsiaal- ja tervishoiuteenuseid, et parandada puuetega inimeste iseseisvust. Meetmega edendatakse juurdepääsu eluasemele ja töövõimalustele, sealhulgas infotehnoloogia pakutavatele uutele võimalustele. </w:t>
      </w:r>
    </w:p>
    <w:p w14:paraId="76107034" w14:textId="77777777" w:rsidR="0084326C" w:rsidRPr="005D68A0" w:rsidRDefault="0084326C" w:rsidP="0084326C">
      <w:pPr>
        <w:spacing w:before="120" w:after="120"/>
        <w:jc w:val="both"/>
        <w:rPr>
          <w:b/>
          <w:noProof/>
        </w:rPr>
      </w:pPr>
      <w:r>
        <w:rPr>
          <w:b/>
          <w:noProof/>
        </w:rPr>
        <w:t>Investeering 3. Ees- ja järelpaigad elamumajanduseks</w:t>
      </w:r>
    </w:p>
    <w:p w14:paraId="6FAD709A" w14:textId="77777777" w:rsidR="0084326C" w:rsidRPr="005D68A0" w:rsidRDefault="0084326C" w:rsidP="0084326C">
      <w:pPr>
        <w:spacing w:before="120" w:after="120"/>
        <w:jc w:val="both"/>
        <w:rPr>
          <w:rFonts w:eastAsia="Calibri"/>
          <w:noProof/>
        </w:rPr>
      </w:pPr>
      <w:r>
        <w:rPr>
          <w:noProof/>
        </w:rPr>
        <w:t>Selle meetme eesmärk on kaitsta ja toetada tõrjutud inimeste kaasamist esmaste ja postkontorite kaudu. „Eluaseme esikohale seadmise“ lähenemisviisi kasutuselevõtt tähendab, et omavalitsused teevad korterid kättesaadavaks üksikisikutele, väikestele rühmadele või perekondadele kuni 24 kuu jooksul. Lisaks sellele aktiveeritakse igale inimesele/perekonnale kohandatud projektid, et rakendada isikliku kasvu arenguprogramme ja aidata neil saavutada suurem iseseisvus, pakkudes neile ka koolitust ja muid teenuseid, mille eesmärk on parandada nende tööalast konkurentsivõimet. Teisest küljest tähendab „postijaamade“ loomine kodututele teenindus- ja kaasamiskeskuse loomist. Lisaks piiratud öisele vastuvõtule pakuvad sellised keskused muu hulgas olulisi teenuseid, nagu tervishoiuteenused, toitlustamine, postijaotus, kultuurivahendus, nõustamine, tööalane orientatsioon, õigusnõustamine ja kaupade jagamine.</w:t>
      </w:r>
    </w:p>
    <w:p w14:paraId="6BC5AB92" w14:textId="77777777" w:rsidR="0084326C" w:rsidRPr="005D68A0" w:rsidRDefault="0084326C" w:rsidP="0084326C">
      <w:pPr>
        <w:pStyle w:val="Heading3"/>
        <w:numPr>
          <w:ilvl w:val="0"/>
          <w:numId w:val="0"/>
        </w:numPr>
        <w:ind w:left="850" w:hanging="850"/>
        <w:rPr>
          <w:b/>
          <w:bCs w:val="0"/>
          <w:i w:val="0"/>
          <w:iCs/>
          <w:noProof/>
          <w:u w:val="single"/>
        </w:rPr>
      </w:pPr>
      <w:r>
        <w:rPr>
          <w:b/>
          <w:i w:val="0"/>
          <w:noProof/>
          <w:u w:val="single"/>
        </w:rPr>
        <w:t xml:space="preserve">M.2. </w:t>
      </w:r>
      <w:r>
        <w:rPr>
          <w:noProof/>
        </w:rPr>
        <w:tab/>
      </w:r>
      <w:r>
        <w:rPr>
          <w:b/>
          <w:i w:val="0"/>
          <w:noProof/>
          <w:u w:val="single"/>
        </w:rPr>
        <w:t>Tagastamatu rahalise toetuse eesmärgid, sihid, näitajad ning seire ja rakendamise ajakava</w:t>
      </w:r>
    </w:p>
    <w:p w14:paraId="1953E1F9" w14:textId="77777777" w:rsidR="0084326C" w:rsidRPr="005D68A0" w:rsidRDefault="0084326C" w:rsidP="0084326C">
      <w:pPr>
        <w:spacing w:before="120" w:after="120"/>
        <w:ind w:left="709"/>
        <w:jc w:val="both"/>
        <w:rPr>
          <w:noProof/>
        </w:rPr>
      </w:pPr>
      <w:r>
        <w:rPr>
          <w:i/>
          <w:noProof/>
          <w:color w:val="4472C4" w:themeColor="accent1"/>
        </w:rPr>
        <w:t>.</w:t>
      </w:r>
    </w:p>
    <w:p w14:paraId="4210D085" w14:textId="77777777" w:rsidR="0084326C" w:rsidRPr="005D68A0" w:rsidRDefault="0084326C" w:rsidP="0084326C">
      <w:pPr>
        <w:spacing w:before="120" w:after="120"/>
        <w:ind w:left="709"/>
        <w:jc w:val="both"/>
        <w:rPr>
          <w:noProof/>
          <w:lang w:val="en-GB"/>
        </w:rPr>
        <w:sectPr w:rsidR="0084326C" w:rsidRPr="005D68A0">
          <w:headerReference w:type="even" r:id="rId326"/>
          <w:headerReference w:type="default" r:id="rId327"/>
          <w:footerReference w:type="even" r:id="rId328"/>
          <w:footerReference w:type="default" r:id="rId329"/>
          <w:headerReference w:type="first" r:id="rId330"/>
          <w:footerReference w:type="first" r:id="rId331"/>
          <w:pgSz w:w="11907" w:h="16839"/>
          <w:pgMar w:top="1440" w:right="1440" w:bottom="1440" w:left="1440" w:header="567" w:footer="567" w:gutter="0"/>
          <w:cols w:space="720"/>
          <w:docGrid w:linePitch="360"/>
        </w:sectPr>
      </w:pPr>
    </w:p>
    <w:tbl>
      <w:tblPr>
        <w:tblW w:w="17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908"/>
        <w:gridCol w:w="1322"/>
        <w:gridCol w:w="1557"/>
        <w:gridCol w:w="1548"/>
        <w:gridCol w:w="1474"/>
        <w:gridCol w:w="1092"/>
        <w:gridCol w:w="928"/>
        <w:gridCol w:w="1078"/>
        <w:gridCol w:w="755"/>
        <w:gridCol w:w="5046"/>
      </w:tblGrid>
      <w:tr w:rsidR="0084326C" w:rsidRPr="00D90835" w14:paraId="283EDE06" w14:textId="77777777">
        <w:trPr>
          <w:trHeight w:val="927"/>
          <w:tblHeader/>
          <w:jc w:val="center"/>
        </w:trPr>
        <w:tc>
          <w:tcPr>
            <w:tcW w:w="1648" w:type="dxa"/>
            <w:vMerge w:val="restart"/>
            <w:shd w:val="clear" w:color="auto" w:fill="BDD7EE"/>
            <w:vAlign w:val="center"/>
            <w:hideMark/>
          </w:tcPr>
          <w:p w14:paraId="1A1C4799" w14:textId="77777777" w:rsidR="0084326C" w:rsidRPr="005D68A0" w:rsidRDefault="0084326C">
            <w:pPr>
              <w:jc w:val="center"/>
              <w:rPr>
                <w:rFonts w:ascii="Arial Narrow" w:hAnsi="Arial Narrow"/>
                <w:b/>
                <w:noProof/>
                <w:sz w:val="20"/>
                <w:szCs w:val="20"/>
              </w:rPr>
            </w:pPr>
            <w:r>
              <w:rPr>
                <w:rFonts w:ascii="Arial Narrow" w:hAnsi="Arial Narrow"/>
                <w:b/>
                <w:noProof/>
                <w:sz w:val="20"/>
              </w:rPr>
              <w:t>Järjekorranumber</w:t>
            </w:r>
          </w:p>
        </w:tc>
        <w:tc>
          <w:tcPr>
            <w:tcW w:w="1908" w:type="dxa"/>
            <w:vMerge w:val="restart"/>
            <w:shd w:val="clear" w:color="auto" w:fill="BDD7EE"/>
            <w:vAlign w:val="center"/>
            <w:hideMark/>
          </w:tcPr>
          <w:p w14:paraId="49F384C9" w14:textId="77777777" w:rsidR="0084326C" w:rsidRPr="005D68A0" w:rsidRDefault="0084326C">
            <w:pPr>
              <w:jc w:val="center"/>
              <w:rPr>
                <w:rFonts w:ascii="Arial Narrow" w:hAnsi="Arial Narrow"/>
                <w:b/>
                <w:noProof/>
                <w:sz w:val="20"/>
                <w:szCs w:val="20"/>
              </w:rPr>
            </w:pPr>
            <w:r>
              <w:rPr>
                <w:rFonts w:ascii="Arial Narrow" w:hAnsi="Arial Narrow"/>
                <w:b/>
                <w:noProof/>
                <w:sz w:val="20"/>
              </w:rPr>
              <w:t>Seotud meede (reform või investeering)</w:t>
            </w:r>
          </w:p>
        </w:tc>
        <w:tc>
          <w:tcPr>
            <w:tcW w:w="1322" w:type="dxa"/>
            <w:vMerge w:val="restart"/>
            <w:shd w:val="clear" w:color="auto" w:fill="BDD7EE"/>
            <w:vAlign w:val="center"/>
            <w:hideMark/>
          </w:tcPr>
          <w:p w14:paraId="1E39E272" w14:textId="77777777" w:rsidR="0084326C" w:rsidRPr="005D68A0" w:rsidRDefault="0084326C">
            <w:pPr>
              <w:jc w:val="center"/>
              <w:rPr>
                <w:rFonts w:ascii="Arial Narrow" w:hAnsi="Arial Narrow"/>
                <w:b/>
                <w:noProof/>
                <w:sz w:val="20"/>
                <w:szCs w:val="20"/>
              </w:rPr>
            </w:pPr>
            <w:r>
              <w:rPr>
                <w:rFonts w:ascii="Arial Narrow" w:hAnsi="Arial Narrow"/>
                <w:b/>
                <w:noProof/>
                <w:sz w:val="20"/>
              </w:rPr>
              <w:t>Eesmärk / siht</w:t>
            </w:r>
          </w:p>
        </w:tc>
        <w:tc>
          <w:tcPr>
            <w:tcW w:w="1395" w:type="dxa"/>
            <w:vMerge w:val="restart"/>
            <w:shd w:val="clear" w:color="auto" w:fill="BDD7EE"/>
            <w:vAlign w:val="center"/>
            <w:hideMark/>
          </w:tcPr>
          <w:p w14:paraId="2DB0F792" w14:textId="77777777" w:rsidR="0084326C" w:rsidRPr="005D68A0" w:rsidRDefault="0084326C">
            <w:pPr>
              <w:jc w:val="center"/>
              <w:rPr>
                <w:rFonts w:ascii="Arial Narrow" w:hAnsi="Arial Narrow"/>
                <w:b/>
                <w:noProof/>
                <w:sz w:val="20"/>
                <w:szCs w:val="20"/>
              </w:rPr>
            </w:pPr>
            <w:r>
              <w:rPr>
                <w:rFonts w:ascii="Arial Narrow" w:hAnsi="Arial Narrow"/>
                <w:b/>
                <w:noProof/>
                <w:sz w:val="20"/>
              </w:rPr>
              <w:t>Nimi</w:t>
            </w:r>
          </w:p>
        </w:tc>
        <w:tc>
          <w:tcPr>
            <w:tcW w:w="1476" w:type="dxa"/>
            <w:vMerge w:val="restart"/>
            <w:shd w:val="clear" w:color="auto" w:fill="BDD7EE"/>
            <w:vAlign w:val="center"/>
            <w:hideMark/>
          </w:tcPr>
          <w:p w14:paraId="791672CE" w14:textId="77777777" w:rsidR="0084326C" w:rsidRPr="005D68A0" w:rsidRDefault="0084326C">
            <w:pPr>
              <w:jc w:val="center"/>
              <w:rPr>
                <w:rFonts w:ascii="Arial Narrow" w:hAnsi="Arial Narrow"/>
                <w:b/>
                <w:noProof/>
                <w:sz w:val="20"/>
                <w:szCs w:val="20"/>
              </w:rPr>
            </w:pPr>
            <w:r>
              <w:rPr>
                <w:rFonts w:ascii="Arial Narrow" w:hAnsi="Arial Narrow"/>
                <w:b/>
                <w:noProof/>
                <w:sz w:val="20"/>
              </w:rPr>
              <w:t>Kvalitatiivsed näitajad</w:t>
            </w:r>
            <w:r>
              <w:rPr>
                <w:noProof/>
              </w:rPr>
              <w:t xml:space="preserve"> </w:t>
            </w:r>
            <w:r>
              <w:rPr>
                <w:noProof/>
              </w:rPr>
              <w:br/>
            </w:r>
            <w:r>
              <w:rPr>
                <w:rFonts w:ascii="Arial Narrow" w:hAnsi="Arial Narrow"/>
                <w:b/>
                <w:noProof/>
                <w:sz w:val="20"/>
              </w:rPr>
              <w:t>(eesmärkide puhul)</w:t>
            </w:r>
          </w:p>
        </w:tc>
        <w:tc>
          <w:tcPr>
            <w:tcW w:w="3341" w:type="dxa"/>
            <w:gridSpan w:val="3"/>
            <w:shd w:val="clear" w:color="auto" w:fill="BDD7EE"/>
            <w:vAlign w:val="center"/>
            <w:hideMark/>
          </w:tcPr>
          <w:p w14:paraId="6D3F2FB6" w14:textId="77777777" w:rsidR="0084326C" w:rsidRPr="005D68A0" w:rsidRDefault="0084326C">
            <w:pPr>
              <w:jc w:val="center"/>
              <w:rPr>
                <w:rFonts w:ascii="Arial Narrow" w:hAnsi="Arial Narrow"/>
                <w:b/>
                <w:noProof/>
                <w:sz w:val="20"/>
                <w:szCs w:val="20"/>
              </w:rPr>
            </w:pPr>
            <w:r>
              <w:rPr>
                <w:rFonts w:ascii="Arial Narrow" w:hAnsi="Arial Narrow"/>
                <w:b/>
                <w:noProof/>
                <w:sz w:val="20"/>
              </w:rPr>
              <w:t xml:space="preserve">Kvantitatiivsed näitajad </w:t>
            </w:r>
            <w:r>
              <w:rPr>
                <w:noProof/>
              </w:rPr>
              <w:br/>
            </w:r>
            <w:r>
              <w:rPr>
                <w:rFonts w:ascii="Arial Narrow" w:hAnsi="Arial Narrow"/>
                <w:b/>
                <w:noProof/>
                <w:sz w:val="20"/>
              </w:rPr>
              <w:t>(sihtide puhul)</w:t>
            </w:r>
          </w:p>
        </w:tc>
        <w:tc>
          <w:tcPr>
            <w:tcW w:w="1833" w:type="dxa"/>
            <w:gridSpan w:val="2"/>
            <w:shd w:val="clear" w:color="auto" w:fill="BDD7EE"/>
            <w:vAlign w:val="center"/>
            <w:hideMark/>
          </w:tcPr>
          <w:p w14:paraId="2C164218" w14:textId="77777777" w:rsidR="0084326C" w:rsidRPr="005D68A0" w:rsidRDefault="0084326C">
            <w:pPr>
              <w:jc w:val="center"/>
              <w:rPr>
                <w:rFonts w:ascii="Arial Narrow" w:hAnsi="Arial Narrow"/>
                <w:b/>
                <w:noProof/>
                <w:sz w:val="20"/>
                <w:szCs w:val="20"/>
              </w:rPr>
            </w:pPr>
            <w:r>
              <w:rPr>
                <w:rFonts w:ascii="Arial Narrow" w:hAnsi="Arial Narrow"/>
                <w:b/>
                <w:noProof/>
                <w:sz w:val="20"/>
              </w:rPr>
              <w:t>Lõpuleviimise soovituslik ajakava</w:t>
            </w:r>
          </w:p>
        </w:tc>
        <w:tc>
          <w:tcPr>
            <w:tcW w:w="5046" w:type="dxa"/>
            <w:vMerge w:val="restart"/>
            <w:shd w:val="clear" w:color="auto" w:fill="BDD7EE"/>
            <w:vAlign w:val="center"/>
            <w:hideMark/>
          </w:tcPr>
          <w:p w14:paraId="6CF258A0" w14:textId="77777777" w:rsidR="0084326C" w:rsidRPr="005D68A0" w:rsidRDefault="0084326C">
            <w:pPr>
              <w:jc w:val="center"/>
              <w:rPr>
                <w:rFonts w:ascii="Arial Narrow" w:hAnsi="Arial Narrow"/>
                <w:b/>
                <w:noProof/>
                <w:sz w:val="20"/>
                <w:szCs w:val="20"/>
              </w:rPr>
            </w:pPr>
            <w:r>
              <w:rPr>
                <w:rFonts w:ascii="Arial Narrow" w:hAnsi="Arial Narrow"/>
                <w:b/>
                <w:noProof/>
                <w:sz w:val="20"/>
              </w:rPr>
              <w:t>Iga eesmärgi ja sihi kirjeldus</w:t>
            </w:r>
          </w:p>
        </w:tc>
      </w:tr>
      <w:tr w:rsidR="0084326C" w:rsidRPr="005D68A0" w14:paraId="47D4E3E5" w14:textId="77777777">
        <w:trPr>
          <w:trHeight w:val="654"/>
          <w:jc w:val="center"/>
        </w:trPr>
        <w:tc>
          <w:tcPr>
            <w:tcW w:w="1648" w:type="dxa"/>
            <w:vMerge/>
            <w:vAlign w:val="center"/>
            <w:hideMark/>
          </w:tcPr>
          <w:p w14:paraId="0ED8553D" w14:textId="77777777" w:rsidR="0084326C" w:rsidRPr="00F33804" w:rsidRDefault="0084326C">
            <w:pPr>
              <w:jc w:val="center"/>
              <w:rPr>
                <w:rFonts w:ascii="Arial Narrow" w:hAnsi="Arial Narrow"/>
                <w:b/>
                <w:noProof/>
                <w:sz w:val="20"/>
                <w:szCs w:val="20"/>
              </w:rPr>
            </w:pPr>
          </w:p>
        </w:tc>
        <w:tc>
          <w:tcPr>
            <w:tcW w:w="1908" w:type="dxa"/>
            <w:vMerge/>
            <w:vAlign w:val="center"/>
            <w:hideMark/>
          </w:tcPr>
          <w:p w14:paraId="1C4ABC76" w14:textId="77777777" w:rsidR="0084326C" w:rsidRPr="00F33804" w:rsidRDefault="0084326C">
            <w:pPr>
              <w:jc w:val="center"/>
              <w:rPr>
                <w:rFonts w:ascii="Arial Narrow" w:hAnsi="Arial Narrow"/>
                <w:b/>
                <w:noProof/>
                <w:sz w:val="20"/>
                <w:szCs w:val="20"/>
              </w:rPr>
            </w:pPr>
          </w:p>
        </w:tc>
        <w:tc>
          <w:tcPr>
            <w:tcW w:w="1322" w:type="dxa"/>
            <w:vMerge/>
            <w:vAlign w:val="center"/>
            <w:hideMark/>
          </w:tcPr>
          <w:p w14:paraId="7A2CB04A" w14:textId="77777777" w:rsidR="0084326C" w:rsidRPr="00F33804" w:rsidRDefault="0084326C">
            <w:pPr>
              <w:jc w:val="center"/>
              <w:rPr>
                <w:rFonts w:ascii="Arial Narrow" w:hAnsi="Arial Narrow"/>
                <w:b/>
                <w:noProof/>
                <w:sz w:val="20"/>
                <w:szCs w:val="20"/>
              </w:rPr>
            </w:pPr>
          </w:p>
        </w:tc>
        <w:tc>
          <w:tcPr>
            <w:tcW w:w="1395" w:type="dxa"/>
            <w:vMerge/>
            <w:vAlign w:val="center"/>
            <w:hideMark/>
          </w:tcPr>
          <w:p w14:paraId="1F73F448" w14:textId="77777777" w:rsidR="0084326C" w:rsidRPr="00F33804" w:rsidRDefault="0084326C">
            <w:pPr>
              <w:jc w:val="center"/>
              <w:rPr>
                <w:rFonts w:ascii="Arial Narrow" w:hAnsi="Arial Narrow"/>
                <w:b/>
                <w:noProof/>
                <w:sz w:val="20"/>
                <w:szCs w:val="20"/>
              </w:rPr>
            </w:pPr>
          </w:p>
        </w:tc>
        <w:tc>
          <w:tcPr>
            <w:tcW w:w="1476" w:type="dxa"/>
            <w:vMerge/>
            <w:vAlign w:val="center"/>
            <w:hideMark/>
          </w:tcPr>
          <w:p w14:paraId="3E6F2920" w14:textId="77777777" w:rsidR="0084326C" w:rsidRPr="00F33804" w:rsidRDefault="0084326C">
            <w:pPr>
              <w:jc w:val="center"/>
              <w:rPr>
                <w:rFonts w:ascii="Arial Narrow" w:hAnsi="Arial Narrow"/>
                <w:b/>
                <w:noProof/>
                <w:sz w:val="20"/>
                <w:szCs w:val="20"/>
              </w:rPr>
            </w:pPr>
          </w:p>
        </w:tc>
        <w:tc>
          <w:tcPr>
            <w:tcW w:w="1474" w:type="dxa"/>
            <w:shd w:val="clear" w:color="auto" w:fill="BDD7EE"/>
            <w:vAlign w:val="center"/>
            <w:hideMark/>
          </w:tcPr>
          <w:p w14:paraId="49898897" w14:textId="77777777" w:rsidR="0084326C" w:rsidRPr="005D68A0" w:rsidRDefault="0084326C">
            <w:pPr>
              <w:jc w:val="center"/>
              <w:rPr>
                <w:rFonts w:ascii="Arial Narrow" w:hAnsi="Arial Narrow"/>
                <w:b/>
                <w:noProof/>
                <w:sz w:val="20"/>
                <w:szCs w:val="20"/>
              </w:rPr>
            </w:pPr>
            <w:r>
              <w:rPr>
                <w:rFonts w:ascii="Arial Narrow" w:hAnsi="Arial Narrow"/>
                <w:b/>
                <w:noProof/>
                <w:sz w:val="20"/>
              </w:rPr>
              <w:t>Mõõtühik</w:t>
            </w:r>
          </w:p>
        </w:tc>
        <w:tc>
          <w:tcPr>
            <w:tcW w:w="1092" w:type="dxa"/>
            <w:shd w:val="clear" w:color="auto" w:fill="BDD7EE"/>
            <w:vAlign w:val="center"/>
            <w:hideMark/>
          </w:tcPr>
          <w:p w14:paraId="3C49EC23" w14:textId="77777777" w:rsidR="0084326C" w:rsidRPr="005D68A0" w:rsidRDefault="0084326C">
            <w:pPr>
              <w:jc w:val="center"/>
              <w:rPr>
                <w:rFonts w:ascii="Arial Narrow" w:hAnsi="Arial Narrow"/>
                <w:b/>
                <w:noProof/>
                <w:sz w:val="20"/>
                <w:szCs w:val="20"/>
              </w:rPr>
            </w:pPr>
            <w:r>
              <w:rPr>
                <w:rFonts w:ascii="Arial Narrow" w:hAnsi="Arial Narrow"/>
                <w:b/>
                <w:noProof/>
                <w:sz w:val="20"/>
              </w:rPr>
              <w:t>Lähtetase</w:t>
            </w:r>
          </w:p>
        </w:tc>
        <w:tc>
          <w:tcPr>
            <w:tcW w:w="775" w:type="dxa"/>
            <w:shd w:val="clear" w:color="auto" w:fill="BDD7EE"/>
            <w:vAlign w:val="center"/>
            <w:hideMark/>
          </w:tcPr>
          <w:p w14:paraId="7AF4C80A" w14:textId="77777777" w:rsidR="0084326C" w:rsidRPr="005D68A0" w:rsidRDefault="0084326C">
            <w:pPr>
              <w:jc w:val="center"/>
              <w:rPr>
                <w:rFonts w:ascii="Arial Narrow" w:hAnsi="Arial Narrow"/>
                <w:b/>
                <w:noProof/>
                <w:sz w:val="20"/>
                <w:szCs w:val="20"/>
              </w:rPr>
            </w:pPr>
            <w:r>
              <w:rPr>
                <w:rFonts w:ascii="Arial Narrow" w:hAnsi="Arial Narrow"/>
                <w:b/>
                <w:noProof/>
                <w:sz w:val="20"/>
              </w:rPr>
              <w:t>Eesmärk</w:t>
            </w:r>
          </w:p>
        </w:tc>
        <w:tc>
          <w:tcPr>
            <w:tcW w:w="1078" w:type="dxa"/>
            <w:shd w:val="clear" w:color="auto" w:fill="BDD7EE"/>
            <w:vAlign w:val="center"/>
            <w:hideMark/>
          </w:tcPr>
          <w:p w14:paraId="1BAB12DC" w14:textId="77777777" w:rsidR="0084326C" w:rsidRPr="005D68A0" w:rsidRDefault="0084326C">
            <w:pPr>
              <w:jc w:val="center"/>
              <w:rPr>
                <w:rFonts w:ascii="Arial Narrow" w:hAnsi="Arial Narrow"/>
                <w:b/>
                <w:noProof/>
                <w:sz w:val="20"/>
                <w:szCs w:val="20"/>
              </w:rPr>
            </w:pPr>
            <w:r>
              <w:rPr>
                <w:rFonts w:ascii="Arial Narrow" w:hAnsi="Arial Narrow"/>
                <w:b/>
                <w:noProof/>
                <w:sz w:val="20"/>
              </w:rPr>
              <w:t>Kvartal</w:t>
            </w:r>
          </w:p>
        </w:tc>
        <w:tc>
          <w:tcPr>
            <w:tcW w:w="755" w:type="dxa"/>
            <w:shd w:val="clear" w:color="auto" w:fill="BDD7EE"/>
            <w:vAlign w:val="center"/>
            <w:hideMark/>
          </w:tcPr>
          <w:p w14:paraId="0CFF32B4" w14:textId="77777777" w:rsidR="0084326C" w:rsidRPr="005D68A0" w:rsidRDefault="0084326C">
            <w:pPr>
              <w:jc w:val="center"/>
              <w:rPr>
                <w:rFonts w:ascii="Arial Narrow" w:hAnsi="Arial Narrow"/>
                <w:b/>
                <w:noProof/>
                <w:sz w:val="20"/>
                <w:szCs w:val="20"/>
              </w:rPr>
            </w:pPr>
            <w:r>
              <w:rPr>
                <w:rFonts w:ascii="Arial Narrow" w:hAnsi="Arial Narrow"/>
                <w:b/>
                <w:noProof/>
                <w:sz w:val="20"/>
              </w:rPr>
              <w:t>Aasta</w:t>
            </w:r>
          </w:p>
        </w:tc>
        <w:tc>
          <w:tcPr>
            <w:tcW w:w="5046" w:type="dxa"/>
            <w:vMerge/>
            <w:vAlign w:val="center"/>
            <w:hideMark/>
          </w:tcPr>
          <w:p w14:paraId="3548E062" w14:textId="77777777" w:rsidR="0084326C" w:rsidRPr="005D68A0" w:rsidRDefault="0084326C">
            <w:pPr>
              <w:rPr>
                <w:rFonts w:ascii="Arial Narrow" w:hAnsi="Arial Narrow"/>
                <w:b/>
                <w:noProof/>
                <w:sz w:val="20"/>
                <w:szCs w:val="20"/>
                <w:lang w:val="en-GB"/>
              </w:rPr>
            </w:pPr>
          </w:p>
        </w:tc>
      </w:tr>
      <w:tr w:rsidR="0084326C" w:rsidRPr="00D90835" w14:paraId="74B191A5" w14:textId="77777777">
        <w:trPr>
          <w:trHeight w:val="309"/>
          <w:jc w:val="center"/>
        </w:trPr>
        <w:tc>
          <w:tcPr>
            <w:tcW w:w="1648" w:type="dxa"/>
            <w:shd w:val="clear" w:color="auto" w:fill="C6EFCE"/>
            <w:noWrap/>
            <w:vAlign w:val="center"/>
            <w:hideMark/>
          </w:tcPr>
          <w:p w14:paraId="4D37AF4B"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M5C2-1</w:t>
            </w:r>
          </w:p>
        </w:tc>
        <w:tc>
          <w:tcPr>
            <w:tcW w:w="1908" w:type="dxa"/>
            <w:shd w:val="clear" w:color="auto" w:fill="C6EFCE"/>
            <w:noWrap/>
            <w:vAlign w:val="center"/>
            <w:hideMark/>
          </w:tcPr>
          <w:p w14:paraId="6C4CA7A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Reform 1. Puuetega inimesi käsitlev raamseadus</w:t>
            </w:r>
          </w:p>
        </w:tc>
        <w:tc>
          <w:tcPr>
            <w:tcW w:w="1322" w:type="dxa"/>
            <w:shd w:val="clear" w:color="auto" w:fill="C6EFCE"/>
            <w:noWrap/>
            <w:vAlign w:val="center"/>
            <w:hideMark/>
          </w:tcPr>
          <w:p w14:paraId="53C9E3C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1395" w:type="dxa"/>
            <w:shd w:val="clear" w:color="auto" w:fill="C6EFCE"/>
            <w:noWrap/>
            <w:vAlign w:val="center"/>
            <w:hideMark/>
          </w:tcPr>
          <w:p w14:paraId="033519C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Puuetega inimeste iseseisvuse tugevdamise raamseaduse jõustumine.</w:t>
            </w:r>
          </w:p>
        </w:tc>
        <w:tc>
          <w:tcPr>
            <w:tcW w:w="1476" w:type="dxa"/>
            <w:shd w:val="clear" w:color="auto" w:fill="C6EFCE"/>
            <w:noWrap/>
            <w:vAlign w:val="center"/>
            <w:hideMark/>
          </w:tcPr>
          <w:p w14:paraId="272B7749" w14:textId="5EDA1555"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 xml:space="preserve">Raamseaduse jõustumisele viitav õigusnorm </w:t>
            </w:r>
          </w:p>
        </w:tc>
        <w:tc>
          <w:tcPr>
            <w:tcW w:w="1474" w:type="dxa"/>
            <w:shd w:val="clear" w:color="auto" w:fill="C6EFCE"/>
            <w:noWrap/>
            <w:vAlign w:val="center"/>
            <w:hideMark/>
          </w:tcPr>
          <w:p w14:paraId="498BECA2"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1092" w:type="dxa"/>
            <w:shd w:val="clear" w:color="auto" w:fill="C6EFCE"/>
            <w:noWrap/>
            <w:vAlign w:val="center"/>
            <w:hideMark/>
          </w:tcPr>
          <w:p w14:paraId="1801EDC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775" w:type="dxa"/>
            <w:shd w:val="clear" w:color="auto" w:fill="C6EFCE"/>
            <w:noWrap/>
            <w:vAlign w:val="center"/>
            <w:hideMark/>
          </w:tcPr>
          <w:p w14:paraId="1D0BA67D"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1078" w:type="dxa"/>
            <w:shd w:val="clear" w:color="auto" w:fill="C6EFCE"/>
            <w:noWrap/>
            <w:vAlign w:val="center"/>
            <w:hideMark/>
          </w:tcPr>
          <w:p w14:paraId="62FECFEA"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4. kv</w:t>
            </w:r>
          </w:p>
        </w:tc>
        <w:tc>
          <w:tcPr>
            <w:tcW w:w="755" w:type="dxa"/>
            <w:shd w:val="clear" w:color="auto" w:fill="C6EFCE"/>
            <w:noWrap/>
            <w:vAlign w:val="center"/>
            <w:hideMark/>
          </w:tcPr>
          <w:p w14:paraId="647B414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2021</w:t>
            </w:r>
          </w:p>
        </w:tc>
        <w:tc>
          <w:tcPr>
            <w:tcW w:w="5046" w:type="dxa"/>
            <w:shd w:val="clear" w:color="auto" w:fill="C6EFCE"/>
            <w:noWrap/>
            <w:vAlign w:val="center"/>
            <w:hideMark/>
          </w:tcPr>
          <w:p w14:paraId="67848255"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Raamseadusega, mis koosneb delegeerimisseadusest, tugevdatakse puuetega inimeste iseseisvust kooskõlas ÜRO puuetega inimeste õiguste konventsiooni ja Euroopa puuetega inimeste õiguste strateegia (2021-2030) põhimõtetega, mis hõlmavad vähemalt järgmist: i) puuetega inimestele pakutavate sotsiaalteenuste ulatuslik määratlemine ja parandamine koos deinstitutsionaliseerimise ja iseseisva elu edendamisega, ii) tervishoiu- ja sotsiaalteenustele juurdepääsu korra lihtsustamine ning iii) puude seisundi hindamise korra läbivaatamine, et hinnata mitmemõõtmeliselt iga inimese olukorda.</w:t>
            </w:r>
          </w:p>
          <w:p w14:paraId="6188D789" w14:textId="77777777" w:rsidR="0084326C" w:rsidRPr="005D68A0" w:rsidRDefault="0084326C">
            <w:pPr>
              <w:rPr>
                <w:rFonts w:ascii="Arial Narrow" w:eastAsia="Calibri" w:hAnsi="Arial Narrow"/>
                <w:noProof/>
                <w:color w:val="006100"/>
                <w:sz w:val="20"/>
                <w:szCs w:val="20"/>
              </w:rPr>
            </w:pPr>
            <w:r>
              <w:rPr>
                <w:rFonts w:ascii="Arial Narrow" w:hAnsi="Arial Narrow"/>
                <w:noProof/>
                <w:color w:val="006100"/>
                <w:sz w:val="20"/>
              </w:rPr>
              <w:t>Puuetega inimesed on need, kes on määratletud ÜRO puuetega inimeste õiguste konventsiooni põhimõtete kohaselt seadusega nr 104/1992. Itaalias kuulub hindamine piirkondade pädevusse ning seda isikut hindab kohalik tervishoiuteenistus või riiklik sotsiaalhoolekande instituut.</w:t>
            </w:r>
          </w:p>
          <w:p w14:paraId="59C188BF" w14:textId="77777777" w:rsidR="0084326C" w:rsidRPr="005D68A0" w:rsidRDefault="0084326C">
            <w:pPr>
              <w:rPr>
                <w:rFonts w:ascii="Arial Narrow" w:eastAsia="Calibri" w:hAnsi="Arial Narrow"/>
                <w:noProof/>
                <w:color w:val="006100"/>
                <w:sz w:val="20"/>
                <w:szCs w:val="20"/>
              </w:rPr>
            </w:pPr>
            <w:r>
              <w:rPr>
                <w:rFonts w:ascii="Arial Narrow" w:hAnsi="Arial Narrow"/>
                <w:noProof/>
                <w:color w:val="006100"/>
                <w:sz w:val="20"/>
              </w:rPr>
              <w:t>Seaduse ettepaneku teeb puuetega inimeste minister ministrite nõukogu heakskiidu saamiseks vastavalt kehtestatud teekaardile.</w:t>
            </w:r>
          </w:p>
          <w:p w14:paraId="70A7E964" w14:textId="77777777" w:rsidR="0084326C" w:rsidRPr="005D68A0" w:rsidRDefault="0084326C">
            <w:pPr>
              <w:rPr>
                <w:rFonts w:ascii="Arial Narrow" w:eastAsia="Calibri" w:hAnsi="Arial Narrow"/>
                <w:noProof/>
                <w:color w:val="006100"/>
                <w:sz w:val="20"/>
                <w:szCs w:val="20"/>
              </w:rPr>
            </w:pPr>
            <w:r>
              <w:rPr>
                <w:rFonts w:ascii="Arial Narrow" w:hAnsi="Arial Narrow"/>
                <w:noProof/>
                <w:color w:val="006100"/>
                <w:sz w:val="20"/>
              </w:rPr>
              <w:t>Raamseaduse vastuvõtmisele järgneb kohalike sotsiaalteenuste ümberkorraldamine, kvaliteedistandardite kindlaksmääramine ning info- ja kommunikatsioonitehnoloogia platvormi pakkumine teenuste tõhustamiseks ja tõhustamiseks.</w:t>
            </w:r>
          </w:p>
        </w:tc>
      </w:tr>
      <w:tr w:rsidR="0084326C" w:rsidRPr="00D90835" w14:paraId="60F33E53" w14:textId="77777777">
        <w:trPr>
          <w:trHeight w:val="309"/>
          <w:jc w:val="center"/>
        </w:trPr>
        <w:tc>
          <w:tcPr>
            <w:tcW w:w="1648" w:type="dxa"/>
            <w:shd w:val="clear" w:color="auto" w:fill="C6EFCE"/>
            <w:noWrap/>
            <w:vAlign w:val="center"/>
            <w:hideMark/>
          </w:tcPr>
          <w:p w14:paraId="5B2D4B92"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M5C2-2</w:t>
            </w:r>
          </w:p>
        </w:tc>
        <w:tc>
          <w:tcPr>
            <w:tcW w:w="1908" w:type="dxa"/>
            <w:shd w:val="clear" w:color="auto" w:fill="C6EFCE"/>
            <w:noWrap/>
            <w:vAlign w:val="center"/>
            <w:hideMark/>
          </w:tcPr>
          <w:p w14:paraId="73B8F7C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Reform 1. Puuetega inimesi käsitlev raamseadus</w:t>
            </w:r>
          </w:p>
        </w:tc>
        <w:tc>
          <w:tcPr>
            <w:tcW w:w="1322" w:type="dxa"/>
            <w:shd w:val="clear" w:color="auto" w:fill="C6EFCE"/>
            <w:noWrap/>
            <w:vAlign w:val="center"/>
            <w:hideMark/>
          </w:tcPr>
          <w:p w14:paraId="1A068209"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Eesmärk</w:t>
            </w:r>
          </w:p>
        </w:tc>
        <w:tc>
          <w:tcPr>
            <w:tcW w:w="1395" w:type="dxa"/>
            <w:shd w:val="clear" w:color="auto" w:fill="C6EFCE"/>
            <w:noWrap/>
            <w:vAlign w:val="center"/>
            <w:hideMark/>
          </w:tcPr>
          <w:p w14:paraId="06B746C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Raamseaduse jõustumine ja valitsuse poolt vastu võetud seadusandlikud dekreedid, millega arendatakse raamseaduse sätteid, et tugevdada puuetega inimeste iseseisvust.</w:t>
            </w:r>
          </w:p>
        </w:tc>
        <w:tc>
          <w:tcPr>
            <w:tcW w:w="1476" w:type="dxa"/>
            <w:shd w:val="clear" w:color="auto" w:fill="C6EFCE"/>
            <w:noWrap/>
            <w:vAlign w:val="center"/>
            <w:hideMark/>
          </w:tcPr>
          <w:p w14:paraId="4021DF0F"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Seaduse sätted, mis viitavad seadusandlike dekreetide jõustumisele</w:t>
            </w:r>
          </w:p>
        </w:tc>
        <w:tc>
          <w:tcPr>
            <w:tcW w:w="1474" w:type="dxa"/>
            <w:shd w:val="clear" w:color="auto" w:fill="C6EFCE"/>
            <w:noWrap/>
            <w:vAlign w:val="center"/>
            <w:hideMark/>
          </w:tcPr>
          <w:p w14:paraId="6E771BD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092" w:type="dxa"/>
            <w:shd w:val="clear" w:color="auto" w:fill="C6EFCE"/>
            <w:noWrap/>
            <w:vAlign w:val="center"/>
            <w:hideMark/>
          </w:tcPr>
          <w:p w14:paraId="6A73D554"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775" w:type="dxa"/>
            <w:shd w:val="clear" w:color="auto" w:fill="C6EFCE"/>
            <w:noWrap/>
            <w:vAlign w:val="center"/>
            <w:hideMark/>
          </w:tcPr>
          <w:p w14:paraId="78CBE9A1"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1078" w:type="dxa"/>
            <w:shd w:val="clear" w:color="auto" w:fill="C6EFCE"/>
            <w:noWrap/>
            <w:vAlign w:val="center"/>
            <w:hideMark/>
          </w:tcPr>
          <w:p w14:paraId="41CEB7D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755" w:type="dxa"/>
            <w:shd w:val="clear" w:color="auto" w:fill="C6EFCE"/>
            <w:noWrap/>
            <w:vAlign w:val="center"/>
            <w:hideMark/>
          </w:tcPr>
          <w:p w14:paraId="326F210D"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2024</w:t>
            </w:r>
          </w:p>
        </w:tc>
        <w:tc>
          <w:tcPr>
            <w:tcW w:w="5046" w:type="dxa"/>
            <w:shd w:val="clear" w:color="auto" w:fill="C6EFCE"/>
            <w:noWrap/>
            <w:vAlign w:val="center"/>
            <w:hideMark/>
          </w:tcPr>
          <w:p w14:paraId="6C53ABD0" w14:textId="77777777" w:rsidR="0084326C" w:rsidRPr="005D68A0" w:rsidRDefault="0084326C">
            <w:pPr>
              <w:rPr>
                <w:rFonts w:ascii="Arial Narrow" w:eastAsia="Calibri" w:hAnsi="Arial Narrow"/>
                <w:noProof/>
                <w:color w:val="006100"/>
                <w:sz w:val="20"/>
                <w:szCs w:val="20"/>
              </w:rPr>
            </w:pPr>
            <w:r>
              <w:rPr>
                <w:rFonts w:ascii="Arial Narrow" w:hAnsi="Arial Narrow"/>
                <w:noProof/>
                <w:color w:val="006100"/>
                <w:sz w:val="20"/>
              </w:rPr>
              <w:t>Seadusandlikes dekreetides arendatakse edasi raamseaduse sätteid, et tugevdada puuetega inimeste iseseisvust. Seaduses sätestatakse vähemalt järgmised sätted: Seaduses sätestatakse vähemalt järgmised sätted: i) sotsiaalteenuste pakkumise tugevdamine, ii) sotsiaal- ja tervishoiuteenuste kättesaadavuse lihtsustamine, iii) puude hindamise reformid, iv) iseseisva elu projektide edendamine, v) selliste eksperdirühmade töö edendamine, kes võivad toetada mitmemõõtmeliste vajadustega puuetega inimesi.</w:t>
            </w:r>
          </w:p>
        </w:tc>
      </w:tr>
      <w:tr w:rsidR="0084326C" w:rsidRPr="005D68A0" w14:paraId="56D8ED8D" w14:textId="77777777">
        <w:trPr>
          <w:trHeight w:val="309"/>
          <w:jc w:val="center"/>
        </w:trPr>
        <w:tc>
          <w:tcPr>
            <w:tcW w:w="1648" w:type="dxa"/>
            <w:shd w:val="clear" w:color="auto" w:fill="C6EFCE"/>
            <w:noWrap/>
            <w:vAlign w:val="center"/>
            <w:hideMark/>
          </w:tcPr>
          <w:p w14:paraId="6EAAE86A"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M5C2-3</w:t>
            </w:r>
          </w:p>
        </w:tc>
        <w:tc>
          <w:tcPr>
            <w:tcW w:w="1908" w:type="dxa"/>
            <w:shd w:val="clear" w:color="auto" w:fill="C6EFCE"/>
            <w:noWrap/>
            <w:vAlign w:val="center"/>
            <w:hideMark/>
          </w:tcPr>
          <w:p w14:paraId="2DA32AC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Reform 2. Reform mittesõltuvate eakate jaoks</w:t>
            </w:r>
          </w:p>
        </w:tc>
        <w:tc>
          <w:tcPr>
            <w:tcW w:w="1322" w:type="dxa"/>
            <w:shd w:val="clear" w:color="auto" w:fill="C6EFCE"/>
            <w:noWrap/>
            <w:vAlign w:val="center"/>
            <w:hideMark/>
          </w:tcPr>
          <w:p w14:paraId="67AD39A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1395" w:type="dxa"/>
            <w:shd w:val="clear" w:color="auto" w:fill="C6EFCE"/>
            <w:noWrap/>
            <w:vAlign w:val="center"/>
            <w:hideMark/>
          </w:tcPr>
          <w:p w14:paraId="7B89DDA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Jõustus raamseadus, millega tugevdatakse meetmeid, mis on suunatud mittesõltumatutele eakatele inimestele</w:t>
            </w:r>
          </w:p>
        </w:tc>
        <w:tc>
          <w:tcPr>
            <w:tcW w:w="1476" w:type="dxa"/>
            <w:shd w:val="clear" w:color="auto" w:fill="C6EFCE"/>
            <w:noWrap/>
            <w:vAlign w:val="center"/>
            <w:hideMark/>
          </w:tcPr>
          <w:p w14:paraId="7309915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Seaduse sätted, mis viitavad raamseaduse jõustumisele ja tugevdavad meetmeid, mis on suunatud mittesõltumatutele eakatele inimestele</w:t>
            </w:r>
          </w:p>
        </w:tc>
        <w:tc>
          <w:tcPr>
            <w:tcW w:w="1474" w:type="dxa"/>
            <w:shd w:val="clear" w:color="auto" w:fill="C6EFCE"/>
            <w:noWrap/>
            <w:vAlign w:val="center"/>
            <w:hideMark/>
          </w:tcPr>
          <w:p w14:paraId="511A3EB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092" w:type="dxa"/>
            <w:shd w:val="clear" w:color="auto" w:fill="C6EFCE"/>
            <w:noWrap/>
            <w:vAlign w:val="center"/>
            <w:hideMark/>
          </w:tcPr>
          <w:p w14:paraId="76E54A59"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775" w:type="dxa"/>
            <w:shd w:val="clear" w:color="auto" w:fill="C6EFCE"/>
            <w:noWrap/>
            <w:vAlign w:val="center"/>
            <w:hideMark/>
          </w:tcPr>
          <w:p w14:paraId="55621DEF"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1078" w:type="dxa"/>
            <w:shd w:val="clear" w:color="auto" w:fill="C6EFCE"/>
            <w:noWrap/>
            <w:vAlign w:val="center"/>
            <w:hideMark/>
          </w:tcPr>
          <w:p w14:paraId="30233F5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 kv</w:t>
            </w:r>
          </w:p>
        </w:tc>
        <w:tc>
          <w:tcPr>
            <w:tcW w:w="755" w:type="dxa"/>
            <w:shd w:val="clear" w:color="auto" w:fill="C6EFCE"/>
            <w:noWrap/>
            <w:vAlign w:val="center"/>
            <w:hideMark/>
          </w:tcPr>
          <w:p w14:paraId="53423E41"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2023</w:t>
            </w:r>
          </w:p>
        </w:tc>
        <w:tc>
          <w:tcPr>
            <w:tcW w:w="5046" w:type="dxa"/>
            <w:shd w:val="clear" w:color="auto" w:fill="C6EFCE"/>
            <w:noWrap/>
            <w:vAlign w:val="center"/>
            <w:hideMark/>
          </w:tcPr>
          <w:p w14:paraId="2F5B264C"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Valitsuse esildatud raamseadusega tugevdatakse meetmeid, mis on suunatud mittesõltumatutele eakatele inimestele. Seadusega lihtsustatakse sotsiaal- ja tervishoiuteenuste ühtseid kontaktpunkte ja tagatakse nende olemasolu, vaadatakse läbi mittesõltumatute eakate seisundi hindamise kord ning suurendatakse sotsiaal- ja tervishoiuteenuste hulka, mida võidakse osutada kodus. Seaduses määratakse kindlaks ka vajalikud rahalised vahendid.</w:t>
            </w:r>
          </w:p>
        </w:tc>
      </w:tr>
      <w:tr w:rsidR="0084326C" w:rsidRPr="00D90835" w14:paraId="5DBF7CBB" w14:textId="77777777">
        <w:trPr>
          <w:trHeight w:val="309"/>
          <w:jc w:val="center"/>
        </w:trPr>
        <w:tc>
          <w:tcPr>
            <w:tcW w:w="1648" w:type="dxa"/>
            <w:shd w:val="clear" w:color="auto" w:fill="C6EFCE"/>
            <w:noWrap/>
            <w:vAlign w:val="center"/>
            <w:hideMark/>
          </w:tcPr>
          <w:p w14:paraId="5B1E200D"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M5C2-4</w:t>
            </w:r>
          </w:p>
        </w:tc>
        <w:tc>
          <w:tcPr>
            <w:tcW w:w="1908" w:type="dxa"/>
            <w:shd w:val="clear" w:color="auto" w:fill="C6EFCE"/>
            <w:noWrap/>
            <w:vAlign w:val="center"/>
            <w:hideMark/>
          </w:tcPr>
          <w:p w14:paraId="2DC066C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Reform 2. Reform mittesõltuvate eakate jaoks</w:t>
            </w:r>
          </w:p>
        </w:tc>
        <w:tc>
          <w:tcPr>
            <w:tcW w:w="1322" w:type="dxa"/>
            <w:shd w:val="clear" w:color="auto" w:fill="C6EFCE"/>
            <w:noWrap/>
            <w:vAlign w:val="center"/>
            <w:hideMark/>
          </w:tcPr>
          <w:p w14:paraId="49344BF1"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Eesmärk</w:t>
            </w:r>
          </w:p>
        </w:tc>
        <w:tc>
          <w:tcPr>
            <w:tcW w:w="1395" w:type="dxa"/>
            <w:shd w:val="clear" w:color="auto" w:fill="C6EFCE"/>
            <w:noWrap/>
            <w:vAlign w:val="center"/>
            <w:hideMark/>
          </w:tcPr>
          <w:p w14:paraId="7652405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Jõustuvad seadusandlikud dekreedid, millega arendatakse edasi raamseaduse sätteid, et tugevdada meetmeid, mis on suunatud mittesõltumatutele eakatele inimestele.</w:t>
            </w:r>
          </w:p>
        </w:tc>
        <w:tc>
          <w:tcPr>
            <w:tcW w:w="1476" w:type="dxa"/>
            <w:shd w:val="clear" w:color="auto" w:fill="C6EFCE"/>
            <w:noWrap/>
            <w:vAlign w:val="center"/>
            <w:hideMark/>
          </w:tcPr>
          <w:p w14:paraId="4C7BBAC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Seaduse sätted, mis viitavad seadusandlike dekreetide jõustumisele</w:t>
            </w:r>
          </w:p>
        </w:tc>
        <w:tc>
          <w:tcPr>
            <w:tcW w:w="1474" w:type="dxa"/>
            <w:shd w:val="clear" w:color="auto" w:fill="C6EFCE"/>
            <w:noWrap/>
            <w:vAlign w:val="center"/>
            <w:hideMark/>
          </w:tcPr>
          <w:p w14:paraId="41BA18EC"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1092" w:type="dxa"/>
            <w:shd w:val="clear" w:color="auto" w:fill="C6EFCE"/>
            <w:noWrap/>
            <w:vAlign w:val="center"/>
            <w:hideMark/>
          </w:tcPr>
          <w:p w14:paraId="1B5AF665"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775" w:type="dxa"/>
            <w:shd w:val="clear" w:color="auto" w:fill="C6EFCE"/>
            <w:noWrap/>
            <w:vAlign w:val="center"/>
            <w:hideMark/>
          </w:tcPr>
          <w:p w14:paraId="0BAB404F"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1078" w:type="dxa"/>
            <w:shd w:val="clear" w:color="auto" w:fill="C6EFCE"/>
            <w:noWrap/>
            <w:vAlign w:val="center"/>
            <w:hideMark/>
          </w:tcPr>
          <w:p w14:paraId="43CED25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 kv</w:t>
            </w:r>
          </w:p>
        </w:tc>
        <w:tc>
          <w:tcPr>
            <w:tcW w:w="755" w:type="dxa"/>
            <w:shd w:val="clear" w:color="auto" w:fill="C6EFCE"/>
            <w:noWrap/>
            <w:vAlign w:val="center"/>
            <w:hideMark/>
          </w:tcPr>
          <w:p w14:paraId="706843E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2024</w:t>
            </w:r>
          </w:p>
        </w:tc>
        <w:tc>
          <w:tcPr>
            <w:tcW w:w="5046" w:type="dxa"/>
            <w:shd w:val="clear" w:color="auto" w:fill="C6EFCE"/>
            <w:noWrap/>
            <w:vAlign w:val="center"/>
            <w:hideMark/>
          </w:tcPr>
          <w:p w14:paraId="6B029949"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Seadusandlikes dekreetides täpsustatakse raamseaduse sätteid, et tugevdada meetmeid, mis on suunatud mittesõltumatutele eakatele inimestele, rakendades erinevaid meetmeid.</w:t>
            </w:r>
          </w:p>
        </w:tc>
      </w:tr>
      <w:tr w:rsidR="0084326C" w:rsidRPr="00D90835" w14:paraId="022BFE14" w14:textId="77777777">
        <w:trPr>
          <w:trHeight w:val="309"/>
          <w:jc w:val="center"/>
        </w:trPr>
        <w:tc>
          <w:tcPr>
            <w:tcW w:w="1648" w:type="dxa"/>
            <w:shd w:val="clear" w:color="auto" w:fill="C6EFCE"/>
            <w:noWrap/>
            <w:vAlign w:val="center"/>
            <w:hideMark/>
          </w:tcPr>
          <w:p w14:paraId="1620EB7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M5C2-5</w:t>
            </w:r>
          </w:p>
        </w:tc>
        <w:tc>
          <w:tcPr>
            <w:tcW w:w="1908" w:type="dxa"/>
            <w:shd w:val="clear" w:color="auto" w:fill="C6EFCE"/>
            <w:noWrap/>
            <w:vAlign w:val="center"/>
            <w:hideMark/>
          </w:tcPr>
          <w:p w14:paraId="07F65D1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 Haavatavate isikute toetamine ja institutsionaliseerimise ärahoidmine</w:t>
            </w:r>
          </w:p>
        </w:tc>
        <w:tc>
          <w:tcPr>
            <w:tcW w:w="1322" w:type="dxa"/>
            <w:shd w:val="clear" w:color="auto" w:fill="C6EFCE"/>
            <w:noWrap/>
            <w:vAlign w:val="center"/>
            <w:hideMark/>
          </w:tcPr>
          <w:p w14:paraId="115F31C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1395" w:type="dxa"/>
            <w:shd w:val="clear" w:color="auto" w:fill="C6EFCE"/>
            <w:noWrap/>
            <w:vAlign w:val="center"/>
            <w:hideMark/>
          </w:tcPr>
          <w:p w14:paraId="0C0545A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Tegevuskava jõustumine</w:t>
            </w:r>
          </w:p>
        </w:tc>
        <w:tc>
          <w:tcPr>
            <w:tcW w:w="1476" w:type="dxa"/>
            <w:shd w:val="clear" w:color="auto" w:fill="C6EFCE"/>
            <w:noWrap/>
            <w:vAlign w:val="center"/>
            <w:hideMark/>
          </w:tcPr>
          <w:p w14:paraId="414E17DF" w14:textId="6F71346B"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Seaduse sätted, mis viitavad operatsiooniplaani jõustumisele </w:t>
            </w:r>
          </w:p>
        </w:tc>
        <w:tc>
          <w:tcPr>
            <w:tcW w:w="1474" w:type="dxa"/>
            <w:shd w:val="clear" w:color="auto" w:fill="C6EFCE"/>
            <w:noWrap/>
            <w:vAlign w:val="center"/>
            <w:hideMark/>
          </w:tcPr>
          <w:p w14:paraId="6BF697AE"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1092" w:type="dxa"/>
            <w:shd w:val="clear" w:color="auto" w:fill="C6EFCE"/>
            <w:noWrap/>
            <w:vAlign w:val="center"/>
            <w:hideMark/>
          </w:tcPr>
          <w:p w14:paraId="6E25EDF6"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775" w:type="dxa"/>
            <w:shd w:val="clear" w:color="auto" w:fill="C6EFCE"/>
            <w:noWrap/>
            <w:vAlign w:val="center"/>
            <w:hideMark/>
          </w:tcPr>
          <w:p w14:paraId="4026EB08"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1078" w:type="dxa"/>
            <w:shd w:val="clear" w:color="auto" w:fill="C6EFCE"/>
            <w:noWrap/>
            <w:vAlign w:val="center"/>
            <w:hideMark/>
          </w:tcPr>
          <w:p w14:paraId="301364B4"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4. kv</w:t>
            </w:r>
          </w:p>
        </w:tc>
        <w:tc>
          <w:tcPr>
            <w:tcW w:w="755" w:type="dxa"/>
            <w:shd w:val="clear" w:color="auto" w:fill="C6EFCE"/>
            <w:noWrap/>
            <w:vAlign w:val="center"/>
            <w:hideMark/>
          </w:tcPr>
          <w:p w14:paraId="730B1C36"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2021</w:t>
            </w:r>
          </w:p>
        </w:tc>
        <w:tc>
          <w:tcPr>
            <w:tcW w:w="5046" w:type="dxa"/>
            <w:shd w:val="clear" w:color="auto" w:fill="C6EFCE"/>
            <w:noWrap/>
            <w:vAlign w:val="center"/>
            <w:hideMark/>
          </w:tcPr>
          <w:p w14:paraId="0C46471F"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Operatsiooniplaanis määratakse kindlaks projektide nõuded, mida kohalikud üksused võivad esitada ja mis on seotud nelja mõõtmega: i) 0-17aastaste laste vanemate toetamine, ii) eakate iseseisvuse toetamine, iii) eakatele kodus osutatavad teenused ja iv) sotsiaaltöötajate toetamine.</w:t>
            </w:r>
          </w:p>
          <w:p w14:paraId="7F231B58" w14:textId="77777777" w:rsidR="0084326C" w:rsidRPr="00F33804" w:rsidRDefault="0084326C">
            <w:pPr>
              <w:rPr>
                <w:rFonts w:ascii="Arial Narrow" w:eastAsia="Calibri" w:hAnsi="Arial Narrow"/>
                <w:noProof/>
                <w:color w:val="006100"/>
                <w:sz w:val="20"/>
                <w:szCs w:val="20"/>
              </w:rPr>
            </w:pPr>
          </w:p>
          <w:p w14:paraId="00DCE9D2"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Meede „vanemate toetamine“ hõlmab vähemalt toetust vastuvõtvatele perekondadele vähemalt 18 kuu jooksul, i) perekeskkonna ja laste olukorra eelhindamist, ii) olukorra hindamist valdkondadevahelise kvalifitseeritud spetsialistide rühma poolt ja iii) vähemalt ühe järgmise teenuse osutamist: koduteenused, osalemine lapsevanemate ja laste tugirühmades; koolide, perede ja sotsiaalteenuste koostöö ja/või ühised perehooldusteenused.</w:t>
            </w:r>
          </w:p>
          <w:p w14:paraId="3602D1AA" w14:textId="77777777" w:rsidR="0084326C" w:rsidRPr="005D68A0" w:rsidRDefault="0084326C">
            <w:pPr>
              <w:rPr>
                <w:rFonts w:ascii="Arial Narrow" w:eastAsia="Calibri" w:hAnsi="Arial Narrow"/>
                <w:noProof/>
                <w:color w:val="006100"/>
                <w:sz w:val="20"/>
                <w:szCs w:val="20"/>
              </w:rPr>
            </w:pPr>
            <w:r>
              <w:rPr>
                <w:rFonts w:ascii="Arial Narrow" w:hAnsi="Arial Narrow"/>
                <w:noProof/>
                <w:color w:val="006100"/>
                <w:sz w:val="20"/>
              </w:rPr>
              <w:t>Meede „vanemlik iseseisvus“ hõlmab vähemalt eakatele mõeldud vanadekodude ümberkorraldamist autonoomsete korterite rühmades, mis on varustatud kõigi vajalike vahendite ja teenustega, sealhulgas koduautomaatika, telemeditsiin ja kaugseire.</w:t>
            </w:r>
          </w:p>
          <w:p w14:paraId="25323F54" w14:textId="77777777" w:rsidR="0084326C" w:rsidRPr="005D68A0" w:rsidRDefault="0084326C">
            <w:pPr>
              <w:rPr>
                <w:rFonts w:ascii="Arial Narrow" w:eastAsia="Calibri" w:hAnsi="Arial Narrow"/>
                <w:noProof/>
                <w:color w:val="006100"/>
                <w:sz w:val="20"/>
                <w:szCs w:val="20"/>
              </w:rPr>
            </w:pPr>
            <w:r>
              <w:rPr>
                <w:rFonts w:ascii="Arial Narrow" w:hAnsi="Arial Narrow"/>
                <w:noProof/>
                <w:color w:val="006100"/>
                <w:sz w:val="20"/>
              </w:rPr>
              <w:t>Meetme „koduteenused eakatele“ eesmärk on pakkuda eakatele koduteenuste osutajatele erikoolitust.</w:t>
            </w:r>
          </w:p>
          <w:p w14:paraId="13B42CEB" w14:textId="77777777" w:rsidR="0084326C" w:rsidRPr="005D68A0" w:rsidRDefault="0084326C">
            <w:pPr>
              <w:rPr>
                <w:rFonts w:ascii="Arial Narrow" w:eastAsia="Calibri" w:hAnsi="Arial Narrow"/>
                <w:noProof/>
                <w:color w:val="006100"/>
                <w:sz w:val="20"/>
                <w:szCs w:val="20"/>
              </w:rPr>
            </w:pPr>
            <w:r>
              <w:rPr>
                <w:rFonts w:ascii="Arial Narrow" w:hAnsi="Arial Narrow"/>
                <w:noProof/>
                <w:color w:val="006100"/>
                <w:sz w:val="20"/>
              </w:rPr>
              <w:t>Meede „sotsiaaltöötajate toetamine“ seisneb sotsiaaltöötajate toetamises ning nende professionaalsuse ja pädevuste jagamise tugevdamises, võttes peamiselt kasutusele vahendid pädevuste jagamiseks ja ettevõtjatele järelevalveteenuste osutamiseks, et toetada ettevõtjate tööd.</w:t>
            </w:r>
          </w:p>
        </w:tc>
      </w:tr>
      <w:tr w:rsidR="0084326C" w:rsidRPr="00D90835" w14:paraId="0398642A" w14:textId="77777777">
        <w:trPr>
          <w:trHeight w:val="309"/>
          <w:jc w:val="center"/>
        </w:trPr>
        <w:tc>
          <w:tcPr>
            <w:tcW w:w="1648" w:type="dxa"/>
            <w:shd w:val="clear" w:color="auto" w:fill="C6EFCE"/>
            <w:noWrap/>
            <w:vAlign w:val="center"/>
            <w:hideMark/>
          </w:tcPr>
          <w:p w14:paraId="6CBEFC69" w14:textId="77777777" w:rsidR="0084326C" w:rsidRPr="005D68A0" w:rsidRDefault="0084326C">
            <w:pPr>
              <w:spacing w:before="120"/>
              <w:jc w:val="center"/>
              <w:rPr>
                <w:rFonts w:ascii="Arial Narrow" w:eastAsia="Calibri" w:hAnsi="Arial Narrow"/>
                <w:noProof/>
                <w:color w:val="006100"/>
                <w:sz w:val="20"/>
                <w:szCs w:val="20"/>
              </w:rPr>
            </w:pPr>
            <w:r>
              <w:rPr>
                <w:rFonts w:ascii="Arial Narrow" w:hAnsi="Arial Narrow"/>
                <w:noProof/>
                <w:color w:val="006100"/>
                <w:sz w:val="20"/>
              </w:rPr>
              <w:t>M5C2-6</w:t>
            </w:r>
          </w:p>
        </w:tc>
        <w:tc>
          <w:tcPr>
            <w:tcW w:w="1908" w:type="dxa"/>
            <w:shd w:val="clear" w:color="auto" w:fill="C6EFCE"/>
            <w:noWrap/>
            <w:vAlign w:val="center"/>
            <w:hideMark/>
          </w:tcPr>
          <w:p w14:paraId="75E63C5C"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Investeering 1. Haavatavate isikute toetamine ja institutsionaliseerimise ärahoidmine</w:t>
            </w:r>
          </w:p>
        </w:tc>
        <w:tc>
          <w:tcPr>
            <w:tcW w:w="1322" w:type="dxa"/>
            <w:shd w:val="clear" w:color="auto" w:fill="C6EFCE"/>
            <w:noWrap/>
            <w:vAlign w:val="center"/>
            <w:hideMark/>
          </w:tcPr>
          <w:p w14:paraId="1CA67BB4"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Siht</w:t>
            </w:r>
          </w:p>
        </w:tc>
        <w:tc>
          <w:tcPr>
            <w:tcW w:w="1395" w:type="dxa"/>
            <w:shd w:val="clear" w:color="auto" w:fill="C6EFCE"/>
            <w:noWrap/>
            <w:vAlign w:val="center"/>
            <w:hideMark/>
          </w:tcPr>
          <w:p w14:paraId="39E4599F"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Sotsiaalpiirkonnad saavutavad vähemalt ühe järgmistest tulemustest: i) vanemate toetamine, ii) eakate iseseisvus, iii) koduteenused eakatele või iv) sotsiaaltöötajate soodustamine läbipõlemise vältimiseks</w:t>
            </w:r>
          </w:p>
        </w:tc>
        <w:tc>
          <w:tcPr>
            <w:tcW w:w="1476" w:type="dxa"/>
            <w:shd w:val="clear" w:color="auto" w:fill="C6EFCE"/>
            <w:noWrap/>
            <w:vAlign w:val="center"/>
            <w:hideMark/>
          </w:tcPr>
          <w:p w14:paraId="084EE934"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1474" w:type="dxa"/>
            <w:shd w:val="clear" w:color="auto" w:fill="C6EFCE"/>
            <w:noWrap/>
            <w:vAlign w:val="center"/>
            <w:hideMark/>
          </w:tcPr>
          <w:p w14:paraId="56552B75"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Protsent</w:t>
            </w:r>
          </w:p>
        </w:tc>
        <w:tc>
          <w:tcPr>
            <w:tcW w:w="1092" w:type="dxa"/>
            <w:shd w:val="clear" w:color="auto" w:fill="C6EFCE"/>
            <w:noWrap/>
            <w:vAlign w:val="center"/>
            <w:hideMark/>
          </w:tcPr>
          <w:p w14:paraId="1C7110DB"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0</w:t>
            </w:r>
          </w:p>
        </w:tc>
        <w:tc>
          <w:tcPr>
            <w:tcW w:w="775" w:type="dxa"/>
            <w:shd w:val="clear" w:color="auto" w:fill="C6EFCE"/>
            <w:noWrap/>
            <w:vAlign w:val="center"/>
            <w:hideMark/>
          </w:tcPr>
          <w:p w14:paraId="38A063DF"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85</w:t>
            </w:r>
          </w:p>
        </w:tc>
        <w:tc>
          <w:tcPr>
            <w:tcW w:w="1078" w:type="dxa"/>
            <w:shd w:val="clear" w:color="auto" w:fill="C6EFCE"/>
            <w:noWrap/>
            <w:vAlign w:val="center"/>
            <w:hideMark/>
          </w:tcPr>
          <w:p w14:paraId="7C243255"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1. kv</w:t>
            </w:r>
          </w:p>
        </w:tc>
        <w:tc>
          <w:tcPr>
            <w:tcW w:w="755" w:type="dxa"/>
            <w:shd w:val="clear" w:color="auto" w:fill="C6EFCE"/>
            <w:noWrap/>
            <w:vAlign w:val="center"/>
            <w:hideMark/>
          </w:tcPr>
          <w:p w14:paraId="13ABDC4B"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2026</w:t>
            </w:r>
          </w:p>
        </w:tc>
        <w:tc>
          <w:tcPr>
            <w:tcW w:w="5046" w:type="dxa"/>
            <w:shd w:val="clear" w:color="auto" w:fill="C6EFCE"/>
            <w:noWrap/>
            <w:vAlign w:val="center"/>
            <w:hideMark/>
          </w:tcPr>
          <w:p w14:paraId="432EF500" w14:textId="77777777"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Vähemalt 85 % sotsiaalsetest piirkondadest saavutab vähemalt ühe järgmistest tulemustest: i) 0-17-aastaste laste vanemate toetamine, ii) eakate iseseisvus, iii) koduteenused eakatele või iv) sotsiaaltöötajate eelistamine läbipõlemise vältimiseks.</w:t>
            </w:r>
          </w:p>
          <w:p w14:paraId="7B79CCF9" w14:textId="77777777"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Projektis osaleb 85 % Itaalia sotsiaalpiirkondadest.</w:t>
            </w:r>
          </w:p>
          <w:p w14:paraId="0AB973B5" w14:textId="35795760"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Nelja mõõtme ja asjakohaste nõuete all kavandatakse meetmeid, mis on kindlaks määratud tegevuskavas selliste haavatavate elanikkonnarühmade aktiivseks kaasamiseks, kelle olukord halvenes COVID-19 epidemioloogilise hädaolukorra tõttu.</w:t>
            </w:r>
          </w:p>
          <w:p w14:paraId="079894FD" w14:textId="77777777"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Meede hõlmab kogu riigi territooriumi. Osalema peaksid kõik sotsiaalpiirkonnad, mille strateegia on see, et sellised projektid avavad tee teenuste stabiliseerimiseks kogu territooriumil antava sotsiaalabi olulise taseme ametliku tunnustamise kaudu.</w:t>
            </w:r>
          </w:p>
        </w:tc>
      </w:tr>
      <w:tr w:rsidR="0084326C" w:rsidRPr="00D90835" w14:paraId="156566DD" w14:textId="77777777">
        <w:trPr>
          <w:trHeight w:val="309"/>
          <w:jc w:val="center"/>
        </w:trPr>
        <w:tc>
          <w:tcPr>
            <w:tcW w:w="1648" w:type="dxa"/>
            <w:shd w:val="clear" w:color="auto" w:fill="C6EFCE"/>
            <w:noWrap/>
            <w:vAlign w:val="center"/>
            <w:hideMark/>
          </w:tcPr>
          <w:p w14:paraId="08473FDB" w14:textId="77777777" w:rsidR="0084326C" w:rsidRPr="005D68A0" w:rsidRDefault="0084326C">
            <w:pPr>
              <w:spacing w:before="120"/>
              <w:jc w:val="center"/>
              <w:rPr>
                <w:rFonts w:ascii="Arial Narrow" w:eastAsia="Calibri" w:hAnsi="Arial Narrow"/>
                <w:noProof/>
                <w:color w:val="006100"/>
                <w:sz w:val="20"/>
                <w:szCs w:val="20"/>
              </w:rPr>
            </w:pPr>
            <w:r>
              <w:rPr>
                <w:rFonts w:ascii="Arial Narrow" w:hAnsi="Arial Narrow"/>
                <w:noProof/>
                <w:color w:val="006100"/>
                <w:sz w:val="20"/>
              </w:rPr>
              <w:t>M5C2-7</w:t>
            </w:r>
          </w:p>
        </w:tc>
        <w:tc>
          <w:tcPr>
            <w:tcW w:w="1908" w:type="dxa"/>
            <w:shd w:val="clear" w:color="auto" w:fill="C6EFCE"/>
            <w:noWrap/>
            <w:vAlign w:val="center"/>
            <w:hideMark/>
          </w:tcPr>
          <w:p w14:paraId="3069688F" w14:textId="77777777" w:rsidR="0084326C" w:rsidRPr="005D68A0" w:rsidRDefault="0084326C">
            <w:pPr>
              <w:spacing w:before="120"/>
              <w:jc w:val="center"/>
              <w:rPr>
                <w:rFonts w:ascii="Arial Narrow" w:eastAsia="Calibri" w:hAnsi="Arial Narrow"/>
                <w:noProof/>
                <w:color w:val="006100"/>
                <w:sz w:val="20"/>
                <w:szCs w:val="20"/>
              </w:rPr>
            </w:pPr>
            <w:r>
              <w:rPr>
                <w:rFonts w:ascii="Arial Narrow" w:hAnsi="Arial Narrow"/>
                <w:noProof/>
                <w:color w:val="006100"/>
                <w:sz w:val="20"/>
              </w:rPr>
              <w:t>Investeering 2. Autonoomsusmustrid puuetega inimeste jaoks</w:t>
            </w:r>
          </w:p>
        </w:tc>
        <w:tc>
          <w:tcPr>
            <w:tcW w:w="1322" w:type="dxa"/>
            <w:shd w:val="clear" w:color="auto" w:fill="C6EFCE"/>
            <w:noWrap/>
            <w:vAlign w:val="center"/>
            <w:hideMark/>
          </w:tcPr>
          <w:p w14:paraId="56DD1209"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Siht</w:t>
            </w:r>
          </w:p>
        </w:tc>
        <w:tc>
          <w:tcPr>
            <w:tcW w:w="1395" w:type="dxa"/>
            <w:shd w:val="clear" w:color="auto" w:fill="C6EFCE"/>
            <w:noWrap/>
            <w:vAlign w:val="center"/>
            <w:hideMark/>
          </w:tcPr>
          <w:p w14:paraId="7A09C62C"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Sotsiaalpiirkonnad on viinud ellu vähemalt ühe projekti, mis on seotud koduruumide renoveerimise ja/või puuetega inimestele IKT-seadmete pakkumisega, ning sellega on kaasnenud digioskuste alane koolitus.</w:t>
            </w:r>
          </w:p>
        </w:tc>
        <w:tc>
          <w:tcPr>
            <w:tcW w:w="1476" w:type="dxa"/>
            <w:shd w:val="clear" w:color="auto" w:fill="C6EFCE"/>
            <w:noWrap/>
            <w:vAlign w:val="center"/>
            <w:hideMark/>
          </w:tcPr>
          <w:p w14:paraId="64047D32"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1474" w:type="dxa"/>
            <w:shd w:val="clear" w:color="auto" w:fill="C6EFCE"/>
            <w:noWrap/>
            <w:vAlign w:val="center"/>
            <w:hideMark/>
          </w:tcPr>
          <w:p w14:paraId="1B43C0B5"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Arv</w:t>
            </w:r>
          </w:p>
        </w:tc>
        <w:tc>
          <w:tcPr>
            <w:tcW w:w="1092" w:type="dxa"/>
            <w:shd w:val="clear" w:color="auto" w:fill="C6EFCE"/>
            <w:noWrap/>
            <w:vAlign w:val="center"/>
            <w:hideMark/>
          </w:tcPr>
          <w:p w14:paraId="1144958E"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0</w:t>
            </w:r>
          </w:p>
        </w:tc>
        <w:tc>
          <w:tcPr>
            <w:tcW w:w="775" w:type="dxa"/>
            <w:shd w:val="clear" w:color="auto" w:fill="C6EFCE"/>
            <w:noWrap/>
            <w:vAlign w:val="center"/>
            <w:hideMark/>
          </w:tcPr>
          <w:p w14:paraId="0F2A2C1A"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500</w:t>
            </w:r>
          </w:p>
        </w:tc>
        <w:tc>
          <w:tcPr>
            <w:tcW w:w="1078" w:type="dxa"/>
            <w:shd w:val="clear" w:color="auto" w:fill="C6EFCE"/>
            <w:noWrap/>
            <w:vAlign w:val="center"/>
            <w:hideMark/>
          </w:tcPr>
          <w:p w14:paraId="5FEA87CF"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4. kv</w:t>
            </w:r>
          </w:p>
        </w:tc>
        <w:tc>
          <w:tcPr>
            <w:tcW w:w="755" w:type="dxa"/>
            <w:shd w:val="clear" w:color="auto" w:fill="C6EFCE"/>
            <w:noWrap/>
            <w:vAlign w:val="center"/>
            <w:hideMark/>
          </w:tcPr>
          <w:p w14:paraId="4368EA0A"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2022</w:t>
            </w:r>
          </w:p>
        </w:tc>
        <w:tc>
          <w:tcPr>
            <w:tcW w:w="5046" w:type="dxa"/>
            <w:shd w:val="clear" w:color="auto" w:fill="C6EFCE"/>
            <w:noWrap/>
            <w:vAlign w:val="center"/>
            <w:hideMark/>
          </w:tcPr>
          <w:p w14:paraId="2AE7534E" w14:textId="77777777"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 xml:space="preserve">Sotsiaalpiirkonnad viivad läbi vähemalt 500 projekti, mis on seotud kodude renoveerimise ja/või puuetega inimestele IKT-seadmete pakkumisega, millega kaasneb digioskuste alane koolitus. </w:t>
            </w:r>
          </w:p>
          <w:p w14:paraId="0773B0BB" w14:textId="77777777"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Eesmärgi rahuldav täitmine sõltub ka teisese eesmärgi rahuldavast täitmisest: vähemalt 500 sotsiaalringkonda on viinud ellu vähemalt ühe projekti, mis on seotud koduruumide renoveerimise ja/või puuetega inimestele IKT-seadmete pakkumisega, millega kaasneb digioskuste alane koolitus.</w:t>
            </w:r>
          </w:p>
          <w:p w14:paraId="7C4F9DCB" w14:textId="77777777"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Vähemalt ühe konkurentsivastases menetluses osalenud projekti elluviimine vähemalt 500 sotsiaalpiirkonnast.</w:t>
            </w:r>
          </w:p>
        </w:tc>
      </w:tr>
      <w:tr w:rsidR="0084326C" w:rsidRPr="00D90835" w14:paraId="19D1C36B" w14:textId="77777777">
        <w:trPr>
          <w:trHeight w:val="309"/>
          <w:jc w:val="center"/>
        </w:trPr>
        <w:tc>
          <w:tcPr>
            <w:tcW w:w="1648" w:type="dxa"/>
            <w:shd w:val="clear" w:color="auto" w:fill="C6EFCE"/>
            <w:noWrap/>
            <w:vAlign w:val="center"/>
            <w:hideMark/>
          </w:tcPr>
          <w:p w14:paraId="6E27F856" w14:textId="77777777" w:rsidR="0084326C" w:rsidRPr="005D68A0" w:rsidRDefault="0084326C">
            <w:pPr>
              <w:spacing w:before="120"/>
              <w:jc w:val="center"/>
              <w:rPr>
                <w:rFonts w:ascii="Arial Narrow" w:eastAsia="Calibri" w:hAnsi="Arial Narrow"/>
                <w:noProof/>
                <w:color w:val="006100"/>
                <w:sz w:val="20"/>
                <w:szCs w:val="20"/>
              </w:rPr>
            </w:pPr>
            <w:r>
              <w:rPr>
                <w:rFonts w:ascii="Arial Narrow" w:hAnsi="Arial Narrow"/>
                <w:noProof/>
                <w:color w:val="006100"/>
                <w:sz w:val="20"/>
              </w:rPr>
              <w:t>M5C2-8</w:t>
            </w:r>
          </w:p>
        </w:tc>
        <w:tc>
          <w:tcPr>
            <w:tcW w:w="1908" w:type="dxa"/>
            <w:shd w:val="clear" w:color="auto" w:fill="C6EFCE"/>
            <w:noWrap/>
            <w:vAlign w:val="center"/>
            <w:hideMark/>
          </w:tcPr>
          <w:p w14:paraId="0E6EE319"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Investeering 2. Autonoomsusmustrid puuetega inimeste jaoks</w:t>
            </w:r>
          </w:p>
        </w:tc>
        <w:tc>
          <w:tcPr>
            <w:tcW w:w="1322" w:type="dxa"/>
            <w:shd w:val="clear" w:color="auto" w:fill="C6EFCE"/>
            <w:noWrap/>
            <w:vAlign w:val="center"/>
            <w:hideMark/>
          </w:tcPr>
          <w:p w14:paraId="4F0AE044"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Siht</w:t>
            </w:r>
          </w:p>
        </w:tc>
        <w:tc>
          <w:tcPr>
            <w:tcW w:w="1395" w:type="dxa"/>
            <w:shd w:val="clear" w:color="auto" w:fill="C6EFCE"/>
            <w:noWrap/>
            <w:vAlign w:val="center"/>
            <w:hideMark/>
          </w:tcPr>
          <w:p w14:paraId="6F4A74A8"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Puuetega inimesed on saanud koduruumi renoveerimise ja/või IKT-seadmete pakkumise. Teenustega kaasneb digioskuste alane koolitus.</w:t>
            </w:r>
          </w:p>
        </w:tc>
        <w:tc>
          <w:tcPr>
            <w:tcW w:w="1476" w:type="dxa"/>
            <w:shd w:val="clear" w:color="auto" w:fill="C6EFCE"/>
            <w:noWrap/>
            <w:vAlign w:val="center"/>
            <w:hideMark/>
          </w:tcPr>
          <w:p w14:paraId="166A36B6"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1474" w:type="dxa"/>
            <w:shd w:val="clear" w:color="auto" w:fill="C6EFCE"/>
            <w:noWrap/>
            <w:vAlign w:val="center"/>
            <w:hideMark/>
          </w:tcPr>
          <w:p w14:paraId="03C1AA54"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Arv</w:t>
            </w:r>
          </w:p>
        </w:tc>
        <w:tc>
          <w:tcPr>
            <w:tcW w:w="1092" w:type="dxa"/>
            <w:shd w:val="clear" w:color="auto" w:fill="C6EFCE"/>
            <w:noWrap/>
            <w:vAlign w:val="center"/>
            <w:hideMark/>
          </w:tcPr>
          <w:p w14:paraId="37B0138F" w14:textId="1C31C043"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1 000</w:t>
            </w:r>
          </w:p>
        </w:tc>
        <w:tc>
          <w:tcPr>
            <w:tcW w:w="775" w:type="dxa"/>
            <w:shd w:val="clear" w:color="auto" w:fill="C6EFCE"/>
            <w:noWrap/>
            <w:vAlign w:val="center"/>
            <w:hideMark/>
          </w:tcPr>
          <w:p w14:paraId="78EB33E1" w14:textId="6FD3D20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5 000</w:t>
            </w:r>
          </w:p>
        </w:tc>
        <w:tc>
          <w:tcPr>
            <w:tcW w:w="1078" w:type="dxa"/>
            <w:shd w:val="clear" w:color="auto" w:fill="C6EFCE"/>
            <w:noWrap/>
            <w:vAlign w:val="center"/>
            <w:hideMark/>
          </w:tcPr>
          <w:p w14:paraId="72324442"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1. kv</w:t>
            </w:r>
          </w:p>
        </w:tc>
        <w:tc>
          <w:tcPr>
            <w:tcW w:w="755" w:type="dxa"/>
            <w:shd w:val="clear" w:color="auto" w:fill="C6EFCE"/>
            <w:noWrap/>
            <w:vAlign w:val="center"/>
            <w:hideMark/>
          </w:tcPr>
          <w:p w14:paraId="0D718C32"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2026</w:t>
            </w:r>
          </w:p>
        </w:tc>
        <w:tc>
          <w:tcPr>
            <w:tcW w:w="5046" w:type="dxa"/>
            <w:shd w:val="clear" w:color="auto" w:fill="C6EFCE"/>
            <w:noWrap/>
            <w:vAlign w:val="center"/>
            <w:hideMark/>
          </w:tcPr>
          <w:p w14:paraId="581C0326" w14:textId="5F85D03D"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Koduruumi on renoveeritud ja/või IKT-seadmeid on pakutud vähemalt 5 000 puudega inimesele. Teenustega kaasneb digioskuste alane koolitus.</w:t>
            </w:r>
          </w:p>
          <w:p w14:paraId="45B1B05B" w14:textId="5957EFC9"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Vähemalt 5 000 puudega inimese (1 000 olemasolevat ja 4 000 uut) hõlmamine tehnilise abi meetmete saajatena.</w:t>
            </w:r>
          </w:p>
          <w:p w14:paraId="4CC76DF2" w14:textId="77777777"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Puudega inimeste määratlus (individuaalsel koostööraamistikul põhinev) on sätestatud 2019. aasta riiklikus mittesõltuvaid inimesi käsitlevas kavas. Varasemate projektide tulemusena on juba välja töötatud suunised puuetega inimeste iseseisvuse projekti jaoks. Eriseaduse nr 112/2016 heakskiitmine ja meetme jaoks spetsiaalse riikliku fondi loomine hõlmab kogu riigi territooriumi. Osalema kutsutakse kõiki sotsiaalpiirkondi, mille strateegia seisneb selles, et sellised projektid avavad tee teenuste stabiliseerimiseks, tunnustades ametlikult kogu territooriumil antava sotsiaalabi olulist taset.</w:t>
            </w:r>
          </w:p>
        </w:tc>
      </w:tr>
      <w:tr w:rsidR="0084326C" w:rsidRPr="00D90835" w14:paraId="051471F5" w14:textId="77777777">
        <w:trPr>
          <w:trHeight w:val="309"/>
          <w:jc w:val="center"/>
        </w:trPr>
        <w:tc>
          <w:tcPr>
            <w:tcW w:w="1648" w:type="dxa"/>
            <w:shd w:val="clear" w:color="auto" w:fill="C6EFCE"/>
            <w:noWrap/>
            <w:vAlign w:val="center"/>
            <w:hideMark/>
          </w:tcPr>
          <w:p w14:paraId="1F42A5EE" w14:textId="77777777" w:rsidR="0084326C" w:rsidRPr="005D68A0" w:rsidRDefault="0084326C">
            <w:pPr>
              <w:spacing w:before="120"/>
              <w:jc w:val="center"/>
              <w:rPr>
                <w:rFonts w:ascii="Arial Narrow" w:eastAsia="Calibri" w:hAnsi="Arial Narrow"/>
                <w:noProof/>
                <w:color w:val="006100"/>
                <w:sz w:val="20"/>
                <w:szCs w:val="20"/>
              </w:rPr>
            </w:pPr>
            <w:r>
              <w:rPr>
                <w:rFonts w:ascii="Arial Narrow" w:hAnsi="Arial Narrow"/>
                <w:noProof/>
                <w:color w:val="006100"/>
                <w:sz w:val="20"/>
              </w:rPr>
              <w:t>M5C2-9</w:t>
            </w:r>
          </w:p>
        </w:tc>
        <w:tc>
          <w:tcPr>
            <w:tcW w:w="1908" w:type="dxa"/>
            <w:shd w:val="clear" w:color="auto" w:fill="C6EFCE"/>
            <w:noWrap/>
            <w:vAlign w:val="center"/>
            <w:hideMark/>
          </w:tcPr>
          <w:p w14:paraId="5AE46EEE"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Investeering 3. Ees- ja järelpaigad elamumajanduseks</w:t>
            </w:r>
          </w:p>
        </w:tc>
        <w:tc>
          <w:tcPr>
            <w:tcW w:w="1322" w:type="dxa"/>
            <w:shd w:val="clear" w:color="auto" w:fill="C6EFCE"/>
            <w:noWrap/>
            <w:vAlign w:val="center"/>
            <w:hideMark/>
          </w:tcPr>
          <w:p w14:paraId="088087A4"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Eesmärk</w:t>
            </w:r>
          </w:p>
        </w:tc>
        <w:tc>
          <w:tcPr>
            <w:tcW w:w="1395" w:type="dxa"/>
            <w:shd w:val="clear" w:color="auto" w:fill="C6EFCE"/>
            <w:noWrap/>
            <w:vAlign w:val="center"/>
            <w:hideMark/>
          </w:tcPr>
          <w:p w14:paraId="45E056A0"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Esimese ja teise taseme elamumajandust käsitlevate projektide tegevuskava jõustumine, milles määratakse kindlaks nõuded projektidele, mida saavad esitada kohalikud üksused, ning kuulutatakse välja projektikonkurss</w:t>
            </w:r>
          </w:p>
        </w:tc>
        <w:tc>
          <w:tcPr>
            <w:tcW w:w="1476" w:type="dxa"/>
            <w:shd w:val="clear" w:color="auto" w:fill="C6EFCE"/>
            <w:noWrap/>
            <w:vAlign w:val="center"/>
            <w:hideMark/>
          </w:tcPr>
          <w:p w14:paraId="4A680CDE" w14:textId="64F4E534"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 xml:space="preserve">Seaduse sätted, mis viitavad operatsiooniplaani jõustumisele </w:t>
            </w:r>
          </w:p>
        </w:tc>
        <w:tc>
          <w:tcPr>
            <w:tcW w:w="1474" w:type="dxa"/>
            <w:shd w:val="clear" w:color="auto" w:fill="C6EFCE"/>
            <w:noWrap/>
            <w:vAlign w:val="center"/>
            <w:hideMark/>
          </w:tcPr>
          <w:p w14:paraId="14C28B33"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1092" w:type="dxa"/>
            <w:shd w:val="clear" w:color="auto" w:fill="C6EFCE"/>
            <w:noWrap/>
            <w:vAlign w:val="center"/>
            <w:hideMark/>
          </w:tcPr>
          <w:p w14:paraId="0662E23F"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775" w:type="dxa"/>
            <w:shd w:val="clear" w:color="auto" w:fill="C6EFCE"/>
            <w:noWrap/>
            <w:vAlign w:val="center"/>
            <w:hideMark/>
          </w:tcPr>
          <w:p w14:paraId="1A8E3FA4"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1078" w:type="dxa"/>
            <w:shd w:val="clear" w:color="auto" w:fill="C6EFCE"/>
            <w:noWrap/>
            <w:vAlign w:val="center"/>
            <w:hideMark/>
          </w:tcPr>
          <w:p w14:paraId="5E2C2542"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1. kv</w:t>
            </w:r>
          </w:p>
        </w:tc>
        <w:tc>
          <w:tcPr>
            <w:tcW w:w="755" w:type="dxa"/>
            <w:shd w:val="clear" w:color="auto" w:fill="C6EFCE"/>
            <w:noWrap/>
            <w:vAlign w:val="center"/>
            <w:hideMark/>
          </w:tcPr>
          <w:p w14:paraId="5E9E3508"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2022</w:t>
            </w:r>
          </w:p>
        </w:tc>
        <w:tc>
          <w:tcPr>
            <w:tcW w:w="5046" w:type="dxa"/>
            <w:shd w:val="clear" w:color="auto" w:fill="C6EFCE"/>
            <w:noWrap/>
            <w:vAlign w:val="center"/>
            <w:hideMark/>
          </w:tcPr>
          <w:p w14:paraId="76656EDC" w14:textId="77777777"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Ehitus- ja postijaamadega seotud projektide tegevuskavas määratakse kindlaks nõuded projektidele, mida kohalikud üksused võivad esitada, ning kuulutatakse välja projektikonkurss.</w:t>
            </w:r>
          </w:p>
          <w:p w14:paraId="2C5AF0E6" w14:textId="77777777"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Elamuprojektidega nähakse ette, et kohalikud üksused teevad korterid kättesaadavaks üksikisikutele, väikestele rühmadele või perekondadele kuni 24 kuud, eelistatavalt hoonete renoveerimise ja riigivara renoveerimise kaudu. Seda täiendavad arengu- ja iseseisvusprogrammid.</w:t>
            </w:r>
          </w:p>
          <w:p w14:paraId="37D86E83" w14:textId="77777777"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Postijaamade projektidega nähakse ette kodututele mõeldud teenindus- ja kaasamiskeskuste arendamine. Seda täiendavad töölesuunamise programmid koostöös tööhõivekeskustega.</w:t>
            </w:r>
          </w:p>
        </w:tc>
      </w:tr>
      <w:tr w:rsidR="0084326C" w:rsidRPr="00D90835" w14:paraId="1B531B21" w14:textId="77777777">
        <w:trPr>
          <w:trHeight w:val="309"/>
          <w:jc w:val="center"/>
        </w:trPr>
        <w:tc>
          <w:tcPr>
            <w:tcW w:w="1648" w:type="dxa"/>
            <w:shd w:val="clear" w:color="auto" w:fill="C6EFCE"/>
            <w:noWrap/>
            <w:vAlign w:val="center"/>
            <w:hideMark/>
          </w:tcPr>
          <w:p w14:paraId="7C6479B9" w14:textId="77777777" w:rsidR="0084326C" w:rsidRPr="005D68A0" w:rsidRDefault="0084326C">
            <w:pPr>
              <w:spacing w:before="120"/>
              <w:jc w:val="center"/>
              <w:rPr>
                <w:rFonts w:ascii="Arial Narrow" w:eastAsia="Calibri" w:hAnsi="Arial Narrow"/>
                <w:noProof/>
                <w:color w:val="006100"/>
                <w:sz w:val="20"/>
                <w:szCs w:val="20"/>
              </w:rPr>
            </w:pPr>
            <w:r>
              <w:rPr>
                <w:rFonts w:ascii="Arial Narrow" w:hAnsi="Arial Narrow"/>
                <w:noProof/>
                <w:color w:val="006100"/>
                <w:sz w:val="20"/>
              </w:rPr>
              <w:t>M5C2-10</w:t>
            </w:r>
          </w:p>
        </w:tc>
        <w:tc>
          <w:tcPr>
            <w:tcW w:w="1908" w:type="dxa"/>
            <w:shd w:val="clear" w:color="auto" w:fill="C6EFCE"/>
            <w:noWrap/>
            <w:vAlign w:val="center"/>
            <w:hideMark/>
          </w:tcPr>
          <w:p w14:paraId="359EB77A"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Investeering 3. Ees- ja järelpaigad elamumajanduseks</w:t>
            </w:r>
          </w:p>
        </w:tc>
        <w:tc>
          <w:tcPr>
            <w:tcW w:w="1322" w:type="dxa"/>
            <w:shd w:val="clear" w:color="auto" w:fill="C6EFCE"/>
            <w:noWrap/>
            <w:vAlign w:val="center"/>
            <w:hideMark/>
          </w:tcPr>
          <w:p w14:paraId="24F1942B"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Siht</w:t>
            </w:r>
          </w:p>
        </w:tc>
        <w:tc>
          <w:tcPr>
            <w:tcW w:w="1395" w:type="dxa"/>
            <w:shd w:val="clear" w:color="auto" w:fill="C6EFCE"/>
            <w:noWrap/>
            <w:vAlign w:val="center"/>
            <w:hideMark/>
          </w:tcPr>
          <w:p w14:paraId="62CE0F15"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Inimesed, kes elavad tõsises materiaalses puuduses, mille eest vastutavad projektid „Esmalt eluase“ vähemalt kuus kuud ja postijaamad</w:t>
            </w:r>
          </w:p>
        </w:tc>
        <w:tc>
          <w:tcPr>
            <w:tcW w:w="1476" w:type="dxa"/>
            <w:shd w:val="clear" w:color="auto" w:fill="C6EFCE"/>
            <w:noWrap/>
            <w:vAlign w:val="center"/>
            <w:hideMark/>
          </w:tcPr>
          <w:p w14:paraId="16259430"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1474" w:type="dxa"/>
            <w:shd w:val="clear" w:color="auto" w:fill="C6EFCE"/>
            <w:noWrap/>
            <w:vAlign w:val="center"/>
            <w:hideMark/>
          </w:tcPr>
          <w:p w14:paraId="3AB2BD12"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Arv</w:t>
            </w:r>
          </w:p>
        </w:tc>
        <w:tc>
          <w:tcPr>
            <w:tcW w:w="1092" w:type="dxa"/>
            <w:shd w:val="clear" w:color="auto" w:fill="C6EFCE"/>
            <w:noWrap/>
            <w:vAlign w:val="center"/>
            <w:hideMark/>
          </w:tcPr>
          <w:p w14:paraId="760C27E3"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0</w:t>
            </w:r>
          </w:p>
        </w:tc>
        <w:tc>
          <w:tcPr>
            <w:tcW w:w="775" w:type="dxa"/>
            <w:shd w:val="clear" w:color="auto" w:fill="C6EFCE"/>
            <w:noWrap/>
            <w:vAlign w:val="center"/>
            <w:hideMark/>
          </w:tcPr>
          <w:p w14:paraId="4B633330" w14:textId="3C14D43C"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25 000</w:t>
            </w:r>
          </w:p>
        </w:tc>
        <w:tc>
          <w:tcPr>
            <w:tcW w:w="1078" w:type="dxa"/>
            <w:shd w:val="clear" w:color="auto" w:fill="C6EFCE"/>
            <w:noWrap/>
            <w:vAlign w:val="center"/>
            <w:hideMark/>
          </w:tcPr>
          <w:p w14:paraId="37AF9EDE"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1. kv</w:t>
            </w:r>
          </w:p>
        </w:tc>
        <w:tc>
          <w:tcPr>
            <w:tcW w:w="755" w:type="dxa"/>
            <w:shd w:val="clear" w:color="auto" w:fill="C6EFCE"/>
            <w:noWrap/>
            <w:vAlign w:val="center"/>
            <w:hideMark/>
          </w:tcPr>
          <w:p w14:paraId="676E69BC"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2026</w:t>
            </w:r>
          </w:p>
        </w:tc>
        <w:tc>
          <w:tcPr>
            <w:tcW w:w="5046" w:type="dxa"/>
            <w:shd w:val="clear" w:color="auto" w:fill="C6EFCE"/>
            <w:noWrap/>
            <w:vAlign w:val="center"/>
            <w:hideMark/>
          </w:tcPr>
          <w:p w14:paraId="11DB4F41" w14:textId="66E2E4A5"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Vastutama vähemalt 25 000 tõsises materiaalses puuduses elava inimese eest, kes saavad kasu Esmane eluase ja postijaamad sekkumisest.</w:t>
            </w:r>
          </w:p>
          <w:p w14:paraId="257C310E" w14:textId="16B4FF74"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Eesmärgi rahuldav täitmine sõltub ka teisese eesmärgi rahuldavast täitmisest: projekti „Esimene eluase“ raames pakutakse ajutist majutust vähemalt 3 000 inimesele vähemalt kuueks kuuks ja vähemalt 22 000 inimesele sotsiaalpiirkonnas teostatavate postijaamade projektide raames pakutavaid teenuseid.</w:t>
            </w:r>
          </w:p>
          <w:p w14:paraId="2872A1A8" w14:textId="77777777"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Suure puuduse tingimustes elavad inimesed on määratletud järgmiselt: vt Linee di indirizzo per il contrasto alla grave emarginazione in Italia, heaks kiidetud Conferenza Unificata il 11.05.2015 ja 2018. aasta vaesusfondi käsitleva iga-aastase määruse artikkel 5, kus (artikkel 5) on selleks määratletud kui a) tänaval elav või ebakindlas varjualuses elav isik; b) avaliku dormitoori kasutamine; c) majutatakse puudustkannatavatele isikutele mõeldud hostelites; d) väljub struktuuridest (sealhulgas vanglast) ja neil ei ole seal elamise kohta.</w:t>
            </w:r>
          </w:p>
          <w:p w14:paraId="50B06D04" w14:textId="77777777"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Meede hõlmab kogu riigi territooriumi, kuid eelistatakse piirkondi, kus kodutuse ja tõsise vaesuse probleemid on pakilisemad (suurlinnapiirkonnad, aga ka mõned maapiirkonnad, kus on palju hooajatöötajaid, kellest paljud on välismaalased).</w:t>
            </w:r>
          </w:p>
        </w:tc>
      </w:tr>
    </w:tbl>
    <w:p w14:paraId="5E44914F" w14:textId="77777777" w:rsidR="0084326C" w:rsidRPr="00F33804" w:rsidRDefault="0084326C" w:rsidP="0084326C">
      <w:pPr>
        <w:spacing w:before="120" w:after="120"/>
        <w:ind w:left="709"/>
        <w:jc w:val="both"/>
        <w:rPr>
          <w:noProof/>
        </w:rPr>
      </w:pPr>
    </w:p>
    <w:p w14:paraId="0787791E" w14:textId="77777777" w:rsidR="0084326C" w:rsidRPr="00F33804" w:rsidRDefault="0084326C" w:rsidP="0084326C">
      <w:pPr>
        <w:spacing w:before="120" w:after="120"/>
        <w:ind w:left="709"/>
        <w:jc w:val="both"/>
        <w:rPr>
          <w:noProof/>
        </w:rPr>
      </w:pPr>
    </w:p>
    <w:p w14:paraId="733E1936" w14:textId="77777777" w:rsidR="0084326C" w:rsidRPr="00F33804" w:rsidRDefault="0084326C" w:rsidP="0084326C">
      <w:pPr>
        <w:spacing w:before="120" w:after="120"/>
        <w:ind w:left="709"/>
        <w:jc w:val="both"/>
        <w:rPr>
          <w:noProof/>
        </w:rPr>
      </w:pPr>
    </w:p>
    <w:p w14:paraId="305A17FE" w14:textId="77777777" w:rsidR="0084326C" w:rsidRPr="00F33804" w:rsidRDefault="0084326C" w:rsidP="0084326C">
      <w:pPr>
        <w:framePr w:w="19845" w:wrap="auto" w:hAnchor="text"/>
        <w:spacing w:before="120" w:after="120"/>
        <w:ind w:left="709"/>
        <w:jc w:val="both"/>
        <w:rPr>
          <w:noProof/>
        </w:rPr>
        <w:sectPr w:rsidR="0084326C" w:rsidRPr="00F33804">
          <w:headerReference w:type="even" r:id="rId332"/>
          <w:headerReference w:type="default" r:id="rId333"/>
          <w:footerReference w:type="even" r:id="rId334"/>
          <w:footerReference w:type="default" r:id="rId335"/>
          <w:headerReference w:type="first" r:id="rId336"/>
          <w:footerReference w:type="first" r:id="rId337"/>
          <w:pgSz w:w="19051" w:h="11907" w:orient="landscape" w:code="9"/>
          <w:pgMar w:top="720" w:right="720" w:bottom="426" w:left="720" w:header="709" w:footer="709" w:gutter="0"/>
          <w:cols w:space="720"/>
          <w:docGrid w:linePitch="360"/>
        </w:sectPr>
      </w:pPr>
    </w:p>
    <w:p w14:paraId="0B5729FE" w14:textId="77777777" w:rsidR="0084326C" w:rsidRPr="005D68A0" w:rsidRDefault="0084326C" w:rsidP="0084326C">
      <w:pPr>
        <w:pStyle w:val="Heading3"/>
        <w:numPr>
          <w:ilvl w:val="2"/>
          <w:numId w:val="0"/>
        </w:numPr>
        <w:ind w:left="850" w:hanging="850"/>
        <w:rPr>
          <w:b/>
          <w:i w:val="0"/>
          <w:noProof/>
          <w:color w:val="4472C4" w:themeColor="accent1"/>
          <w:u w:val="single"/>
        </w:rPr>
      </w:pPr>
      <w:r>
        <w:rPr>
          <w:b/>
          <w:i w:val="0"/>
          <w:noProof/>
          <w:u w:val="single"/>
        </w:rPr>
        <w:t xml:space="preserve">M.3. </w:t>
      </w:r>
      <w:r>
        <w:rPr>
          <w:noProof/>
        </w:rPr>
        <w:tab/>
      </w:r>
      <w:r>
        <w:rPr>
          <w:b/>
          <w:i w:val="0"/>
          <w:noProof/>
          <w:u w:val="single"/>
        </w:rPr>
        <w:t>Laenuga seotud reformide ja investeeringute kirjeldus</w:t>
      </w:r>
    </w:p>
    <w:p w14:paraId="29F2AA06" w14:textId="77777777" w:rsidR="0084326C" w:rsidRPr="005D68A0" w:rsidRDefault="0084326C" w:rsidP="0084326C">
      <w:pPr>
        <w:spacing w:before="120" w:after="120"/>
        <w:jc w:val="both"/>
        <w:rPr>
          <w:b/>
          <w:bCs/>
          <w:noProof/>
          <w:u w:val="single"/>
        </w:rPr>
      </w:pPr>
      <w:r>
        <w:rPr>
          <w:b/>
          <w:noProof/>
        </w:rPr>
        <w:t>Investeering 4. Investeeringud linnade taaselustamise projektidesse, mille eesmärk on vähendada marginaliseerumise ja sotsiaalse olukorra halvenemise olukordi</w:t>
      </w:r>
    </w:p>
    <w:p w14:paraId="5D717D39" w14:textId="77777777" w:rsidR="0084326C" w:rsidRPr="005D68A0" w:rsidRDefault="0084326C" w:rsidP="0084326C">
      <w:pPr>
        <w:spacing w:before="120" w:after="120"/>
        <w:jc w:val="both"/>
        <w:rPr>
          <w:rFonts w:eastAsia="Calibri"/>
          <w:noProof/>
        </w:rPr>
      </w:pPr>
      <w:r>
        <w:rPr>
          <w:noProof/>
        </w:rPr>
        <w:t xml:space="preserve">Meetme eesmärk on anda omavalitsustele toetusi investeeringuteks linnade taaselustamisse, vähendada marginaliseerumist ja sotsiaalset degradeerumist ning parandada linnakeskuste sotsiaalset ja keskkonnaalast konteksti, järgides täielikult põhimõtet „mittemärkimisväärne kahju“. Meetme eesmärk on toetada avalike alade ja olemasolevate avaliku sektori ehitusstruktuuride taaskasutamist ja kasutusotstarbe muutmist avaliku huvi eesmärgil ning parandada linnamaastikku üldkasutatavate hoonete renoveerimise kaudu, pöörates erilist tähelepanu sotsiaal-, kultuuri-, haridus- ja didaktiliste teenuste, sealhulgas sporditegevuse arendamisele. </w:t>
      </w:r>
    </w:p>
    <w:p w14:paraId="65DDD3C3" w14:textId="77777777" w:rsidR="0084326C" w:rsidRPr="005D68A0" w:rsidRDefault="0084326C" w:rsidP="0084326C">
      <w:pPr>
        <w:spacing w:before="120" w:after="120"/>
        <w:jc w:val="both"/>
        <w:rPr>
          <w:rFonts w:eastAsia="Calibri"/>
          <w:noProof/>
        </w:rPr>
      </w:pPr>
      <w:r>
        <w:rPr>
          <w:noProof/>
        </w:rPr>
        <w:t>Eeldatakse, et kõnealune tegevus ei kahjusta märkimisväärselt keskkonnaeesmärke määruse (EL) 2020/852 artikli 17 tähenduses, võttes arvesse investeeringu kirjeldust ning taaste- ja vastupidavuskavas sätestatud leevendavaid meetmeid kooskõlas DNSH tehniliste suunistega (2021/C58/01). See hõlmab gaasikatlaid, mis ei ole käesoleva meetme raames abikõlbulikud.</w:t>
      </w:r>
    </w:p>
    <w:p w14:paraId="0A11DACD" w14:textId="77777777" w:rsidR="0084326C" w:rsidRPr="005D68A0" w:rsidRDefault="0084326C" w:rsidP="0084326C">
      <w:pPr>
        <w:spacing w:before="120" w:after="120"/>
        <w:jc w:val="both"/>
        <w:rPr>
          <w:rFonts w:eastAsia="Calibri"/>
          <w:b/>
          <w:noProof/>
        </w:rPr>
      </w:pPr>
      <w:r>
        <w:rPr>
          <w:b/>
          <w:noProof/>
        </w:rPr>
        <w:t>Investeering 5. Linnade integratsioonikavad (üldprojektid ja ebaseaduslike asulate ületamine, et võidelda tööjõu ekspluateerimise vastu põllumajanduses)</w:t>
      </w:r>
    </w:p>
    <w:p w14:paraId="6A03A0B8" w14:textId="55912C4C" w:rsidR="0084326C" w:rsidRPr="005D68A0" w:rsidRDefault="0084326C" w:rsidP="0084326C">
      <w:pPr>
        <w:spacing w:before="120" w:after="120"/>
        <w:jc w:val="both"/>
        <w:rPr>
          <w:rFonts w:eastAsiaTheme="minorEastAsia"/>
          <w:noProof/>
        </w:rPr>
      </w:pPr>
      <w:r>
        <w:rPr>
          <w:noProof/>
        </w:rPr>
        <w:t>Selle meetme eesmärk on taaselustada, taaselustada ja edendada suuri degradeerunud linnapiirkondi, pöörates erilist tähelepanu inimestele uute teenuste loomisele ning juurdepääsetavuse ja ühendvedude taristute ümberkvalifitseerumisele, mis võimaldab haavatavatel territooriumidel muutuda arukateks ja säästvateks linnadeks. See investeering hõlmab kahte sekkumist: i) toetus üldprojektidele, mille eesmärk on viia ellu ja rakendada linnade integreeritud kavasid, näiteks avalike alade ja hoonete hooldamine ja korduskasutamine, alakasutatud või kasutamata linnapiirkondade taaselustamine ja väärtustamine jne; ii) konkreetsed projektid ebaseaduslike asulate ületamiseks põllumajanduses. ii) konkreetsed projektid ebaseaduslike asunduste ületamiseks põllumajanduses. Kohalikke omavalitsusi toetatakse tegevuskavade koostamisel, et ületada ebaseaduslikud asulad ja pakkuda põllumajandussektori töötajatele inimväärseid eluasemelahendusi. Lisaks luuakse selle investeeringu raames koostöös EIPga temaatiline fond (fondifond), mille eesmärk on toetada erasektori sekkumist linnade taaselustamise algatustesse. Seda fondi kasutatakse linnapiirkondade kliima- ja digiülemineku toetamiseks.</w:t>
      </w:r>
    </w:p>
    <w:p w14:paraId="2839A02A" w14:textId="77777777" w:rsidR="0084326C" w:rsidRPr="005D68A0" w:rsidRDefault="0084326C" w:rsidP="0084326C">
      <w:pPr>
        <w:spacing w:before="120" w:after="120"/>
        <w:jc w:val="both"/>
        <w:rPr>
          <w:rFonts w:eastAsia="Calibri"/>
          <w:noProof/>
        </w:rPr>
      </w:pPr>
      <w:r>
        <w:rPr>
          <w:noProof/>
        </w:rPr>
        <w:t>Eeldatakse, et kõnealune tegevus ei kahjusta märkimisväärselt keskkonnaeesmärke määruse (EL) 2020/852 artikli 17 tähenduses, võttes arvesse investeeringu kirjeldust ning taaste- ja vastupidavuskavas sätestatud leevendavaid meetmeid kooskõlas DNSH tehniliste suunistega (2021/C58/01). See hõlmab gaasikatlaid, mis ei ole käesoleva meetme raames abikõlbulikud.</w:t>
      </w:r>
    </w:p>
    <w:p w14:paraId="45C2459F" w14:textId="77777777" w:rsidR="0084326C" w:rsidRPr="005D68A0" w:rsidRDefault="0084326C" w:rsidP="0084326C">
      <w:pPr>
        <w:spacing w:before="120" w:after="120"/>
        <w:jc w:val="both"/>
        <w:rPr>
          <w:rFonts w:eastAsia="Calibri"/>
          <w:b/>
          <w:noProof/>
        </w:rPr>
      </w:pPr>
      <w:r>
        <w:rPr>
          <w:b/>
          <w:noProof/>
        </w:rPr>
        <w:t>Investeering 6. Uuenduslik eluasemekvaliteedi kava</w:t>
      </w:r>
    </w:p>
    <w:p w14:paraId="48F5C0D9" w14:textId="5A2CCAF2" w:rsidR="0084326C" w:rsidRPr="005D68A0" w:rsidRDefault="0084326C" w:rsidP="0084326C">
      <w:pPr>
        <w:spacing w:before="120" w:after="120"/>
        <w:jc w:val="both"/>
        <w:rPr>
          <w:rFonts w:eastAsiaTheme="minorEastAsia"/>
          <w:noProof/>
        </w:rPr>
      </w:pPr>
      <w:r>
        <w:rPr>
          <w:noProof/>
        </w:rPr>
        <w:t>Selle meetme eesmärk on ehitada uusi kommunaalelamuid ja kujundada ümber kahjustatud alad, keskendudes peamiselt keskkonnahoidlikule innovatsioonile ja jätkusuutlikkusele. Investeeringuga toetatakse: i) arendada ümber, korraldada ümber ja suurendada avalike eluasemete pakkumist; ii) taaselustada alasid, ruume ning avalikke ja eraomandusi; iii)</w:t>
      </w:r>
      <w:r w:rsidR="00695260">
        <w:rPr>
          <w:noProof/>
        </w:rPr>
        <w:t> </w:t>
      </w:r>
      <w:r>
        <w:rPr>
          <w:noProof/>
        </w:rPr>
        <w:t>Parandada linnapiirkondade juurdepääsetavust ja ohutust ning teenuste osutamist; iv)</w:t>
      </w:r>
      <w:r w:rsidR="00695260">
        <w:rPr>
          <w:noProof/>
        </w:rPr>
        <w:t> </w:t>
      </w:r>
      <w:r>
        <w:rPr>
          <w:noProof/>
        </w:rPr>
        <w:t xml:space="preserve">Arendada kaasavaid ja innovaatilisi juhtimismudeleid, et toetada sotsiaalset ja linna heaolu. </w:t>
      </w:r>
    </w:p>
    <w:p w14:paraId="16F427BD" w14:textId="77777777" w:rsidR="0084326C" w:rsidRPr="005D68A0" w:rsidRDefault="0084326C" w:rsidP="0084326C">
      <w:pPr>
        <w:spacing w:before="120" w:after="120"/>
        <w:jc w:val="both"/>
        <w:rPr>
          <w:rFonts w:eastAsia="Calibri"/>
          <w:b/>
          <w:noProof/>
        </w:rPr>
      </w:pPr>
      <w:r>
        <w:rPr>
          <w:b/>
          <w:noProof/>
        </w:rPr>
        <w:t>Investeering 7. Sport ja sotsiaalne kaasatus</w:t>
      </w:r>
    </w:p>
    <w:p w14:paraId="2FA54E82" w14:textId="5ACF9E75" w:rsidR="0084326C" w:rsidRPr="005D68A0" w:rsidRDefault="0084326C" w:rsidP="0084326C">
      <w:pPr>
        <w:spacing w:before="120" w:after="120"/>
        <w:jc w:val="both"/>
        <w:rPr>
          <w:rFonts w:eastAsia="Calibri"/>
          <w:noProof/>
        </w:rPr>
      </w:pPr>
      <w:r>
        <w:rPr>
          <w:noProof/>
        </w:rPr>
        <w:t>Selle meetme eesmärk on taaselustada linnapiirkonnad, keskendudes spordirajatistele, et edendada sotsiaalset kaasatust ja integratsiooni, eelkõige Itaalia enim puudust kannatavates piirkondades. Rahastatavate projektidega toetatakse: i) riigi ebasoodsas olukorras olevates piirkondades, sealhulgas suurlinnade äärelinnades asuvate spordirajatiste ehitamine ja taaselustamine; ii) spordivarustuse jaotamine ebasoodsas olukorras olevatele piirkondadele; iii)</w:t>
      </w:r>
      <w:r w:rsidR="00695260">
        <w:rPr>
          <w:noProof/>
        </w:rPr>
        <w:t> </w:t>
      </w:r>
      <w:r>
        <w:rPr>
          <w:noProof/>
        </w:rPr>
        <w:t xml:space="preserve">olemasolevate spordirajatiste lõpuleviimine ja kohandamine, näiteks: funktsionaalne taastamine, ümberkorraldamine, erakorraline hooldus, arhitektuuriliste tõkete kõrvaldamine ja energiatõhusus). </w:t>
      </w:r>
    </w:p>
    <w:p w14:paraId="73C1AAB0" w14:textId="77777777" w:rsidR="0084326C" w:rsidRPr="005D68A0" w:rsidRDefault="0084326C" w:rsidP="0084326C">
      <w:pPr>
        <w:pStyle w:val="Heading3"/>
        <w:numPr>
          <w:ilvl w:val="2"/>
          <w:numId w:val="0"/>
        </w:numPr>
        <w:ind w:left="850" w:hanging="850"/>
        <w:rPr>
          <w:b/>
          <w:i w:val="0"/>
          <w:noProof/>
          <w:u w:val="single"/>
        </w:rPr>
      </w:pPr>
      <w:r>
        <w:rPr>
          <w:b/>
          <w:i w:val="0"/>
          <w:noProof/>
          <w:u w:val="single"/>
        </w:rPr>
        <w:t xml:space="preserve">M.4. </w:t>
      </w:r>
      <w:r>
        <w:rPr>
          <w:noProof/>
        </w:rPr>
        <w:tab/>
      </w:r>
      <w:r>
        <w:rPr>
          <w:b/>
          <w:i w:val="0"/>
          <w:noProof/>
          <w:u w:val="single"/>
        </w:rPr>
        <w:t>Laenu eesmärgid, sihid, näitajad ning seire ja rakendamise ajakava</w:t>
      </w:r>
    </w:p>
    <w:p w14:paraId="67BE1D7E" w14:textId="77777777" w:rsidR="0084326C" w:rsidRPr="005D68A0" w:rsidRDefault="0084326C" w:rsidP="0084326C">
      <w:pPr>
        <w:spacing w:before="120" w:after="120"/>
        <w:ind w:left="709"/>
        <w:jc w:val="both"/>
        <w:rPr>
          <w:i/>
          <w:iCs/>
          <w:noProof/>
          <w:color w:val="4472C4" w:themeColor="accent1"/>
        </w:rPr>
      </w:pPr>
      <w:r>
        <w:rPr>
          <w:i/>
          <w:noProof/>
          <w:color w:val="4472C4" w:themeColor="accent1"/>
        </w:rPr>
        <w:t xml:space="preserve"> </w:t>
      </w:r>
    </w:p>
    <w:p w14:paraId="037E58D9" w14:textId="77777777" w:rsidR="0084326C" w:rsidRPr="00F33804" w:rsidRDefault="0084326C" w:rsidP="0084326C">
      <w:pPr>
        <w:spacing w:before="120" w:after="120"/>
        <w:ind w:left="709"/>
        <w:contextualSpacing/>
        <w:jc w:val="both"/>
        <w:rPr>
          <w:noProof/>
        </w:rPr>
        <w:sectPr w:rsidR="0084326C" w:rsidRPr="00F33804">
          <w:headerReference w:type="even" r:id="rId338"/>
          <w:headerReference w:type="default" r:id="rId339"/>
          <w:footerReference w:type="even" r:id="rId340"/>
          <w:footerReference w:type="default" r:id="rId341"/>
          <w:headerReference w:type="first" r:id="rId342"/>
          <w:footerReference w:type="first" r:id="rId343"/>
          <w:pgSz w:w="11907" w:h="16839"/>
          <w:pgMar w:top="1134" w:right="1417" w:bottom="1134" w:left="1417" w:header="709" w:footer="709" w:gutter="0"/>
          <w:cols w:space="720"/>
          <w:docGrid w:linePitch="360"/>
        </w:sectPr>
      </w:pPr>
    </w:p>
    <w:tbl>
      <w:tblPr>
        <w:tblW w:w="5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735"/>
        <w:gridCol w:w="1211"/>
        <w:gridCol w:w="1976"/>
        <w:gridCol w:w="1894"/>
        <w:gridCol w:w="1626"/>
        <w:gridCol w:w="1059"/>
        <w:gridCol w:w="1293"/>
        <w:gridCol w:w="906"/>
        <w:gridCol w:w="663"/>
        <w:gridCol w:w="3742"/>
      </w:tblGrid>
      <w:tr w:rsidR="0084326C" w:rsidRPr="00D90835" w14:paraId="11748D12" w14:textId="77777777">
        <w:trPr>
          <w:trHeight w:val="1190"/>
          <w:tblHeader/>
          <w:jc w:val="center"/>
        </w:trPr>
        <w:tc>
          <w:tcPr>
            <w:tcW w:w="384" w:type="pct"/>
            <w:vMerge w:val="restart"/>
            <w:shd w:val="clear" w:color="auto" w:fill="BDD7EE"/>
            <w:vAlign w:val="center"/>
            <w:hideMark/>
          </w:tcPr>
          <w:p w14:paraId="212329CB" w14:textId="77777777" w:rsidR="0084326C" w:rsidRPr="005D68A0" w:rsidRDefault="0084326C">
            <w:pPr>
              <w:jc w:val="center"/>
              <w:rPr>
                <w:rFonts w:ascii="Arial Narrow" w:hAnsi="Arial Narrow"/>
                <w:b/>
                <w:noProof/>
                <w:color w:val="000000"/>
                <w:sz w:val="20"/>
                <w:szCs w:val="20"/>
              </w:rPr>
            </w:pPr>
            <w:r>
              <w:rPr>
                <w:rFonts w:ascii="Arial Narrow" w:hAnsi="Arial Narrow"/>
                <w:b/>
                <w:noProof/>
                <w:color w:val="000000"/>
                <w:sz w:val="20"/>
              </w:rPr>
              <w:t>Järjekorranumber</w:t>
            </w:r>
          </w:p>
        </w:tc>
        <w:tc>
          <w:tcPr>
            <w:tcW w:w="509" w:type="pct"/>
            <w:vMerge w:val="restart"/>
            <w:shd w:val="clear" w:color="auto" w:fill="BDD7EE"/>
            <w:vAlign w:val="center"/>
            <w:hideMark/>
          </w:tcPr>
          <w:p w14:paraId="5D07039F" w14:textId="77777777" w:rsidR="0084326C" w:rsidRPr="005D68A0" w:rsidRDefault="0084326C">
            <w:pPr>
              <w:jc w:val="center"/>
              <w:rPr>
                <w:rFonts w:ascii="Arial Narrow" w:hAnsi="Arial Narrow"/>
                <w:b/>
                <w:noProof/>
                <w:color w:val="000000"/>
                <w:sz w:val="20"/>
                <w:szCs w:val="20"/>
              </w:rPr>
            </w:pPr>
            <w:r>
              <w:rPr>
                <w:rFonts w:ascii="Arial Narrow" w:hAnsi="Arial Narrow"/>
                <w:b/>
                <w:noProof/>
                <w:color w:val="000000"/>
                <w:sz w:val="20"/>
              </w:rPr>
              <w:t>Seotud meede (reform või investeering)</w:t>
            </w:r>
          </w:p>
        </w:tc>
        <w:tc>
          <w:tcPr>
            <w:tcW w:w="361" w:type="pct"/>
            <w:vMerge w:val="restart"/>
            <w:shd w:val="clear" w:color="auto" w:fill="BDD7EE"/>
            <w:vAlign w:val="center"/>
            <w:hideMark/>
          </w:tcPr>
          <w:p w14:paraId="7122D169" w14:textId="77777777" w:rsidR="0084326C" w:rsidRPr="005D68A0" w:rsidRDefault="0084326C">
            <w:pPr>
              <w:jc w:val="center"/>
              <w:rPr>
                <w:rFonts w:ascii="Arial Narrow" w:hAnsi="Arial Narrow"/>
                <w:b/>
                <w:noProof/>
                <w:color w:val="000000"/>
                <w:sz w:val="20"/>
                <w:szCs w:val="20"/>
              </w:rPr>
            </w:pPr>
            <w:r>
              <w:rPr>
                <w:rFonts w:ascii="Arial Narrow" w:hAnsi="Arial Narrow"/>
                <w:b/>
                <w:noProof/>
                <w:color w:val="000000"/>
                <w:sz w:val="20"/>
              </w:rPr>
              <w:t>Eesmärk / siht</w:t>
            </w:r>
          </w:p>
        </w:tc>
        <w:tc>
          <w:tcPr>
            <w:tcW w:w="505" w:type="pct"/>
            <w:vMerge w:val="restart"/>
            <w:shd w:val="clear" w:color="auto" w:fill="BDD7EE"/>
            <w:vAlign w:val="center"/>
            <w:hideMark/>
          </w:tcPr>
          <w:p w14:paraId="5FC8A380" w14:textId="77777777" w:rsidR="0084326C" w:rsidRPr="005D68A0" w:rsidRDefault="0084326C">
            <w:pPr>
              <w:jc w:val="center"/>
              <w:rPr>
                <w:rFonts w:ascii="Arial Narrow" w:hAnsi="Arial Narrow"/>
                <w:b/>
                <w:noProof/>
                <w:color w:val="000000"/>
                <w:sz w:val="20"/>
                <w:szCs w:val="20"/>
              </w:rPr>
            </w:pPr>
            <w:r>
              <w:rPr>
                <w:rFonts w:ascii="Arial Narrow" w:hAnsi="Arial Narrow"/>
                <w:b/>
                <w:noProof/>
                <w:color w:val="000000"/>
                <w:sz w:val="20"/>
              </w:rPr>
              <w:t>Nimi</w:t>
            </w:r>
          </w:p>
        </w:tc>
        <w:tc>
          <w:tcPr>
            <w:tcW w:w="505" w:type="pct"/>
            <w:vMerge w:val="restart"/>
            <w:shd w:val="clear" w:color="auto" w:fill="BDD7EE"/>
            <w:vAlign w:val="center"/>
            <w:hideMark/>
          </w:tcPr>
          <w:p w14:paraId="2F35572B" w14:textId="77777777" w:rsidR="0084326C" w:rsidRPr="005D68A0" w:rsidRDefault="0084326C">
            <w:pPr>
              <w:jc w:val="center"/>
              <w:rPr>
                <w:rFonts w:ascii="Arial Narrow" w:hAnsi="Arial Narrow"/>
                <w:b/>
                <w:noProof/>
                <w:color w:val="000000"/>
                <w:sz w:val="20"/>
                <w:szCs w:val="20"/>
              </w:rPr>
            </w:pPr>
            <w:r>
              <w:rPr>
                <w:rFonts w:ascii="Arial Narrow" w:hAnsi="Arial Narrow"/>
                <w:b/>
                <w:noProof/>
                <w:color w:val="000000"/>
                <w:sz w:val="20"/>
              </w:rPr>
              <w:t xml:space="preserve">Kvalitatiivsed näitajad </w:t>
            </w:r>
            <w:r>
              <w:rPr>
                <w:rFonts w:ascii="Arial Narrow" w:hAnsi="Arial Narrow"/>
                <w:noProof/>
                <w:color w:val="000000"/>
                <w:sz w:val="20"/>
              </w:rPr>
              <w:t xml:space="preserve"> </w:t>
            </w:r>
            <w:r>
              <w:rPr>
                <w:rFonts w:ascii="Arial Narrow" w:hAnsi="Arial Narrow"/>
                <w:b/>
                <w:noProof/>
                <w:color w:val="000000"/>
                <w:sz w:val="20"/>
              </w:rPr>
              <w:t>(eesmärkide puhul)</w:t>
            </w:r>
          </w:p>
        </w:tc>
        <w:tc>
          <w:tcPr>
            <w:tcW w:w="1180" w:type="pct"/>
            <w:gridSpan w:val="3"/>
            <w:shd w:val="clear" w:color="auto" w:fill="BDD7EE"/>
            <w:vAlign w:val="center"/>
            <w:hideMark/>
          </w:tcPr>
          <w:p w14:paraId="2C5DD527" w14:textId="77777777" w:rsidR="0084326C" w:rsidRPr="005D68A0" w:rsidRDefault="0084326C">
            <w:pPr>
              <w:jc w:val="center"/>
              <w:rPr>
                <w:rFonts w:ascii="Arial Narrow" w:hAnsi="Arial Narrow"/>
                <w:b/>
                <w:noProof/>
                <w:color w:val="000000"/>
                <w:sz w:val="20"/>
                <w:szCs w:val="20"/>
              </w:rPr>
            </w:pPr>
            <w:r>
              <w:rPr>
                <w:rFonts w:ascii="Arial Narrow" w:hAnsi="Arial Narrow"/>
                <w:b/>
                <w:noProof/>
                <w:color w:val="000000"/>
                <w:sz w:val="20"/>
              </w:rPr>
              <w:t xml:space="preserve">Kvantitatiivsed näitajad </w:t>
            </w:r>
            <w:r>
              <w:rPr>
                <w:rFonts w:ascii="Arial Narrow" w:hAnsi="Arial Narrow"/>
                <w:noProof/>
                <w:color w:val="000000"/>
                <w:sz w:val="20"/>
              </w:rPr>
              <w:t xml:space="preserve"> </w:t>
            </w:r>
            <w:r>
              <w:rPr>
                <w:rFonts w:ascii="Arial Narrow" w:hAnsi="Arial Narrow"/>
                <w:b/>
                <w:noProof/>
                <w:color w:val="000000"/>
                <w:sz w:val="20"/>
              </w:rPr>
              <w:t>(sihtide puhul)</w:t>
            </w:r>
          </w:p>
        </w:tc>
        <w:tc>
          <w:tcPr>
            <w:tcW w:w="475" w:type="pct"/>
            <w:gridSpan w:val="2"/>
            <w:shd w:val="clear" w:color="auto" w:fill="BDD7EE"/>
            <w:vAlign w:val="center"/>
            <w:hideMark/>
          </w:tcPr>
          <w:p w14:paraId="26C70C6A" w14:textId="77777777" w:rsidR="0084326C" w:rsidRPr="005D68A0" w:rsidRDefault="0084326C">
            <w:pPr>
              <w:jc w:val="center"/>
              <w:rPr>
                <w:rFonts w:ascii="Arial Narrow" w:hAnsi="Arial Narrow"/>
                <w:b/>
                <w:noProof/>
                <w:color w:val="000000"/>
                <w:sz w:val="20"/>
                <w:szCs w:val="20"/>
              </w:rPr>
            </w:pPr>
            <w:r>
              <w:rPr>
                <w:rFonts w:ascii="Arial Narrow" w:hAnsi="Arial Narrow"/>
                <w:b/>
                <w:noProof/>
                <w:color w:val="000000"/>
                <w:sz w:val="20"/>
              </w:rPr>
              <w:t>Lõpuleviimise soovituslik ajakava</w:t>
            </w:r>
          </w:p>
        </w:tc>
        <w:tc>
          <w:tcPr>
            <w:tcW w:w="1081" w:type="pct"/>
            <w:vMerge w:val="restart"/>
            <w:shd w:val="clear" w:color="auto" w:fill="BDD7EE"/>
            <w:vAlign w:val="center"/>
            <w:hideMark/>
          </w:tcPr>
          <w:p w14:paraId="3D3410C8" w14:textId="77777777" w:rsidR="0084326C" w:rsidRPr="005D68A0" w:rsidRDefault="0084326C">
            <w:pPr>
              <w:jc w:val="center"/>
              <w:rPr>
                <w:rFonts w:ascii="Arial Narrow" w:hAnsi="Arial Narrow"/>
                <w:b/>
                <w:noProof/>
                <w:color w:val="000000"/>
                <w:sz w:val="20"/>
                <w:szCs w:val="20"/>
              </w:rPr>
            </w:pPr>
            <w:r>
              <w:rPr>
                <w:rFonts w:ascii="Arial Narrow" w:hAnsi="Arial Narrow"/>
                <w:b/>
                <w:noProof/>
                <w:color w:val="000000"/>
                <w:sz w:val="20"/>
              </w:rPr>
              <w:t>Iga eesmärgi ja sihi kirjeldus</w:t>
            </w:r>
          </w:p>
        </w:tc>
      </w:tr>
      <w:tr w:rsidR="0084326C" w:rsidRPr="005D68A0" w14:paraId="717374F6" w14:textId="77777777">
        <w:trPr>
          <w:trHeight w:val="610"/>
          <w:jc w:val="center"/>
        </w:trPr>
        <w:tc>
          <w:tcPr>
            <w:tcW w:w="384" w:type="pct"/>
            <w:vMerge/>
            <w:vAlign w:val="center"/>
            <w:hideMark/>
          </w:tcPr>
          <w:p w14:paraId="3F5498CC" w14:textId="77777777" w:rsidR="0084326C" w:rsidRPr="00F33804" w:rsidRDefault="0084326C">
            <w:pPr>
              <w:jc w:val="center"/>
              <w:rPr>
                <w:rFonts w:ascii="Arial Narrow" w:hAnsi="Arial Narrow"/>
                <w:b/>
                <w:noProof/>
                <w:color w:val="000000"/>
                <w:sz w:val="20"/>
                <w:szCs w:val="20"/>
              </w:rPr>
            </w:pPr>
          </w:p>
        </w:tc>
        <w:tc>
          <w:tcPr>
            <w:tcW w:w="509" w:type="pct"/>
            <w:vMerge/>
            <w:vAlign w:val="center"/>
            <w:hideMark/>
          </w:tcPr>
          <w:p w14:paraId="2B7698DC" w14:textId="77777777" w:rsidR="0084326C" w:rsidRPr="00F33804" w:rsidRDefault="0084326C">
            <w:pPr>
              <w:jc w:val="center"/>
              <w:rPr>
                <w:rFonts w:ascii="Arial Narrow" w:hAnsi="Arial Narrow"/>
                <w:b/>
                <w:noProof/>
                <w:color w:val="000000"/>
                <w:sz w:val="20"/>
                <w:szCs w:val="20"/>
              </w:rPr>
            </w:pPr>
          </w:p>
        </w:tc>
        <w:tc>
          <w:tcPr>
            <w:tcW w:w="361" w:type="pct"/>
            <w:vMerge/>
            <w:vAlign w:val="center"/>
            <w:hideMark/>
          </w:tcPr>
          <w:p w14:paraId="7FD30616" w14:textId="77777777" w:rsidR="0084326C" w:rsidRPr="00F33804" w:rsidRDefault="0084326C">
            <w:pPr>
              <w:jc w:val="center"/>
              <w:rPr>
                <w:rFonts w:ascii="Arial Narrow" w:hAnsi="Arial Narrow"/>
                <w:b/>
                <w:noProof/>
                <w:color w:val="000000"/>
                <w:sz w:val="20"/>
                <w:szCs w:val="20"/>
              </w:rPr>
            </w:pPr>
          </w:p>
        </w:tc>
        <w:tc>
          <w:tcPr>
            <w:tcW w:w="505" w:type="pct"/>
            <w:vMerge/>
            <w:vAlign w:val="center"/>
            <w:hideMark/>
          </w:tcPr>
          <w:p w14:paraId="5D9D75D9" w14:textId="77777777" w:rsidR="0084326C" w:rsidRPr="00F33804" w:rsidRDefault="0084326C">
            <w:pPr>
              <w:jc w:val="center"/>
              <w:rPr>
                <w:rFonts w:ascii="Arial Narrow" w:hAnsi="Arial Narrow"/>
                <w:b/>
                <w:noProof/>
                <w:color w:val="000000"/>
                <w:sz w:val="20"/>
                <w:szCs w:val="20"/>
              </w:rPr>
            </w:pPr>
          </w:p>
        </w:tc>
        <w:tc>
          <w:tcPr>
            <w:tcW w:w="505" w:type="pct"/>
            <w:vMerge/>
            <w:vAlign w:val="center"/>
            <w:hideMark/>
          </w:tcPr>
          <w:p w14:paraId="7CBEE969" w14:textId="77777777" w:rsidR="0084326C" w:rsidRPr="00F33804" w:rsidRDefault="0084326C">
            <w:pPr>
              <w:jc w:val="center"/>
              <w:rPr>
                <w:rFonts w:ascii="Arial Narrow" w:hAnsi="Arial Narrow"/>
                <w:b/>
                <w:noProof/>
                <w:color w:val="000000"/>
                <w:sz w:val="20"/>
                <w:szCs w:val="20"/>
              </w:rPr>
            </w:pPr>
          </w:p>
        </w:tc>
        <w:tc>
          <w:tcPr>
            <w:tcW w:w="478" w:type="pct"/>
            <w:shd w:val="clear" w:color="auto" w:fill="BDD7EE"/>
            <w:vAlign w:val="center"/>
            <w:hideMark/>
          </w:tcPr>
          <w:p w14:paraId="430D4A58" w14:textId="77777777" w:rsidR="0084326C" w:rsidRPr="005D68A0" w:rsidRDefault="0084326C">
            <w:pPr>
              <w:jc w:val="center"/>
              <w:rPr>
                <w:rFonts w:ascii="Arial Narrow" w:hAnsi="Arial Narrow"/>
                <w:b/>
                <w:noProof/>
                <w:color w:val="000000"/>
                <w:sz w:val="20"/>
                <w:szCs w:val="20"/>
              </w:rPr>
            </w:pPr>
            <w:r>
              <w:rPr>
                <w:rFonts w:ascii="Arial Narrow" w:hAnsi="Arial Narrow"/>
                <w:b/>
                <w:noProof/>
                <w:color w:val="000000"/>
                <w:sz w:val="20"/>
              </w:rPr>
              <w:t>Mõõtühik</w:t>
            </w:r>
          </w:p>
        </w:tc>
        <w:tc>
          <w:tcPr>
            <w:tcW w:w="318" w:type="pct"/>
            <w:shd w:val="clear" w:color="auto" w:fill="BDD7EE"/>
            <w:vAlign w:val="center"/>
            <w:hideMark/>
          </w:tcPr>
          <w:p w14:paraId="6FE9ECB4" w14:textId="77777777" w:rsidR="0084326C" w:rsidRPr="005D68A0" w:rsidRDefault="0084326C">
            <w:pPr>
              <w:jc w:val="center"/>
              <w:rPr>
                <w:rFonts w:ascii="Arial Narrow" w:hAnsi="Arial Narrow"/>
                <w:b/>
                <w:noProof/>
                <w:color w:val="000000"/>
                <w:sz w:val="20"/>
                <w:szCs w:val="20"/>
              </w:rPr>
            </w:pPr>
            <w:r>
              <w:rPr>
                <w:rFonts w:ascii="Arial Narrow" w:hAnsi="Arial Narrow"/>
                <w:b/>
                <w:noProof/>
                <w:color w:val="000000"/>
                <w:sz w:val="20"/>
              </w:rPr>
              <w:t>Lähtetase</w:t>
            </w:r>
          </w:p>
        </w:tc>
        <w:tc>
          <w:tcPr>
            <w:tcW w:w="384" w:type="pct"/>
            <w:shd w:val="clear" w:color="auto" w:fill="BDD7EE"/>
            <w:vAlign w:val="center"/>
            <w:hideMark/>
          </w:tcPr>
          <w:p w14:paraId="7C2AB451" w14:textId="77777777" w:rsidR="0084326C" w:rsidRPr="005D68A0" w:rsidRDefault="0084326C">
            <w:pPr>
              <w:jc w:val="center"/>
              <w:rPr>
                <w:rFonts w:ascii="Arial Narrow" w:hAnsi="Arial Narrow"/>
                <w:b/>
                <w:noProof/>
                <w:color w:val="000000"/>
                <w:sz w:val="20"/>
                <w:szCs w:val="20"/>
              </w:rPr>
            </w:pPr>
            <w:r>
              <w:rPr>
                <w:rFonts w:ascii="Arial Narrow" w:hAnsi="Arial Narrow"/>
                <w:b/>
                <w:noProof/>
                <w:color w:val="000000"/>
                <w:sz w:val="20"/>
              </w:rPr>
              <w:t>Eesmärk</w:t>
            </w:r>
          </w:p>
        </w:tc>
        <w:tc>
          <w:tcPr>
            <w:tcW w:w="275" w:type="pct"/>
            <w:shd w:val="clear" w:color="auto" w:fill="BDD7EE"/>
            <w:vAlign w:val="center"/>
            <w:hideMark/>
          </w:tcPr>
          <w:p w14:paraId="0D547C3E" w14:textId="77777777" w:rsidR="0084326C" w:rsidRPr="005D68A0" w:rsidRDefault="0084326C">
            <w:pPr>
              <w:jc w:val="center"/>
              <w:rPr>
                <w:rFonts w:ascii="Arial Narrow" w:hAnsi="Arial Narrow"/>
                <w:b/>
                <w:noProof/>
                <w:color w:val="000000"/>
                <w:sz w:val="20"/>
                <w:szCs w:val="20"/>
              </w:rPr>
            </w:pPr>
            <w:r>
              <w:rPr>
                <w:rFonts w:ascii="Arial Narrow" w:hAnsi="Arial Narrow"/>
                <w:b/>
                <w:noProof/>
                <w:color w:val="000000"/>
                <w:sz w:val="20"/>
              </w:rPr>
              <w:t>Kvartal</w:t>
            </w:r>
          </w:p>
        </w:tc>
        <w:tc>
          <w:tcPr>
            <w:tcW w:w="200" w:type="pct"/>
            <w:shd w:val="clear" w:color="auto" w:fill="BDD7EE"/>
            <w:vAlign w:val="center"/>
            <w:hideMark/>
          </w:tcPr>
          <w:p w14:paraId="7D2F10E4" w14:textId="77777777" w:rsidR="0084326C" w:rsidRPr="005D68A0" w:rsidRDefault="0084326C">
            <w:pPr>
              <w:jc w:val="center"/>
              <w:rPr>
                <w:rFonts w:ascii="Arial Narrow" w:hAnsi="Arial Narrow"/>
                <w:b/>
                <w:noProof/>
                <w:color w:val="000000"/>
                <w:sz w:val="20"/>
                <w:szCs w:val="20"/>
              </w:rPr>
            </w:pPr>
            <w:r>
              <w:rPr>
                <w:rFonts w:ascii="Arial Narrow" w:hAnsi="Arial Narrow"/>
                <w:b/>
                <w:noProof/>
                <w:color w:val="000000"/>
                <w:sz w:val="20"/>
              </w:rPr>
              <w:t>Aasta</w:t>
            </w:r>
          </w:p>
        </w:tc>
        <w:tc>
          <w:tcPr>
            <w:tcW w:w="1081" w:type="pct"/>
            <w:vMerge/>
            <w:shd w:val="clear" w:color="auto" w:fill="BDD7EE"/>
            <w:vAlign w:val="center"/>
            <w:hideMark/>
          </w:tcPr>
          <w:p w14:paraId="11A7E7C7" w14:textId="77777777" w:rsidR="0084326C" w:rsidRPr="005D68A0" w:rsidRDefault="0084326C">
            <w:pPr>
              <w:rPr>
                <w:rFonts w:ascii="Arial Narrow" w:hAnsi="Arial Narrow"/>
                <w:b/>
                <w:noProof/>
                <w:color w:val="000000"/>
                <w:sz w:val="20"/>
                <w:szCs w:val="20"/>
                <w:lang w:val="en-GB"/>
              </w:rPr>
            </w:pPr>
          </w:p>
        </w:tc>
      </w:tr>
      <w:tr w:rsidR="0084326C" w:rsidRPr="00D90835" w14:paraId="469B765D" w14:textId="77777777">
        <w:trPr>
          <w:trHeight w:val="20"/>
          <w:jc w:val="center"/>
        </w:trPr>
        <w:tc>
          <w:tcPr>
            <w:tcW w:w="384" w:type="pct"/>
            <w:shd w:val="clear" w:color="auto" w:fill="C6EFCE"/>
            <w:vAlign w:val="center"/>
            <w:hideMark/>
          </w:tcPr>
          <w:p w14:paraId="755AFFFE"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M5C2-11</w:t>
            </w:r>
          </w:p>
        </w:tc>
        <w:tc>
          <w:tcPr>
            <w:tcW w:w="509" w:type="pct"/>
            <w:shd w:val="clear" w:color="auto" w:fill="C6EFCE"/>
            <w:vAlign w:val="center"/>
            <w:hideMark/>
          </w:tcPr>
          <w:p w14:paraId="3F1BB294"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Investeering 4. Investeeringud linnade taaselustamise projektidesse, mille eesmärk on vähendada marginaliseerumise ja sotsiaalse olukorra halvenemise olukordi</w:t>
            </w:r>
          </w:p>
        </w:tc>
        <w:tc>
          <w:tcPr>
            <w:tcW w:w="361" w:type="pct"/>
            <w:shd w:val="clear" w:color="auto" w:fill="C6EFCE"/>
            <w:vAlign w:val="center"/>
            <w:hideMark/>
          </w:tcPr>
          <w:p w14:paraId="249EA29F"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Eesmärk</w:t>
            </w:r>
          </w:p>
        </w:tc>
        <w:tc>
          <w:tcPr>
            <w:tcW w:w="505" w:type="pct"/>
            <w:shd w:val="clear" w:color="auto" w:fill="C6EFCE"/>
            <w:vAlign w:val="center"/>
            <w:hideMark/>
          </w:tcPr>
          <w:p w14:paraId="74D172D8"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Kõigi hankelepingute sõlmimine investeeringuteks linnade taaselustamisse, et vähendada marginaliseerumist ja sotsiaalset halvenemist, kusjuures projektid on kooskõlas taaste- ja vastupidavusrahastu eesmärkidega, sealhulgas põhimõttega „ei kahjusta oluliselt“.</w:t>
            </w:r>
          </w:p>
        </w:tc>
        <w:tc>
          <w:tcPr>
            <w:tcW w:w="505" w:type="pct"/>
            <w:shd w:val="clear" w:color="auto" w:fill="C6EFCE"/>
            <w:vAlign w:val="center"/>
            <w:hideMark/>
          </w:tcPr>
          <w:p w14:paraId="222FB471"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Teatamine kõigist riigihankelepingutest investeeringuteks linnade taaselustamisse, et vähendada marginaliseerumist ja sotsiaalset halvenemist, kusjuures projektid on kooskõlas taaste- ja vastupidavusrahastu eesmärkidega, sealhulgas põhimõttega „ei kahjusta oluliselt“</w:t>
            </w:r>
          </w:p>
        </w:tc>
        <w:tc>
          <w:tcPr>
            <w:tcW w:w="478" w:type="pct"/>
            <w:shd w:val="clear" w:color="auto" w:fill="C6EFCE"/>
            <w:vAlign w:val="center"/>
            <w:hideMark/>
          </w:tcPr>
          <w:p w14:paraId="1B2A2327"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318" w:type="pct"/>
            <w:shd w:val="clear" w:color="auto" w:fill="C6EFCE"/>
            <w:vAlign w:val="center"/>
            <w:hideMark/>
          </w:tcPr>
          <w:p w14:paraId="3A934950"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384" w:type="pct"/>
            <w:shd w:val="clear" w:color="auto" w:fill="C6EFCE"/>
            <w:vAlign w:val="center"/>
            <w:hideMark/>
          </w:tcPr>
          <w:p w14:paraId="3F705A1B"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Ei kohaldata</w:t>
            </w:r>
          </w:p>
        </w:tc>
        <w:tc>
          <w:tcPr>
            <w:tcW w:w="275" w:type="pct"/>
            <w:shd w:val="clear" w:color="auto" w:fill="C6EFCE"/>
            <w:vAlign w:val="center"/>
            <w:hideMark/>
          </w:tcPr>
          <w:p w14:paraId="543D81B1"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1. kv</w:t>
            </w:r>
          </w:p>
        </w:tc>
        <w:tc>
          <w:tcPr>
            <w:tcW w:w="200" w:type="pct"/>
            <w:shd w:val="clear" w:color="auto" w:fill="C6EFCE"/>
            <w:vAlign w:val="center"/>
            <w:hideMark/>
          </w:tcPr>
          <w:p w14:paraId="56A552DE" w14:textId="77777777" w:rsidR="0084326C" w:rsidRPr="005D68A0" w:rsidRDefault="0084326C">
            <w:pPr>
              <w:spacing w:before="120" w:after="120"/>
              <w:jc w:val="center"/>
              <w:rPr>
                <w:rFonts w:ascii="Arial Narrow" w:eastAsia="Calibri" w:hAnsi="Arial Narrow"/>
                <w:noProof/>
                <w:color w:val="006100"/>
                <w:sz w:val="20"/>
                <w:szCs w:val="20"/>
              </w:rPr>
            </w:pPr>
            <w:r>
              <w:rPr>
                <w:rFonts w:ascii="Arial Narrow" w:hAnsi="Arial Narrow"/>
                <w:noProof/>
                <w:color w:val="006100"/>
                <w:sz w:val="20"/>
              </w:rPr>
              <w:t>2022</w:t>
            </w:r>
          </w:p>
        </w:tc>
        <w:tc>
          <w:tcPr>
            <w:tcW w:w="1081" w:type="pct"/>
            <w:shd w:val="clear" w:color="auto" w:fill="C6EFCE"/>
            <w:vAlign w:val="center"/>
            <w:hideMark/>
          </w:tcPr>
          <w:p w14:paraId="1F68FA3F" w14:textId="688327F7"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Teatamine kõigist riigihankelepingutest, mis on sõlmitud vähemalt 300 enam kui 15 000 elanikuga omavalitsusega, et investeerida linnade taaselustamisse, et vähendada marginaliseerumist ja sotsiaalset halvenemist, kusjuures projektid on kooskõlas taaste- ja vastupidavusrahastu eesmärkidega, sealhulgas põhimõttega „ei kahjusta oluliselt“.</w:t>
            </w:r>
          </w:p>
          <w:p w14:paraId="1955166F" w14:textId="778EEA73"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Toetusi antakse üle 15 000 elanikuga omavalitsustele, mis ei ole provintsipealinnad, provintsipealinnad ega suurlinnade peakorterid.</w:t>
            </w:r>
          </w:p>
          <w:p w14:paraId="704A681A" w14:textId="77777777"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Linnade tootmisprojektid peavad koosnema vähemalt ühest järgmisest sekkumisest:</w:t>
            </w:r>
          </w:p>
          <w:p w14:paraId="7188AE18" w14:textId="77777777" w:rsidR="0084326C" w:rsidRPr="005D68A0" w:rsidRDefault="0084326C">
            <w:pPr>
              <w:pStyle w:val="ListParagraph"/>
              <w:numPr>
                <w:ilvl w:val="6"/>
                <w:numId w:val="7"/>
              </w:numPr>
              <w:ind w:left="506" w:hanging="237"/>
              <w:jc w:val="left"/>
              <w:rPr>
                <w:rFonts w:ascii="Arial Narrow" w:eastAsia="Calibri" w:hAnsi="Arial Narrow"/>
                <w:noProof/>
                <w:color w:val="006100"/>
                <w:sz w:val="20"/>
                <w:szCs w:val="20"/>
              </w:rPr>
            </w:pPr>
            <w:r>
              <w:rPr>
                <w:rFonts w:ascii="Arial Narrow" w:hAnsi="Arial Narrow"/>
                <w:noProof/>
                <w:color w:val="006100"/>
                <w:sz w:val="20"/>
              </w:rPr>
              <w:t>Avaliku ruumi ja olemasolevate avaliku sektori hoonete taaskasutamine ja taasfunktsioneerimine avalikes huvides, sealhulgas eraisikute kuritarvituslike tööde lammutamine ehitusloa puudumise või täieliku lahknevuse korral ja asjaomaste alade korraldamine;</w:t>
            </w:r>
          </w:p>
          <w:p w14:paraId="238BCA47" w14:textId="77777777" w:rsidR="0084326C" w:rsidRPr="005D68A0" w:rsidRDefault="0084326C">
            <w:pPr>
              <w:pStyle w:val="ListParagraph"/>
              <w:numPr>
                <w:ilvl w:val="6"/>
                <w:numId w:val="7"/>
              </w:numPr>
              <w:ind w:left="506" w:hanging="237"/>
              <w:jc w:val="left"/>
              <w:rPr>
                <w:rFonts w:ascii="Arial Narrow" w:eastAsia="Calibri" w:hAnsi="Arial Narrow"/>
                <w:noProof/>
                <w:color w:val="006100"/>
                <w:sz w:val="20"/>
                <w:szCs w:val="20"/>
              </w:rPr>
            </w:pPr>
            <w:r>
              <w:rPr>
                <w:rFonts w:ascii="Arial Narrow" w:hAnsi="Arial Narrow"/>
                <w:noProof/>
                <w:color w:val="006100"/>
                <w:sz w:val="20"/>
              </w:rPr>
              <w:t>Linnamaastiku ning sotsiaalse ja keskkondliku struktuuri kvaliteedi parandamine, sealhulgas üldkasutatavate hoonete renoveerimine, pöörates erilist tähelepanu sotsiaal-, kultuuri-, haridus- ja didaktiliste teenuste arendamisele;</w:t>
            </w:r>
          </w:p>
          <w:p w14:paraId="44DBCD80" w14:textId="77777777" w:rsidR="0084326C" w:rsidRPr="005D68A0" w:rsidRDefault="0084326C">
            <w:pPr>
              <w:pStyle w:val="ListParagraph"/>
              <w:numPr>
                <w:ilvl w:val="6"/>
                <w:numId w:val="7"/>
              </w:numPr>
              <w:ind w:left="506" w:hanging="237"/>
              <w:jc w:val="left"/>
              <w:rPr>
                <w:rFonts w:ascii="Arial Narrow" w:eastAsia="Calibri" w:hAnsi="Arial Narrow"/>
                <w:noProof/>
                <w:color w:val="006100"/>
                <w:sz w:val="20"/>
                <w:szCs w:val="20"/>
              </w:rPr>
            </w:pPr>
            <w:r>
              <w:rPr>
                <w:rFonts w:ascii="Arial Narrow" w:hAnsi="Arial Narrow"/>
                <w:noProof/>
                <w:color w:val="006100"/>
                <w:sz w:val="20"/>
              </w:rPr>
              <w:t>Keskkonnahoidliku, säästva ja aruka transpordi projektid.</w:t>
            </w:r>
          </w:p>
          <w:p w14:paraId="3F677AD2" w14:textId="77777777"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Maksimumsummad omavalitsuse kohta on järgmised:</w:t>
            </w:r>
          </w:p>
          <w:p w14:paraId="7FDFA386" w14:textId="7E2D1958"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5 000 000 eurot kohalike omavalitsuste puhul, mille elanikkond jääb vahemikku 15 000 kuni 49 999 elanikku;</w:t>
            </w:r>
          </w:p>
          <w:p w14:paraId="419158B2" w14:textId="57A76D54"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10 000 000 eurot omavalitsusüksustele, mille elanikkond on 50 000-100 000 elanikku;</w:t>
            </w:r>
          </w:p>
          <w:p w14:paraId="000478D0" w14:textId="43AAAEE9" w:rsidR="0084326C" w:rsidRPr="005D68A0" w:rsidRDefault="0084326C">
            <w:pPr>
              <w:spacing w:before="120" w:after="120"/>
              <w:rPr>
                <w:rFonts w:ascii="Arial Narrow" w:eastAsia="Calibri" w:hAnsi="Arial Narrow"/>
                <w:noProof/>
                <w:color w:val="006100"/>
                <w:sz w:val="20"/>
                <w:szCs w:val="20"/>
              </w:rPr>
            </w:pPr>
            <w:r>
              <w:rPr>
                <w:rFonts w:ascii="Arial Narrow" w:hAnsi="Arial Narrow"/>
                <w:noProof/>
                <w:color w:val="006100"/>
                <w:sz w:val="20"/>
              </w:rPr>
              <w:t>20 000 000 eurot üle 100 000 elanikuga omavalitsustele ja provintsipealinnadele või suurlinnadele.</w:t>
            </w:r>
          </w:p>
        </w:tc>
      </w:tr>
      <w:tr w:rsidR="0084326C" w:rsidRPr="00D90835" w14:paraId="5F3F1F3F" w14:textId="77777777">
        <w:trPr>
          <w:trHeight w:val="3113"/>
          <w:jc w:val="center"/>
        </w:trPr>
        <w:tc>
          <w:tcPr>
            <w:tcW w:w="384" w:type="pct"/>
            <w:shd w:val="clear" w:color="auto" w:fill="C6EFCE"/>
            <w:vAlign w:val="center"/>
            <w:hideMark/>
          </w:tcPr>
          <w:p w14:paraId="5518AD7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M5C2-12</w:t>
            </w:r>
          </w:p>
        </w:tc>
        <w:tc>
          <w:tcPr>
            <w:tcW w:w="509" w:type="pct"/>
            <w:shd w:val="clear" w:color="auto" w:fill="C6EFCE"/>
            <w:vAlign w:val="center"/>
            <w:hideMark/>
          </w:tcPr>
          <w:p w14:paraId="2EC3BA9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4 - Investeeringud linnade taaselustamise projektidesse, mille eesmärk on vähendada marginaliseerumise ja sotsiaalse olukorra halvenemise olukordi</w:t>
            </w:r>
          </w:p>
        </w:tc>
        <w:tc>
          <w:tcPr>
            <w:tcW w:w="361" w:type="pct"/>
            <w:shd w:val="clear" w:color="auto" w:fill="C6EFCE"/>
            <w:vAlign w:val="center"/>
            <w:hideMark/>
          </w:tcPr>
          <w:p w14:paraId="25D9550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505" w:type="pct"/>
            <w:shd w:val="clear" w:color="auto" w:fill="C6EFCE"/>
            <w:vAlign w:val="center"/>
            <w:hideMark/>
          </w:tcPr>
          <w:p w14:paraId="1DA0775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Linnauuendusmeetmete projektid, mis hõlmavad kohalikke omavalitsusi</w:t>
            </w:r>
          </w:p>
        </w:tc>
        <w:tc>
          <w:tcPr>
            <w:tcW w:w="505" w:type="pct"/>
            <w:shd w:val="clear" w:color="auto" w:fill="C6EFCE"/>
            <w:vAlign w:val="center"/>
            <w:hideMark/>
          </w:tcPr>
          <w:p w14:paraId="300E1C9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478" w:type="pct"/>
            <w:shd w:val="clear" w:color="auto" w:fill="C6EFCE"/>
            <w:vAlign w:val="center"/>
            <w:hideMark/>
          </w:tcPr>
          <w:p w14:paraId="286CAA1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18" w:type="pct"/>
            <w:shd w:val="clear" w:color="auto" w:fill="C6EFCE"/>
            <w:vAlign w:val="center"/>
            <w:hideMark/>
          </w:tcPr>
          <w:p w14:paraId="6BC64C9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384" w:type="pct"/>
            <w:shd w:val="clear" w:color="auto" w:fill="C6EFCE"/>
            <w:vAlign w:val="center"/>
            <w:hideMark/>
          </w:tcPr>
          <w:p w14:paraId="3175DA1C" w14:textId="583E95A1"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1 080</w:t>
            </w:r>
          </w:p>
        </w:tc>
        <w:tc>
          <w:tcPr>
            <w:tcW w:w="275" w:type="pct"/>
            <w:shd w:val="clear" w:color="auto" w:fill="C6EFCE"/>
            <w:vAlign w:val="center"/>
            <w:hideMark/>
          </w:tcPr>
          <w:p w14:paraId="113D2B2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200" w:type="pct"/>
            <w:shd w:val="clear" w:color="auto" w:fill="C6EFCE"/>
            <w:vAlign w:val="center"/>
            <w:hideMark/>
          </w:tcPr>
          <w:p w14:paraId="72AC6B5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1081" w:type="pct"/>
            <w:shd w:val="clear" w:color="auto" w:fill="C6EFCE"/>
            <w:vAlign w:val="center"/>
            <w:hideMark/>
          </w:tcPr>
          <w:p w14:paraId="5B9F37C8" w14:textId="1DCF4D4D" w:rsidR="0084326C" w:rsidRPr="005D68A0" w:rsidRDefault="0084326C">
            <w:pPr>
              <w:rPr>
                <w:rFonts w:ascii="Arial Narrow" w:hAnsi="Arial Narrow"/>
                <w:noProof/>
                <w:color w:val="006100"/>
                <w:sz w:val="20"/>
                <w:szCs w:val="20"/>
              </w:rPr>
            </w:pPr>
            <w:r>
              <w:rPr>
                <w:rFonts w:ascii="Arial Narrow" w:hAnsi="Arial Narrow"/>
                <w:noProof/>
                <w:color w:val="006100"/>
                <w:sz w:val="20"/>
              </w:rPr>
              <w:t>Vähemalt 1 080 lõpetatud projekti, mille on saatnud üle 15 000 elanikuga omavalitsused ja mis hõlmavad vähemalt 1 000 000 ruutmeetrit.</w:t>
            </w:r>
          </w:p>
          <w:p w14:paraId="062BD6A4" w14:textId="77777777" w:rsidR="0084326C" w:rsidRPr="00F33804" w:rsidRDefault="0084326C">
            <w:pPr>
              <w:rPr>
                <w:rFonts w:ascii="Arial Narrow" w:hAnsi="Arial Narrow"/>
                <w:noProof/>
                <w:color w:val="006100"/>
                <w:sz w:val="20"/>
                <w:szCs w:val="20"/>
              </w:rPr>
            </w:pPr>
          </w:p>
          <w:p w14:paraId="5AD60308"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Sekkumised on määratletud linnade taaselustamise sekkumiste asjakohases eesmärgis.</w:t>
            </w:r>
          </w:p>
        </w:tc>
      </w:tr>
      <w:tr w:rsidR="0084326C" w:rsidRPr="00D90835" w14:paraId="2AAD4D2A" w14:textId="77777777">
        <w:trPr>
          <w:trHeight w:val="4126"/>
          <w:jc w:val="center"/>
        </w:trPr>
        <w:tc>
          <w:tcPr>
            <w:tcW w:w="384" w:type="pct"/>
            <w:shd w:val="clear" w:color="auto" w:fill="C6EFCE"/>
            <w:vAlign w:val="center"/>
            <w:hideMark/>
          </w:tcPr>
          <w:p w14:paraId="139EAFD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M5C2-13</w:t>
            </w:r>
          </w:p>
        </w:tc>
        <w:tc>
          <w:tcPr>
            <w:tcW w:w="509" w:type="pct"/>
            <w:shd w:val="clear" w:color="auto" w:fill="C6EFCE"/>
            <w:vAlign w:val="center"/>
            <w:hideMark/>
          </w:tcPr>
          <w:p w14:paraId="49CBCF6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5. Linnade integratsioonikavad - üldprojektid</w:t>
            </w:r>
          </w:p>
        </w:tc>
        <w:tc>
          <w:tcPr>
            <w:tcW w:w="361" w:type="pct"/>
            <w:shd w:val="clear" w:color="auto" w:fill="C6EFCE"/>
            <w:vAlign w:val="center"/>
            <w:hideMark/>
          </w:tcPr>
          <w:p w14:paraId="2AE05A2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505" w:type="pct"/>
            <w:shd w:val="clear" w:color="auto" w:fill="C6EFCE"/>
            <w:vAlign w:val="center"/>
            <w:hideMark/>
          </w:tcPr>
          <w:p w14:paraId="7BEFDC7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Suurlinnapiirkondade taaselustamise projektide investeerimiskava jõustumine.</w:t>
            </w:r>
          </w:p>
        </w:tc>
        <w:tc>
          <w:tcPr>
            <w:tcW w:w="505" w:type="pct"/>
            <w:shd w:val="clear" w:color="auto" w:fill="C6EFCE"/>
            <w:vAlign w:val="center"/>
            <w:hideMark/>
          </w:tcPr>
          <w:p w14:paraId="3BEAA27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Seaduse säte, mis viitab linnade taaselustamise projektide kava jõustumisele suurlinnapiirkondades</w:t>
            </w:r>
          </w:p>
        </w:tc>
        <w:tc>
          <w:tcPr>
            <w:tcW w:w="478" w:type="pct"/>
            <w:shd w:val="clear" w:color="auto" w:fill="C6EFCE"/>
            <w:vAlign w:val="center"/>
            <w:hideMark/>
          </w:tcPr>
          <w:p w14:paraId="3366ACC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18" w:type="pct"/>
            <w:shd w:val="clear" w:color="auto" w:fill="C6EFCE"/>
            <w:vAlign w:val="center"/>
            <w:hideMark/>
          </w:tcPr>
          <w:p w14:paraId="04FF456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84" w:type="pct"/>
            <w:shd w:val="clear" w:color="auto" w:fill="C6EFCE"/>
            <w:vAlign w:val="center"/>
            <w:hideMark/>
          </w:tcPr>
          <w:p w14:paraId="50175F7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275" w:type="pct"/>
            <w:shd w:val="clear" w:color="auto" w:fill="C6EFCE"/>
            <w:vAlign w:val="center"/>
            <w:hideMark/>
          </w:tcPr>
          <w:p w14:paraId="2BB5E4D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200" w:type="pct"/>
            <w:shd w:val="clear" w:color="auto" w:fill="C6EFCE"/>
            <w:vAlign w:val="center"/>
            <w:hideMark/>
          </w:tcPr>
          <w:p w14:paraId="7C18138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2022</w:t>
            </w:r>
          </w:p>
        </w:tc>
        <w:tc>
          <w:tcPr>
            <w:tcW w:w="1081" w:type="pct"/>
            <w:shd w:val="clear" w:color="auto" w:fill="C6EFCE"/>
            <w:vAlign w:val="center"/>
          </w:tcPr>
          <w:p w14:paraId="42B2B1BC"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Investeerimiskavaga kehtestatakse kriteeriumid, mis on kooskõlas riskikapitalifondi eesmärkidega, sealhulgas DNSH põhimõttega. Projektis viidatakse järgmistele sekkumistele:</w:t>
            </w:r>
          </w:p>
          <w:p w14:paraId="5C59450C"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a) hooldamine avalike kohtade taaskasutamiseks ja taaskasutamiseks.</w:t>
            </w:r>
          </w:p>
          <w:p w14:paraId="67BACFB3"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b) Linnade décor’i kvaliteedi ning sotsiaalse ja keskkonnastruktuuri parandamine.</w:t>
            </w:r>
          </w:p>
          <w:p w14:paraId="04BEE6EA"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c) linnapiirkondade keskkonnakvaliteedi ja digitaalse profiili parandamine.</w:t>
            </w:r>
          </w:p>
        </w:tc>
      </w:tr>
      <w:tr w:rsidR="0084326C" w:rsidRPr="00D90835" w14:paraId="5E9D0AE7" w14:textId="77777777">
        <w:trPr>
          <w:trHeight w:val="20"/>
          <w:jc w:val="center"/>
        </w:trPr>
        <w:tc>
          <w:tcPr>
            <w:tcW w:w="384" w:type="pct"/>
            <w:shd w:val="clear" w:color="auto" w:fill="C6EFCE"/>
            <w:vAlign w:val="center"/>
          </w:tcPr>
          <w:p w14:paraId="557619E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M5C2-14</w:t>
            </w:r>
          </w:p>
        </w:tc>
        <w:tc>
          <w:tcPr>
            <w:tcW w:w="509" w:type="pct"/>
            <w:shd w:val="clear" w:color="auto" w:fill="C6EFCE"/>
            <w:vAlign w:val="center"/>
          </w:tcPr>
          <w:p w14:paraId="2ECC7DF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5. Linnade integratsioonikavad - üldprojektid</w:t>
            </w:r>
          </w:p>
        </w:tc>
        <w:tc>
          <w:tcPr>
            <w:tcW w:w="361" w:type="pct"/>
            <w:shd w:val="clear" w:color="auto" w:fill="C6EFCE"/>
            <w:vAlign w:val="center"/>
          </w:tcPr>
          <w:p w14:paraId="760A799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505" w:type="pct"/>
            <w:shd w:val="clear" w:color="auto" w:fill="C6EFCE"/>
            <w:vAlign w:val="center"/>
          </w:tcPr>
          <w:p w14:paraId="0AE8CEB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Integreeritud planeerimisprojektide lõpuleviimine suurlinnades</w:t>
            </w:r>
          </w:p>
        </w:tc>
        <w:tc>
          <w:tcPr>
            <w:tcW w:w="505" w:type="pct"/>
            <w:shd w:val="clear" w:color="auto" w:fill="C6EFCE"/>
            <w:vAlign w:val="center"/>
          </w:tcPr>
          <w:p w14:paraId="204FD37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478" w:type="pct"/>
            <w:shd w:val="clear" w:color="auto" w:fill="C6EFCE"/>
            <w:vAlign w:val="center"/>
          </w:tcPr>
          <w:p w14:paraId="316F8B6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Arv </w:t>
            </w:r>
          </w:p>
        </w:tc>
        <w:tc>
          <w:tcPr>
            <w:tcW w:w="318" w:type="pct"/>
            <w:shd w:val="clear" w:color="auto" w:fill="C6EFCE"/>
            <w:vAlign w:val="center"/>
          </w:tcPr>
          <w:p w14:paraId="1F43400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384" w:type="pct"/>
            <w:shd w:val="clear" w:color="auto" w:fill="C6EFCE"/>
            <w:vAlign w:val="center"/>
          </w:tcPr>
          <w:p w14:paraId="71FC88C3" w14:textId="77777777" w:rsidR="0084326C" w:rsidRPr="005D68A0" w:rsidRDefault="0084326C">
            <w:pPr>
              <w:jc w:val="center"/>
              <w:rPr>
                <w:rFonts w:ascii="Arial Narrow" w:hAnsi="Arial Narrow"/>
                <w:noProof/>
                <w:sz w:val="20"/>
                <w:szCs w:val="20"/>
              </w:rPr>
            </w:pPr>
            <w:r>
              <w:rPr>
                <w:rFonts w:ascii="Arial Narrow" w:hAnsi="Arial Narrow"/>
                <w:noProof/>
                <w:color w:val="006100"/>
                <w:sz w:val="20"/>
              </w:rPr>
              <w:t>300</w:t>
            </w:r>
          </w:p>
        </w:tc>
        <w:tc>
          <w:tcPr>
            <w:tcW w:w="275" w:type="pct"/>
            <w:shd w:val="clear" w:color="auto" w:fill="C6EFCE"/>
            <w:vAlign w:val="center"/>
          </w:tcPr>
          <w:p w14:paraId="0017857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200" w:type="pct"/>
            <w:shd w:val="clear" w:color="auto" w:fill="C6EFCE"/>
            <w:vAlign w:val="center"/>
          </w:tcPr>
          <w:p w14:paraId="2168245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1081" w:type="pct"/>
            <w:shd w:val="clear" w:color="auto" w:fill="C6EFCE"/>
            <w:vAlign w:val="center"/>
          </w:tcPr>
          <w:p w14:paraId="3346C59F"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Kõigis 14 suurlinnas on lõpule viidud vähemalt 300 integreeritud planeerimisprojekti vähemalt ühes kolmest järgmisest mõõtmest:</w:t>
            </w:r>
          </w:p>
          <w:p w14:paraId="3D1825BA"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 </w:t>
            </w:r>
          </w:p>
          <w:p w14:paraId="626C168D"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Hooldamine üldkasutatavate alade ja olemasolevate üldkasutatavate hoonete korduskasutamiseks ja taaskäitamiseks;</w:t>
            </w:r>
          </w:p>
          <w:p w14:paraId="67AA1216"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 </w:t>
            </w:r>
          </w:p>
          <w:p w14:paraId="0284C14B"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Linnasõidu kvaliteedi ning sotsiaalse ja keskkonnastruktuuri parandamine, sealhulgas üldkasutatavate hoonete renoveerimise teel;</w:t>
            </w:r>
          </w:p>
          <w:p w14:paraId="39F811EB"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 </w:t>
            </w:r>
          </w:p>
          <w:p w14:paraId="7CD43CA3"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Linnapiirkondade keskkonnakvaliteedi ja digitaalse profiili parandamine toetab põhjalikult digitehnoloogiat ja vähem CO</w:t>
            </w:r>
            <w:r>
              <w:rPr>
                <w:rFonts w:ascii="Arial Narrow" w:hAnsi="Arial Narrow"/>
                <w:noProof/>
                <w:color w:val="006100"/>
                <w:sz w:val="20"/>
                <w:vertAlign w:val="subscript"/>
              </w:rPr>
              <w:t>2</w:t>
            </w:r>
            <w:r>
              <w:rPr>
                <w:rFonts w:ascii="Arial Narrow" w:hAnsi="Arial Narrow"/>
                <w:noProof/>
                <w:color w:val="006100"/>
                <w:sz w:val="20"/>
              </w:rPr>
              <w:t xml:space="preserve"> heidet tekitavaid tehnoloogiaid.</w:t>
            </w:r>
          </w:p>
          <w:p w14:paraId="75272901"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 </w:t>
            </w:r>
          </w:p>
          <w:p w14:paraId="7A5D0BDD" w14:textId="640CFE5D" w:rsidR="0084326C" w:rsidRPr="005D68A0" w:rsidRDefault="0084326C">
            <w:pPr>
              <w:rPr>
                <w:rFonts w:ascii="Arial Narrow" w:hAnsi="Arial Narrow"/>
                <w:noProof/>
                <w:color w:val="006100"/>
                <w:sz w:val="20"/>
                <w:szCs w:val="20"/>
              </w:rPr>
            </w:pPr>
            <w:r>
              <w:rPr>
                <w:rFonts w:ascii="Arial Narrow" w:hAnsi="Arial Narrow"/>
                <w:noProof/>
                <w:color w:val="006100"/>
                <w:sz w:val="20"/>
              </w:rPr>
              <w:t>Eesmärgi rahuldav täitmine sõltub ka teisese eesmärgi rahuldavast täitmisest: integreeritud planeerimismeetmete lõpuleviimine vähemalt 3 000 000 ruutmeetri suurusel alal kõigis 14 suurlinnas.</w:t>
            </w:r>
          </w:p>
        </w:tc>
      </w:tr>
      <w:tr w:rsidR="0084326C" w:rsidRPr="00D90835" w14:paraId="3FA1CC67" w14:textId="77777777">
        <w:trPr>
          <w:trHeight w:val="20"/>
          <w:jc w:val="center"/>
        </w:trPr>
        <w:tc>
          <w:tcPr>
            <w:tcW w:w="384" w:type="pct"/>
            <w:shd w:val="clear" w:color="auto" w:fill="C6EFCE"/>
            <w:vAlign w:val="center"/>
            <w:hideMark/>
          </w:tcPr>
          <w:p w14:paraId="49B8363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M5C2-15</w:t>
            </w:r>
          </w:p>
        </w:tc>
        <w:tc>
          <w:tcPr>
            <w:tcW w:w="509" w:type="pct"/>
            <w:shd w:val="clear" w:color="auto" w:fill="C6EFCE"/>
            <w:vAlign w:val="center"/>
            <w:hideMark/>
          </w:tcPr>
          <w:p w14:paraId="3B05480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5. Linnade integratsioonikavad (ebaseaduslike asulate ületamine, et võidelda tööjõu ekspluateerimise vastu põllumajanduses)</w:t>
            </w:r>
          </w:p>
        </w:tc>
        <w:tc>
          <w:tcPr>
            <w:tcW w:w="361" w:type="pct"/>
            <w:shd w:val="clear" w:color="auto" w:fill="C6EFCE"/>
            <w:vAlign w:val="center"/>
            <w:hideMark/>
          </w:tcPr>
          <w:p w14:paraId="54A82EA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505" w:type="pct"/>
            <w:shd w:val="clear" w:color="auto" w:fill="C6EFCE"/>
            <w:vAlign w:val="center"/>
            <w:hideMark/>
          </w:tcPr>
          <w:p w14:paraId="5312597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„Tavolo di contrasto allo sfruttamento lavorativo in agricoltura“ võtab vastu ministri dekreedi, milles sätestatakse ebaseaduslike asulate kaardistamine, ning vastu võetakse ministri määrus vahendite eraldamise kohta.</w:t>
            </w:r>
          </w:p>
        </w:tc>
        <w:tc>
          <w:tcPr>
            <w:tcW w:w="505" w:type="pct"/>
            <w:shd w:val="clear" w:color="auto" w:fill="C6EFCE"/>
            <w:vAlign w:val="center"/>
            <w:hideMark/>
          </w:tcPr>
          <w:p w14:paraId="01FE144E" w14:textId="69FECA70"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 xml:space="preserve">Ministri dekreedi jõustumisele viitav seadusesäte </w:t>
            </w:r>
          </w:p>
        </w:tc>
        <w:tc>
          <w:tcPr>
            <w:tcW w:w="478" w:type="pct"/>
            <w:shd w:val="clear" w:color="auto" w:fill="C6EFCE"/>
            <w:vAlign w:val="center"/>
            <w:hideMark/>
          </w:tcPr>
          <w:p w14:paraId="0B5D960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18" w:type="pct"/>
            <w:shd w:val="clear" w:color="auto" w:fill="C6EFCE"/>
            <w:vAlign w:val="center"/>
            <w:hideMark/>
          </w:tcPr>
          <w:p w14:paraId="205266E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84" w:type="pct"/>
            <w:shd w:val="clear" w:color="auto" w:fill="C6EFCE"/>
            <w:vAlign w:val="center"/>
            <w:hideMark/>
          </w:tcPr>
          <w:p w14:paraId="1441EE1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275" w:type="pct"/>
            <w:shd w:val="clear" w:color="auto" w:fill="C6EFCE"/>
            <w:vAlign w:val="center"/>
            <w:hideMark/>
          </w:tcPr>
          <w:p w14:paraId="4057DEE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 kv</w:t>
            </w:r>
          </w:p>
        </w:tc>
        <w:tc>
          <w:tcPr>
            <w:tcW w:w="200" w:type="pct"/>
            <w:shd w:val="clear" w:color="auto" w:fill="C6EFCE"/>
            <w:vAlign w:val="center"/>
            <w:hideMark/>
          </w:tcPr>
          <w:p w14:paraId="0610283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2022</w:t>
            </w:r>
          </w:p>
        </w:tc>
        <w:tc>
          <w:tcPr>
            <w:tcW w:w="1081" w:type="pct"/>
            <w:shd w:val="clear" w:color="auto" w:fill="C6EFCE"/>
            <w:vAlign w:val="center"/>
            <w:hideMark/>
          </w:tcPr>
          <w:p w14:paraId="34E4912A"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Ministri määrusega eraldatakse vahendeid ebaseaduslike asulate kaardistamise alusel, mille on teostanud „Tavolo di contrasto allo sfruttamento lavorativo in agricoltura“. Määratletakse ajutiste ja pikaajaliste eluasemelahenduste standard.</w:t>
            </w:r>
          </w:p>
        </w:tc>
      </w:tr>
      <w:tr w:rsidR="0084326C" w:rsidRPr="00D90835" w14:paraId="3C2558F1" w14:textId="77777777">
        <w:trPr>
          <w:trHeight w:val="3046"/>
          <w:jc w:val="center"/>
        </w:trPr>
        <w:tc>
          <w:tcPr>
            <w:tcW w:w="384" w:type="pct"/>
            <w:shd w:val="clear" w:color="auto" w:fill="C6EFCE"/>
            <w:vAlign w:val="center"/>
            <w:hideMark/>
          </w:tcPr>
          <w:p w14:paraId="3D2B649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M5C2-16</w:t>
            </w:r>
          </w:p>
        </w:tc>
        <w:tc>
          <w:tcPr>
            <w:tcW w:w="509" w:type="pct"/>
            <w:shd w:val="clear" w:color="auto" w:fill="C6EFCE"/>
            <w:vAlign w:val="center"/>
            <w:hideMark/>
          </w:tcPr>
          <w:p w14:paraId="44BE87D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5. Linnade integratsioonikavad (ebaseaduslike asulate ületamine, et võidelda tööjõu ekspluateerimise vastu põllumajanduses)</w:t>
            </w:r>
          </w:p>
        </w:tc>
        <w:tc>
          <w:tcPr>
            <w:tcW w:w="361" w:type="pct"/>
            <w:shd w:val="clear" w:color="auto" w:fill="C6EFCE"/>
            <w:vAlign w:val="center"/>
            <w:hideMark/>
          </w:tcPr>
          <w:p w14:paraId="5C6D0EA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505" w:type="pct"/>
            <w:shd w:val="clear" w:color="auto" w:fill="C6EFCE"/>
            <w:vAlign w:val="center"/>
            <w:hideMark/>
          </w:tcPr>
          <w:p w14:paraId="5ED8F41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Projektidega seotud tegevused viiakse lõpule piirkondades, mis on kohalike kavade kohaselt ebaseaduslikud asulad.</w:t>
            </w:r>
          </w:p>
        </w:tc>
        <w:tc>
          <w:tcPr>
            <w:tcW w:w="505" w:type="pct"/>
            <w:shd w:val="clear" w:color="auto" w:fill="C6EFCE"/>
            <w:vAlign w:val="center"/>
            <w:hideMark/>
          </w:tcPr>
          <w:p w14:paraId="4417F54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478" w:type="pct"/>
            <w:shd w:val="clear" w:color="auto" w:fill="C6EFCE"/>
            <w:vAlign w:val="center"/>
            <w:hideMark/>
          </w:tcPr>
          <w:p w14:paraId="6628D0F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Protsent</w:t>
            </w:r>
          </w:p>
        </w:tc>
        <w:tc>
          <w:tcPr>
            <w:tcW w:w="318" w:type="pct"/>
            <w:shd w:val="clear" w:color="auto" w:fill="C6EFCE"/>
            <w:vAlign w:val="center"/>
            <w:hideMark/>
          </w:tcPr>
          <w:p w14:paraId="46E4CA4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384" w:type="pct"/>
            <w:shd w:val="clear" w:color="auto" w:fill="C6EFCE"/>
            <w:vAlign w:val="center"/>
            <w:hideMark/>
          </w:tcPr>
          <w:p w14:paraId="5231C58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90</w:t>
            </w:r>
          </w:p>
        </w:tc>
        <w:tc>
          <w:tcPr>
            <w:tcW w:w="275" w:type="pct"/>
            <w:shd w:val="clear" w:color="auto" w:fill="C6EFCE"/>
            <w:vAlign w:val="center"/>
            <w:hideMark/>
          </w:tcPr>
          <w:p w14:paraId="5A730EC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 kv</w:t>
            </w:r>
          </w:p>
        </w:tc>
        <w:tc>
          <w:tcPr>
            <w:tcW w:w="200" w:type="pct"/>
            <w:shd w:val="clear" w:color="auto" w:fill="C6EFCE"/>
            <w:vAlign w:val="center"/>
            <w:hideMark/>
          </w:tcPr>
          <w:p w14:paraId="0B09C5A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2025</w:t>
            </w:r>
          </w:p>
        </w:tc>
        <w:tc>
          <w:tcPr>
            <w:tcW w:w="1081" w:type="pct"/>
            <w:shd w:val="clear" w:color="auto" w:fill="C6EFCE"/>
            <w:vAlign w:val="center"/>
            <w:hideMark/>
          </w:tcPr>
          <w:p w14:paraId="10EF57DB" w14:textId="77777777" w:rsidR="0084326C" w:rsidRPr="005D68A0" w:rsidRDefault="0084326C">
            <w:pPr>
              <w:rPr>
                <w:rFonts w:ascii="Arial Narrow" w:eastAsia="Calibri" w:hAnsi="Arial Narrow"/>
                <w:noProof/>
                <w:color w:val="006100"/>
                <w:sz w:val="20"/>
                <w:szCs w:val="20"/>
              </w:rPr>
            </w:pPr>
            <w:r>
              <w:rPr>
                <w:rFonts w:ascii="Arial Narrow" w:hAnsi="Arial Narrow"/>
                <w:noProof/>
                <w:color w:val="006100"/>
                <w:sz w:val="20"/>
              </w:rPr>
              <w:t>Projektid viidi lõpule vähemalt 90 % piirkondades, mis on kohalike kavade kohaselt ebaseaduslikud asulad.</w:t>
            </w:r>
          </w:p>
          <w:p w14:paraId="490A2009" w14:textId="77777777" w:rsidR="0084326C" w:rsidRPr="00F33804" w:rsidRDefault="0084326C">
            <w:pPr>
              <w:rPr>
                <w:rFonts w:ascii="Arial Narrow" w:hAnsi="Arial Narrow"/>
                <w:noProof/>
                <w:color w:val="006100"/>
                <w:sz w:val="20"/>
                <w:szCs w:val="20"/>
              </w:rPr>
            </w:pPr>
          </w:p>
          <w:p w14:paraId="247BCAF2"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Pärast vahendite eraldamist esitab asjaomane ametiasutus iga tuvastatud ebaseadusliku asula kohta kohaliku tegevuskava.</w:t>
            </w:r>
          </w:p>
        </w:tc>
      </w:tr>
      <w:tr w:rsidR="0084326C" w:rsidRPr="00D90835" w14:paraId="1A6E5E31" w14:textId="77777777">
        <w:trPr>
          <w:trHeight w:val="20"/>
          <w:jc w:val="center"/>
        </w:trPr>
        <w:tc>
          <w:tcPr>
            <w:tcW w:w="384" w:type="pct"/>
            <w:shd w:val="clear" w:color="auto" w:fill="C6EFCE"/>
            <w:vAlign w:val="center"/>
            <w:hideMark/>
          </w:tcPr>
          <w:p w14:paraId="7FD1E3C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M5C2-17</w:t>
            </w:r>
          </w:p>
        </w:tc>
        <w:tc>
          <w:tcPr>
            <w:tcW w:w="509" w:type="pct"/>
            <w:shd w:val="clear" w:color="auto" w:fill="C6EFCE"/>
            <w:vAlign w:val="center"/>
            <w:hideMark/>
          </w:tcPr>
          <w:p w14:paraId="321C150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5. Linnade integratsioonikavad - EIB Fund-Of-Fund</w:t>
            </w:r>
          </w:p>
        </w:tc>
        <w:tc>
          <w:tcPr>
            <w:tcW w:w="361" w:type="pct"/>
            <w:shd w:val="clear" w:color="auto" w:fill="C6EFCE"/>
            <w:vAlign w:val="center"/>
            <w:hideMark/>
          </w:tcPr>
          <w:p w14:paraId="7A60396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505" w:type="pct"/>
            <w:shd w:val="clear" w:color="auto" w:fill="C6EFCE"/>
            <w:vAlign w:val="center"/>
            <w:hideMark/>
          </w:tcPr>
          <w:p w14:paraId="588758F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Fondi investeerimisstrateegia kiidab heaks rahandusministeerium.</w:t>
            </w:r>
          </w:p>
        </w:tc>
        <w:tc>
          <w:tcPr>
            <w:tcW w:w="505" w:type="pct"/>
            <w:shd w:val="clear" w:color="auto" w:fill="C6EFCE"/>
            <w:vAlign w:val="center"/>
            <w:hideMark/>
          </w:tcPr>
          <w:p w14:paraId="5B6DFF2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Fondi investeerimisstrateegia on heaks kiitnud rahandusministeerium</w:t>
            </w:r>
          </w:p>
        </w:tc>
        <w:tc>
          <w:tcPr>
            <w:tcW w:w="478" w:type="pct"/>
            <w:shd w:val="clear" w:color="auto" w:fill="C6EFCE"/>
            <w:vAlign w:val="center"/>
            <w:hideMark/>
          </w:tcPr>
          <w:p w14:paraId="25E3920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18" w:type="pct"/>
            <w:shd w:val="clear" w:color="auto" w:fill="C6EFCE"/>
            <w:vAlign w:val="center"/>
            <w:hideMark/>
          </w:tcPr>
          <w:p w14:paraId="2665FC3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84" w:type="pct"/>
            <w:shd w:val="clear" w:color="auto" w:fill="C6EFCE"/>
            <w:vAlign w:val="center"/>
            <w:hideMark/>
          </w:tcPr>
          <w:p w14:paraId="3189DCD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275" w:type="pct"/>
            <w:shd w:val="clear" w:color="auto" w:fill="C6EFCE"/>
            <w:vAlign w:val="center"/>
            <w:hideMark/>
          </w:tcPr>
          <w:p w14:paraId="10E9FE8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3. kv</w:t>
            </w:r>
          </w:p>
        </w:tc>
        <w:tc>
          <w:tcPr>
            <w:tcW w:w="200" w:type="pct"/>
            <w:shd w:val="clear" w:color="auto" w:fill="C6EFCE"/>
            <w:vAlign w:val="center"/>
            <w:hideMark/>
          </w:tcPr>
          <w:p w14:paraId="7BD6FD8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2022</w:t>
            </w:r>
          </w:p>
        </w:tc>
        <w:tc>
          <w:tcPr>
            <w:tcW w:w="1081" w:type="pct"/>
            <w:shd w:val="clear" w:color="auto" w:fill="C6EFCE"/>
            <w:vAlign w:val="center"/>
            <w:hideMark/>
          </w:tcPr>
          <w:p w14:paraId="01C9E903" w14:textId="77777777" w:rsidR="0084326C" w:rsidRPr="005D68A0" w:rsidRDefault="0084326C">
            <w:pPr>
              <w:rPr>
                <w:rFonts w:ascii="Arial Narrow" w:eastAsia="Calibri" w:hAnsi="Arial Narrow"/>
                <w:noProof/>
                <w:color w:val="006100"/>
                <w:sz w:val="20"/>
                <w:szCs w:val="20"/>
              </w:rPr>
            </w:pPr>
            <w:r>
              <w:rPr>
                <w:rFonts w:ascii="Arial Narrow" w:hAnsi="Arial Narrow"/>
                <w:noProof/>
                <w:color w:val="006100"/>
                <w:sz w:val="20"/>
              </w:rPr>
              <w:t>Fondi investeerimisstrateegias määratakse kindlaks vähemalt järgmine: i) toetatud investeeringute laad ja ulatus, millega edendatakse linnade kestliku taaselustamise ja arengu projekte ning mis on kooskõlas taaste- ja vastupidavusrahastu eesmärkidega, sealhulgas seoses olulise kahju ärahoidmise põhimõtte järgimisega, nagu on täpsustatud komisjoni 12. veebruari 2021. aasta suunistes, ii) toetatavad tegevused, iii) sihtrühma kuuluvad toetusesaajad, kes on majanduslikult isemajandavad projekte, mille puhul avaliku sektori toetus on põhjendatud turutõrke või riskiprofiiliga, ning nende rahastamiskõlblikkuse kriteeriumidega, iv) toetusesaajate rahastamiskõlblikkuse kriteeriumid ja nende valimine avaliku konkursi kaudu; v) lisada konkreetne eelarverida inimväärsete eluasemete pakkumiseks põllumajandus- ja tööstussektori töötajatele ning vi) sätted võimalike tagasisaadavate vahendite reinvesteerimiseks samade poliitikaeesmärkide saavutamiseks, ka pärast 2026. aastat.</w:t>
            </w:r>
          </w:p>
          <w:p w14:paraId="39FCC306" w14:textId="77777777" w:rsidR="0084326C" w:rsidRPr="00F33804" w:rsidRDefault="0084326C">
            <w:pPr>
              <w:rPr>
                <w:rFonts w:ascii="Arial Narrow" w:eastAsia="Calibri" w:hAnsi="Arial Narrow"/>
                <w:noProof/>
                <w:color w:val="006100"/>
                <w:sz w:val="20"/>
                <w:szCs w:val="20"/>
              </w:rPr>
            </w:pPr>
          </w:p>
          <w:p w14:paraId="30D29A18"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Volitatud üksusega sõlmitud lepingulises kokkuleppes nõutakse DNSH suuniste kasutamist.</w:t>
            </w:r>
          </w:p>
        </w:tc>
      </w:tr>
      <w:tr w:rsidR="0084326C" w:rsidRPr="00D90835" w14:paraId="6E7838D7" w14:textId="77777777">
        <w:trPr>
          <w:trHeight w:val="20"/>
          <w:jc w:val="center"/>
        </w:trPr>
        <w:tc>
          <w:tcPr>
            <w:tcW w:w="384" w:type="pct"/>
            <w:shd w:val="clear" w:color="auto" w:fill="C6EFCE"/>
            <w:vAlign w:val="center"/>
          </w:tcPr>
          <w:p w14:paraId="17203E9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M5C2-18</w:t>
            </w:r>
          </w:p>
        </w:tc>
        <w:tc>
          <w:tcPr>
            <w:tcW w:w="509" w:type="pct"/>
            <w:shd w:val="clear" w:color="auto" w:fill="C6EFCE"/>
            <w:vAlign w:val="center"/>
          </w:tcPr>
          <w:p w14:paraId="4B0EEB72"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Investeering 5. Linnade integratsioonikavad - EIB Fund-Of-Fund</w:t>
            </w:r>
          </w:p>
        </w:tc>
        <w:tc>
          <w:tcPr>
            <w:tcW w:w="361" w:type="pct"/>
            <w:shd w:val="clear" w:color="auto" w:fill="C6EFCE"/>
            <w:vAlign w:val="center"/>
          </w:tcPr>
          <w:p w14:paraId="166B4929"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Siht</w:t>
            </w:r>
          </w:p>
        </w:tc>
        <w:tc>
          <w:tcPr>
            <w:tcW w:w="505" w:type="pct"/>
            <w:shd w:val="clear" w:color="auto" w:fill="C6EFCE"/>
            <w:vAlign w:val="center"/>
          </w:tcPr>
          <w:p w14:paraId="2CE26E15"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Temaatilise fondi toetuse rahaline väärtus ja linnaprojektide toetamine.</w:t>
            </w:r>
          </w:p>
        </w:tc>
        <w:tc>
          <w:tcPr>
            <w:tcW w:w="505" w:type="pct"/>
            <w:shd w:val="clear" w:color="auto" w:fill="C6EFCE"/>
            <w:vAlign w:val="center"/>
          </w:tcPr>
          <w:p w14:paraId="05A5DA5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478" w:type="pct"/>
            <w:shd w:val="clear" w:color="auto" w:fill="C6EFCE"/>
            <w:vAlign w:val="center"/>
          </w:tcPr>
          <w:p w14:paraId="46B63D15"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eurodes</w:t>
            </w:r>
          </w:p>
        </w:tc>
        <w:tc>
          <w:tcPr>
            <w:tcW w:w="318" w:type="pct"/>
            <w:shd w:val="clear" w:color="auto" w:fill="C6EFCE"/>
            <w:vAlign w:val="center"/>
          </w:tcPr>
          <w:p w14:paraId="585223AC"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0</w:t>
            </w:r>
          </w:p>
        </w:tc>
        <w:tc>
          <w:tcPr>
            <w:tcW w:w="384" w:type="pct"/>
            <w:shd w:val="clear" w:color="auto" w:fill="C6EFCE"/>
            <w:vAlign w:val="center"/>
          </w:tcPr>
          <w:p w14:paraId="622F5D8A"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545 000 000</w:t>
            </w:r>
          </w:p>
        </w:tc>
        <w:tc>
          <w:tcPr>
            <w:tcW w:w="275" w:type="pct"/>
            <w:shd w:val="clear" w:color="auto" w:fill="C6EFCE"/>
            <w:vAlign w:val="center"/>
          </w:tcPr>
          <w:p w14:paraId="4E247217"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2. kv</w:t>
            </w:r>
          </w:p>
        </w:tc>
        <w:tc>
          <w:tcPr>
            <w:tcW w:w="200" w:type="pct"/>
            <w:shd w:val="clear" w:color="auto" w:fill="C6EFCE"/>
            <w:vAlign w:val="center"/>
          </w:tcPr>
          <w:p w14:paraId="6739B8F7"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2026</w:t>
            </w:r>
          </w:p>
        </w:tc>
        <w:tc>
          <w:tcPr>
            <w:tcW w:w="1081" w:type="pct"/>
            <w:shd w:val="clear" w:color="auto" w:fill="C6EFCE"/>
            <w:vAlign w:val="center"/>
          </w:tcPr>
          <w:p w14:paraId="2C79C90D" w14:textId="36D850F9" w:rsidR="0084326C" w:rsidRPr="005D68A0" w:rsidRDefault="0084326C">
            <w:pPr>
              <w:rPr>
                <w:rFonts w:ascii="Arial Narrow" w:eastAsia="Calibri" w:hAnsi="Arial Narrow"/>
                <w:noProof/>
                <w:color w:val="006100"/>
                <w:sz w:val="20"/>
                <w:szCs w:val="20"/>
              </w:rPr>
            </w:pPr>
            <w:r>
              <w:rPr>
                <w:rFonts w:ascii="Arial Narrow" w:hAnsi="Arial Narrow"/>
                <w:noProof/>
                <w:color w:val="006100"/>
                <w:sz w:val="20"/>
              </w:rPr>
              <w:t>Temaatilisele fondile eraldati vähemalt 545 000 000 eurot.</w:t>
            </w:r>
          </w:p>
          <w:p w14:paraId="5722D216" w14:textId="77777777" w:rsidR="0084326C" w:rsidRPr="00F33804" w:rsidRDefault="0084326C">
            <w:pPr>
              <w:rPr>
                <w:rFonts w:ascii="Arial Narrow" w:hAnsi="Arial Narrow"/>
                <w:noProof/>
                <w:color w:val="006100"/>
                <w:sz w:val="20"/>
                <w:szCs w:val="20"/>
              </w:rPr>
            </w:pPr>
          </w:p>
          <w:p w14:paraId="6DE27214" w14:textId="77777777" w:rsidR="0084326C" w:rsidRPr="005D68A0" w:rsidRDefault="0084326C">
            <w:pPr>
              <w:rPr>
                <w:rFonts w:ascii="Arial Narrow" w:eastAsia="Calibri" w:hAnsi="Arial Narrow"/>
                <w:noProof/>
                <w:color w:val="006100"/>
                <w:sz w:val="20"/>
                <w:szCs w:val="20"/>
              </w:rPr>
            </w:pPr>
            <w:r>
              <w:rPr>
                <w:rFonts w:ascii="Arial Narrow" w:hAnsi="Arial Narrow"/>
                <w:noProof/>
                <w:color w:val="006100"/>
                <w:sz w:val="20"/>
              </w:rPr>
              <w:t>Eesmärgi rahuldav täitmine sõltub ka teisese eesmärgi rahuldavast täitmisest: toetus vähemalt 10 linnaprojektile.</w:t>
            </w:r>
          </w:p>
          <w:p w14:paraId="233F4C2C" w14:textId="77777777" w:rsidR="0084326C" w:rsidRPr="00F33804" w:rsidRDefault="0084326C">
            <w:pPr>
              <w:rPr>
                <w:rFonts w:ascii="Arial Narrow" w:hAnsi="Arial Narrow"/>
                <w:noProof/>
                <w:color w:val="006100"/>
                <w:sz w:val="20"/>
                <w:szCs w:val="20"/>
              </w:rPr>
            </w:pPr>
          </w:p>
          <w:p w14:paraId="4E5A04D5" w14:textId="4B634AA6" w:rsidR="0084326C" w:rsidRPr="005D68A0" w:rsidRDefault="0084326C">
            <w:pPr>
              <w:rPr>
                <w:rFonts w:ascii="Arial Narrow" w:eastAsia="Calibri" w:hAnsi="Arial Narrow"/>
                <w:noProof/>
                <w:color w:val="006100"/>
                <w:sz w:val="20"/>
                <w:szCs w:val="20"/>
              </w:rPr>
            </w:pPr>
            <w:r>
              <w:rPr>
                <w:rFonts w:ascii="Arial Narrow" w:hAnsi="Arial Narrow"/>
                <w:noProof/>
                <w:color w:val="006100"/>
                <w:sz w:val="20"/>
              </w:rPr>
              <w:t>Vähemalt 545 000 000 EUR suurused projektid kiidab heaks fondi investeeringute nõukogu (mille osa on rahandusministeerium) ja vähemalt 10 projekti kiidab heaks fondi investeeringute nõukogu (mille osa on rahandusministeerium).</w:t>
            </w:r>
          </w:p>
        </w:tc>
      </w:tr>
      <w:tr w:rsidR="0084326C" w:rsidRPr="00D90835" w14:paraId="41B638CB" w14:textId="77777777">
        <w:trPr>
          <w:trHeight w:val="1291"/>
          <w:jc w:val="center"/>
        </w:trPr>
        <w:tc>
          <w:tcPr>
            <w:tcW w:w="384" w:type="pct"/>
            <w:shd w:val="clear" w:color="auto" w:fill="C6EFCE"/>
            <w:vAlign w:val="center"/>
            <w:hideMark/>
          </w:tcPr>
          <w:p w14:paraId="15298BA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M5C2-19</w:t>
            </w:r>
          </w:p>
        </w:tc>
        <w:tc>
          <w:tcPr>
            <w:tcW w:w="509" w:type="pct"/>
            <w:shd w:val="clear" w:color="auto" w:fill="C6EFCE"/>
            <w:vAlign w:val="center"/>
            <w:hideMark/>
          </w:tcPr>
          <w:p w14:paraId="75DFC07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6. Uuenduslik eluasemekvaliteedi programm</w:t>
            </w:r>
          </w:p>
        </w:tc>
        <w:tc>
          <w:tcPr>
            <w:tcW w:w="361" w:type="pct"/>
            <w:shd w:val="clear" w:color="auto" w:fill="C6EFCE"/>
            <w:vAlign w:val="center"/>
            <w:hideMark/>
          </w:tcPr>
          <w:p w14:paraId="23E7688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505" w:type="pct"/>
            <w:shd w:val="clear" w:color="auto" w:fill="C6EFCE"/>
            <w:vAlign w:val="center"/>
            <w:hideMark/>
          </w:tcPr>
          <w:p w14:paraId="7FA2C27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Piirkonnad ja autonoomsed provintsid (sealhulgas nende territooriumide kohalikud omavalitsused ja/või suurlinnad) allkirjastasid kokkulepped sotsiaalelamute ümberkorraldamiseks ja suurendamiseks.</w:t>
            </w:r>
          </w:p>
        </w:tc>
        <w:tc>
          <w:tcPr>
            <w:tcW w:w="505" w:type="pct"/>
            <w:shd w:val="clear" w:color="auto" w:fill="C6EFCE"/>
            <w:vAlign w:val="center"/>
            <w:hideMark/>
          </w:tcPr>
          <w:p w14:paraId="220B0F8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Lepingud sõlmitakse kohalike ametiasutustega.</w:t>
            </w:r>
          </w:p>
        </w:tc>
        <w:tc>
          <w:tcPr>
            <w:tcW w:w="478" w:type="pct"/>
            <w:shd w:val="clear" w:color="auto" w:fill="C6EFCE"/>
            <w:vAlign w:val="center"/>
            <w:hideMark/>
          </w:tcPr>
          <w:p w14:paraId="1D5F357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18" w:type="pct"/>
            <w:shd w:val="clear" w:color="auto" w:fill="C6EFCE"/>
            <w:vAlign w:val="center"/>
            <w:hideMark/>
          </w:tcPr>
          <w:p w14:paraId="6892C90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84" w:type="pct"/>
            <w:shd w:val="clear" w:color="auto" w:fill="C6EFCE"/>
            <w:vAlign w:val="center"/>
            <w:hideMark/>
          </w:tcPr>
          <w:p w14:paraId="6237179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275" w:type="pct"/>
            <w:shd w:val="clear" w:color="auto" w:fill="C6EFCE"/>
            <w:vAlign w:val="center"/>
            <w:hideMark/>
          </w:tcPr>
          <w:p w14:paraId="7690D3F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 kv</w:t>
            </w:r>
          </w:p>
        </w:tc>
        <w:tc>
          <w:tcPr>
            <w:tcW w:w="200" w:type="pct"/>
            <w:shd w:val="clear" w:color="auto" w:fill="C6EFCE"/>
            <w:vAlign w:val="center"/>
            <w:hideMark/>
          </w:tcPr>
          <w:p w14:paraId="2D20C25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2022</w:t>
            </w:r>
          </w:p>
        </w:tc>
        <w:tc>
          <w:tcPr>
            <w:tcW w:w="1081" w:type="pct"/>
            <w:shd w:val="clear" w:color="auto" w:fill="C6EFCE"/>
            <w:vAlign w:val="center"/>
            <w:hideMark/>
          </w:tcPr>
          <w:p w14:paraId="5CCB3C38"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Vähemalt 15 piirkonda ja autonoomset provintsi (sealhulgas nende territooriumide kohalikud omavalitsused ja/või suurlinnad) allkirjastasid kokkulepped sotsiaalelamute ümberkorraldamiseks ja suurendamiseks.</w:t>
            </w:r>
          </w:p>
          <w:p w14:paraId="7BD22348"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 </w:t>
            </w:r>
          </w:p>
          <w:p w14:paraId="47A0736C" w14:textId="77777777" w:rsidR="0084326C" w:rsidRPr="005D68A0" w:rsidRDefault="0084326C">
            <w:pPr>
              <w:rPr>
                <w:rFonts w:ascii="Arial Narrow" w:eastAsia="Calibri" w:hAnsi="Arial Narrow"/>
                <w:noProof/>
                <w:color w:val="006100"/>
                <w:sz w:val="20"/>
                <w:szCs w:val="20"/>
              </w:rPr>
            </w:pPr>
            <w:r>
              <w:rPr>
                <w:rFonts w:ascii="Arial Narrow" w:hAnsi="Arial Narrow"/>
                <w:noProof/>
                <w:color w:val="006100"/>
                <w:sz w:val="20"/>
              </w:rPr>
              <w:t>Lepingud, mis on sõlmitud vähemalt 15 projekti kaasatud piirkonna ja autonoomse provintsiga. </w:t>
            </w:r>
          </w:p>
          <w:p w14:paraId="7178D038" w14:textId="77777777" w:rsidR="0084326C" w:rsidRPr="00F33804" w:rsidRDefault="0084326C">
            <w:pPr>
              <w:rPr>
                <w:rFonts w:ascii="Arial Narrow" w:eastAsia="Calibri" w:hAnsi="Arial Narrow"/>
                <w:noProof/>
                <w:color w:val="006100"/>
                <w:sz w:val="20"/>
                <w:szCs w:val="20"/>
              </w:rPr>
            </w:pPr>
          </w:p>
          <w:p w14:paraId="42D8FA51" w14:textId="77777777" w:rsidR="0084326C" w:rsidRPr="005D68A0" w:rsidRDefault="0084326C">
            <w:pPr>
              <w:rPr>
                <w:rFonts w:ascii="Arial Narrow" w:eastAsia="Calibri" w:hAnsi="Arial Narrow"/>
                <w:noProof/>
                <w:color w:val="006100"/>
                <w:sz w:val="20"/>
                <w:szCs w:val="20"/>
              </w:rPr>
            </w:pPr>
            <w:r>
              <w:rPr>
                <w:rFonts w:ascii="Arial Narrow" w:hAnsi="Arial Narrow"/>
                <w:noProof/>
                <w:color w:val="006100"/>
                <w:sz w:val="20"/>
              </w:rPr>
              <w:t>hoone: uued sotsiaaleluruumid, mille eesmärk on:</w:t>
            </w:r>
          </w:p>
          <w:p w14:paraId="1907C693" w14:textId="77777777" w:rsidR="0084326C" w:rsidRPr="005D68A0" w:rsidRDefault="0084326C">
            <w:pPr>
              <w:rPr>
                <w:rFonts w:ascii="Arial Narrow" w:eastAsia="Calibri" w:hAnsi="Arial Narrow"/>
                <w:noProof/>
                <w:color w:val="006100"/>
                <w:sz w:val="20"/>
                <w:szCs w:val="20"/>
                <w:lang w:val="en-GB"/>
              </w:rPr>
            </w:pPr>
          </w:p>
          <w:p w14:paraId="5A59C460"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arendada ümber, korraldada ümber ja suurendada avalike eluasemete pakkumist;</w:t>
            </w:r>
          </w:p>
          <w:p w14:paraId="40CF81F3"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piirkondade, alade ning avalike ja eraomanduste taaslõimimine ka linna- ja sotsiaal-majandusliku struktuuri taaselustamise kaudu;</w:t>
            </w:r>
          </w:p>
          <w:p w14:paraId="73B91068"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parandada linnapiirkondade juurdepääsetavust ja ohutust ning teenuste osutamist;</w:t>
            </w:r>
          </w:p>
          <w:p w14:paraId="1DB74A6A"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taaselustada juba ehitatud alad ja ruumid, parandades keskkonna kvaliteeti ja kliimamuutustele vastupanuvõimet, muu hulgas linnade tihendamist mõjutavate tegevuste kaudu;</w:t>
            </w:r>
          </w:p>
          <w:p w14:paraId="1BAE75E3" w14:textId="77777777" w:rsidR="0084326C" w:rsidRPr="005D68A0" w:rsidRDefault="0084326C">
            <w:pPr>
              <w:rPr>
                <w:rFonts w:ascii="Arial Narrow" w:eastAsia="Calibri" w:hAnsi="Arial Narrow"/>
                <w:noProof/>
                <w:color w:val="006100"/>
                <w:sz w:val="20"/>
                <w:szCs w:val="20"/>
              </w:rPr>
            </w:pPr>
            <w:r>
              <w:rPr>
                <w:rFonts w:ascii="Arial Narrow" w:hAnsi="Arial Narrow"/>
                <w:noProof/>
                <w:color w:val="006100"/>
                <w:sz w:val="20"/>
              </w:rPr>
              <w:t>- uuenduslike juhtimis- ja kaasamismudelite ja -vahendite, sotsiaalse ja linnalise heaolu ning osalusprotsesside kindlakstegemine ja kasutamine</w:t>
            </w:r>
          </w:p>
          <w:p w14:paraId="0EED53D8"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Toetatavad elamuüksused ja avalikud ruumid peavad olema ette nähtud selleks, et saada kasu asjaomases eesmärgis kirjeldatud tegevustest.</w:t>
            </w:r>
          </w:p>
        </w:tc>
      </w:tr>
      <w:tr w:rsidR="0084326C" w:rsidRPr="00D90835" w14:paraId="0D8789E2" w14:textId="77777777">
        <w:trPr>
          <w:trHeight w:val="20"/>
          <w:jc w:val="center"/>
        </w:trPr>
        <w:tc>
          <w:tcPr>
            <w:tcW w:w="384" w:type="pct"/>
            <w:shd w:val="clear" w:color="auto" w:fill="C6EFCE"/>
            <w:vAlign w:val="center"/>
            <w:hideMark/>
          </w:tcPr>
          <w:p w14:paraId="06ADADD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M5C2-20</w:t>
            </w:r>
          </w:p>
        </w:tc>
        <w:tc>
          <w:tcPr>
            <w:tcW w:w="509" w:type="pct"/>
            <w:shd w:val="clear" w:color="auto" w:fill="C6EFCE"/>
            <w:vAlign w:val="center"/>
            <w:hideMark/>
          </w:tcPr>
          <w:p w14:paraId="4FF3191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6. Uuenduslik eluasemekvaliteedi programm</w:t>
            </w:r>
          </w:p>
        </w:tc>
        <w:tc>
          <w:tcPr>
            <w:tcW w:w="361" w:type="pct"/>
            <w:shd w:val="clear" w:color="auto" w:fill="C6EFCE"/>
            <w:vAlign w:val="center"/>
            <w:hideMark/>
          </w:tcPr>
          <w:p w14:paraId="3C16C7E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505" w:type="pct"/>
            <w:shd w:val="clear" w:color="auto" w:fill="C6EFCE"/>
            <w:vAlign w:val="center"/>
            <w:hideMark/>
          </w:tcPr>
          <w:p w14:paraId="51007B8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Toetust saavate eluasemeüksuste arv (nii ehituse kui ka taastamise seisukohast) ja toetust saavate avalike ruumide ruutmeetrid</w:t>
            </w:r>
          </w:p>
        </w:tc>
        <w:tc>
          <w:tcPr>
            <w:tcW w:w="505" w:type="pct"/>
            <w:shd w:val="clear" w:color="auto" w:fill="C6EFCE"/>
            <w:vAlign w:val="center"/>
            <w:hideMark/>
          </w:tcPr>
          <w:p w14:paraId="1A8FDF3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478" w:type="pct"/>
            <w:shd w:val="clear" w:color="auto" w:fill="C6EFCE"/>
            <w:vAlign w:val="center"/>
            <w:hideMark/>
          </w:tcPr>
          <w:p w14:paraId="1C73B79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18" w:type="pct"/>
            <w:shd w:val="clear" w:color="auto" w:fill="C6EFCE"/>
            <w:vAlign w:val="center"/>
            <w:hideMark/>
          </w:tcPr>
          <w:p w14:paraId="1E562D6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384" w:type="pct"/>
            <w:shd w:val="clear" w:color="auto" w:fill="C6EFCE"/>
            <w:vAlign w:val="center"/>
            <w:hideMark/>
          </w:tcPr>
          <w:p w14:paraId="6B18F906" w14:textId="1F1BB6C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10 000</w:t>
            </w:r>
          </w:p>
        </w:tc>
        <w:tc>
          <w:tcPr>
            <w:tcW w:w="275" w:type="pct"/>
            <w:shd w:val="clear" w:color="auto" w:fill="C6EFCE"/>
            <w:vAlign w:val="center"/>
            <w:hideMark/>
          </w:tcPr>
          <w:p w14:paraId="381639E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 kv</w:t>
            </w:r>
          </w:p>
        </w:tc>
        <w:tc>
          <w:tcPr>
            <w:tcW w:w="200" w:type="pct"/>
            <w:shd w:val="clear" w:color="auto" w:fill="C6EFCE"/>
            <w:vAlign w:val="center"/>
            <w:hideMark/>
          </w:tcPr>
          <w:p w14:paraId="47B7AA15"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2026</w:t>
            </w:r>
          </w:p>
        </w:tc>
        <w:tc>
          <w:tcPr>
            <w:tcW w:w="1081" w:type="pct"/>
            <w:shd w:val="clear" w:color="auto" w:fill="C6EFCE"/>
            <w:vAlign w:val="center"/>
            <w:hideMark/>
          </w:tcPr>
          <w:p w14:paraId="6C04C1B1" w14:textId="769FC10B" w:rsidR="0084326C" w:rsidRPr="005D68A0" w:rsidRDefault="0084326C">
            <w:pPr>
              <w:rPr>
                <w:rFonts w:ascii="Arial Narrow" w:hAnsi="Arial Narrow"/>
                <w:noProof/>
                <w:color w:val="006100"/>
                <w:sz w:val="20"/>
                <w:szCs w:val="20"/>
              </w:rPr>
            </w:pPr>
            <w:r>
              <w:rPr>
                <w:rFonts w:ascii="Arial Narrow" w:hAnsi="Arial Narrow"/>
                <w:noProof/>
                <w:color w:val="006100"/>
                <w:sz w:val="20"/>
              </w:rPr>
              <w:t>Toetust antakse vähemalt 10 000 eluasemele (nii ehitamiseks kui ka rehabiliteerimiseks). Eesmärgi rahuldav täitmine sõltub ka vähemalt 800 000 ruutmeetrit avalikku ruumi hõlmava teisese eesmärgi rahuldavast täitmisest.</w:t>
            </w:r>
          </w:p>
        </w:tc>
      </w:tr>
      <w:tr w:rsidR="0084326C" w:rsidRPr="00D90835" w14:paraId="50CF2423" w14:textId="77777777">
        <w:trPr>
          <w:trHeight w:val="6917"/>
          <w:jc w:val="center"/>
        </w:trPr>
        <w:tc>
          <w:tcPr>
            <w:tcW w:w="384" w:type="pct"/>
            <w:shd w:val="clear" w:color="auto" w:fill="C6EFCE"/>
            <w:vAlign w:val="center"/>
            <w:hideMark/>
          </w:tcPr>
          <w:p w14:paraId="23C149D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M5C2-21</w:t>
            </w:r>
          </w:p>
        </w:tc>
        <w:tc>
          <w:tcPr>
            <w:tcW w:w="509" w:type="pct"/>
            <w:shd w:val="clear" w:color="auto" w:fill="C6EFCE"/>
            <w:vAlign w:val="center"/>
            <w:hideMark/>
          </w:tcPr>
          <w:p w14:paraId="493A936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7. Sport ja sotsiaalse kaasatuse projekt</w:t>
            </w:r>
          </w:p>
        </w:tc>
        <w:tc>
          <w:tcPr>
            <w:tcW w:w="361" w:type="pct"/>
            <w:shd w:val="clear" w:color="auto" w:fill="C6EFCE"/>
            <w:vAlign w:val="center"/>
            <w:hideMark/>
          </w:tcPr>
          <w:p w14:paraId="673679A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505" w:type="pct"/>
            <w:shd w:val="clear" w:color="auto" w:fill="C6EFCE"/>
            <w:vAlign w:val="center"/>
            <w:hideMark/>
          </w:tcPr>
          <w:p w14:paraId="2FE64A0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Kõigi spordi- ja sotsiaalse kaasamise projektide riigihankelepingute sõlmimine avaliku konkursikutse alusel.</w:t>
            </w:r>
          </w:p>
        </w:tc>
        <w:tc>
          <w:tcPr>
            <w:tcW w:w="505" w:type="pct"/>
            <w:shd w:val="clear" w:color="auto" w:fill="C6EFCE"/>
            <w:vAlign w:val="center"/>
            <w:hideMark/>
          </w:tcPr>
          <w:p w14:paraId="30B284C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Spordi ja sotsiaalse kaasamise projektidega seotud riigihankelepingute sõlmimisest teatamine</w:t>
            </w:r>
          </w:p>
        </w:tc>
        <w:tc>
          <w:tcPr>
            <w:tcW w:w="478" w:type="pct"/>
            <w:shd w:val="clear" w:color="auto" w:fill="C6EFCE"/>
            <w:vAlign w:val="center"/>
            <w:hideMark/>
          </w:tcPr>
          <w:p w14:paraId="4B9D5DE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18" w:type="pct"/>
            <w:shd w:val="clear" w:color="auto" w:fill="C6EFCE"/>
            <w:vAlign w:val="center"/>
            <w:hideMark/>
          </w:tcPr>
          <w:p w14:paraId="6F29227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384" w:type="pct"/>
            <w:shd w:val="clear" w:color="auto" w:fill="C6EFCE"/>
            <w:vAlign w:val="center"/>
            <w:hideMark/>
          </w:tcPr>
          <w:p w14:paraId="181B1E9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275" w:type="pct"/>
            <w:shd w:val="clear" w:color="auto" w:fill="C6EFCE"/>
            <w:vAlign w:val="center"/>
            <w:hideMark/>
          </w:tcPr>
          <w:p w14:paraId="63727E0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 kv</w:t>
            </w:r>
          </w:p>
        </w:tc>
        <w:tc>
          <w:tcPr>
            <w:tcW w:w="200" w:type="pct"/>
            <w:shd w:val="clear" w:color="auto" w:fill="C6EFCE"/>
            <w:vAlign w:val="center"/>
            <w:hideMark/>
          </w:tcPr>
          <w:p w14:paraId="3A5971D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2023</w:t>
            </w:r>
          </w:p>
        </w:tc>
        <w:tc>
          <w:tcPr>
            <w:tcW w:w="1081" w:type="pct"/>
            <w:shd w:val="clear" w:color="auto" w:fill="C6EFCE"/>
            <w:vAlign w:val="center"/>
            <w:hideMark/>
          </w:tcPr>
          <w:p w14:paraId="14720248" w14:textId="33559FA2" w:rsidR="0084326C" w:rsidRPr="005D68A0" w:rsidRDefault="009046EC">
            <w:pPr>
              <w:rPr>
                <w:rFonts w:ascii="Arial Narrow" w:eastAsia="Calibri" w:hAnsi="Arial Narrow"/>
                <w:noProof/>
                <w:color w:val="006100"/>
                <w:sz w:val="20"/>
                <w:szCs w:val="20"/>
              </w:rPr>
            </w:pPr>
            <w:r w:rsidRPr="009046EC">
              <w:rPr>
                <w:rFonts w:ascii="Arial Narrow" w:hAnsi="Arial Narrow"/>
                <w:noProof/>
                <w:color w:val="006100"/>
                <w:sz w:val="20"/>
              </w:rPr>
              <w:t>Teade riigihankelepingute sõlmimise kohta, mis koosneb vähemalt ühest järgmisest elemendist:</w:t>
            </w:r>
          </w:p>
          <w:p w14:paraId="74CE3335" w14:textId="77777777" w:rsidR="0084326C" w:rsidRPr="00F33804" w:rsidRDefault="0084326C">
            <w:pPr>
              <w:rPr>
                <w:rFonts w:ascii="Arial Narrow" w:hAnsi="Arial Narrow"/>
                <w:noProof/>
                <w:color w:val="006100"/>
                <w:sz w:val="20"/>
                <w:szCs w:val="20"/>
              </w:rPr>
            </w:pPr>
          </w:p>
          <w:p w14:paraId="258F7B28"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1. uute spordirajatiste ehitamine riigi ebasoodsas olukorras olevates piirkondades;</w:t>
            </w:r>
          </w:p>
          <w:p w14:paraId="0C746D99"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2. spordivarustuse pakkumine, sealhulgas tehnoloogia rakendamine spordis);</w:t>
            </w:r>
          </w:p>
          <w:p w14:paraId="699D45AB" w14:textId="77777777" w:rsidR="0084326C" w:rsidRPr="005D68A0" w:rsidRDefault="0084326C">
            <w:pPr>
              <w:rPr>
                <w:rFonts w:ascii="Arial Narrow" w:eastAsia="Calibri" w:hAnsi="Arial Narrow"/>
                <w:noProof/>
                <w:color w:val="006100"/>
                <w:sz w:val="20"/>
                <w:szCs w:val="20"/>
              </w:rPr>
            </w:pPr>
            <w:r>
              <w:rPr>
                <w:rFonts w:ascii="Arial Narrow" w:hAnsi="Arial Narrow"/>
                <w:noProof/>
                <w:color w:val="006100"/>
                <w:sz w:val="20"/>
              </w:rPr>
              <w:t>3. olemasolevate spordirajatiste ümberkvalifitseerimine ja kohandamine (näiteks:: arhitektuuriliste tõkete kõrvaldamine, energiatõhusus jne).</w:t>
            </w:r>
          </w:p>
          <w:p w14:paraId="5186AF13" w14:textId="77777777" w:rsidR="0084326C" w:rsidRPr="00F33804" w:rsidRDefault="0084326C">
            <w:pPr>
              <w:rPr>
                <w:rFonts w:ascii="Arial Narrow" w:hAnsi="Arial Narrow"/>
                <w:noProof/>
                <w:color w:val="006100"/>
                <w:sz w:val="20"/>
                <w:szCs w:val="20"/>
              </w:rPr>
            </w:pPr>
          </w:p>
          <w:p w14:paraId="36F752B4"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Projekti eesmärk on tagada linnapiirkondade taaselustamine, keskendudes spordirajatistele, et edendada sotsiaalset kaasatust ja integratsiooni, eelkõige Itaalia kõige mahajäänumates piirkondades.</w:t>
            </w:r>
          </w:p>
          <w:p w14:paraId="492CA552"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Valikukriteeriumidega tagatakse, et vähemalt 50 % investeeringust eraldatakse uutele ehitistele, mis vastavad määruse (EL) 2021/241 VI lisa joonealuses märkuses 5 esitatud asjaomastele nõuetele.</w:t>
            </w:r>
          </w:p>
        </w:tc>
      </w:tr>
      <w:tr w:rsidR="0084326C" w:rsidRPr="00D90835" w14:paraId="6FB0A7B0" w14:textId="77777777">
        <w:trPr>
          <w:trHeight w:val="20"/>
          <w:jc w:val="center"/>
        </w:trPr>
        <w:tc>
          <w:tcPr>
            <w:tcW w:w="384" w:type="pct"/>
            <w:shd w:val="clear" w:color="auto" w:fill="C6EFCE"/>
            <w:vAlign w:val="center"/>
            <w:hideMark/>
          </w:tcPr>
          <w:p w14:paraId="35AA3B6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M5C2-22</w:t>
            </w:r>
          </w:p>
        </w:tc>
        <w:tc>
          <w:tcPr>
            <w:tcW w:w="509" w:type="pct"/>
            <w:shd w:val="clear" w:color="auto" w:fill="C6EFCE"/>
            <w:vAlign w:val="center"/>
            <w:hideMark/>
          </w:tcPr>
          <w:p w14:paraId="5EB53BA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7. Sport ja sotsiaalse kaasatuse projekt</w:t>
            </w:r>
          </w:p>
        </w:tc>
        <w:tc>
          <w:tcPr>
            <w:tcW w:w="361" w:type="pct"/>
            <w:shd w:val="clear" w:color="auto" w:fill="C6EFCE"/>
            <w:vAlign w:val="center"/>
            <w:hideMark/>
          </w:tcPr>
          <w:p w14:paraId="69BE44B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505" w:type="pct"/>
            <w:shd w:val="clear" w:color="auto" w:fill="C6EFCE"/>
            <w:vAlign w:val="center"/>
            <w:hideMark/>
          </w:tcPr>
          <w:p w14:paraId="435F128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Spordirajatisi käsitlevate lepingutega seotud sekkumised.</w:t>
            </w:r>
          </w:p>
        </w:tc>
        <w:tc>
          <w:tcPr>
            <w:tcW w:w="505" w:type="pct"/>
            <w:shd w:val="clear" w:color="auto" w:fill="C6EFCE"/>
            <w:vAlign w:val="center"/>
            <w:hideMark/>
          </w:tcPr>
          <w:p w14:paraId="315663B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478" w:type="pct"/>
            <w:shd w:val="clear" w:color="auto" w:fill="C6EFCE"/>
            <w:vAlign w:val="center"/>
            <w:hideMark/>
          </w:tcPr>
          <w:p w14:paraId="5A3B3BF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318" w:type="pct"/>
            <w:shd w:val="clear" w:color="auto" w:fill="C6EFCE"/>
            <w:vAlign w:val="center"/>
            <w:hideMark/>
          </w:tcPr>
          <w:p w14:paraId="2D7760B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384" w:type="pct"/>
            <w:shd w:val="clear" w:color="auto" w:fill="C6EFCE"/>
            <w:vAlign w:val="center"/>
            <w:hideMark/>
          </w:tcPr>
          <w:p w14:paraId="57C565D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100</w:t>
            </w:r>
          </w:p>
        </w:tc>
        <w:tc>
          <w:tcPr>
            <w:tcW w:w="275" w:type="pct"/>
            <w:shd w:val="clear" w:color="auto" w:fill="C6EFCE"/>
            <w:vAlign w:val="center"/>
            <w:hideMark/>
          </w:tcPr>
          <w:p w14:paraId="4AE055B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200" w:type="pct"/>
            <w:shd w:val="clear" w:color="auto" w:fill="C6EFCE"/>
            <w:vAlign w:val="center"/>
            <w:hideMark/>
          </w:tcPr>
          <w:p w14:paraId="1B448C2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1081" w:type="pct"/>
            <w:shd w:val="clear" w:color="auto" w:fill="C6EFCE"/>
            <w:vAlign w:val="center"/>
            <w:hideMark/>
          </w:tcPr>
          <w:p w14:paraId="2FC1324C" w14:textId="77777777" w:rsidR="0084326C" w:rsidRPr="005D68A0" w:rsidRDefault="0084326C">
            <w:pPr>
              <w:rPr>
                <w:rFonts w:ascii="Arial Narrow" w:eastAsia="Calibri" w:hAnsi="Arial Narrow"/>
                <w:noProof/>
                <w:color w:val="006100"/>
                <w:sz w:val="20"/>
                <w:szCs w:val="20"/>
              </w:rPr>
            </w:pPr>
            <w:r>
              <w:rPr>
                <w:rFonts w:ascii="Arial Narrow" w:hAnsi="Arial Narrow"/>
                <w:noProof/>
                <w:color w:val="006100"/>
                <w:sz w:val="20"/>
              </w:rPr>
              <w:t>Vähemalt 100 sekkumist seoses spordirajatisi käsitlevate lepingutega.</w:t>
            </w:r>
          </w:p>
          <w:p w14:paraId="21B352B2" w14:textId="77777777" w:rsidR="0084326C" w:rsidRPr="005D68A0" w:rsidRDefault="0084326C">
            <w:pPr>
              <w:rPr>
                <w:rFonts w:ascii="Arial Narrow" w:hAnsi="Arial Narrow"/>
                <w:noProof/>
                <w:color w:val="006100"/>
                <w:sz w:val="20"/>
                <w:szCs w:val="20"/>
                <w:lang w:val="en-GB"/>
              </w:rPr>
            </w:pPr>
          </w:p>
          <w:p w14:paraId="77783C45" w14:textId="77777777" w:rsidR="0084326C" w:rsidRPr="005D68A0" w:rsidRDefault="0084326C">
            <w:pPr>
              <w:rPr>
                <w:rFonts w:ascii="Arial Narrow" w:eastAsia="Calibri" w:hAnsi="Arial Narrow"/>
                <w:noProof/>
                <w:color w:val="006100"/>
                <w:sz w:val="20"/>
                <w:szCs w:val="20"/>
              </w:rPr>
            </w:pPr>
            <w:r>
              <w:rPr>
                <w:rFonts w:ascii="Arial Narrow" w:hAnsi="Arial Narrow"/>
                <w:noProof/>
                <w:color w:val="006100"/>
                <w:sz w:val="20"/>
              </w:rPr>
              <w:t>Eesmärgi rahuldav täitmine sõltub ka teisese eesmärgi rahuldavast täitmisest: sekkumised hõlmavad vähemalt 200 000 ruutmeetri suurust ala.</w:t>
            </w:r>
          </w:p>
          <w:p w14:paraId="5AAD1974" w14:textId="77777777" w:rsidR="0084326C" w:rsidRPr="005D68A0" w:rsidRDefault="0084326C">
            <w:pPr>
              <w:rPr>
                <w:rFonts w:ascii="Arial Narrow" w:hAnsi="Arial Narrow"/>
                <w:noProof/>
                <w:color w:val="006100"/>
                <w:sz w:val="20"/>
                <w:szCs w:val="20"/>
                <w:lang w:val="en-GB"/>
              </w:rPr>
            </w:pPr>
          </w:p>
          <w:p w14:paraId="3DB650AE" w14:textId="77777777" w:rsidR="0084326C" w:rsidRPr="005D68A0" w:rsidRDefault="0084326C">
            <w:pPr>
              <w:rPr>
                <w:rFonts w:ascii="Arial Narrow" w:eastAsia="Calibri" w:hAnsi="Arial Narrow"/>
                <w:noProof/>
                <w:color w:val="006100"/>
                <w:sz w:val="20"/>
                <w:szCs w:val="20"/>
              </w:rPr>
            </w:pPr>
            <w:r>
              <w:rPr>
                <w:rFonts w:ascii="Arial Narrow" w:hAnsi="Arial Narrow"/>
                <w:noProof/>
                <w:color w:val="006100"/>
                <w:sz w:val="20"/>
              </w:rPr>
              <w:t>Projektis käsitletakse linnade taaselustamise küsimusi kooskõlas jätkusuutlikkuse ja vastupanuvõime põhimõtetega, keskendudes spordirajatistele, et edendada sotsiaalset kaasatust ja integratsiooni, eelkõige Itaalia kõige mahajäänumates piirkondades.</w:t>
            </w:r>
          </w:p>
          <w:p w14:paraId="1641FF60" w14:textId="77777777" w:rsidR="0084326C" w:rsidRPr="005D68A0" w:rsidRDefault="0084326C">
            <w:pPr>
              <w:rPr>
                <w:rFonts w:ascii="Arial Narrow" w:eastAsia="Calibri" w:hAnsi="Arial Narrow"/>
                <w:noProof/>
                <w:color w:val="006100"/>
                <w:sz w:val="20"/>
                <w:szCs w:val="20"/>
                <w:lang w:val="en-GB"/>
              </w:rPr>
            </w:pPr>
          </w:p>
          <w:p w14:paraId="7CEEC962" w14:textId="6A2466E7" w:rsidR="0084326C" w:rsidRPr="005D68A0" w:rsidRDefault="0084326C">
            <w:pPr>
              <w:rPr>
                <w:rFonts w:ascii="Arial Narrow" w:hAnsi="Arial Narrow"/>
                <w:noProof/>
                <w:color w:val="006100"/>
                <w:sz w:val="20"/>
                <w:szCs w:val="20"/>
              </w:rPr>
            </w:pPr>
            <w:r>
              <w:rPr>
                <w:rFonts w:ascii="Arial Narrow" w:hAnsi="Arial Narrow"/>
                <w:noProof/>
                <w:color w:val="006100"/>
                <w:sz w:val="20"/>
              </w:rPr>
              <w:t>Vähemalt 50 % investeeringust eraldatakse uutele ehitistele, mis vastavad määruse (EL)</w:t>
            </w:r>
            <w:r w:rsidR="00695260">
              <w:rPr>
                <w:rFonts w:ascii="Arial Narrow" w:hAnsi="Arial Narrow"/>
                <w:noProof/>
                <w:color w:val="006100"/>
                <w:sz w:val="20"/>
              </w:rPr>
              <w:t> </w:t>
            </w:r>
            <w:r>
              <w:rPr>
                <w:rFonts w:ascii="Arial Narrow" w:hAnsi="Arial Narrow"/>
                <w:noProof/>
                <w:color w:val="006100"/>
                <w:sz w:val="20"/>
              </w:rPr>
              <w:t>2021/241 VI lisa joonealuses märkuses 5 esitatud asjaomastele nõuetele.</w:t>
            </w:r>
            <w:r>
              <w:rPr>
                <w:rFonts w:ascii="Arial Narrow" w:hAnsi="Arial Narrow"/>
                <w:noProof/>
                <w:color w:val="000000"/>
                <w:sz w:val="20"/>
              </w:rPr>
              <w:t xml:space="preserve"> </w:t>
            </w:r>
          </w:p>
        </w:tc>
      </w:tr>
    </w:tbl>
    <w:p w14:paraId="671E0B23" w14:textId="77777777" w:rsidR="0084326C" w:rsidRPr="005D68A0" w:rsidRDefault="0084326C" w:rsidP="0084326C">
      <w:pPr>
        <w:keepNext/>
        <w:tabs>
          <w:tab w:val="left" w:pos="4252"/>
        </w:tabs>
        <w:spacing w:before="720"/>
        <w:jc w:val="both"/>
        <w:rPr>
          <w:i/>
          <w:noProof/>
          <w:lang w:val="en-GB"/>
        </w:rPr>
        <w:sectPr w:rsidR="0084326C" w:rsidRPr="005D68A0">
          <w:headerReference w:type="even" r:id="rId344"/>
          <w:headerReference w:type="default" r:id="rId345"/>
          <w:footerReference w:type="even" r:id="rId346"/>
          <w:footerReference w:type="default" r:id="rId347"/>
          <w:headerReference w:type="first" r:id="rId348"/>
          <w:footerReference w:type="first" r:id="rId349"/>
          <w:pgSz w:w="20160" w:h="12240" w:orient="landscape"/>
          <w:pgMar w:top="1440" w:right="1440" w:bottom="1440" w:left="1440" w:header="709" w:footer="709" w:gutter="0"/>
          <w:cols w:space="720"/>
          <w:docGrid w:linePitch="360"/>
        </w:sectPr>
      </w:pPr>
    </w:p>
    <w:p w14:paraId="069E35D4" w14:textId="77777777" w:rsidR="0084326C" w:rsidRPr="005D68A0" w:rsidRDefault="0084326C" w:rsidP="0084326C">
      <w:pPr>
        <w:pStyle w:val="Heading2"/>
        <w:numPr>
          <w:ilvl w:val="0"/>
          <w:numId w:val="0"/>
        </w:numPr>
        <w:ind w:left="850" w:hanging="850"/>
        <w:rPr>
          <w:noProof/>
        </w:rPr>
      </w:pPr>
      <w:r>
        <w:rPr>
          <w:noProof/>
        </w:rPr>
        <w:t>M. ÜLESANNE 5 KOMPONENT 3. Territoriaalse ühtekuuluvuse erisekkumised</w:t>
      </w:r>
    </w:p>
    <w:p w14:paraId="7E83C002" w14:textId="118CAB13" w:rsidR="0084326C" w:rsidRPr="005D68A0" w:rsidRDefault="0084326C" w:rsidP="0084326C">
      <w:pPr>
        <w:tabs>
          <w:tab w:val="left" w:pos="1134"/>
        </w:tabs>
        <w:spacing w:before="120" w:after="120"/>
        <w:jc w:val="both"/>
        <w:rPr>
          <w:rFonts w:eastAsia="Calibri"/>
          <w:noProof/>
        </w:rPr>
      </w:pPr>
      <w:r>
        <w:rPr>
          <w:noProof/>
        </w:rPr>
        <w:t xml:space="preserve">See taaste- ja vastupidavuskava komponent hõlmab kahte sekkumisvaldkonda: i) Sise-, äärepoolsete ja mägipiirkondade vastupanuvõime tagamise kava; ii) lõunapoolsete riikide arenguprojektid, sealhulgas investeeringud haridusvaesuse vastu võitlemiseks, maapiirkondade apteekide kui kohalike tervishoiuteenuste konsolideerimiseks, organiseeritud kuritegevusest konfiskeeritud vara suurendamiseks ja taristuinvesteeringuteks erimajandustsoonides. Nende meetmete eesmärk on vähendada territoriaalset lõhet kolmes valdkonnas: demograafia ja teenused; oskuste arendamine; investeeringud. </w:t>
      </w:r>
    </w:p>
    <w:p w14:paraId="1F69FD32" w14:textId="77777777" w:rsidR="0084326C" w:rsidRPr="005D68A0" w:rsidRDefault="0084326C" w:rsidP="0084326C">
      <w:pPr>
        <w:tabs>
          <w:tab w:val="left" w:pos="1134"/>
        </w:tabs>
        <w:spacing w:before="120" w:after="120"/>
        <w:jc w:val="both"/>
        <w:rPr>
          <w:rFonts w:eastAsia="Calibri"/>
          <w:noProof/>
        </w:rPr>
      </w:pPr>
      <w:r>
        <w:rPr>
          <w:noProof/>
        </w:rPr>
        <w:t xml:space="preserve">Selle komponendi raames tehtavad investeeringud ja reformid aitavad täita 2019. ja 2020. aastal Itaaliale esitatud riigipõhiseid soovitusi vajaduse kohta rakendada teadusuuringute ja innovatsiooni valdkonnas investeeringutega seotud majanduspoliitikat ning taristu kvaliteeti, võttes arvesse piirkondlikke erinevusi (riigipõhine soovitus 2019 nr 3); </w:t>
      </w:r>
      <w:r>
        <w:rPr>
          <w:rStyle w:val="normaltextrun"/>
          <w:noProof/>
          <w:shd w:val="clear" w:color="auto" w:fill="FFFFFF"/>
        </w:rPr>
        <w:t>„parandada haridustulemusi“ (riigipõhine soovitus 2019 nr 2);</w:t>
      </w:r>
      <w:r>
        <w:rPr>
          <w:rStyle w:val="normaltextrun"/>
          <w:rFonts w:ascii="Calibri" w:hAnsi="Calibri"/>
          <w:noProof/>
          <w:shd w:val="clear" w:color="auto" w:fill="FFFFFF"/>
        </w:rPr>
        <w:t> „</w:t>
      </w:r>
      <w:r>
        <w:rPr>
          <w:rStyle w:val="normaltextrun"/>
          <w:noProof/>
          <w:shd w:val="clear" w:color="auto" w:fill="FFFFFF"/>
        </w:rPr>
        <w:t>Tugevdada tervishoiusüsteemi vastupanuvõimet ja suutlikkus</w:t>
      </w:r>
      <w:r>
        <w:rPr>
          <w:rStyle w:val="normaltextrun"/>
          <w:rFonts w:ascii="Calibri" w:hAnsi="Calibri"/>
          <w:noProof/>
          <w:shd w:val="clear" w:color="auto" w:fill="FFFFFF"/>
        </w:rPr>
        <w:t>t [...]“</w:t>
      </w:r>
      <w:r>
        <w:rPr>
          <w:rStyle w:val="normaltextrun"/>
          <w:noProof/>
          <w:shd w:val="clear" w:color="auto" w:fill="FFFFFF"/>
        </w:rPr>
        <w:t xml:space="preserve"> (riigipõhine soovitus 2020 nr 1);</w:t>
      </w:r>
      <w:r>
        <w:rPr>
          <w:rStyle w:val="normaltextrun"/>
          <w:rFonts w:ascii="Calibri" w:hAnsi="Calibri"/>
          <w:noProof/>
          <w:shd w:val="clear" w:color="auto" w:fill="FFFFFF"/>
        </w:rPr>
        <w:t> </w:t>
      </w:r>
      <w:r>
        <w:rPr>
          <w:rStyle w:val="normaltextrun"/>
          <w:noProof/>
          <w:shd w:val="clear" w:color="auto" w:fill="FFFFFF"/>
        </w:rPr>
        <w:t>„tagada piisav [...] ja juurdepääs sotsiaalkaitsele“ (riigipõhine soovitus 2020 nr 2).</w:t>
      </w:r>
      <w:r>
        <w:rPr>
          <w:rStyle w:val="normaltextrun"/>
          <w:rFonts w:ascii="Calibri" w:hAnsi="Calibri"/>
          <w:noProof/>
          <w:shd w:val="clear" w:color="auto" w:fill="FFFFFF"/>
        </w:rPr>
        <w:t xml:space="preserve"> </w:t>
      </w:r>
    </w:p>
    <w:p w14:paraId="4023335E" w14:textId="77777777" w:rsidR="0084326C" w:rsidRPr="00F33804" w:rsidRDefault="0084326C" w:rsidP="0084326C">
      <w:pPr>
        <w:spacing w:before="120" w:after="120"/>
        <w:jc w:val="both"/>
        <w:rPr>
          <w:noProof/>
        </w:rPr>
      </w:pPr>
    </w:p>
    <w:p w14:paraId="21766C93" w14:textId="77777777" w:rsidR="0084326C" w:rsidRPr="005D68A0" w:rsidRDefault="0084326C" w:rsidP="0084326C">
      <w:pPr>
        <w:pStyle w:val="Heading3"/>
        <w:numPr>
          <w:ilvl w:val="0"/>
          <w:numId w:val="0"/>
        </w:numPr>
        <w:ind w:left="850" w:hanging="850"/>
        <w:rPr>
          <w:b/>
          <w:bCs w:val="0"/>
          <w:i w:val="0"/>
          <w:iCs/>
          <w:noProof/>
          <w:color w:val="4472C4" w:themeColor="accent1"/>
          <w:u w:val="single"/>
        </w:rPr>
      </w:pPr>
      <w:r>
        <w:rPr>
          <w:b/>
          <w:i w:val="0"/>
          <w:noProof/>
          <w:u w:val="single"/>
        </w:rPr>
        <w:t xml:space="preserve">N.1. </w:t>
      </w:r>
      <w:r>
        <w:rPr>
          <w:noProof/>
        </w:rPr>
        <w:tab/>
      </w:r>
      <w:r>
        <w:rPr>
          <w:b/>
          <w:i w:val="0"/>
          <w:noProof/>
          <w:u w:val="single"/>
        </w:rPr>
        <w:t>Tagastamatu rahalise toetusega seotud reformide ja investeeringute kirjeldus</w:t>
      </w:r>
    </w:p>
    <w:p w14:paraId="57300B8F" w14:textId="060E0E2F" w:rsidR="0084326C" w:rsidRPr="005D68A0" w:rsidRDefault="0084326C" w:rsidP="0084326C">
      <w:pPr>
        <w:spacing w:before="120" w:after="120"/>
        <w:jc w:val="both"/>
        <w:rPr>
          <w:b/>
          <w:bCs/>
          <w:noProof/>
        </w:rPr>
      </w:pPr>
      <w:r>
        <w:rPr>
          <w:b/>
          <w:noProof/>
        </w:rPr>
        <w:t>Investeering 1.1. Sisealad – 1. Kogukondlike sotsiaalteenuste ja -infrastruktuuride edendamine</w:t>
      </w:r>
    </w:p>
    <w:p w14:paraId="693843B7" w14:textId="77777777" w:rsidR="0084326C" w:rsidRPr="005D68A0" w:rsidRDefault="0084326C" w:rsidP="0084326C">
      <w:pPr>
        <w:spacing w:before="120" w:after="120"/>
        <w:jc w:val="both"/>
        <w:rPr>
          <w:noProof/>
        </w:rPr>
      </w:pPr>
      <w:r>
        <w:rPr>
          <w:noProof/>
        </w:rPr>
        <w:t xml:space="preserve">Sekkumise eesmärk on tegeleda sotsiaalse tõrjutuse ja marginaliseerumise probleemidega, intensiivistades teenuste osutamist kohalike omavalitsuste pakutavate avalike teenuste rahastamise suurendamise kaudu (kättetoimetamismehhanism seisneb toetuste andmises omavalitsustele). Rahastatavad projektid võivad hõlmata järgmist: eakate koduhooldusteenused; kogukonnaõed ja ämmaemandad; väikehaiglate (ilma esmaabita) või mõnede põhiteenuste (nt radioloogia, kardioloogia, günekoloogia) ja ambulatoorsete keskuste tugevdamine; kopterite päästmise infrastruktuurid; puuetega inimeste keskuste tugevdamine; nõustamiskeskused, kultuuriteenused, sporditeenused ja rändajate vastuvõtmine. Sekkumisega nähakse ette kas uute teenuste ja infrastruktuuride loomine või olemasolevate parandamine teenuse kasutajate arvu või teenuse kvaliteedi suurendamise kaudu. </w:t>
      </w:r>
    </w:p>
    <w:p w14:paraId="2E8AAA5C" w14:textId="77777777" w:rsidR="0084326C" w:rsidRPr="005D68A0" w:rsidRDefault="53DC5198" w:rsidP="0084326C">
      <w:pPr>
        <w:spacing w:before="120" w:after="120"/>
        <w:jc w:val="both"/>
        <w:rPr>
          <w:noProof/>
        </w:rPr>
      </w:pPr>
      <w:r>
        <w:rPr>
          <w:noProof/>
        </w:rPr>
        <w:t>Tagamaks, et meede vastab „ei kahjusta oluliselt“ tehnilistele suunistele (2021/C58/01), jäetakse tulevaste projektikonkursside juhendites sisalduvatest rahastamiskõlblikkuse kriteeriumidest välja järgmised tegevused:</w:t>
      </w:r>
      <w:r>
        <w:rPr>
          <w:noProof/>
          <w:color w:val="FF0000"/>
        </w:rPr>
        <w:t xml:space="preserve"> </w:t>
      </w:r>
      <w:r>
        <w:rPr>
          <w:noProof/>
        </w:rPr>
        <w:t>i) fossiilkütustega seotud tegevus, sealhulgas allkasutus tootmisahela järgmistes etappides</w:t>
      </w:r>
      <w:r w:rsidRPr="005D68A0">
        <w:rPr>
          <w:rStyle w:val="FootnoteReference"/>
          <w:noProof/>
          <w:lang w:val="en-GB"/>
        </w:rPr>
        <w:footnoteReference w:id="115"/>
      </w:r>
      <w:r>
        <w:rPr>
          <w:noProof/>
        </w:rPr>
        <w:t>; ii) ELi heitkogustega kauplemise süsteemi (HKS) raames toimuv tegevus, mille prognoositav kasvuhoonegaaside heide ei ole asjaomastest võrdlusalustest</w:t>
      </w:r>
      <w:r w:rsidRPr="005D68A0">
        <w:rPr>
          <w:rStyle w:val="FootnoteReference"/>
          <w:noProof/>
          <w:lang w:val="en-GB"/>
        </w:rPr>
        <w:footnoteReference w:id="116"/>
      </w:r>
      <w:r>
        <w:rPr>
          <w:noProof/>
        </w:rPr>
        <w:t xml:space="preserve"> madalam; iii) prügilate, jäätmepõletustehaste</w:t>
      </w:r>
      <w:r w:rsidRPr="005D68A0">
        <w:rPr>
          <w:rStyle w:val="FootnoteReference"/>
          <w:noProof/>
          <w:lang w:val="en-GB"/>
        </w:rPr>
        <w:footnoteReference w:id="117"/>
      </w:r>
      <w:r>
        <w:rPr>
          <w:noProof/>
        </w:rPr>
        <w:t xml:space="preserve"> ja mehhaanilis-bioloogilise töötlemise jaamadega</w:t>
      </w:r>
      <w:r w:rsidRPr="005D68A0">
        <w:rPr>
          <w:rStyle w:val="FootnoteReference"/>
          <w:noProof/>
          <w:lang w:val="en-GB"/>
        </w:rPr>
        <w:footnoteReference w:id="118"/>
      </w:r>
      <w:r>
        <w:rPr>
          <w:noProof/>
        </w:rPr>
        <w:t xml:space="preserve"> seotud tegevus; iv) tegevused, mille puhul jäätmete pikaajaline kõrvaldamine võib kahjustada keskkonda. Peale selle peab konkursitingimustes olema sätestatud, et valida võib ainult tegevusi, mis vastavad asjakohastele ELi ja riiklikele keskkonnaalastele õigusaktidele.</w:t>
      </w:r>
    </w:p>
    <w:p w14:paraId="18B64DF6" w14:textId="77777777" w:rsidR="0084326C" w:rsidRPr="00F33804" w:rsidRDefault="0084326C" w:rsidP="0084326C">
      <w:pPr>
        <w:spacing w:before="120" w:after="120"/>
        <w:jc w:val="both"/>
        <w:rPr>
          <w:b/>
          <w:bCs/>
          <w:noProof/>
        </w:rPr>
      </w:pPr>
    </w:p>
    <w:p w14:paraId="24D9953C" w14:textId="5A5D3366" w:rsidR="0084326C" w:rsidRPr="005D68A0" w:rsidRDefault="0084326C" w:rsidP="0084326C">
      <w:pPr>
        <w:spacing w:before="120" w:after="120"/>
        <w:jc w:val="both"/>
        <w:rPr>
          <w:b/>
          <w:bCs/>
          <w:noProof/>
        </w:rPr>
      </w:pPr>
      <w:r>
        <w:rPr>
          <w:b/>
          <w:noProof/>
        </w:rPr>
        <w:t xml:space="preserve">Investeering 1.1.2. Territoriaalse läheduse tervishoiuasutused </w:t>
      </w:r>
    </w:p>
    <w:p w14:paraId="4A3EE17C" w14:textId="5C8BB4BE" w:rsidR="0084326C" w:rsidRPr="005D68A0" w:rsidRDefault="0084326C" w:rsidP="0084326C">
      <w:pPr>
        <w:spacing w:before="120" w:after="120"/>
        <w:jc w:val="both"/>
        <w:rPr>
          <w:noProof/>
        </w:rPr>
      </w:pPr>
      <w:r>
        <w:rPr>
          <w:noProof/>
        </w:rPr>
        <w:t>Sekkumise eesmärk on tugevdada maapiirkondade apteeke kohalike tervishoiuteenustena (maa</w:t>
      </w:r>
      <w:r w:rsidR="00695260">
        <w:rPr>
          <w:noProof/>
        </w:rPr>
        <w:t>-</w:t>
      </w:r>
      <w:r>
        <w:rPr>
          <w:noProof/>
        </w:rPr>
        <w:t xml:space="preserve">apteegid on määratletud 27. märtsi 1968. aasta seaduse nr 221 alusel. Selle meetmega antakse kohest toetust maapiirkondade apteekidele, mis on COVID-19 hädaolukorra ajal olnud kohaliku elanikkonna jaoks keskseks võrdlusaluseks. Tugevdades oma rolli tervishoiuteenuste pakkumisel, võivad apteegid jääda kogukonnaelu keskseks osaks, tuues tervishoiuteenused kodanikele võimalikult lähedale. Täpsemalt eeldatakse, et need apteegid tugevdavad oma rolli järgmiselt: i) osalemine integreeritud koduabiteenuses; ii) teise astme teenuste osutamine vastavalt konkreetsetele patoloogiatele ette nähtud diagnostika-teraapiateedele; iii) ravimite väljastamine, mida patsient on nüüd sunnitud haiglasse koguma; iv) patsiendi jälgimine elektroonilise terviseloo ja ravimitoimiku abil. </w:t>
      </w:r>
    </w:p>
    <w:p w14:paraId="695D1ED9" w14:textId="77777777" w:rsidR="0084326C" w:rsidRPr="00F33804" w:rsidRDefault="0084326C" w:rsidP="0084326C">
      <w:pPr>
        <w:spacing w:before="120" w:after="120"/>
        <w:jc w:val="both"/>
        <w:rPr>
          <w:b/>
          <w:noProof/>
        </w:rPr>
      </w:pPr>
    </w:p>
    <w:p w14:paraId="34754BA4" w14:textId="77777777" w:rsidR="0084326C" w:rsidRPr="005D68A0" w:rsidRDefault="0084326C" w:rsidP="0084326C">
      <w:pPr>
        <w:spacing w:before="120" w:after="120"/>
        <w:jc w:val="both"/>
        <w:rPr>
          <w:b/>
          <w:noProof/>
        </w:rPr>
      </w:pPr>
      <w:r>
        <w:rPr>
          <w:b/>
          <w:noProof/>
        </w:rPr>
        <w:t>Investeering 1.3. Struktureeritud sotsiaal-haridusmeetmed haridusvaesuse vastu võitlemiseks lõunas, millega toetatakse kolmandat sektorit</w:t>
      </w:r>
    </w:p>
    <w:p w14:paraId="12E3A022" w14:textId="77777777" w:rsidR="0084326C" w:rsidRPr="005D68A0" w:rsidRDefault="0084326C" w:rsidP="0084326C">
      <w:pPr>
        <w:spacing w:before="120" w:after="120"/>
        <w:jc w:val="both"/>
        <w:rPr>
          <w:noProof/>
        </w:rPr>
      </w:pPr>
      <w:r>
        <w:rPr>
          <w:noProof/>
        </w:rPr>
        <w:t xml:space="preserve">Meetme eesmärk on edendada lõunapoolsetes piirkondades (Abruzzo, Basilicata, Campania, Calabria, Molise, Apuulia, Sardiinia ja Sitsiilia) kolmandat sektorit ning osutada alaealistele sotsiaal-haridusteenuseid seoses Euroopa ühtekuuluvuspoliitika programmitöö perioodi 2021-2027 partnerluslepinguga. </w:t>
      </w:r>
    </w:p>
    <w:p w14:paraId="4182EBC1" w14:textId="77777777" w:rsidR="0084326C" w:rsidRPr="005D68A0" w:rsidRDefault="0084326C" w:rsidP="0084326C">
      <w:pPr>
        <w:spacing w:before="120" w:after="120"/>
        <w:jc w:val="both"/>
        <w:rPr>
          <w:noProof/>
        </w:rPr>
      </w:pPr>
      <w:r>
        <w:rPr>
          <w:noProof/>
        </w:rPr>
        <w:t>Sotsiaal-hariduslikud sekkumismeetmed haridusalase vaesuse vastu võitlemiseks ja kolmanda sektori toetamiseks peaksid toimuma ühes järgmistest valdkondadest:</w:t>
      </w:r>
    </w:p>
    <w:p w14:paraId="569B15D1" w14:textId="76A1C9BE" w:rsidR="0084326C" w:rsidRPr="005D68A0" w:rsidRDefault="57538B10" w:rsidP="0084326C">
      <w:pPr>
        <w:pStyle w:val="ListParagraph"/>
        <w:numPr>
          <w:ilvl w:val="0"/>
          <w:numId w:val="48"/>
        </w:numPr>
        <w:ind w:left="360"/>
        <w:rPr>
          <w:noProof/>
        </w:rPr>
      </w:pPr>
      <w:r>
        <w:rPr>
          <w:noProof/>
        </w:rPr>
        <w:t>0-6aastastele lastele suunatud sekkumismeetmed, mille eesmärk on parandada juurdepääsu lasteaia- ja eelkooliteenustele ning toetada lapsevanemaks olemist;</w:t>
      </w:r>
    </w:p>
    <w:p w14:paraId="16A0D070" w14:textId="77777777" w:rsidR="0084326C" w:rsidRPr="005D68A0" w:rsidRDefault="57538B10" w:rsidP="0084326C">
      <w:pPr>
        <w:pStyle w:val="ListParagraph"/>
        <w:numPr>
          <w:ilvl w:val="0"/>
          <w:numId w:val="48"/>
        </w:numPr>
        <w:ind w:left="360"/>
        <w:rPr>
          <w:noProof/>
        </w:rPr>
      </w:pPr>
      <w:r>
        <w:rPr>
          <w:noProof/>
        </w:rPr>
        <w:t xml:space="preserve">5-10aastastele lastele suunatud sekkumismeetmed, mille eesmärk on tagada tõhusad haridusvõimalused ning varakult ennetada koolist väljalangemist, kiusamist ja muid stressinähtusi; </w:t>
      </w:r>
    </w:p>
    <w:p w14:paraId="3269268A" w14:textId="77777777" w:rsidR="0084326C" w:rsidRPr="005D68A0" w:rsidRDefault="57538B10" w:rsidP="0084326C">
      <w:pPr>
        <w:pStyle w:val="ListParagraph"/>
        <w:numPr>
          <w:ilvl w:val="0"/>
          <w:numId w:val="48"/>
        </w:numPr>
        <w:ind w:left="360"/>
        <w:rPr>
          <w:noProof/>
        </w:rPr>
      </w:pPr>
      <w:r>
        <w:rPr>
          <w:noProof/>
        </w:rPr>
        <w:t>11–17-aastastele lastele suunatud sekkumismeetmed, mille eesmärk on parandada hariduse pakkumist ja ennetada haridussüsteemist varakult lahkumist.</w:t>
      </w:r>
    </w:p>
    <w:p w14:paraId="06F84B69" w14:textId="77777777" w:rsidR="0084326C" w:rsidRPr="005D68A0" w:rsidRDefault="0084326C" w:rsidP="0084326C">
      <w:pPr>
        <w:spacing w:before="120" w:after="120"/>
        <w:jc w:val="both"/>
        <w:rPr>
          <w:noProof/>
        </w:rPr>
      </w:pPr>
      <w:r>
        <w:rPr>
          <w:noProof/>
        </w:rPr>
        <w:t>Sekkumistega tagatakse, et pakkumine sisaldaks järgmisi põhielemente:</w:t>
      </w:r>
    </w:p>
    <w:p w14:paraId="7E71B55C" w14:textId="117650BC" w:rsidR="0084326C" w:rsidRPr="005D68A0" w:rsidRDefault="57538B10" w:rsidP="0084326C">
      <w:pPr>
        <w:pStyle w:val="ListParagraph"/>
        <w:numPr>
          <w:ilvl w:val="0"/>
          <w:numId w:val="48"/>
        </w:numPr>
        <w:ind w:left="360"/>
        <w:rPr>
          <w:noProof/>
        </w:rPr>
      </w:pPr>
      <w:r>
        <w:rPr>
          <w:noProof/>
        </w:rPr>
        <w:t xml:space="preserve">Avalike teadaannete maksumus on vähemalt 50 000 000 eurot. </w:t>
      </w:r>
    </w:p>
    <w:p w14:paraId="6B478FCB" w14:textId="77777777" w:rsidR="0084326C" w:rsidRPr="005D68A0" w:rsidRDefault="57538B10" w:rsidP="0084326C">
      <w:pPr>
        <w:pStyle w:val="ListParagraph"/>
        <w:numPr>
          <w:ilvl w:val="0"/>
          <w:numId w:val="48"/>
        </w:numPr>
        <w:ind w:left="360"/>
        <w:rPr>
          <w:noProof/>
        </w:rPr>
      </w:pPr>
      <w:r>
        <w:rPr>
          <w:noProof/>
        </w:rPr>
        <w:t>kolmanda sektori üksuste projektide kestus vähemalt üks aasta ja kuni kaks aastat.</w:t>
      </w:r>
    </w:p>
    <w:p w14:paraId="28B30F08" w14:textId="77777777" w:rsidR="0084326C" w:rsidRPr="00F33804" w:rsidRDefault="0084326C" w:rsidP="0084326C">
      <w:pPr>
        <w:rPr>
          <w:noProof/>
        </w:rPr>
      </w:pPr>
    </w:p>
    <w:p w14:paraId="78546E95" w14:textId="77777777" w:rsidR="0084326C" w:rsidRPr="005D68A0" w:rsidRDefault="0084326C" w:rsidP="0084326C">
      <w:pPr>
        <w:pStyle w:val="Heading3"/>
        <w:numPr>
          <w:ilvl w:val="0"/>
          <w:numId w:val="0"/>
        </w:numPr>
        <w:ind w:left="850" w:hanging="850"/>
        <w:rPr>
          <w:b/>
          <w:bCs w:val="0"/>
          <w:i w:val="0"/>
          <w:iCs/>
          <w:noProof/>
        </w:rPr>
      </w:pPr>
      <w:r>
        <w:rPr>
          <w:b/>
          <w:i w:val="0"/>
          <w:noProof/>
        </w:rPr>
        <w:t xml:space="preserve">N.2. </w:t>
      </w:r>
      <w:r>
        <w:rPr>
          <w:noProof/>
        </w:rPr>
        <w:tab/>
      </w:r>
      <w:r>
        <w:rPr>
          <w:b/>
          <w:i w:val="0"/>
          <w:noProof/>
        </w:rPr>
        <w:t>Tagastamatu rahalise toetuse eesmärgid, sihid, näitajad ning seire ja rakendamise ajakava</w:t>
      </w:r>
    </w:p>
    <w:p w14:paraId="5A2351AC" w14:textId="77777777" w:rsidR="0084326C" w:rsidRPr="00F33804" w:rsidRDefault="0084326C" w:rsidP="0084326C">
      <w:pPr>
        <w:spacing w:before="120" w:after="120"/>
        <w:ind w:left="709"/>
        <w:jc w:val="both"/>
        <w:rPr>
          <w:noProof/>
        </w:rPr>
        <w:sectPr w:rsidR="0084326C" w:rsidRPr="00F33804">
          <w:headerReference w:type="even" r:id="rId350"/>
          <w:headerReference w:type="default" r:id="rId351"/>
          <w:footerReference w:type="even" r:id="rId352"/>
          <w:footerReference w:type="default" r:id="rId353"/>
          <w:headerReference w:type="first" r:id="rId354"/>
          <w:footerReference w:type="first" r:id="rId355"/>
          <w:pgSz w:w="11907" w:h="16839"/>
          <w:pgMar w:top="1440" w:right="1440" w:bottom="1440" w:left="1440" w:header="567" w:footer="567" w:gutter="0"/>
          <w:cols w:space="720"/>
          <w:docGrid w:linePitch="360"/>
        </w:sectPr>
      </w:pPr>
    </w:p>
    <w:tbl>
      <w:tblPr>
        <w:tblW w:w="1575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772"/>
        <w:gridCol w:w="1412"/>
        <w:gridCol w:w="1775"/>
        <w:gridCol w:w="1584"/>
        <w:gridCol w:w="1134"/>
        <w:gridCol w:w="1134"/>
        <w:gridCol w:w="992"/>
        <w:gridCol w:w="916"/>
        <w:gridCol w:w="812"/>
        <w:gridCol w:w="3020"/>
      </w:tblGrid>
      <w:tr w:rsidR="0084326C" w:rsidRPr="00D90835" w14:paraId="1ECA877A" w14:textId="77777777" w:rsidTr="00695260">
        <w:trPr>
          <w:trHeight w:val="927"/>
          <w:tblHeader/>
        </w:trPr>
        <w:tc>
          <w:tcPr>
            <w:tcW w:w="1207" w:type="dxa"/>
            <w:vMerge w:val="restart"/>
            <w:shd w:val="clear" w:color="auto" w:fill="BDD7EE"/>
            <w:vAlign w:val="center"/>
            <w:hideMark/>
          </w:tcPr>
          <w:p w14:paraId="180123F4" w14:textId="37C56D5E" w:rsidR="0084326C" w:rsidRPr="005D68A0" w:rsidRDefault="0084326C">
            <w:pPr>
              <w:jc w:val="center"/>
              <w:rPr>
                <w:rFonts w:ascii="Arial Narrow" w:hAnsi="Arial Narrow"/>
                <w:b/>
                <w:noProof/>
                <w:sz w:val="20"/>
                <w:szCs w:val="20"/>
              </w:rPr>
            </w:pPr>
            <w:r>
              <w:rPr>
                <w:rFonts w:ascii="Arial Narrow" w:hAnsi="Arial Narrow"/>
                <w:b/>
                <w:noProof/>
                <w:sz w:val="20"/>
              </w:rPr>
              <w:t>Järjekorra</w:t>
            </w:r>
            <w:r w:rsidR="00695260">
              <w:rPr>
                <w:rFonts w:ascii="Arial Narrow" w:hAnsi="Arial Narrow"/>
                <w:b/>
                <w:noProof/>
                <w:sz w:val="20"/>
              </w:rPr>
              <w:t>-</w:t>
            </w:r>
            <w:r>
              <w:rPr>
                <w:rFonts w:ascii="Arial Narrow" w:hAnsi="Arial Narrow"/>
                <w:b/>
                <w:noProof/>
                <w:sz w:val="20"/>
              </w:rPr>
              <w:t>number</w:t>
            </w:r>
          </w:p>
        </w:tc>
        <w:tc>
          <w:tcPr>
            <w:tcW w:w="1772" w:type="dxa"/>
            <w:vMerge w:val="restart"/>
            <w:shd w:val="clear" w:color="auto" w:fill="BDD7EE"/>
            <w:vAlign w:val="center"/>
            <w:hideMark/>
          </w:tcPr>
          <w:p w14:paraId="7ECD13C4" w14:textId="77777777" w:rsidR="0084326C" w:rsidRPr="005D68A0" w:rsidRDefault="0084326C">
            <w:pPr>
              <w:jc w:val="center"/>
              <w:rPr>
                <w:rFonts w:ascii="Arial Narrow" w:hAnsi="Arial Narrow"/>
                <w:b/>
                <w:noProof/>
                <w:sz w:val="20"/>
                <w:szCs w:val="20"/>
              </w:rPr>
            </w:pPr>
            <w:r>
              <w:rPr>
                <w:rFonts w:ascii="Arial Narrow" w:hAnsi="Arial Narrow"/>
                <w:b/>
                <w:noProof/>
                <w:sz w:val="20"/>
              </w:rPr>
              <w:t>Seotud meede (reform või investeering)</w:t>
            </w:r>
          </w:p>
        </w:tc>
        <w:tc>
          <w:tcPr>
            <w:tcW w:w="1412" w:type="dxa"/>
            <w:vMerge w:val="restart"/>
            <w:shd w:val="clear" w:color="auto" w:fill="BDD7EE"/>
            <w:vAlign w:val="center"/>
            <w:hideMark/>
          </w:tcPr>
          <w:p w14:paraId="1C7C3506" w14:textId="77777777" w:rsidR="0084326C" w:rsidRPr="005D68A0" w:rsidRDefault="0084326C">
            <w:pPr>
              <w:jc w:val="center"/>
              <w:rPr>
                <w:rFonts w:ascii="Arial Narrow" w:hAnsi="Arial Narrow"/>
                <w:b/>
                <w:noProof/>
                <w:sz w:val="20"/>
                <w:szCs w:val="20"/>
              </w:rPr>
            </w:pPr>
            <w:r>
              <w:rPr>
                <w:rFonts w:ascii="Arial Narrow" w:hAnsi="Arial Narrow"/>
                <w:b/>
                <w:noProof/>
                <w:sz w:val="20"/>
              </w:rPr>
              <w:t>Eesmärk / siht</w:t>
            </w:r>
          </w:p>
        </w:tc>
        <w:tc>
          <w:tcPr>
            <w:tcW w:w="1775" w:type="dxa"/>
            <w:vMerge w:val="restart"/>
            <w:shd w:val="clear" w:color="auto" w:fill="BDD7EE"/>
            <w:vAlign w:val="center"/>
            <w:hideMark/>
          </w:tcPr>
          <w:p w14:paraId="640AF388" w14:textId="77777777" w:rsidR="0084326C" w:rsidRPr="005D68A0" w:rsidRDefault="0084326C">
            <w:pPr>
              <w:jc w:val="center"/>
              <w:rPr>
                <w:rFonts w:ascii="Arial Narrow" w:hAnsi="Arial Narrow"/>
                <w:b/>
                <w:noProof/>
                <w:sz w:val="20"/>
                <w:szCs w:val="20"/>
              </w:rPr>
            </w:pPr>
            <w:r>
              <w:rPr>
                <w:rFonts w:ascii="Arial Narrow" w:hAnsi="Arial Narrow"/>
                <w:b/>
                <w:noProof/>
                <w:sz w:val="20"/>
              </w:rPr>
              <w:t>Nimi</w:t>
            </w:r>
          </w:p>
        </w:tc>
        <w:tc>
          <w:tcPr>
            <w:tcW w:w="1584" w:type="dxa"/>
            <w:vMerge w:val="restart"/>
            <w:shd w:val="clear" w:color="auto" w:fill="BDD7EE"/>
            <w:vAlign w:val="center"/>
            <w:hideMark/>
          </w:tcPr>
          <w:p w14:paraId="132D85C5" w14:textId="77777777" w:rsidR="0084326C" w:rsidRPr="005D68A0" w:rsidRDefault="0084326C">
            <w:pPr>
              <w:jc w:val="center"/>
              <w:rPr>
                <w:rFonts w:ascii="Arial Narrow" w:hAnsi="Arial Narrow"/>
                <w:b/>
                <w:noProof/>
                <w:sz w:val="20"/>
                <w:szCs w:val="20"/>
              </w:rPr>
            </w:pPr>
            <w:r>
              <w:rPr>
                <w:rFonts w:ascii="Arial Narrow" w:hAnsi="Arial Narrow"/>
                <w:b/>
                <w:noProof/>
                <w:sz w:val="20"/>
              </w:rPr>
              <w:t>Kvalitatiivsed näitajad</w:t>
            </w:r>
            <w:r>
              <w:rPr>
                <w:noProof/>
              </w:rPr>
              <w:t xml:space="preserve"> </w:t>
            </w:r>
            <w:r>
              <w:rPr>
                <w:noProof/>
              </w:rPr>
              <w:br/>
            </w:r>
            <w:r>
              <w:rPr>
                <w:rFonts w:ascii="Arial Narrow" w:hAnsi="Arial Narrow"/>
                <w:b/>
                <w:noProof/>
                <w:sz w:val="20"/>
              </w:rPr>
              <w:t>(eesmärkide puhul)</w:t>
            </w:r>
          </w:p>
        </w:tc>
        <w:tc>
          <w:tcPr>
            <w:tcW w:w="3260" w:type="dxa"/>
            <w:gridSpan w:val="3"/>
            <w:shd w:val="clear" w:color="auto" w:fill="BDD7EE"/>
            <w:vAlign w:val="center"/>
            <w:hideMark/>
          </w:tcPr>
          <w:p w14:paraId="5471967B" w14:textId="77777777" w:rsidR="0084326C" w:rsidRPr="005D68A0" w:rsidRDefault="0084326C">
            <w:pPr>
              <w:jc w:val="center"/>
              <w:rPr>
                <w:rFonts w:ascii="Arial Narrow" w:hAnsi="Arial Narrow"/>
                <w:b/>
                <w:noProof/>
                <w:sz w:val="20"/>
                <w:szCs w:val="20"/>
              </w:rPr>
            </w:pPr>
            <w:r>
              <w:rPr>
                <w:rFonts w:ascii="Arial Narrow" w:hAnsi="Arial Narrow"/>
                <w:b/>
                <w:noProof/>
                <w:sz w:val="20"/>
              </w:rPr>
              <w:t xml:space="preserve">Kvantitatiivsed näitajad </w:t>
            </w:r>
            <w:r>
              <w:rPr>
                <w:noProof/>
              </w:rPr>
              <w:br/>
            </w:r>
            <w:r>
              <w:rPr>
                <w:rFonts w:ascii="Arial Narrow" w:hAnsi="Arial Narrow"/>
                <w:b/>
                <w:noProof/>
                <w:sz w:val="20"/>
              </w:rPr>
              <w:t>(sihtide puhul)</w:t>
            </w:r>
          </w:p>
        </w:tc>
        <w:tc>
          <w:tcPr>
            <w:tcW w:w="1728" w:type="dxa"/>
            <w:gridSpan w:val="2"/>
            <w:shd w:val="clear" w:color="auto" w:fill="BDD7EE"/>
            <w:vAlign w:val="center"/>
            <w:hideMark/>
          </w:tcPr>
          <w:p w14:paraId="24A6C434" w14:textId="77777777" w:rsidR="0084326C" w:rsidRPr="005D68A0" w:rsidRDefault="0084326C">
            <w:pPr>
              <w:jc w:val="center"/>
              <w:rPr>
                <w:rFonts w:ascii="Arial Narrow" w:hAnsi="Arial Narrow"/>
                <w:b/>
                <w:noProof/>
                <w:sz w:val="20"/>
                <w:szCs w:val="20"/>
              </w:rPr>
            </w:pPr>
            <w:r>
              <w:rPr>
                <w:rFonts w:ascii="Arial Narrow" w:hAnsi="Arial Narrow"/>
                <w:b/>
                <w:noProof/>
                <w:sz w:val="20"/>
              </w:rPr>
              <w:t>Lõpuleviimise soovituslik ajakava</w:t>
            </w:r>
          </w:p>
        </w:tc>
        <w:tc>
          <w:tcPr>
            <w:tcW w:w="3020" w:type="dxa"/>
            <w:vMerge w:val="restart"/>
            <w:shd w:val="clear" w:color="auto" w:fill="BDD7EE"/>
            <w:vAlign w:val="center"/>
            <w:hideMark/>
          </w:tcPr>
          <w:p w14:paraId="2CC1B85D" w14:textId="77777777" w:rsidR="0084326C" w:rsidRPr="005D68A0" w:rsidRDefault="0084326C">
            <w:pPr>
              <w:jc w:val="center"/>
              <w:rPr>
                <w:rFonts w:ascii="Arial Narrow" w:hAnsi="Arial Narrow"/>
                <w:b/>
                <w:noProof/>
                <w:sz w:val="20"/>
                <w:szCs w:val="20"/>
              </w:rPr>
            </w:pPr>
            <w:r>
              <w:rPr>
                <w:rFonts w:ascii="Arial Narrow" w:hAnsi="Arial Narrow"/>
                <w:b/>
                <w:noProof/>
                <w:sz w:val="20"/>
              </w:rPr>
              <w:t>Iga eesmärgi ja sihi kirjeldus</w:t>
            </w:r>
          </w:p>
        </w:tc>
      </w:tr>
      <w:tr w:rsidR="0084326C" w:rsidRPr="005D68A0" w14:paraId="178F1D1B" w14:textId="77777777" w:rsidTr="00695260">
        <w:trPr>
          <w:trHeight w:val="1013"/>
        </w:trPr>
        <w:tc>
          <w:tcPr>
            <w:tcW w:w="1207" w:type="dxa"/>
            <w:vMerge/>
            <w:vAlign w:val="center"/>
            <w:hideMark/>
          </w:tcPr>
          <w:p w14:paraId="5ABC15EE" w14:textId="77777777" w:rsidR="0084326C" w:rsidRPr="00F33804" w:rsidRDefault="0084326C">
            <w:pPr>
              <w:jc w:val="center"/>
              <w:rPr>
                <w:rFonts w:ascii="Arial Narrow" w:hAnsi="Arial Narrow"/>
                <w:b/>
                <w:noProof/>
                <w:sz w:val="20"/>
                <w:szCs w:val="20"/>
              </w:rPr>
            </w:pPr>
          </w:p>
        </w:tc>
        <w:tc>
          <w:tcPr>
            <w:tcW w:w="1772" w:type="dxa"/>
            <w:vMerge/>
            <w:vAlign w:val="center"/>
            <w:hideMark/>
          </w:tcPr>
          <w:p w14:paraId="7CA237A7" w14:textId="77777777" w:rsidR="0084326C" w:rsidRPr="00F33804" w:rsidRDefault="0084326C">
            <w:pPr>
              <w:jc w:val="center"/>
              <w:rPr>
                <w:rFonts w:ascii="Arial Narrow" w:hAnsi="Arial Narrow"/>
                <w:b/>
                <w:noProof/>
                <w:sz w:val="20"/>
                <w:szCs w:val="20"/>
              </w:rPr>
            </w:pPr>
          </w:p>
        </w:tc>
        <w:tc>
          <w:tcPr>
            <w:tcW w:w="1412" w:type="dxa"/>
            <w:vMerge/>
            <w:vAlign w:val="center"/>
            <w:hideMark/>
          </w:tcPr>
          <w:p w14:paraId="763E0CF5" w14:textId="77777777" w:rsidR="0084326C" w:rsidRPr="00F33804" w:rsidRDefault="0084326C">
            <w:pPr>
              <w:jc w:val="center"/>
              <w:rPr>
                <w:rFonts w:ascii="Arial Narrow" w:hAnsi="Arial Narrow"/>
                <w:b/>
                <w:noProof/>
                <w:sz w:val="20"/>
                <w:szCs w:val="20"/>
              </w:rPr>
            </w:pPr>
          </w:p>
        </w:tc>
        <w:tc>
          <w:tcPr>
            <w:tcW w:w="1775" w:type="dxa"/>
            <w:vMerge/>
            <w:vAlign w:val="center"/>
            <w:hideMark/>
          </w:tcPr>
          <w:p w14:paraId="4584069E" w14:textId="77777777" w:rsidR="0084326C" w:rsidRPr="00F33804" w:rsidRDefault="0084326C">
            <w:pPr>
              <w:jc w:val="center"/>
              <w:rPr>
                <w:rFonts w:ascii="Arial Narrow" w:hAnsi="Arial Narrow"/>
                <w:b/>
                <w:noProof/>
                <w:sz w:val="20"/>
                <w:szCs w:val="20"/>
              </w:rPr>
            </w:pPr>
          </w:p>
        </w:tc>
        <w:tc>
          <w:tcPr>
            <w:tcW w:w="1584" w:type="dxa"/>
            <w:vMerge/>
            <w:vAlign w:val="center"/>
            <w:hideMark/>
          </w:tcPr>
          <w:p w14:paraId="74FEBFB9" w14:textId="77777777" w:rsidR="0084326C" w:rsidRPr="00F33804" w:rsidRDefault="0084326C">
            <w:pPr>
              <w:jc w:val="center"/>
              <w:rPr>
                <w:rFonts w:ascii="Arial Narrow" w:hAnsi="Arial Narrow"/>
                <w:b/>
                <w:noProof/>
                <w:sz w:val="20"/>
                <w:szCs w:val="20"/>
              </w:rPr>
            </w:pPr>
          </w:p>
        </w:tc>
        <w:tc>
          <w:tcPr>
            <w:tcW w:w="1134" w:type="dxa"/>
            <w:shd w:val="clear" w:color="auto" w:fill="BDD7EE"/>
            <w:vAlign w:val="center"/>
            <w:hideMark/>
          </w:tcPr>
          <w:p w14:paraId="6C0E24B9" w14:textId="77777777" w:rsidR="0084326C" w:rsidRPr="005D68A0" w:rsidRDefault="0084326C">
            <w:pPr>
              <w:jc w:val="center"/>
              <w:rPr>
                <w:rFonts w:ascii="Arial Narrow" w:hAnsi="Arial Narrow"/>
                <w:b/>
                <w:noProof/>
                <w:sz w:val="20"/>
                <w:szCs w:val="20"/>
              </w:rPr>
            </w:pPr>
            <w:r>
              <w:rPr>
                <w:rFonts w:ascii="Arial Narrow" w:hAnsi="Arial Narrow"/>
                <w:b/>
                <w:noProof/>
                <w:sz w:val="20"/>
              </w:rPr>
              <w:t>Mõõtühik</w:t>
            </w:r>
          </w:p>
        </w:tc>
        <w:tc>
          <w:tcPr>
            <w:tcW w:w="1134" w:type="dxa"/>
            <w:shd w:val="clear" w:color="auto" w:fill="BDD7EE"/>
            <w:vAlign w:val="center"/>
            <w:hideMark/>
          </w:tcPr>
          <w:p w14:paraId="75A3CB9C" w14:textId="77777777" w:rsidR="0084326C" w:rsidRPr="005D68A0" w:rsidRDefault="0084326C">
            <w:pPr>
              <w:jc w:val="center"/>
              <w:rPr>
                <w:rFonts w:ascii="Arial Narrow" w:hAnsi="Arial Narrow"/>
                <w:b/>
                <w:noProof/>
                <w:sz w:val="20"/>
                <w:szCs w:val="20"/>
              </w:rPr>
            </w:pPr>
            <w:r>
              <w:rPr>
                <w:rFonts w:ascii="Arial Narrow" w:hAnsi="Arial Narrow"/>
                <w:b/>
                <w:noProof/>
                <w:sz w:val="20"/>
              </w:rPr>
              <w:t>Lähtetase</w:t>
            </w:r>
          </w:p>
        </w:tc>
        <w:tc>
          <w:tcPr>
            <w:tcW w:w="992" w:type="dxa"/>
            <w:shd w:val="clear" w:color="auto" w:fill="BDD7EE"/>
            <w:vAlign w:val="center"/>
            <w:hideMark/>
          </w:tcPr>
          <w:p w14:paraId="27C709FF" w14:textId="77777777" w:rsidR="0084326C" w:rsidRPr="005D68A0" w:rsidRDefault="0084326C">
            <w:pPr>
              <w:jc w:val="center"/>
              <w:rPr>
                <w:rFonts w:ascii="Arial Narrow" w:hAnsi="Arial Narrow"/>
                <w:b/>
                <w:noProof/>
                <w:sz w:val="20"/>
                <w:szCs w:val="20"/>
              </w:rPr>
            </w:pPr>
            <w:r>
              <w:rPr>
                <w:rFonts w:ascii="Arial Narrow" w:hAnsi="Arial Narrow"/>
                <w:b/>
                <w:noProof/>
                <w:sz w:val="20"/>
              </w:rPr>
              <w:t>Eesmärk</w:t>
            </w:r>
          </w:p>
        </w:tc>
        <w:tc>
          <w:tcPr>
            <w:tcW w:w="916" w:type="dxa"/>
            <w:shd w:val="clear" w:color="auto" w:fill="BDD7EE"/>
            <w:vAlign w:val="center"/>
            <w:hideMark/>
          </w:tcPr>
          <w:p w14:paraId="19D74BE3" w14:textId="77777777" w:rsidR="0084326C" w:rsidRPr="005D68A0" w:rsidRDefault="0084326C">
            <w:pPr>
              <w:jc w:val="center"/>
              <w:rPr>
                <w:rFonts w:ascii="Arial Narrow" w:hAnsi="Arial Narrow"/>
                <w:b/>
                <w:noProof/>
                <w:sz w:val="20"/>
                <w:szCs w:val="20"/>
              </w:rPr>
            </w:pPr>
            <w:r>
              <w:rPr>
                <w:rFonts w:ascii="Arial Narrow" w:hAnsi="Arial Narrow"/>
                <w:b/>
                <w:noProof/>
                <w:sz w:val="20"/>
              </w:rPr>
              <w:t>Kvartal</w:t>
            </w:r>
          </w:p>
        </w:tc>
        <w:tc>
          <w:tcPr>
            <w:tcW w:w="812" w:type="dxa"/>
            <w:shd w:val="clear" w:color="auto" w:fill="BDD7EE"/>
            <w:vAlign w:val="center"/>
            <w:hideMark/>
          </w:tcPr>
          <w:p w14:paraId="73870B8B" w14:textId="77777777" w:rsidR="0084326C" w:rsidRPr="005D68A0" w:rsidRDefault="0084326C">
            <w:pPr>
              <w:jc w:val="center"/>
              <w:rPr>
                <w:rFonts w:ascii="Arial Narrow" w:hAnsi="Arial Narrow"/>
                <w:b/>
                <w:noProof/>
                <w:sz w:val="20"/>
                <w:szCs w:val="20"/>
              </w:rPr>
            </w:pPr>
            <w:r>
              <w:rPr>
                <w:rFonts w:ascii="Arial Narrow" w:hAnsi="Arial Narrow"/>
                <w:b/>
                <w:noProof/>
                <w:sz w:val="20"/>
              </w:rPr>
              <w:t>Aasta</w:t>
            </w:r>
          </w:p>
        </w:tc>
        <w:tc>
          <w:tcPr>
            <w:tcW w:w="3020" w:type="dxa"/>
            <w:vMerge/>
            <w:vAlign w:val="center"/>
            <w:hideMark/>
          </w:tcPr>
          <w:p w14:paraId="1ED2C9A9" w14:textId="77777777" w:rsidR="0084326C" w:rsidRPr="005D68A0" w:rsidRDefault="0084326C">
            <w:pPr>
              <w:jc w:val="center"/>
              <w:rPr>
                <w:rFonts w:ascii="Arial Narrow" w:hAnsi="Arial Narrow"/>
                <w:b/>
                <w:noProof/>
                <w:sz w:val="20"/>
                <w:szCs w:val="20"/>
                <w:lang w:val="en-GB"/>
              </w:rPr>
            </w:pPr>
          </w:p>
        </w:tc>
      </w:tr>
      <w:tr w:rsidR="0084326C" w:rsidRPr="00D90835" w14:paraId="6CB79C3E" w14:textId="77777777" w:rsidTr="00695260">
        <w:trPr>
          <w:trHeight w:val="309"/>
        </w:trPr>
        <w:tc>
          <w:tcPr>
            <w:tcW w:w="1207" w:type="dxa"/>
            <w:shd w:val="clear" w:color="auto" w:fill="C6EFCE"/>
            <w:noWrap/>
            <w:vAlign w:val="center"/>
            <w:hideMark/>
          </w:tcPr>
          <w:p w14:paraId="685C5DF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M5C3-1</w:t>
            </w:r>
          </w:p>
        </w:tc>
        <w:tc>
          <w:tcPr>
            <w:tcW w:w="1772" w:type="dxa"/>
            <w:shd w:val="clear" w:color="auto" w:fill="C6EFCE"/>
            <w:noWrap/>
            <w:vAlign w:val="center"/>
            <w:hideMark/>
          </w:tcPr>
          <w:p w14:paraId="3A8CA4D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1.1.1. Sisealade kogukondlike sotsiaalteenuste ja -infrastruktuuride edendamine</w:t>
            </w:r>
          </w:p>
        </w:tc>
        <w:tc>
          <w:tcPr>
            <w:tcW w:w="1412" w:type="dxa"/>
            <w:shd w:val="clear" w:color="auto" w:fill="C6EFCE"/>
            <w:noWrap/>
            <w:vAlign w:val="center"/>
            <w:hideMark/>
          </w:tcPr>
          <w:p w14:paraId="409BBD9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1775" w:type="dxa"/>
            <w:shd w:val="clear" w:color="auto" w:fill="C6EFCE"/>
            <w:noWrap/>
            <w:vAlign w:val="center"/>
            <w:hideMark/>
          </w:tcPr>
          <w:p w14:paraId="31C537A0" w14:textId="77777777" w:rsidR="0084326C" w:rsidRPr="005D68A0" w:rsidRDefault="0084326C">
            <w:pPr>
              <w:jc w:val="center"/>
              <w:rPr>
                <w:rFonts w:ascii="Arial Narrow" w:hAnsi="Arial Narrow"/>
                <w:noProof/>
                <w:sz w:val="20"/>
                <w:szCs w:val="20"/>
              </w:rPr>
            </w:pPr>
            <w:r>
              <w:rPr>
                <w:rFonts w:ascii="Arial Narrow" w:hAnsi="Arial Narrow"/>
                <w:noProof/>
                <w:color w:val="006100"/>
                <w:sz w:val="20"/>
              </w:rPr>
              <w:t>Sisepiirkondades sotsiaalteenuste ja -infrastruktuuri parandamiseks võetavate sekkumismeetmete ning alla 3 000 elanikuga omavalitsuste apteekide toetamise hankeleping</w:t>
            </w:r>
          </w:p>
        </w:tc>
        <w:tc>
          <w:tcPr>
            <w:tcW w:w="1584" w:type="dxa"/>
            <w:shd w:val="clear" w:color="auto" w:fill="C6EFCE"/>
            <w:noWrap/>
            <w:vAlign w:val="center"/>
            <w:hideMark/>
          </w:tcPr>
          <w:p w14:paraId="75F3D2EF" w14:textId="77777777" w:rsidR="0084326C" w:rsidRPr="005D68A0" w:rsidRDefault="0084326C">
            <w:pPr>
              <w:jc w:val="center"/>
              <w:rPr>
                <w:rFonts w:ascii="Arial Narrow" w:hAnsi="Arial Narrow"/>
                <w:noProof/>
                <w:sz w:val="20"/>
                <w:szCs w:val="20"/>
              </w:rPr>
            </w:pPr>
            <w:r>
              <w:rPr>
                <w:rFonts w:ascii="Arial Narrow" w:hAnsi="Arial Narrow"/>
                <w:noProof/>
                <w:color w:val="006100"/>
                <w:sz w:val="20"/>
              </w:rPr>
              <w:t>Teatamine kõigi sekkumistega seotud riigihankelepingute sõlmimisest</w:t>
            </w:r>
          </w:p>
        </w:tc>
        <w:tc>
          <w:tcPr>
            <w:tcW w:w="1134" w:type="dxa"/>
            <w:shd w:val="clear" w:color="auto" w:fill="C6EFCE"/>
            <w:noWrap/>
            <w:vAlign w:val="center"/>
            <w:hideMark/>
          </w:tcPr>
          <w:p w14:paraId="25F0048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hideMark/>
          </w:tcPr>
          <w:p w14:paraId="03EB541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992" w:type="dxa"/>
            <w:shd w:val="clear" w:color="auto" w:fill="C6EFCE"/>
            <w:noWrap/>
            <w:vAlign w:val="center"/>
            <w:hideMark/>
          </w:tcPr>
          <w:p w14:paraId="7605B90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916" w:type="dxa"/>
            <w:shd w:val="clear" w:color="auto" w:fill="C6EFCE"/>
            <w:noWrap/>
            <w:vAlign w:val="center"/>
            <w:hideMark/>
          </w:tcPr>
          <w:p w14:paraId="5498A7C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812" w:type="dxa"/>
            <w:shd w:val="clear" w:color="auto" w:fill="C6EFCE"/>
            <w:noWrap/>
            <w:vAlign w:val="center"/>
            <w:hideMark/>
          </w:tcPr>
          <w:p w14:paraId="7F6A1DF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2022</w:t>
            </w:r>
          </w:p>
        </w:tc>
        <w:tc>
          <w:tcPr>
            <w:tcW w:w="3020" w:type="dxa"/>
            <w:shd w:val="clear" w:color="auto" w:fill="C6EFCE"/>
            <w:noWrap/>
            <w:vAlign w:val="center"/>
            <w:hideMark/>
          </w:tcPr>
          <w:p w14:paraId="250D6DCB" w14:textId="77777777" w:rsidR="0084326C" w:rsidRPr="00F33804" w:rsidRDefault="0084326C">
            <w:pPr>
              <w:jc w:val="center"/>
              <w:rPr>
                <w:rFonts w:ascii="Arial Narrow" w:hAnsi="Arial Narrow"/>
                <w:noProof/>
                <w:sz w:val="20"/>
                <w:szCs w:val="20"/>
              </w:rPr>
            </w:pPr>
          </w:p>
          <w:p w14:paraId="0F39DA64"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Sekkumisega luuakse uusi teenuseid ja taristuid või parandatakse olemasolevaid, suurendades teenuste saajate arvu või teenuste kvaliteeti.</w:t>
            </w:r>
          </w:p>
          <w:p w14:paraId="397BF968" w14:textId="77777777" w:rsidR="0084326C" w:rsidRPr="00F33804" w:rsidRDefault="0084326C">
            <w:pPr>
              <w:rPr>
                <w:rFonts w:ascii="Arial Narrow" w:hAnsi="Arial Narrow"/>
                <w:noProof/>
                <w:sz w:val="20"/>
                <w:szCs w:val="20"/>
              </w:rPr>
            </w:pPr>
          </w:p>
          <w:p w14:paraId="641BE4C5"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Kõik konkursid kuulutatakse välja koos tingimustega, sealhulgas rahastamiskõlblikkuse kriteeriumidega, millega tagatakse, et valitud projektid vastavad tehnilisele juhendile „Mitte tekitada olulist kahju“ (2021/C58/01), kasutades kõrvalejätmise loetelu ning asjaomaste ELi ja riiklike keskkonnaalaste õigusaktide järgimise nõuet.</w:t>
            </w:r>
          </w:p>
          <w:p w14:paraId="1D24392D" w14:textId="77777777" w:rsidR="0084326C" w:rsidRPr="00F33804" w:rsidRDefault="0084326C">
            <w:pPr>
              <w:rPr>
                <w:rFonts w:ascii="Arial Narrow" w:hAnsi="Arial Narrow"/>
                <w:noProof/>
                <w:color w:val="006100"/>
                <w:sz w:val="20"/>
                <w:szCs w:val="20"/>
              </w:rPr>
            </w:pPr>
          </w:p>
          <w:p w14:paraId="11B24480"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Sisepiirkonnad on määratletud Strategia Nazionale Aree Interne’is; Maapiirkondade apteegid on määratletud seaduse alusel. Maapiirkondade apteegid on määratletud 27. märtsi 1968. aasta seaduse nr 221 alusel.</w:t>
            </w:r>
          </w:p>
          <w:p w14:paraId="7EFA8B1C" w14:textId="77777777" w:rsidR="0084326C" w:rsidRPr="005D68A0" w:rsidRDefault="0084326C">
            <w:pPr>
              <w:jc w:val="center"/>
              <w:rPr>
                <w:rFonts w:ascii="Arial Narrow" w:hAnsi="Arial Narrow"/>
                <w:noProof/>
                <w:sz w:val="20"/>
                <w:szCs w:val="20"/>
                <w:lang w:val="en-GB"/>
              </w:rPr>
            </w:pPr>
          </w:p>
        </w:tc>
      </w:tr>
      <w:tr w:rsidR="0084326C" w:rsidRPr="00D90835" w14:paraId="146B831A" w14:textId="77777777" w:rsidTr="00695260">
        <w:trPr>
          <w:trHeight w:val="309"/>
        </w:trPr>
        <w:tc>
          <w:tcPr>
            <w:tcW w:w="1207" w:type="dxa"/>
            <w:shd w:val="clear" w:color="auto" w:fill="C6EFCE"/>
            <w:noWrap/>
            <w:vAlign w:val="center"/>
            <w:hideMark/>
          </w:tcPr>
          <w:p w14:paraId="5AF1E61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M5C3-3</w:t>
            </w:r>
          </w:p>
        </w:tc>
        <w:tc>
          <w:tcPr>
            <w:tcW w:w="1772" w:type="dxa"/>
            <w:shd w:val="clear" w:color="auto" w:fill="C6EFCE"/>
            <w:noWrap/>
            <w:vAlign w:val="center"/>
            <w:hideMark/>
          </w:tcPr>
          <w:p w14:paraId="0D14EC08" w14:textId="0D67B9A6"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1.1.2. Territoriaalse läheduse tervishoiuasutused</w:t>
            </w:r>
          </w:p>
        </w:tc>
        <w:tc>
          <w:tcPr>
            <w:tcW w:w="1412" w:type="dxa"/>
            <w:shd w:val="clear" w:color="auto" w:fill="C6EFCE"/>
            <w:noWrap/>
            <w:vAlign w:val="center"/>
            <w:hideMark/>
          </w:tcPr>
          <w:p w14:paraId="76AFA30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1775" w:type="dxa"/>
            <w:shd w:val="clear" w:color="auto" w:fill="C6EFCE"/>
            <w:noWrap/>
            <w:vAlign w:val="center"/>
            <w:hideMark/>
          </w:tcPr>
          <w:p w14:paraId="4B0F3A1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Toetus maapiirkondade apteekidele vähem kui 5 000 elanikuga omavalitsusüksustes, hamlettides või asulates (esimene partii)</w:t>
            </w:r>
          </w:p>
        </w:tc>
        <w:tc>
          <w:tcPr>
            <w:tcW w:w="1584" w:type="dxa"/>
            <w:shd w:val="clear" w:color="auto" w:fill="C6EFCE"/>
            <w:noWrap/>
            <w:vAlign w:val="center"/>
            <w:hideMark/>
          </w:tcPr>
          <w:p w14:paraId="22351EE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hideMark/>
          </w:tcPr>
          <w:p w14:paraId="6AEFA93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1134" w:type="dxa"/>
            <w:shd w:val="clear" w:color="auto" w:fill="C6EFCE"/>
            <w:noWrap/>
            <w:vAlign w:val="center"/>
            <w:hideMark/>
          </w:tcPr>
          <w:p w14:paraId="073B4AE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992" w:type="dxa"/>
            <w:shd w:val="clear" w:color="auto" w:fill="C6EFCE"/>
            <w:noWrap/>
            <w:vAlign w:val="center"/>
            <w:hideMark/>
          </w:tcPr>
          <w:p w14:paraId="08B5EC2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500</w:t>
            </w:r>
          </w:p>
        </w:tc>
        <w:tc>
          <w:tcPr>
            <w:tcW w:w="916" w:type="dxa"/>
            <w:shd w:val="clear" w:color="auto" w:fill="C6EFCE"/>
            <w:noWrap/>
            <w:vAlign w:val="center"/>
            <w:hideMark/>
          </w:tcPr>
          <w:p w14:paraId="4631FC7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 kv</w:t>
            </w:r>
          </w:p>
        </w:tc>
        <w:tc>
          <w:tcPr>
            <w:tcW w:w="812" w:type="dxa"/>
            <w:shd w:val="clear" w:color="auto" w:fill="C6EFCE"/>
            <w:noWrap/>
            <w:vAlign w:val="center"/>
            <w:hideMark/>
          </w:tcPr>
          <w:p w14:paraId="06AE7E8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2023</w:t>
            </w:r>
          </w:p>
        </w:tc>
        <w:tc>
          <w:tcPr>
            <w:tcW w:w="3020" w:type="dxa"/>
            <w:shd w:val="clear" w:color="auto" w:fill="C6EFCE"/>
            <w:noWrap/>
            <w:vAlign w:val="center"/>
            <w:hideMark/>
          </w:tcPr>
          <w:p w14:paraId="6F39B898" w14:textId="5C065216" w:rsidR="0084326C" w:rsidRPr="005D68A0" w:rsidRDefault="0084326C">
            <w:pPr>
              <w:rPr>
                <w:rFonts w:ascii="Arial Narrow" w:hAnsi="Arial Narrow"/>
                <w:noProof/>
                <w:color w:val="006100"/>
                <w:sz w:val="20"/>
                <w:szCs w:val="20"/>
              </w:rPr>
            </w:pPr>
            <w:r>
              <w:rPr>
                <w:rFonts w:ascii="Arial Narrow" w:hAnsi="Arial Narrow"/>
                <w:noProof/>
                <w:color w:val="006100"/>
                <w:sz w:val="20"/>
              </w:rPr>
              <w:t>Sekkumisest saavad kasu vähemalt 500 apteeki omavalitsusüksuses, hameletis või asulas, kus elab vähem kui 5 000 elanikku.</w:t>
            </w:r>
          </w:p>
        </w:tc>
      </w:tr>
      <w:tr w:rsidR="0084326C" w:rsidRPr="00D90835" w14:paraId="5A3DFB67" w14:textId="77777777" w:rsidTr="00695260">
        <w:trPr>
          <w:trHeight w:val="309"/>
        </w:trPr>
        <w:tc>
          <w:tcPr>
            <w:tcW w:w="1207" w:type="dxa"/>
            <w:shd w:val="clear" w:color="auto" w:fill="C6EFCE"/>
            <w:noWrap/>
            <w:vAlign w:val="center"/>
            <w:hideMark/>
          </w:tcPr>
          <w:p w14:paraId="7B9134D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M5C3-4</w:t>
            </w:r>
          </w:p>
        </w:tc>
        <w:tc>
          <w:tcPr>
            <w:tcW w:w="1772" w:type="dxa"/>
            <w:shd w:val="clear" w:color="auto" w:fill="C6EFCE"/>
            <w:noWrap/>
            <w:vAlign w:val="center"/>
            <w:hideMark/>
          </w:tcPr>
          <w:p w14:paraId="0CA5F9E0" w14:textId="481ACF4E"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1.1.2. Territoriaalse läheduse tervishoiuasutused</w:t>
            </w:r>
          </w:p>
        </w:tc>
        <w:tc>
          <w:tcPr>
            <w:tcW w:w="1412" w:type="dxa"/>
            <w:shd w:val="clear" w:color="auto" w:fill="C6EFCE"/>
            <w:noWrap/>
            <w:vAlign w:val="center"/>
            <w:hideMark/>
          </w:tcPr>
          <w:p w14:paraId="566FB5F4"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1775" w:type="dxa"/>
            <w:shd w:val="clear" w:color="auto" w:fill="C6EFCE"/>
            <w:noWrap/>
            <w:vAlign w:val="center"/>
            <w:hideMark/>
          </w:tcPr>
          <w:p w14:paraId="16A4389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Maapiirkondade apteekide toetamine vähem kui 5 000 elanikuga omavalitsusüksustes, hamlettides või asulates (teine partii)</w:t>
            </w:r>
          </w:p>
        </w:tc>
        <w:tc>
          <w:tcPr>
            <w:tcW w:w="1584" w:type="dxa"/>
            <w:shd w:val="clear" w:color="auto" w:fill="C6EFCE"/>
            <w:noWrap/>
            <w:vAlign w:val="center"/>
            <w:hideMark/>
          </w:tcPr>
          <w:p w14:paraId="351BE8B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hideMark/>
          </w:tcPr>
          <w:p w14:paraId="0ABBE25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1134" w:type="dxa"/>
            <w:shd w:val="clear" w:color="auto" w:fill="C6EFCE"/>
            <w:noWrap/>
            <w:vAlign w:val="center"/>
            <w:hideMark/>
          </w:tcPr>
          <w:p w14:paraId="64E6007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500</w:t>
            </w:r>
          </w:p>
        </w:tc>
        <w:tc>
          <w:tcPr>
            <w:tcW w:w="992" w:type="dxa"/>
            <w:shd w:val="clear" w:color="auto" w:fill="C6EFCE"/>
            <w:noWrap/>
            <w:vAlign w:val="center"/>
            <w:hideMark/>
          </w:tcPr>
          <w:p w14:paraId="66AD84B0" w14:textId="6FA3C911"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2 000</w:t>
            </w:r>
          </w:p>
        </w:tc>
        <w:tc>
          <w:tcPr>
            <w:tcW w:w="916" w:type="dxa"/>
            <w:shd w:val="clear" w:color="auto" w:fill="C6EFCE"/>
            <w:noWrap/>
            <w:vAlign w:val="center"/>
            <w:hideMark/>
          </w:tcPr>
          <w:p w14:paraId="29C8468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812" w:type="dxa"/>
            <w:shd w:val="clear" w:color="auto" w:fill="C6EFCE"/>
            <w:noWrap/>
            <w:vAlign w:val="center"/>
            <w:hideMark/>
          </w:tcPr>
          <w:p w14:paraId="0345924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3020" w:type="dxa"/>
            <w:shd w:val="clear" w:color="auto" w:fill="C6EFCE"/>
            <w:noWrap/>
            <w:vAlign w:val="center"/>
            <w:hideMark/>
          </w:tcPr>
          <w:p w14:paraId="1F09E90B" w14:textId="7ED1F660" w:rsidR="0084326C" w:rsidRPr="005D68A0" w:rsidRDefault="0084326C">
            <w:pPr>
              <w:rPr>
                <w:rFonts w:ascii="Arial Narrow" w:hAnsi="Arial Narrow"/>
                <w:noProof/>
                <w:color w:val="006100"/>
                <w:sz w:val="20"/>
                <w:szCs w:val="20"/>
              </w:rPr>
            </w:pPr>
            <w:r>
              <w:rPr>
                <w:rFonts w:ascii="Arial Narrow" w:hAnsi="Arial Narrow"/>
                <w:noProof/>
                <w:color w:val="006100"/>
                <w:sz w:val="20"/>
              </w:rPr>
              <w:t>Sekkumisest saavad kasu vähemalt 2 000 apteeki omavalitsusüksustes, kus on alla 5 000 elaniku.</w:t>
            </w:r>
          </w:p>
        </w:tc>
      </w:tr>
      <w:tr w:rsidR="0084326C" w:rsidRPr="00D90835" w14:paraId="37219929" w14:textId="77777777" w:rsidTr="00695260">
        <w:trPr>
          <w:trHeight w:val="309"/>
        </w:trPr>
        <w:tc>
          <w:tcPr>
            <w:tcW w:w="1207" w:type="dxa"/>
            <w:shd w:val="clear" w:color="auto" w:fill="C6EFCE"/>
            <w:noWrap/>
            <w:vAlign w:val="center"/>
          </w:tcPr>
          <w:p w14:paraId="16E275F0"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M5C3-8</w:t>
            </w:r>
          </w:p>
        </w:tc>
        <w:tc>
          <w:tcPr>
            <w:tcW w:w="1772" w:type="dxa"/>
            <w:shd w:val="clear" w:color="auto" w:fill="C6EFCE"/>
            <w:noWrap/>
            <w:vAlign w:val="center"/>
          </w:tcPr>
          <w:p w14:paraId="08D331A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1.3. Struktureeritud sotsiaal-haridusmeetmed haridusvaesuse vastu võitlemiseks lõunas, millega toetatakse kolmandat sektorit</w:t>
            </w:r>
          </w:p>
        </w:tc>
        <w:tc>
          <w:tcPr>
            <w:tcW w:w="1412" w:type="dxa"/>
            <w:shd w:val="clear" w:color="auto" w:fill="C6EFCE"/>
            <w:noWrap/>
            <w:vAlign w:val="center"/>
          </w:tcPr>
          <w:p w14:paraId="2924E01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1775" w:type="dxa"/>
            <w:shd w:val="clear" w:color="auto" w:fill="C6EFCE"/>
            <w:noWrap/>
            <w:vAlign w:val="center"/>
          </w:tcPr>
          <w:p w14:paraId="06B56E9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Alaealistele mõeldud haridustoetus (esimene osa)</w:t>
            </w:r>
          </w:p>
        </w:tc>
        <w:tc>
          <w:tcPr>
            <w:tcW w:w="1584" w:type="dxa"/>
            <w:shd w:val="clear" w:color="auto" w:fill="C6EFCE"/>
            <w:noWrap/>
            <w:vAlign w:val="center"/>
          </w:tcPr>
          <w:p w14:paraId="7960F62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17CFA80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1134" w:type="dxa"/>
            <w:shd w:val="clear" w:color="auto" w:fill="C6EFCE"/>
            <w:noWrap/>
            <w:vAlign w:val="center"/>
          </w:tcPr>
          <w:p w14:paraId="146D21F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992" w:type="dxa"/>
            <w:shd w:val="clear" w:color="auto" w:fill="C6EFCE"/>
            <w:noWrap/>
            <w:vAlign w:val="center"/>
          </w:tcPr>
          <w:p w14:paraId="39BD5813" w14:textId="43DB3DC9"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20 000</w:t>
            </w:r>
          </w:p>
        </w:tc>
        <w:tc>
          <w:tcPr>
            <w:tcW w:w="916" w:type="dxa"/>
            <w:shd w:val="clear" w:color="auto" w:fill="C6EFCE"/>
            <w:noWrap/>
            <w:vAlign w:val="center"/>
          </w:tcPr>
          <w:p w14:paraId="2FE8AC1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812" w:type="dxa"/>
            <w:shd w:val="clear" w:color="auto" w:fill="C6EFCE"/>
            <w:noWrap/>
            <w:vAlign w:val="center"/>
          </w:tcPr>
          <w:p w14:paraId="0C1ECA5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2023</w:t>
            </w:r>
          </w:p>
        </w:tc>
        <w:tc>
          <w:tcPr>
            <w:tcW w:w="3020" w:type="dxa"/>
            <w:shd w:val="clear" w:color="auto" w:fill="C6EFCE"/>
            <w:noWrap/>
            <w:vAlign w:val="center"/>
          </w:tcPr>
          <w:p w14:paraId="14465417" w14:textId="5E6F1874"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Haridustoetust antakse vähemalt 20 000 kuni 17-aastasele alaealisele. Projektid keskenduvad ühele järgmistest valdkondadest: </w:t>
            </w:r>
          </w:p>
          <w:p w14:paraId="6914A4F5" w14:textId="77777777" w:rsidR="0084326C" w:rsidRPr="00F33804" w:rsidRDefault="0084326C">
            <w:pPr>
              <w:rPr>
                <w:rFonts w:ascii="Arial Narrow" w:hAnsi="Arial Narrow"/>
                <w:noProof/>
                <w:color w:val="006100"/>
                <w:sz w:val="20"/>
                <w:szCs w:val="20"/>
              </w:rPr>
            </w:pPr>
          </w:p>
          <w:p w14:paraId="58094A75"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 Sekkumised lastele vanuses 0 kuni 6 aastat, mille eesmärk on parandada juurdepääsu lasteaia- ja lasteaiateenustele ning toetada lapsevanemaks olemist; </w:t>
            </w:r>
          </w:p>
          <w:p w14:paraId="777A4337" w14:textId="77777777" w:rsidR="0084326C" w:rsidRPr="00F33804" w:rsidRDefault="0084326C">
            <w:pPr>
              <w:rPr>
                <w:rFonts w:ascii="Arial Narrow" w:hAnsi="Arial Narrow"/>
                <w:noProof/>
                <w:color w:val="006100"/>
                <w:sz w:val="20"/>
                <w:szCs w:val="20"/>
              </w:rPr>
            </w:pPr>
          </w:p>
          <w:p w14:paraId="28719795"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 Viie kuni kümne aasta vanustele lastele suunatud sekkumismeetmed, mille eesmärk on tagada tõhusad haridusvõimalused ning varakult ennetada koolist väljalangemist, kiusamist ja muid stressinähtusi; </w:t>
            </w:r>
          </w:p>
          <w:p w14:paraId="28D0F9AF" w14:textId="77777777" w:rsidR="0084326C" w:rsidRPr="00F33804" w:rsidRDefault="0084326C">
            <w:pPr>
              <w:rPr>
                <w:rFonts w:ascii="Arial Narrow" w:hAnsi="Arial Narrow"/>
                <w:noProof/>
                <w:color w:val="006100"/>
                <w:sz w:val="20"/>
                <w:szCs w:val="20"/>
              </w:rPr>
            </w:pPr>
          </w:p>
          <w:p w14:paraId="74077E25"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11-17-aastastele lastele suunatud sekkumismeetmed, mille eesmärk on parandada hariduse pakkumist ja ennetada haridussüsteemist varakult lahkumist.</w:t>
            </w:r>
          </w:p>
          <w:p w14:paraId="5E7F4DE5" w14:textId="77777777" w:rsidR="0084326C" w:rsidRPr="00F33804" w:rsidRDefault="0084326C">
            <w:pPr>
              <w:rPr>
                <w:rFonts w:ascii="Arial Narrow" w:hAnsi="Arial Narrow"/>
                <w:noProof/>
                <w:color w:val="006100"/>
                <w:sz w:val="20"/>
                <w:szCs w:val="20"/>
              </w:rPr>
            </w:pPr>
          </w:p>
          <w:p w14:paraId="18EA764E" w14:textId="77777777" w:rsidR="00503A16" w:rsidRDefault="0084326C">
            <w:pPr>
              <w:rPr>
                <w:rFonts w:ascii="Arial Narrow" w:hAnsi="Arial Narrow"/>
                <w:noProof/>
                <w:color w:val="006100"/>
                <w:sz w:val="20"/>
              </w:rPr>
            </w:pPr>
            <w:r>
              <w:rPr>
                <w:rFonts w:ascii="Arial Narrow" w:hAnsi="Arial Narrow"/>
                <w:noProof/>
                <w:color w:val="006100"/>
                <w:sz w:val="20"/>
              </w:rPr>
              <w:t>Pakkumuse põhielemendid:</w:t>
            </w:r>
          </w:p>
          <w:p w14:paraId="206FA9C4" w14:textId="2D93C49D"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 – Avalike teadaannete maksumus on vähemalt 50 000 000 eurot. </w:t>
            </w:r>
            <w:r>
              <w:rPr>
                <w:noProof/>
              </w:rPr>
              <w:cr/>
            </w:r>
            <w:r>
              <w:rPr>
                <w:noProof/>
              </w:rPr>
              <w:br/>
            </w:r>
            <w:r>
              <w:rPr>
                <w:rFonts w:ascii="Arial Narrow" w:hAnsi="Arial Narrow"/>
                <w:noProof/>
                <w:color w:val="006100"/>
                <w:sz w:val="20"/>
              </w:rPr>
              <w:t>– Kolmanda sektori üksuste projektid kestavad vähemalt üks aasta ja kuni kaks aastat.</w:t>
            </w:r>
          </w:p>
          <w:p w14:paraId="76D07B92" w14:textId="77777777" w:rsidR="0084326C" w:rsidRPr="005D68A0" w:rsidRDefault="0084326C">
            <w:pPr>
              <w:rPr>
                <w:rFonts w:ascii="Arial Narrow" w:hAnsi="Arial Narrow"/>
                <w:noProof/>
                <w:color w:val="006100"/>
                <w:sz w:val="20"/>
                <w:szCs w:val="20"/>
              </w:rPr>
            </w:pPr>
            <w:r>
              <w:rPr>
                <w:rFonts w:ascii="Arial Narrow" w:hAnsi="Arial Narrow"/>
                <w:noProof/>
                <w:sz w:val="20"/>
              </w:rPr>
              <w:t xml:space="preserve"> </w:t>
            </w:r>
            <w:r>
              <w:rPr>
                <w:noProof/>
              </w:rPr>
              <w:t xml:space="preserve"> </w:t>
            </w:r>
            <w:r>
              <w:rPr>
                <w:noProof/>
              </w:rPr>
              <w:br/>
            </w:r>
            <w:r>
              <w:rPr>
                <w:rFonts w:ascii="Arial Narrow" w:hAnsi="Arial Narrow"/>
                <w:noProof/>
                <w:color w:val="006100"/>
                <w:sz w:val="20"/>
              </w:rPr>
              <w:t>Meetmed võetakse Abruzzo, Basilicata, Campania, Calabria, Molise, Apuulia, Sardiinia ja Sitsiilia piirkonnas.</w:t>
            </w:r>
          </w:p>
        </w:tc>
      </w:tr>
      <w:tr w:rsidR="0084326C" w:rsidRPr="00D90835" w14:paraId="64D4B6DE" w14:textId="77777777" w:rsidTr="00695260">
        <w:trPr>
          <w:trHeight w:val="309"/>
        </w:trPr>
        <w:tc>
          <w:tcPr>
            <w:tcW w:w="1207" w:type="dxa"/>
            <w:shd w:val="clear" w:color="auto" w:fill="C6EFCE"/>
            <w:noWrap/>
            <w:vAlign w:val="center"/>
          </w:tcPr>
          <w:p w14:paraId="1EFD7CF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M5C3-9</w:t>
            </w:r>
          </w:p>
        </w:tc>
        <w:tc>
          <w:tcPr>
            <w:tcW w:w="1772" w:type="dxa"/>
            <w:shd w:val="clear" w:color="auto" w:fill="C6EFCE"/>
            <w:noWrap/>
            <w:vAlign w:val="center"/>
          </w:tcPr>
          <w:p w14:paraId="7DAF8C4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1.3. Struktureeritud sotsiaal-haridusmeetmed haridusvaesuse vastu võitlemiseks lõunas, millega toetatakse kolmandat sektorit</w:t>
            </w:r>
          </w:p>
        </w:tc>
        <w:tc>
          <w:tcPr>
            <w:tcW w:w="1412" w:type="dxa"/>
            <w:shd w:val="clear" w:color="auto" w:fill="C6EFCE"/>
            <w:noWrap/>
            <w:vAlign w:val="center"/>
          </w:tcPr>
          <w:p w14:paraId="52A598B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1775" w:type="dxa"/>
            <w:shd w:val="clear" w:color="auto" w:fill="C6EFCE"/>
            <w:noWrap/>
            <w:vAlign w:val="center"/>
          </w:tcPr>
          <w:p w14:paraId="35E0C0B5" w14:textId="77777777" w:rsidR="0084326C" w:rsidRPr="005D68A0" w:rsidRDefault="0084326C">
            <w:pPr>
              <w:jc w:val="center"/>
              <w:rPr>
                <w:rFonts w:ascii="Arial Narrow" w:hAnsi="Arial Narrow"/>
                <w:noProof/>
                <w:sz w:val="20"/>
                <w:szCs w:val="20"/>
              </w:rPr>
            </w:pPr>
            <w:r>
              <w:rPr>
                <w:rFonts w:ascii="Arial Narrow" w:hAnsi="Arial Narrow"/>
                <w:noProof/>
                <w:color w:val="006100"/>
                <w:sz w:val="20"/>
              </w:rPr>
              <w:t>Alaealiste haridusalane toetamine (teine pakett)</w:t>
            </w:r>
          </w:p>
        </w:tc>
        <w:tc>
          <w:tcPr>
            <w:tcW w:w="1584" w:type="dxa"/>
            <w:shd w:val="clear" w:color="auto" w:fill="C6EFCE"/>
            <w:noWrap/>
            <w:vAlign w:val="center"/>
          </w:tcPr>
          <w:p w14:paraId="0A4DAEE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shd w:val="clear" w:color="auto" w:fill="C6EFCE"/>
            <w:noWrap/>
            <w:vAlign w:val="center"/>
          </w:tcPr>
          <w:p w14:paraId="613AC06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Arv</w:t>
            </w:r>
          </w:p>
        </w:tc>
        <w:tc>
          <w:tcPr>
            <w:tcW w:w="1134" w:type="dxa"/>
            <w:shd w:val="clear" w:color="auto" w:fill="C6EFCE"/>
            <w:noWrap/>
            <w:vAlign w:val="center"/>
          </w:tcPr>
          <w:p w14:paraId="25F356DB" w14:textId="55699AE4"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20 000</w:t>
            </w:r>
          </w:p>
        </w:tc>
        <w:tc>
          <w:tcPr>
            <w:tcW w:w="992" w:type="dxa"/>
            <w:shd w:val="clear" w:color="auto" w:fill="C6EFCE"/>
            <w:noWrap/>
            <w:vAlign w:val="center"/>
          </w:tcPr>
          <w:p w14:paraId="0357CE94" w14:textId="48D40D5C"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44 000</w:t>
            </w:r>
          </w:p>
        </w:tc>
        <w:tc>
          <w:tcPr>
            <w:tcW w:w="916" w:type="dxa"/>
            <w:shd w:val="clear" w:color="auto" w:fill="C6EFCE"/>
            <w:noWrap/>
            <w:vAlign w:val="center"/>
          </w:tcPr>
          <w:p w14:paraId="5A9CAE0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812" w:type="dxa"/>
            <w:shd w:val="clear" w:color="auto" w:fill="C6EFCE"/>
            <w:noWrap/>
            <w:vAlign w:val="center"/>
          </w:tcPr>
          <w:p w14:paraId="47CD071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3020" w:type="dxa"/>
            <w:shd w:val="clear" w:color="auto" w:fill="C6EFCE"/>
            <w:noWrap/>
            <w:vAlign w:val="center"/>
          </w:tcPr>
          <w:p w14:paraId="1F965201" w14:textId="3EDE332B" w:rsidR="0084326C" w:rsidRPr="005D68A0" w:rsidRDefault="0084326C">
            <w:pPr>
              <w:rPr>
                <w:rFonts w:ascii="Arial Narrow" w:hAnsi="Arial Narrow"/>
                <w:noProof/>
                <w:color w:val="006100"/>
                <w:sz w:val="20"/>
                <w:szCs w:val="20"/>
              </w:rPr>
            </w:pPr>
            <w:r>
              <w:rPr>
                <w:rFonts w:ascii="Arial Narrow" w:hAnsi="Arial Narrow"/>
                <w:noProof/>
                <w:color w:val="006100"/>
                <w:sz w:val="20"/>
              </w:rPr>
              <w:t>Haridustoetust antakse vähemalt 44 000 alaealisele vanuses 0-17 aastat.</w:t>
            </w:r>
          </w:p>
        </w:tc>
      </w:tr>
    </w:tbl>
    <w:p w14:paraId="4F785FEE" w14:textId="77777777" w:rsidR="0084326C" w:rsidRPr="005D68A0" w:rsidRDefault="0084326C" w:rsidP="0084326C">
      <w:pPr>
        <w:spacing w:before="120" w:after="120"/>
        <w:ind w:left="709"/>
        <w:jc w:val="both"/>
        <w:rPr>
          <w:noProof/>
          <w:lang w:val="en-GB"/>
        </w:rPr>
        <w:sectPr w:rsidR="0084326C" w:rsidRPr="005D68A0">
          <w:headerReference w:type="even" r:id="rId356"/>
          <w:headerReference w:type="default" r:id="rId357"/>
          <w:footerReference w:type="even" r:id="rId358"/>
          <w:footerReference w:type="default" r:id="rId359"/>
          <w:headerReference w:type="first" r:id="rId360"/>
          <w:footerReference w:type="first" r:id="rId361"/>
          <w:pgSz w:w="16839" w:h="11907" w:orient="landscape"/>
          <w:pgMar w:top="720" w:right="720" w:bottom="720" w:left="720" w:header="709" w:footer="709" w:gutter="0"/>
          <w:cols w:space="720"/>
          <w:docGrid w:linePitch="360"/>
        </w:sectPr>
      </w:pPr>
    </w:p>
    <w:p w14:paraId="5804FBE9" w14:textId="77777777" w:rsidR="0084326C" w:rsidRPr="005D68A0" w:rsidRDefault="0084326C" w:rsidP="0084326C">
      <w:pPr>
        <w:spacing w:before="120" w:after="120"/>
        <w:ind w:left="709"/>
        <w:jc w:val="both"/>
        <w:rPr>
          <w:b/>
          <w:noProof/>
          <w:u w:val="single"/>
        </w:rPr>
      </w:pPr>
      <w:r>
        <w:rPr>
          <w:b/>
          <w:noProof/>
          <w:u w:val="single"/>
        </w:rPr>
        <w:t xml:space="preserve"> </w:t>
      </w:r>
    </w:p>
    <w:p w14:paraId="5240FA4D" w14:textId="77777777" w:rsidR="0084326C" w:rsidRPr="005D68A0" w:rsidRDefault="0084326C" w:rsidP="0084326C">
      <w:pPr>
        <w:pStyle w:val="Heading3"/>
        <w:numPr>
          <w:ilvl w:val="0"/>
          <w:numId w:val="0"/>
        </w:numPr>
        <w:ind w:left="850" w:hanging="850"/>
        <w:rPr>
          <w:b/>
          <w:bCs w:val="0"/>
          <w:i w:val="0"/>
          <w:iCs/>
          <w:noProof/>
          <w:u w:val="single"/>
        </w:rPr>
      </w:pPr>
      <w:r>
        <w:rPr>
          <w:b/>
          <w:i w:val="0"/>
          <w:noProof/>
          <w:u w:val="single"/>
        </w:rPr>
        <w:t xml:space="preserve">N.3. </w:t>
      </w:r>
      <w:r>
        <w:rPr>
          <w:noProof/>
        </w:rPr>
        <w:tab/>
      </w:r>
      <w:r>
        <w:rPr>
          <w:b/>
          <w:i w:val="0"/>
          <w:noProof/>
          <w:u w:val="single"/>
        </w:rPr>
        <w:t xml:space="preserve">Laenuga seotud reformide ja investeeringute kirjeldus </w:t>
      </w:r>
    </w:p>
    <w:p w14:paraId="21CF41F4" w14:textId="77777777" w:rsidR="0084326C" w:rsidRPr="005D68A0" w:rsidRDefault="0084326C" w:rsidP="0084326C">
      <w:pPr>
        <w:spacing w:before="120" w:after="120"/>
        <w:jc w:val="both"/>
        <w:rPr>
          <w:b/>
          <w:noProof/>
        </w:rPr>
      </w:pPr>
      <w:r>
        <w:rPr>
          <w:b/>
          <w:noProof/>
        </w:rPr>
        <w:t>Reform 1. Menetluste lihtsustamine ja voliniku tugevdamine erimajandustsoonides</w:t>
      </w:r>
    </w:p>
    <w:p w14:paraId="2721E949" w14:textId="77777777" w:rsidR="0084326C" w:rsidRPr="005D68A0" w:rsidRDefault="0084326C" w:rsidP="0084326C">
      <w:pPr>
        <w:spacing w:before="120" w:after="120"/>
        <w:jc w:val="both"/>
        <w:rPr>
          <w:noProof/>
        </w:rPr>
      </w:pPr>
      <w:r>
        <w:rPr>
          <w:noProof/>
        </w:rPr>
        <w:t xml:space="preserve">Reformiga aidatakse kaasa juhtimissüsteemi lihtsustamisele ja ühtlustatakse erimajandustsoonides võetavate meetmete rakendamise aega. Reformiga luuakse erimajandustsoonide digitaalne kontaktpunkt ja tugevdatakse komisjoni rolli.  </w:t>
      </w:r>
    </w:p>
    <w:p w14:paraId="5AFF5F79" w14:textId="77777777" w:rsidR="0084326C" w:rsidRPr="005D68A0" w:rsidRDefault="0084326C" w:rsidP="0084326C">
      <w:pPr>
        <w:spacing w:before="120" w:after="120"/>
        <w:jc w:val="both"/>
        <w:rPr>
          <w:b/>
          <w:noProof/>
        </w:rPr>
      </w:pPr>
      <w:r>
        <w:rPr>
          <w:b/>
          <w:noProof/>
        </w:rPr>
        <w:t xml:space="preserve">Investeering 1.4. Taristuinvesteeringud erimajandustsoonides  </w:t>
      </w:r>
    </w:p>
    <w:p w14:paraId="11FE8984" w14:textId="77777777" w:rsidR="0084326C" w:rsidRPr="005D68A0" w:rsidRDefault="0084326C" w:rsidP="0084326C">
      <w:pPr>
        <w:spacing w:before="120" w:after="120"/>
        <w:jc w:val="both"/>
        <w:rPr>
          <w:noProof/>
        </w:rPr>
      </w:pPr>
      <w:r>
        <w:rPr>
          <w:noProof/>
        </w:rPr>
        <w:t xml:space="preserve">Nende investeeringute eesmärk on tagada erimajandustsoonide kehtestamise reformi tõhusus, vältides edasisi majandusarengu viivitusi juba niigi tootmisbaasiga lõunapoolsetes piirkondades. </w:t>
      </w:r>
    </w:p>
    <w:p w14:paraId="6CEE3749" w14:textId="77777777" w:rsidR="0084326C" w:rsidRPr="005D68A0" w:rsidRDefault="0084326C" w:rsidP="0084326C">
      <w:pPr>
        <w:spacing w:before="120" w:after="120"/>
        <w:jc w:val="both"/>
        <w:rPr>
          <w:noProof/>
        </w:rPr>
      </w:pPr>
      <w:r>
        <w:rPr>
          <w:noProof/>
        </w:rPr>
        <w:t>Meetmega hõlmatud projektid edendavad konkurentsivõimet ja majandusarengut erimajandustsoonides esmaste linnastumistööde kaudu, nagu on määratletud Itaalia õigusaktides, ning nende piirkondade ühendamise kaudu maantee- ja raudteevõrkudega. Sekkumise eesmärk on motiveerida ettevõtteid koondama oma tootmistegevust erimajandustsoonidesse. Taristuinvesteeringud peaksid olema seotud viimase etapi ühendustega sadamate või tööstuspiirkondadega; digitaalne logistika, linnastumine või energiatõhususega seotud tööd; sadamate vastupanuvõime tugevdamine.</w:t>
      </w:r>
    </w:p>
    <w:p w14:paraId="09CBDD6A" w14:textId="77777777" w:rsidR="0084326C" w:rsidRPr="005D68A0" w:rsidRDefault="53DC5198" w:rsidP="0084326C">
      <w:pPr>
        <w:spacing w:before="120" w:after="120"/>
        <w:jc w:val="both"/>
        <w:rPr>
          <w:i/>
          <w:iCs/>
          <w:noProof/>
          <w:color w:val="4472C4" w:themeColor="accent1"/>
        </w:rPr>
      </w:pPr>
      <w:r>
        <w:rPr>
          <w:noProof/>
        </w:rPr>
        <w:t>Tagamaks, et meede vastab „ei kahjusta oluliselt“ tehnilistele suunistele (2021/C58/01), jäetakse tulevaste projektikonkursside juhendites sisalduvatest rahastamiskõlblikkuse kriteeriumidest välja järgmised tegevused:</w:t>
      </w:r>
      <w:r>
        <w:rPr>
          <w:noProof/>
          <w:color w:val="FF0000"/>
        </w:rPr>
        <w:t xml:space="preserve"> </w:t>
      </w:r>
      <w:r>
        <w:rPr>
          <w:noProof/>
        </w:rPr>
        <w:t>i) fossiilkütustega seotud tegevus, sealhulgas allkasutus tootmisahela järgmistes etappides</w:t>
      </w:r>
      <w:r w:rsidRPr="005D68A0">
        <w:rPr>
          <w:rStyle w:val="FootnoteReference"/>
          <w:noProof/>
          <w:lang w:val="en-GB"/>
        </w:rPr>
        <w:footnoteReference w:id="119"/>
      </w:r>
      <w:r>
        <w:rPr>
          <w:noProof/>
        </w:rPr>
        <w:t>; ii) ELi heitkogustega kauplemise süsteemi (HKS) raames toimuv tegevus, mille prognoositav kasvuhoonegaaside heide ei ole asjaomastest võrdlusalustest</w:t>
      </w:r>
      <w:r w:rsidRPr="005D68A0">
        <w:rPr>
          <w:rStyle w:val="FootnoteReference"/>
          <w:noProof/>
          <w:lang w:val="en-GB"/>
        </w:rPr>
        <w:footnoteReference w:id="120"/>
      </w:r>
      <w:r>
        <w:rPr>
          <w:noProof/>
        </w:rPr>
        <w:t xml:space="preserve"> madalam; iii) prügilate, jäätmepõletustehaste</w:t>
      </w:r>
      <w:r w:rsidRPr="005D68A0">
        <w:rPr>
          <w:rStyle w:val="FootnoteReference"/>
          <w:noProof/>
          <w:lang w:val="en-GB"/>
        </w:rPr>
        <w:footnoteReference w:id="121"/>
      </w:r>
      <w:r>
        <w:rPr>
          <w:noProof/>
        </w:rPr>
        <w:t xml:space="preserve"> ja mehhaanilis-bioloogilise töötlemise jaamadega</w:t>
      </w:r>
      <w:r w:rsidRPr="005D68A0">
        <w:rPr>
          <w:rStyle w:val="FootnoteReference"/>
          <w:noProof/>
          <w:lang w:val="en-GB"/>
        </w:rPr>
        <w:footnoteReference w:id="122"/>
      </w:r>
      <w:r>
        <w:rPr>
          <w:noProof/>
        </w:rPr>
        <w:t xml:space="preserve"> seotud tegevus; iv) tegevused, mille puhul jäätmete pikaajaline kõrvaldamine võib kahjustada keskkonda. Peale selle peab konkursitingimustes olema sätestatud, et valida võib ainult tegevusi, mis vastavad asjakohastele ELi ja riiklikele keskkonnaalastele õigusaktidele.</w:t>
      </w:r>
      <w:r>
        <w:rPr>
          <w:i/>
          <w:noProof/>
          <w:color w:val="4472C4" w:themeColor="accent1"/>
        </w:rPr>
        <w:t xml:space="preserve"> </w:t>
      </w:r>
    </w:p>
    <w:p w14:paraId="6CF9E294" w14:textId="77777777" w:rsidR="0084326C" w:rsidRPr="00F33804" w:rsidRDefault="0084326C" w:rsidP="0084326C">
      <w:pPr>
        <w:spacing w:before="120" w:after="120"/>
        <w:ind w:left="709"/>
        <w:contextualSpacing/>
        <w:jc w:val="both"/>
        <w:rPr>
          <w:noProof/>
        </w:rPr>
        <w:sectPr w:rsidR="0084326C" w:rsidRPr="00F33804">
          <w:headerReference w:type="even" r:id="rId362"/>
          <w:headerReference w:type="default" r:id="rId363"/>
          <w:footerReference w:type="even" r:id="rId364"/>
          <w:footerReference w:type="default" r:id="rId365"/>
          <w:headerReference w:type="first" r:id="rId366"/>
          <w:footerReference w:type="first" r:id="rId367"/>
          <w:pgSz w:w="11907" w:h="16839"/>
          <w:pgMar w:top="1134" w:right="1417" w:bottom="1134" w:left="1417" w:header="709" w:footer="709" w:gutter="0"/>
          <w:cols w:space="720"/>
          <w:docGrid w:linePitch="360"/>
        </w:sectPr>
      </w:pPr>
    </w:p>
    <w:p w14:paraId="49763503" w14:textId="77777777" w:rsidR="0084326C" w:rsidRPr="005D68A0" w:rsidRDefault="0084326C" w:rsidP="0084326C">
      <w:pPr>
        <w:pStyle w:val="Heading3"/>
        <w:numPr>
          <w:ilvl w:val="0"/>
          <w:numId w:val="0"/>
        </w:numPr>
        <w:ind w:left="850" w:hanging="850"/>
        <w:rPr>
          <w:b/>
          <w:bCs w:val="0"/>
          <w:i w:val="0"/>
          <w:iCs/>
          <w:noProof/>
          <w:u w:val="single"/>
        </w:rPr>
      </w:pPr>
      <w:r>
        <w:rPr>
          <w:b/>
          <w:i w:val="0"/>
          <w:noProof/>
          <w:u w:val="single"/>
        </w:rPr>
        <w:t xml:space="preserve">N.4. </w:t>
      </w:r>
      <w:r>
        <w:rPr>
          <w:noProof/>
        </w:rPr>
        <w:tab/>
      </w:r>
      <w:r>
        <w:rPr>
          <w:b/>
          <w:i w:val="0"/>
          <w:noProof/>
          <w:u w:val="single"/>
        </w:rPr>
        <w:t xml:space="preserve">Laenu eesmärgid, sihid, näitajad ning seire ja rakendamise ajakava </w:t>
      </w: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812"/>
        <w:gridCol w:w="1169"/>
        <w:gridCol w:w="1858"/>
        <w:gridCol w:w="1858"/>
        <w:gridCol w:w="1003"/>
        <w:gridCol w:w="982"/>
        <w:gridCol w:w="928"/>
        <w:gridCol w:w="783"/>
        <w:gridCol w:w="663"/>
        <w:gridCol w:w="3165"/>
      </w:tblGrid>
      <w:tr w:rsidR="00F51189" w:rsidRPr="00D90835" w14:paraId="51C37016" w14:textId="77777777" w:rsidTr="00695260">
        <w:trPr>
          <w:trHeight w:val="939"/>
          <w:tblHeader/>
        </w:trPr>
        <w:tc>
          <w:tcPr>
            <w:tcW w:w="1419" w:type="dxa"/>
            <w:vMerge w:val="restart"/>
            <w:shd w:val="clear" w:color="auto" w:fill="BDD7EE"/>
            <w:vAlign w:val="center"/>
            <w:hideMark/>
          </w:tcPr>
          <w:p w14:paraId="56DC87A2" w14:textId="78B1497C" w:rsidR="0084326C" w:rsidRPr="005D68A0" w:rsidRDefault="0084326C">
            <w:pPr>
              <w:jc w:val="center"/>
              <w:rPr>
                <w:rFonts w:ascii="Arial Narrow" w:eastAsiaTheme="minorEastAsia" w:hAnsi="Arial Narrow"/>
                <w:b/>
                <w:noProof/>
                <w:sz w:val="20"/>
                <w:szCs w:val="20"/>
              </w:rPr>
            </w:pPr>
            <w:r>
              <w:rPr>
                <w:rFonts w:ascii="Arial Narrow" w:hAnsi="Arial Narrow"/>
                <w:b/>
                <w:noProof/>
                <w:sz w:val="20"/>
              </w:rPr>
              <w:t>Järjekorra</w:t>
            </w:r>
            <w:r w:rsidR="00695260">
              <w:rPr>
                <w:rFonts w:ascii="Arial Narrow" w:hAnsi="Arial Narrow"/>
                <w:b/>
                <w:noProof/>
                <w:sz w:val="20"/>
              </w:rPr>
              <w:t>-</w:t>
            </w:r>
            <w:r>
              <w:rPr>
                <w:rFonts w:ascii="Arial Narrow" w:hAnsi="Arial Narrow"/>
                <w:b/>
                <w:noProof/>
                <w:sz w:val="20"/>
              </w:rPr>
              <w:t>number</w:t>
            </w:r>
          </w:p>
        </w:tc>
        <w:tc>
          <w:tcPr>
            <w:tcW w:w="1812" w:type="dxa"/>
            <w:vMerge w:val="restart"/>
            <w:shd w:val="clear" w:color="auto" w:fill="BDD7EE"/>
            <w:vAlign w:val="center"/>
            <w:hideMark/>
          </w:tcPr>
          <w:p w14:paraId="654C3FFF" w14:textId="77777777" w:rsidR="0084326C" w:rsidRPr="005D68A0" w:rsidRDefault="0084326C">
            <w:pPr>
              <w:jc w:val="center"/>
              <w:rPr>
                <w:rFonts w:ascii="Arial Narrow" w:eastAsiaTheme="minorEastAsia" w:hAnsi="Arial Narrow"/>
                <w:b/>
                <w:noProof/>
                <w:sz w:val="20"/>
                <w:szCs w:val="20"/>
              </w:rPr>
            </w:pPr>
            <w:r>
              <w:rPr>
                <w:rFonts w:ascii="Arial Narrow" w:hAnsi="Arial Narrow"/>
                <w:b/>
                <w:noProof/>
                <w:sz w:val="20"/>
              </w:rPr>
              <w:t>Seotud meede (reform või investeering)</w:t>
            </w:r>
          </w:p>
        </w:tc>
        <w:tc>
          <w:tcPr>
            <w:tcW w:w="1169" w:type="dxa"/>
            <w:vMerge w:val="restart"/>
            <w:shd w:val="clear" w:color="auto" w:fill="BDD7EE"/>
            <w:vAlign w:val="center"/>
            <w:hideMark/>
          </w:tcPr>
          <w:p w14:paraId="393FF3ED" w14:textId="77777777" w:rsidR="0084326C" w:rsidRPr="005D68A0" w:rsidRDefault="0084326C">
            <w:pPr>
              <w:jc w:val="center"/>
              <w:rPr>
                <w:rFonts w:ascii="Arial Narrow" w:eastAsiaTheme="minorEastAsia" w:hAnsi="Arial Narrow"/>
                <w:b/>
                <w:noProof/>
                <w:sz w:val="20"/>
                <w:szCs w:val="20"/>
              </w:rPr>
            </w:pPr>
            <w:r>
              <w:rPr>
                <w:rFonts w:ascii="Arial Narrow" w:hAnsi="Arial Narrow"/>
                <w:b/>
                <w:noProof/>
                <w:sz w:val="20"/>
              </w:rPr>
              <w:t>Eesmärk / siht</w:t>
            </w:r>
          </w:p>
        </w:tc>
        <w:tc>
          <w:tcPr>
            <w:tcW w:w="1858" w:type="dxa"/>
            <w:vMerge w:val="restart"/>
            <w:shd w:val="clear" w:color="auto" w:fill="BDD7EE"/>
            <w:vAlign w:val="center"/>
            <w:hideMark/>
          </w:tcPr>
          <w:p w14:paraId="657DA037" w14:textId="77777777" w:rsidR="0084326C" w:rsidRPr="005D68A0" w:rsidRDefault="0084326C">
            <w:pPr>
              <w:jc w:val="center"/>
              <w:rPr>
                <w:rFonts w:ascii="Arial Narrow" w:eastAsiaTheme="minorEastAsia" w:hAnsi="Arial Narrow"/>
                <w:b/>
                <w:noProof/>
                <w:sz w:val="20"/>
                <w:szCs w:val="20"/>
              </w:rPr>
            </w:pPr>
            <w:r>
              <w:rPr>
                <w:rFonts w:ascii="Arial Narrow" w:hAnsi="Arial Narrow"/>
                <w:b/>
                <w:noProof/>
                <w:sz w:val="20"/>
              </w:rPr>
              <w:t>Nimi</w:t>
            </w:r>
          </w:p>
        </w:tc>
        <w:tc>
          <w:tcPr>
            <w:tcW w:w="1812" w:type="dxa"/>
            <w:vMerge w:val="restart"/>
            <w:shd w:val="clear" w:color="auto" w:fill="BDD7EE"/>
            <w:vAlign w:val="center"/>
            <w:hideMark/>
          </w:tcPr>
          <w:p w14:paraId="1F784502" w14:textId="77777777" w:rsidR="0084326C" w:rsidRPr="005D68A0" w:rsidRDefault="0084326C">
            <w:pPr>
              <w:jc w:val="center"/>
              <w:rPr>
                <w:rFonts w:ascii="Arial Narrow" w:eastAsiaTheme="minorEastAsia" w:hAnsi="Arial Narrow"/>
                <w:b/>
                <w:noProof/>
                <w:sz w:val="20"/>
                <w:szCs w:val="20"/>
              </w:rPr>
            </w:pPr>
            <w:r>
              <w:rPr>
                <w:rFonts w:ascii="Arial Narrow" w:hAnsi="Arial Narrow"/>
                <w:b/>
                <w:noProof/>
                <w:sz w:val="20"/>
              </w:rPr>
              <w:t>Kvalitatiivsed näitajad</w:t>
            </w:r>
            <w:r>
              <w:rPr>
                <w:noProof/>
              </w:rPr>
              <w:t xml:space="preserve"> </w:t>
            </w:r>
            <w:r>
              <w:rPr>
                <w:noProof/>
              </w:rPr>
              <w:br/>
            </w:r>
            <w:r>
              <w:rPr>
                <w:rFonts w:ascii="Arial Narrow" w:hAnsi="Arial Narrow"/>
                <w:b/>
                <w:noProof/>
                <w:sz w:val="20"/>
              </w:rPr>
              <w:t>(eesmärkide puhul)</w:t>
            </w:r>
          </w:p>
        </w:tc>
        <w:tc>
          <w:tcPr>
            <w:tcW w:w="2913" w:type="dxa"/>
            <w:gridSpan w:val="3"/>
            <w:shd w:val="clear" w:color="auto" w:fill="BDD7EE"/>
            <w:vAlign w:val="center"/>
            <w:hideMark/>
          </w:tcPr>
          <w:p w14:paraId="63FC2E33" w14:textId="77777777" w:rsidR="0084326C" w:rsidRPr="005D68A0" w:rsidRDefault="0084326C">
            <w:pPr>
              <w:jc w:val="center"/>
              <w:rPr>
                <w:rFonts w:ascii="Arial Narrow" w:eastAsiaTheme="minorEastAsia" w:hAnsi="Arial Narrow"/>
                <w:b/>
                <w:noProof/>
                <w:sz w:val="20"/>
                <w:szCs w:val="20"/>
              </w:rPr>
            </w:pPr>
            <w:r>
              <w:rPr>
                <w:rFonts w:ascii="Arial Narrow" w:hAnsi="Arial Narrow"/>
                <w:b/>
                <w:noProof/>
                <w:sz w:val="20"/>
              </w:rPr>
              <w:t xml:space="preserve">Kvantitatiivsed näitajad </w:t>
            </w:r>
            <w:r>
              <w:rPr>
                <w:noProof/>
              </w:rPr>
              <w:br/>
            </w:r>
            <w:r>
              <w:rPr>
                <w:rFonts w:ascii="Arial Narrow" w:hAnsi="Arial Narrow"/>
                <w:b/>
                <w:noProof/>
                <w:sz w:val="20"/>
              </w:rPr>
              <w:t>(sihtide puhul)</w:t>
            </w:r>
          </w:p>
        </w:tc>
        <w:tc>
          <w:tcPr>
            <w:tcW w:w="1446" w:type="dxa"/>
            <w:gridSpan w:val="2"/>
            <w:shd w:val="clear" w:color="auto" w:fill="BDD7EE"/>
            <w:vAlign w:val="center"/>
            <w:hideMark/>
          </w:tcPr>
          <w:p w14:paraId="5C853783" w14:textId="77777777" w:rsidR="0084326C" w:rsidRPr="005D68A0" w:rsidRDefault="0084326C">
            <w:pPr>
              <w:jc w:val="center"/>
              <w:rPr>
                <w:rFonts w:ascii="Arial Narrow" w:eastAsiaTheme="minorEastAsia" w:hAnsi="Arial Narrow"/>
                <w:b/>
                <w:noProof/>
                <w:sz w:val="20"/>
                <w:szCs w:val="20"/>
              </w:rPr>
            </w:pPr>
            <w:r>
              <w:rPr>
                <w:rFonts w:ascii="Arial Narrow" w:hAnsi="Arial Narrow"/>
                <w:b/>
                <w:noProof/>
                <w:sz w:val="20"/>
              </w:rPr>
              <w:t>Lõpuleviimise soovituslik ajakava</w:t>
            </w:r>
          </w:p>
        </w:tc>
        <w:tc>
          <w:tcPr>
            <w:tcW w:w="3165" w:type="dxa"/>
            <w:vMerge w:val="restart"/>
            <w:shd w:val="clear" w:color="auto" w:fill="BDD7EE"/>
            <w:vAlign w:val="center"/>
            <w:hideMark/>
          </w:tcPr>
          <w:p w14:paraId="7DAF8663" w14:textId="77777777" w:rsidR="0084326C" w:rsidRPr="005D68A0" w:rsidRDefault="0084326C">
            <w:pPr>
              <w:jc w:val="center"/>
              <w:rPr>
                <w:rFonts w:ascii="Arial Narrow" w:eastAsiaTheme="minorEastAsia" w:hAnsi="Arial Narrow"/>
                <w:b/>
                <w:noProof/>
                <w:sz w:val="20"/>
                <w:szCs w:val="20"/>
              </w:rPr>
            </w:pPr>
            <w:r>
              <w:rPr>
                <w:rFonts w:ascii="Arial Narrow" w:hAnsi="Arial Narrow"/>
                <w:b/>
                <w:noProof/>
                <w:sz w:val="20"/>
              </w:rPr>
              <w:t>Iga eesmärgi ja sihi kirjeldus</w:t>
            </w:r>
          </w:p>
        </w:tc>
      </w:tr>
      <w:tr w:rsidR="00F51189" w:rsidRPr="005D68A0" w14:paraId="39F803E7" w14:textId="77777777" w:rsidTr="00695260">
        <w:trPr>
          <w:trHeight w:val="741"/>
        </w:trPr>
        <w:tc>
          <w:tcPr>
            <w:tcW w:w="1419" w:type="dxa"/>
            <w:vMerge/>
            <w:vAlign w:val="center"/>
            <w:hideMark/>
          </w:tcPr>
          <w:p w14:paraId="51AFDA07" w14:textId="77777777" w:rsidR="0084326C" w:rsidRPr="00F33804" w:rsidRDefault="0084326C">
            <w:pPr>
              <w:jc w:val="center"/>
              <w:rPr>
                <w:rFonts w:ascii="Arial Narrow" w:eastAsiaTheme="minorEastAsia" w:hAnsi="Arial Narrow"/>
                <w:b/>
                <w:noProof/>
                <w:sz w:val="20"/>
                <w:szCs w:val="20"/>
              </w:rPr>
            </w:pPr>
          </w:p>
        </w:tc>
        <w:tc>
          <w:tcPr>
            <w:tcW w:w="1812" w:type="dxa"/>
            <w:vMerge/>
            <w:vAlign w:val="center"/>
            <w:hideMark/>
          </w:tcPr>
          <w:p w14:paraId="624C16CF" w14:textId="77777777" w:rsidR="0084326C" w:rsidRPr="00F33804" w:rsidRDefault="0084326C">
            <w:pPr>
              <w:jc w:val="center"/>
              <w:rPr>
                <w:rFonts w:ascii="Arial Narrow" w:eastAsiaTheme="minorEastAsia" w:hAnsi="Arial Narrow"/>
                <w:b/>
                <w:noProof/>
                <w:sz w:val="20"/>
                <w:szCs w:val="20"/>
              </w:rPr>
            </w:pPr>
          </w:p>
        </w:tc>
        <w:tc>
          <w:tcPr>
            <w:tcW w:w="1169" w:type="dxa"/>
            <w:vMerge/>
            <w:vAlign w:val="center"/>
            <w:hideMark/>
          </w:tcPr>
          <w:p w14:paraId="1C13DBFE" w14:textId="77777777" w:rsidR="0084326C" w:rsidRPr="00F33804" w:rsidRDefault="0084326C">
            <w:pPr>
              <w:jc w:val="center"/>
              <w:rPr>
                <w:rFonts w:ascii="Arial Narrow" w:eastAsiaTheme="minorEastAsia" w:hAnsi="Arial Narrow"/>
                <w:b/>
                <w:noProof/>
                <w:sz w:val="20"/>
                <w:szCs w:val="20"/>
              </w:rPr>
            </w:pPr>
          </w:p>
        </w:tc>
        <w:tc>
          <w:tcPr>
            <w:tcW w:w="1858" w:type="dxa"/>
            <w:vMerge/>
            <w:vAlign w:val="center"/>
            <w:hideMark/>
          </w:tcPr>
          <w:p w14:paraId="40EB5C1E" w14:textId="77777777" w:rsidR="0084326C" w:rsidRPr="00F33804" w:rsidRDefault="0084326C">
            <w:pPr>
              <w:jc w:val="center"/>
              <w:rPr>
                <w:rFonts w:ascii="Arial Narrow" w:eastAsiaTheme="minorEastAsia" w:hAnsi="Arial Narrow"/>
                <w:b/>
                <w:noProof/>
                <w:sz w:val="20"/>
                <w:szCs w:val="20"/>
              </w:rPr>
            </w:pPr>
          </w:p>
        </w:tc>
        <w:tc>
          <w:tcPr>
            <w:tcW w:w="1812" w:type="dxa"/>
            <w:vMerge/>
            <w:vAlign w:val="center"/>
            <w:hideMark/>
          </w:tcPr>
          <w:p w14:paraId="2039B142" w14:textId="77777777" w:rsidR="0084326C" w:rsidRPr="00F33804" w:rsidRDefault="0084326C">
            <w:pPr>
              <w:jc w:val="center"/>
              <w:rPr>
                <w:rFonts w:ascii="Arial Narrow" w:eastAsiaTheme="minorEastAsia" w:hAnsi="Arial Narrow"/>
                <w:b/>
                <w:noProof/>
                <w:sz w:val="20"/>
                <w:szCs w:val="20"/>
              </w:rPr>
            </w:pPr>
          </w:p>
        </w:tc>
        <w:tc>
          <w:tcPr>
            <w:tcW w:w="1003" w:type="dxa"/>
            <w:shd w:val="clear" w:color="auto" w:fill="BDD7EE"/>
            <w:vAlign w:val="center"/>
            <w:hideMark/>
          </w:tcPr>
          <w:p w14:paraId="6051F9F4" w14:textId="77777777" w:rsidR="0084326C" w:rsidRPr="005D68A0" w:rsidRDefault="0084326C">
            <w:pPr>
              <w:jc w:val="center"/>
              <w:rPr>
                <w:rFonts w:ascii="Arial Narrow" w:eastAsiaTheme="minorEastAsia" w:hAnsi="Arial Narrow"/>
                <w:b/>
                <w:noProof/>
                <w:sz w:val="20"/>
                <w:szCs w:val="20"/>
              </w:rPr>
            </w:pPr>
            <w:r>
              <w:rPr>
                <w:rFonts w:ascii="Arial Narrow" w:hAnsi="Arial Narrow"/>
                <w:b/>
                <w:noProof/>
                <w:sz w:val="20"/>
              </w:rPr>
              <w:t>Mõõtühik</w:t>
            </w:r>
          </w:p>
        </w:tc>
        <w:tc>
          <w:tcPr>
            <w:tcW w:w="982" w:type="dxa"/>
            <w:shd w:val="clear" w:color="auto" w:fill="BDD7EE"/>
            <w:vAlign w:val="center"/>
            <w:hideMark/>
          </w:tcPr>
          <w:p w14:paraId="43EF02B2" w14:textId="77777777" w:rsidR="0084326C" w:rsidRPr="005D68A0" w:rsidRDefault="0084326C">
            <w:pPr>
              <w:jc w:val="center"/>
              <w:rPr>
                <w:rFonts w:ascii="Arial Narrow" w:eastAsiaTheme="minorEastAsia" w:hAnsi="Arial Narrow"/>
                <w:b/>
                <w:noProof/>
                <w:sz w:val="20"/>
                <w:szCs w:val="20"/>
              </w:rPr>
            </w:pPr>
            <w:r>
              <w:rPr>
                <w:rFonts w:ascii="Arial Narrow" w:hAnsi="Arial Narrow"/>
                <w:b/>
                <w:noProof/>
                <w:sz w:val="20"/>
              </w:rPr>
              <w:t>Lähtetase</w:t>
            </w:r>
          </w:p>
        </w:tc>
        <w:tc>
          <w:tcPr>
            <w:tcW w:w="928" w:type="dxa"/>
            <w:shd w:val="clear" w:color="auto" w:fill="BDD7EE"/>
            <w:vAlign w:val="center"/>
            <w:hideMark/>
          </w:tcPr>
          <w:p w14:paraId="43474693" w14:textId="77777777" w:rsidR="0084326C" w:rsidRPr="005D68A0" w:rsidRDefault="0084326C">
            <w:pPr>
              <w:jc w:val="center"/>
              <w:rPr>
                <w:rFonts w:ascii="Arial Narrow" w:eastAsiaTheme="minorEastAsia" w:hAnsi="Arial Narrow"/>
                <w:b/>
                <w:noProof/>
                <w:sz w:val="20"/>
                <w:szCs w:val="20"/>
              </w:rPr>
            </w:pPr>
            <w:r>
              <w:rPr>
                <w:rFonts w:ascii="Arial Narrow" w:hAnsi="Arial Narrow"/>
                <w:b/>
                <w:noProof/>
                <w:sz w:val="20"/>
              </w:rPr>
              <w:t>Eesmärk</w:t>
            </w:r>
          </w:p>
        </w:tc>
        <w:tc>
          <w:tcPr>
            <w:tcW w:w="783" w:type="dxa"/>
            <w:shd w:val="clear" w:color="auto" w:fill="BDD7EE"/>
            <w:vAlign w:val="center"/>
            <w:hideMark/>
          </w:tcPr>
          <w:p w14:paraId="206B3C10" w14:textId="77777777" w:rsidR="0084326C" w:rsidRPr="005D68A0" w:rsidRDefault="0084326C">
            <w:pPr>
              <w:jc w:val="center"/>
              <w:rPr>
                <w:rFonts w:ascii="Arial Narrow" w:eastAsiaTheme="minorEastAsia" w:hAnsi="Arial Narrow"/>
                <w:b/>
                <w:noProof/>
                <w:sz w:val="20"/>
                <w:szCs w:val="20"/>
              </w:rPr>
            </w:pPr>
            <w:r>
              <w:rPr>
                <w:rFonts w:ascii="Arial Narrow" w:hAnsi="Arial Narrow"/>
                <w:b/>
                <w:noProof/>
                <w:sz w:val="20"/>
              </w:rPr>
              <w:t>Kvartal</w:t>
            </w:r>
          </w:p>
        </w:tc>
        <w:tc>
          <w:tcPr>
            <w:tcW w:w="663" w:type="dxa"/>
            <w:shd w:val="clear" w:color="auto" w:fill="BDD7EE"/>
            <w:vAlign w:val="center"/>
            <w:hideMark/>
          </w:tcPr>
          <w:p w14:paraId="4CEBF04D" w14:textId="77777777" w:rsidR="0084326C" w:rsidRPr="005D68A0" w:rsidRDefault="0084326C">
            <w:pPr>
              <w:jc w:val="center"/>
              <w:rPr>
                <w:rFonts w:ascii="Arial Narrow" w:eastAsiaTheme="minorEastAsia" w:hAnsi="Arial Narrow"/>
                <w:b/>
                <w:noProof/>
                <w:sz w:val="20"/>
                <w:szCs w:val="20"/>
              </w:rPr>
            </w:pPr>
            <w:r>
              <w:rPr>
                <w:rFonts w:ascii="Arial Narrow" w:hAnsi="Arial Narrow"/>
                <w:b/>
                <w:noProof/>
                <w:sz w:val="20"/>
              </w:rPr>
              <w:t>Aasta</w:t>
            </w:r>
          </w:p>
        </w:tc>
        <w:tc>
          <w:tcPr>
            <w:tcW w:w="3165" w:type="dxa"/>
            <w:vMerge/>
            <w:vAlign w:val="center"/>
            <w:hideMark/>
          </w:tcPr>
          <w:p w14:paraId="126EA68C" w14:textId="77777777" w:rsidR="0084326C" w:rsidRPr="005D68A0" w:rsidRDefault="0084326C">
            <w:pPr>
              <w:jc w:val="center"/>
              <w:rPr>
                <w:rFonts w:ascii="Arial Narrow" w:eastAsiaTheme="minorEastAsia" w:hAnsi="Arial Narrow"/>
                <w:b/>
                <w:noProof/>
                <w:sz w:val="20"/>
                <w:szCs w:val="20"/>
                <w:lang w:val="en-GB"/>
              </w:rPr>
            </w:pPr>
          </w:p>
        </w:tc>
      </w:tr>
      <w:tr w:rsidR="00512838" w:rsidRPr="00D90835" w14:paraId="0F239373" w14:textId="77777777" w:rsidTr="00695260">
        <w:trPr>
          <w:trHeight w:val="313"/>
        </w:trPr>
        <w:tc>
          <w:tcPr>
            <w:tcW w:w="1419" w:type="dxa"/>
            <w:shd w:val="clear" w:color="auto" w:fill="C6EFCE"/>
            <w:noWrap/>
            <w:vAlign w:val="center"/>
          </w:tcPr>
          <w:p w14:paraId="7ABA93D9"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M5C3-10</w:t>
            </w:r>
          </w:p>
        </w:tc>
        <w:tc>
          <w:tcPr>
            <w:tcW w:w="1812" w:type="dxa"/>
            <w:shd w:val="clear" w:color="auto" w:fill="C6EFCE"/>
            <w:noWrap/>
            <w:vAlign w:val="center"/>
            <w:hideMark/>
          </w:tcPr>
          <w:p w14:paraId="62C6F15A"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Reform1. Menetluste lihtsustamine ja voliniku tugevdamine erimajandustsoonides</w:t>
            </w:r>
          </w:p>
        </w:tc>
        <w:tc>
          <w:tcPr>
            <w:tcW w:w="1169" w:type="dxa"/>
            <w:shd w:val="clear" w:color="auto" w:fill="C6EFCE"/>
            <w:noWrap/>
            <w:vAlign w:val="center"/>
            <w:hideMark/>
          </w:tcPr>
          <w:p w14:paraId="0525FDEA"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Eesmärk</w:t>
            </w:r>
          </w:p>
        </w:tc>
        <w:tc>
          <w:tcPr>
            <w:tcW w:w="1858" w:type="dxa"/>
            <w:shd w:val="clear" w:color="auto" w:fill="C6EFCE"/>
            <w:noWrap/>
            <w:vAlign w:val="center"/>
            <w:hideMark/>
          </w:tcPr>
          <w:p w14:paraId="1D8AA2EC"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Määruse jõustumine, et lihtsalt kehtestada menetlused ja tugevdada voliniku rolli erimajandustsoonides</w:t>
            </w:r>
          </w:p>
        </w:tc>
        <w:tc>
          <w:tcPr>
            <w:tcW w:w="1812" w:type="dxa"/>
            <w:shd w:val="clear" w:color="auto" w:fill="C6EFCE"/>
            <w:noWrap/>
            <w:vAlign w:val="center"/>
            <w:hideMark/>
          </w:tcPr>
          <w:p w14:paraId="6A98F1F4" w14:textId="58C9B149"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 xml:space="preserve">Määruse jõustumise määruses on sätestatud lihtsalt menetlused ja voliniku rolli tugevdamine erimajandustsoonides. </w:t>
            </w:r>
          </w:p>
        </w:tc>
        <w:tc>
          <w:tcPr>
            <w:tcW w:w="1003" w:type="dxa"/>
            <w:shd w:val="clear" w:color="auto" w:fill="C6EFCE"/>
            <w:noWrap/>
            <w:vAlign w:val="center"/>
          </w:tcPr>
          <w:p w14:paraId="0886FCA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982" w:type="dxa"/>
            <w:shd w:val="clear" w:color="auto" w:fill="C6EFCE"/>
            <w:noWrap/>
            <w:vAlign w:val="center"/>
          </w:tcPr>
          <w:p w14:paraId="3D97526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928" w:type="dxa"/>
            <w:shd w:val="clear" w:color="auto" w:fill="C6EFCE"/>
            <w:noWrap/>
            <w:vAlign w:val="center"/>
          </w:tcPr>
          <w:p w14:paraId="714235E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783" w:type="dxa"/>
            <w:shd w:val="clear" w:color="auto" w:fill="C6EFCE"/>
            <w:noWrap/>
            <w:vAlign w:val="center"/>
            <w:hideMark/>
          </w:tcPr>
          <w:p w14:paraId="141AC6FF"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4. kv</w:t>
            </w:r>
          </w:p>
        </w:tc>
        <w:tc>
          <w:tcPr>
            <w:tcW w:w="663" w:type="dxa"/>
            <w:shd w:val="clear" w:color="auto" w:fill="C6EFCE"/>
            <w:noWrap/>
            <w:vAlign w:val="center"/>
            <w:hideMark/>
          </w:tcPr>
          <w:p w14:paraId="6250E3A6" w14:textId="77777777"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2021</w:t>
            </w:r>
          </w:p>
        </w:tc>
        <w:tc>
          <w:tcPr>
            <w:tcW w:w="3165" w:type="dxa"/>
            <w:shd w:val="clear" w:color="auto" w:fill="C6EFCE"/>
            <w:noWrap/>
            <w:vAlign w:val="center"/>
            <w:hideMark/>
          </w:tcPr>
          <w:p w14:paraId="543A4E4A"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Määrus sisaldab järgmist: asutuse</w:t>
            </w:r>
          </w:p>
          <w:p w14:paraId="5BDA57CE"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erimajandustsoonide digitaalse ühtse kontaktpunkti loomine menetluste lihtsustamiseks; sätted voliniku rolli tugevdamiseks ZESis</w:t>
            </w:r>
          </w:p>
          <w:p w14:paraId="62675B64"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 </w:t>
            </w:r>
          </w:p>
          <w:p w14:paraId="3229F833" w14:textId="562CCE71"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Erimajandustsoonid on konkreetsed alad, mis on määratletud dekreetseaduses 91/2017 (avaldatud Euroopa Liidu Teatajas 141/2017), mis on muudetud seaduseks L. 123/2017 (avaldatud Euroopa Liidu Teatajas Mezzogiorno 188/2017).</w:t>
            </w:r>
          </w:p>
        </w:tc>
      </w:tr>
      <w:tr w:rsidR="00512838" w:rsidRPr="00D90835" w14:paraId="2167B221" w14:textId="77777777" w:rsidTr="00695260">
        <w:trPr>
          <w:trHeight w:val="313"/>
        </w:trPr>
        <w:tc>
          <w:tcPr>
            <w:tcW w:w="1419" w:type="dxa"/>
            <w:shd w:val="clear" w:color="auto" w:fill="C6EFCE"/>
            <w:noWrap/>
            <w:vAlign w:val="center"/>
            <w:hideMark/>
          </w:tcPr>
          <w:p w14:paraId="62DC4ADD"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M5C3-11</w:t>
            </w:r>
          </w:p>
        </w:tc>
        <w:tc>
          <w:tcPr>
            <w:tcW w:w="1812" w:type="dxa"/>
            <w:shd w:val="clear" w:color="auto" w:fill="C6EFCE"/>
            <w:noWrap/>
            <w:vAlign w:val="center"/>
            <w:hideMark/>
          </w:tcPr>
          <w:p w14:paraId="3830E0F2"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Investeering 1.4. Taristuinvesteeringud erimajandustsoonides</w:t>
            </w:r>
            <w:r>
              <w:rPr>
                <w:rFonts w:ascii="Arial Narrow" w:hAnsi="Arial Narrow"/>
                <w:noProof/>
                <w:color w:val="006100"/>
                <w:sz w:val="20"/>
                <w:shd w:val="clear" w:color="auto" w:fill="E6E6E6"/>
              </w:rPr>
              <w:t xml:space="preserve"> </w:t>
            </w:r>
          </w:p>
        </w:tc>
        <w:tc>
          <w:tcPr>
            <w:tcW w:w="1169" w:type="dxa"/>
            <w:shd w:val="clear" w:color="auto" w:fill="C6EFCE"/>
            <w:noWrap/>
            <w:vAlign w:val="center"/>
            <w:hideMark/>
          </w:tcPr>
          <w:p w14:paraId="46326387"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Eesmärk</w:t>
            </w:r>
          </w:p>
        </w:tc>
        <w:tc>
          <w:tcPr>
            <w:tcW w:w="1858" w:type="dxa"/>
            <w:shd w:val="clear" w:color="auto" w:fill="C6EFCE"/>
            <w:noWrap/>
            <w:vAlign w:val="center"/>
            <w:hideMark/>
          </w:tcPr>
          <w:p w14:paraId="1621140D"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Ministeeriumi määruste jõustumine, millega kiidetakse heaks kõigi kaheksa erimajanduspiirkonna tegevuskava</w:t>
            </w:r>
          </w:p>
        </w:tc>
        <w:tc>
          <w:tcPr>
            <w:tcW w:w="1812" w:type="dxa"/>
            <w:shd w:val="clear" w:color="auto" w:fill="C6EFCE"/>
            <w:noWrap/>
            <w:vAlign w:val="center"/>
            <w:hideMark/>
          </w:tcPr>
          <w:p w14:paraId="0E0B00AE"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Seaduse säte, mis näeb ette ministeeriumi määruste jõustumise.</w:t>
            </w:r>
          </w:p>
        </w:tc>
        <w:tc>
          <w:tcPr>
            <w:tcW w:w="1003" w:type="dxa"/>
            <w:shd w:val="clear" w:color="auto" w:fill="C6EFCE"/>
            <w:noWrap/>
            <w:vAlign w:val="center"/>
            <w:hideMark/>
          </w:tcPr>
          <w:p w14:paraId="5725D16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982" w:type="dxa"/>
            <w:shd w:val="clear" w:color="auto" w:fill="C6EFCE"/>
            <w:noWrap/>
            <w:vAlign w:val="center"/>
          </w:tcPr>
          <w:p w14:paraId="60DF2D1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928" w:type="dxa"/>
            <w:shd w:val="clear" w:color="auto" w:fill="C6EFCE"/>
            <w:noWrap/>
            <w:vAlign w:val="center"/>
          </w:tcPr>
          <w:p w14:paraId="6CD2A36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783" w:type="dxa"/>
            <w:shd w:val="clear" w:color="auto" w:fill="C6EFCE"/>
            <w:noWrap/>
            <w:vAlign w:val="center"/>
            <w:hideMark/>
          </w:tcPr>
          <w:p w14:paraId="67D46A08"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4. kv</w:t>
            </w:r>
          </w:p>
        </w:tc>
        <w:tc>
          <w:tcPr>
            <w:tcW w:w="663" w:type="dxa"/>
            <w:shd w:val="clear" w:color="auto" w:fill="C6EFCE"/>
            <w:noWrap/>
            <w:vAlign w:val="center"/>
            <w:hideMark/>
          </w:tcPr>
          <w:p w14:paraId="5AF4A23A"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2021</w:t>
            </w:r>
          </w:p>
        </w:tc>
        <w:tc>
          <w:tcPr>
            <w:tcW w:w="3165" w:type="dxa"/>
            <w:shd w:val="clear" w:color="auto" w:fill="C6EFCE"/>
            <w:noWrap/>
            <w:vAlign w:val="center"/>
            <w:hideMark/>
          </w:tcPr>
          <w:p w14:paraId="7600656E" w14:textId="77777777"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Dekreediga eraldatakse vahendid rakendamise eest vastutavatele isikutele ja määratakse kindlaks konkreetsed tingimused, et vältida sekkumiste keskkonnamõju.</w:t>
            </w:r>
          </w:p>
          <w:p w14:paraId="08402F6A" w14:textId="77777777"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Kõik konkursid kuulutatakse välja koos tingimustega, sealhulgas rahastamiskõlblikkuse kriteeriumidega, millega tagatakse, et valitud projektid vastavad tehnilisele juhendile „Mitte tekitada olulist kahju“ (2021/C58/01), kasutades kõrvalejätmise loetelu ning asjaomaste ELi ja riiklike keskkonnaalaste õigusaktide järgimise nõuet.</w:t>
            </w:r>
          </w:p>
        </w:tc>
      </w:tr>
      <w:tr w:rsidR="00512838" w:rsidRPr="00D90835" w14:paraId="68A05DCE" w14:textId="77777777" w:rsidTr="00695260">
        <w:trPr>
          <w:trHeight w:val="313"/>
        </w:trPr>
        <w:tc>
          <w:tcPr>
            <w:tcW w:w="1419" w:type="dxa"/>
            <w:shd w:val="clear" w:color="auto" w:fill="C6EFCE"/>
            <w:noWrap/>
            <w:vAlign w:val="center"/>
            <w:hideMark/>
          </w:tcPr>
          <w:p w14:paraId="22294D71"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M5C3-12</w:t>
            </w:r>
          </w:p>
        </w:tc>
        <w:tc>
          <w:tcPr>
            <w:tcW w:w="1812" w:type="dxa"/>
            <w:shd w:val="clear" w:color="auto" w:fill="C6EFCE"/>
            <w:noWrap/>
            <w:vAlign w:val="center"/>
            <w:hideMark/>
          </w:tcPr>
          <w:p w14:paraId="258CBD65"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Investeering 1.4. Taristuinvesteeringud erimajandustsoonides</w:t>
            </w:r>
          </w:p>
        </w:tc>
        <w:tc>
          <w:tcPr>
            <w:tcW w:w="1169" w:type="dxa"/>
            <w:shd w:val="clear" w:color="auto" w:fill="C6EFCE"/>
            <w:noWrap/>
            <w:vAlign w:val="center"/>
            <w:hideMark/>
          </w:tcPr>
          <w:p w14:paraId="234AA143"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Siht</w:t>
            </w:r>
          </w:p>
        </w:tc>
        <w:tc>
          <w:tcPr>
            <w:tcW w:w="1858" w:type="dxa"/>
            <w:shd w:val="clear" w:color="auto" w:fill="C6EFCE"/>
            <w:noWrap/>
            <w:vAlign w:val="center"/>
          </w:tcPr>
          <w:p w14:paraId="01194B74"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Infrastruktuuri sekkumiste alustamine erimajandustsoonides</w:t>
            </w:r>
          </w:p>
        </w:tc>
        <w:tc>
          <w:tcPr>
            <w:tcW w:w="1812" w:type="dxa"/>
            <w:shd w:val="clear" w:color="auto" w:fill="C6EFCE"/>
            <w:noWrap/>
            <w:vAlign w:val="center"/>
            <w:hideMark/>
          </w:tcPr>
          <w:p w14:paraId="427058E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003" w:type="dxa"/>
            <w:shd w:val="clear" w:color="auto" w:fill="C6EFCE"/>
            <w:noWrap/>
            <w:vAlign w:val="center"/>
            <w:hideMark/>
          </w:tcPr>
          <w:p w14:paraId="6B0EDBB3"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Arv</w:t>
            </w:r>
          </w:p>
        </w:tc>
        <w:tc>
          <w:tcPr>
            <w:tcW w:w="982" w:type="dxa"/>
            <w:shd w:val="clear" w:color="auto" w:fill="C6EFCE"/>
            <w:noWrap/>
            <w:vAlign w:val="center"/>
            <w:hideMark/>
          </w:tcPr>
          <w:p w14:paraId="340F4229"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0</w:t>
            </w:r>
          </w:p>
        </w:tc>
        <w:tc>
          <w:tcPr>
            <w:tcW w:w="928" w:type="dxa"/>
            <w:shd w:val="clear" w:color="auto" w:fill="C6EFCE"/>
            <w:noWrap/>
            <w:vAlign w:val="center"/>
            <w:hideMark/>
          </w:tcPr>
          <w:p w14:paraId="4869FA88"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41</w:t>
            </w:r>
          </w:p>
        </w:tc>
        <w:tc>
          <w:tcPr>
            <w:tcW w:w="783" w:type="dxa"/>
            <w:shd w:val="clear" w:color="auto" w:fill="C6EFCE"/>
            <w:noWrap/>
            <w:vAlign w:val="center"/>
            <w:hideMark/>
          </w:tcPr>
          <w:p w14:paraId="24BD12DE"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2. kv</w:t>
            </w:r>
          </w:p>
        </w:tc>
        <w:tc>
          <w:tcPr>
            <w:tcW w:w="663" w:type="dxa"/>
            <w:shd w:val="clear" w:color="auto" w:fill="C6EFCE"/>
            <w:noWrap/>
            <w:vAlign w:val="center"/>
            <w:hideMark/>
          </w:tcPr>
          <w:p w14:paraId="048991DD"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2024</w:t>
            </w:r>
          </w:p>
        </w:tc>
        <w:tc>
          <w:tcPr>
            <w:tcW w:w="3165" w:type="dxa"/>
            <w:shd w:val="clear" w:color="auto" w:fill="C6EFCE"/>
            <w:noWrap/>
            <w:vAlign w:val="center"/>
            <w:hideMark/>
          </w:tcPr>
          <w:p w14:paraId="2CAD7C24" w14:textId="77777777"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Kavandatud sekkumised on järgmised:</w:t>
            </w:r>
          </w:p>
          <w:p w14:paraId="1680350A" w14:textId="77777777"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 viimase miili“ link: luua tõhusad ühendused tööstuspiirkondade ja TEN-T raudteevõrgu vahel;</w:t>
            </w:r>
          </w:p>
          <w:p w14:paraId="4F7F90CE" w14:textId="77777777"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 Digitaalne logistika ning energia- ja keskkonnatõhususega seotud tööd;</w:t>
            </w:r>
          </w:p>
          <w:p w14:paraId="6BE3164F" w14:textId="77777777"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 Taristu vastupanuvõime ja turvalisuse suurendamine seoses juurdepääsuga sadamatele.</w:t>
            </w:r>
          </w:p>
          <w:p w14:paraId="01DBCEFC" w14:textId="77777777"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Sekkumised peavad olema alanud (mida tõendab tööde alustamise tunnistus) vähemalt 22 viimase miili ühenduse puhul ZESi sadamate või tööstuspiirkondadega; vähemalt 15 sekkumist digitaalse logistika, linnastumise või energiatõhususe valdkonnas samades valdkondades; neli sekkumist, mis tugevdavad sadamate vastupanuvõimet.</w:t>
            </w:r>
          </w:p>
        </w:tc>
      </w:tr>
      <w:tr w:rsidR="00512838" w:rsidRPr="005D68A0" w14:paraId="75F598D2" w14:textId="77777777" w:rsidTr="00695260">
        <w:trPr>
          <w:trHeight w:val="313"/>
        </w:trPr>
        <w:tc>
          <w:tcPr>
            <w:tcW w:w="1419" w:type="dxa"/>
            <w:shd w:val="clear" w:color="auto" w:fill="C6EFCE"/>
            <w:noWrap/>
            <w:vAlign w:val="center"/>
            <w:hideMark/>
          </w:tcPr>
          <w:p w14:paraId="6B3B93E2"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M5C3-13</w:t>
            </w:r>
          </w:p>
        </w:tc>
        <w:tc>
          <w:tcPr>
            <w:tcW w:w="1812" w:type="dxa"/>
            <w:shd w:val="clear" w:color="auto" w:fill="C6EFCE"/>
            <w:noWrap/>
            <w:vAlign w:val="center"/>
            <w:hideMark/>
          </w:tcPr>
          <w:p w14:paraId="67A53318"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Investeering 1.4. Taristuinvesteeringud erimajandustsoonides</w:t>
            </w:r>
          </w:p>
        </w:tc>
        <w:tc>
          <w:tcPr>
            <w:tcW w:w="1169" w:type="dxa"/>
            <w:shd w:val="clear" w:color="auto" w:fill="C6EFCE"/>
            <w:noWrap/>
            <w:vAlign w:val="center"/>
            <w:hideMark/>
          </w:tcPr>
          <w:p w14:paraId="47A6126F"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Siht</w:t>
            </w:r>
          </w:p>
        </w:tc>
        <w:tc>
          <w:tcPr>
            <w:tcW w:w="1858" w:type="dxa"/>
            <w:shd w:val="clear" w:color="auto" w:fill="C6EFCE"/>
            <w:noWrap/>
            <w:vAlign w:val="center"/>
            <w:hideMark/>
          </w:tcPr>
          <w:p w14:paraId="491E09AF" w14:textId="77777777" w:rsidR="0084326C" w:rsidRPr="005D68A0" w:rsidRDefault="0084326C">
            <w:pPr>
              <w:jc w:val="center"/>
              <w:rPr>
                <w:rFonts w:ascii="Arial Narrow" w:eastAsia="Calibri" w:hAnsi="Arial Narrow"/>
                <w:noProof/>
                <w:color w:val="006100"/>
                <w:sz w:val="20"/>
                <w:szCs w:val="20"/>
              </w:rPr>
            </w:pPr>
            <w:r>
              <w:rPr>
                <w:rFonts w:ascii="Arial Narrow" w:hAnsi="Arial Narrow"/>
                <w:noProof/>
                <w:color w:val="006100"/>
                <w:sz w:val="20"/>
              </w:rPr>
              <w:t>Taristumeetmete lõpuleviimine erimajandustsoonides.</w:t>
            </w:r>
          </w:p>
        </w:tc>
        <w:tc>
          <w:tcPr>
            <w:tcW w:w="1812" w:type="dxa"/>
            <w:shd w:val="clear" w:color="auto" w:fill="C6EFCE"/>
            <w:noWrap/>
            <w:vAlign w:val="center"/>
            <w:hideMark/>
          </w:tcPr>
          <w:p w14:paraId="206664D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Ei kohaldata</w:t>
            </w:r>
          </w:p>
        </w:tc>
        <w:tc>
          <w:tcPr>
            <w:tcW w:w="1003" w:type="dxa"/>
            <w:shd w:val="clear" w:color="auto" w:fill="C6EFCE"/>
            <w:noWrap/>
            <w:vAlign w:val="center"/>
            <w:hideMark/>
          </w:tcPr>
          <w:p w14:paraId="1337D6B7"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Arv</w:t>
            </w:r>
          </w:p>
        </w:tc>
        <w:tc>
          <w:tcPr>
            <w:tcW w:w="982" w:type="dxa"/>
            <w:shd w:val="clear" w:color="auto" w:fill="C6EFCE"/>
            <w:noWrap/>
            <w:vAlign w:val="center"/>
            <w:hideMark/>
          </w:tcPr>
          <w:p w14:paraId="6034E3F3"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0</w:t>
            </w:r>
          </w:p>
        </w:tc>
        <w:tc>
          <w:tcPr>
            <w:tcW w:w="928" w:type="dxa"/>
            <w:shd w:val="clear" w:color="auto" w:fill="C6EFCE"/>
            <w:noWrap/>
            <w:vAlign w:val="center"/>
            <w:hideMark/>
          </w:tcPr>
          <w:p w14:paraId="6819C754"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41</w:t>
            </w:r>
          </w:p>
        </w:tc>
        <w:tc>
          <w:tcPr>
            <w:tcW w:w="783" w:type="dxa"/>
            <w:shd w:val="clear" w:color="auto" w:fill="C6EFCE"/>
            <w:noWrap/>
            <w:vAlign w:val="center"/>
            <w:hideMark/>
          </w:tcPr>
          <w:p w14:paraId="4000CA7E"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2. kv</w:t>
            </w:r>
          </w:p>
        </w:tc>
        <w:tc>
          <w:tcPr>
            <w:tcW w:w="663" w:type="dxa"/>
            <w:shd w:val="clear" w:color="auto" w:fill="C6EFCE"/>
            <w:noWrap/>
            <w:vAlign w:val="center"/>
            <w:hideMark/>
          </w:tcPr>
          <w:p w14:paraId="7965099A"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2026</w:t>
            </w:r>
          </w:p>
        </w:tc>
        <w:tc>
          <w:tcPr>
            <w:tcW w:w="3165" w:type="dxa"/>
            <w:shd w:val="clear" w:color="auto" w:fill="C6EFCE"/>
            <w:noWrap/>
            <w:vAlign w:val="center"/>
          </w:tcPr>
          <w:p w14:paraId="342E643D" w14:textId="77777777" w:rsidR="0084326C" w:rsidRPr="005D68A0" w:rsidRDefault="0084326C">
            <w:pPr>
              <w:rPr>
                <w:rFonts w:ascii="Arial Narrow" w:eastAsia="Calibri" w:hAnsi="Arial Narrow"/>
                <w:noProof/>
                <w:color w:val="006100"/>
                <w:sz w:val="20"/>
                <w:szCs w:val="20"/>
              </w:rPr>
            </w:pPr>
            <w:r>
              <w:rPr>
                <w:rFonts w:ascii="Arial Narrow" w:hAnsi="Arial Narrow"/>
                <w:noProof/>
                <w:color w:val="006100"/>
                <w:sz w:val="20"/>
              </w:rPr>
              <w:t>Vähemalt 22 viimase miili ühenduse loomine ZESi sadamate või tööstuspiirkondadega; vähemalt 15 sekkumist digitaalse logistika, linnastumise või energiatõhususe valdkonnas samades valdkondades; ning lõpule on viidud vähemalt neli sekkumist, mis tugevdavad sadamate vastupanuvõimet.</w:t>
            </w:r>
          </w:p>
          <w:p w14:paraId="72C84569" w14:textId="77777777" w:rsidR="0084326C" w:rsidRPr="00F33804" w:rsidRDefault="0084326C">
            <w:pPr>
              <w:rPr>
                <w:rFonts w:ascii="Arial Narrow" w:eastAsiaTheme="minorEastAsia" w:hAnsi="Arial Narrow"/>
                <w:noProof/>
                <w:color w:val="006100"/>
                <w:sz w:val="20"/>
                <w:szCs w:val="20"/>
              </w:rPr>
            </w:pPr>
          </w:p>
          <w:p w14:paraId="081BB167" w14:textId="77777777"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Sekkumiste e-loetelu sisaldab näiteks järgmisi või samaväärseid meetmeid:</w:t>
            </w:r>
          </w:p>
          <w:p w14:paraId="29717165" w14:textId="77777777" w:rsidR="0084326C" w:rsidRPr="00F33804" w:rsidRDefault="0084326C">
            <w:pPr>
              <w:rPr>
                <w:rFonts w:ascii="Arial Narrow" w:eastAsiaTheme="minorEastAsia" w:hAnsi="Arial Narrow"/>
                <w:noProof/>
                <w:color w:val="006100"/>
                <w:sz w:val="20"/>
                <w:szCs w:val="20"/>
              </w:rPr>
            </w:pPr>
          </w:p>
          <w:p w14:paraId="0017F348" w14:textId="77777777"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 TEN-T üldvõrgu infrastruktuuri väljaehitamine Vasto ja Ortona sadamates ning Saletti ja Manoppello tööstuspiirkondades (Abruzzo)</w:t>
            </w:r>
          </w:p>
          <w:p w14:paraId="31DCBE7D" w14:textId="6442CD48"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 Salerno sadama taristu ning Ufita, Marcianise, Battipaglia ja Nola tööstuspiirkonnad (Campania)</w:t>
            </w:r>
          </w:p>
          <w:p w14:paraId="7C849720" w14:textId="77777777"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 Ühendused Manfredonia sadama ning Termoli, Brindisi ja Lecce linnaalade (Apuulia ja Molise) vahel.</w:t>
            </w:r>
          </w:p>
          <w:p w14:paraId="05A6ACAD" w14:textId="77777777" w:rsidR="0084326C" w:rsidRPr="00F33804" w:rsidRDefault="0084326C">
            <w:pPr>
              <w:rPr>
                <w:rFonts w:ascii="Arial Narrow" w:eastAsiaTheme="minorEastAsia" w:hAnsi="Arial Narrow"/>
                <w:noProof/>
                <w:color w:val="006100"/>
                <w:sz w:val="20"/>
                <w:szCs w:val="20"/>
              </w:rPr>
            </w:pPr>
          </w:p>
          <w:p w14:paraId="663B1AAC" w14:textId="77777777"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 Taranto sadama ning Taranto, Potenza ja Matera linnaalade (Puglia ja Basilicata) vahelised ühendused.</w:t>
            </w:r>
          </w:p>
          <w:p w14:paraId="047B30AC" w14:textId="77777777" w:rsidR="0084326C" w:rsidRPr="00F33804" w:rsidRDefault="0084326C">
            <w:pPr>
              <w:jc w:val="center"/>
              <w:rPr>
                <w:rFonts w:ascii="Arial Narrow" w:eastAsiaTheme="minorEastAsia" w:hAnsi="Arial Narrow"/>
                <w:noProof/>
                <w:color w:val="006100"/>
                <w:sz w:val="20"/>
                <w:szCs w:val="20"/>
              </w:rPr>
            </w:pPr>
          </w:p>
          <w:p w14:paraId="0506F773" w14:textId="77777777"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 Taristumeetmed Gioia Tauro sadamale juurdepääsu tagamiseks (Calabria).</w:t>
            </w:r>
          </w:p>
          <w:p w14:paraId="774FBCC2" w14:textId="77777777" w:rsidR="0084326C" w:rsidRPr="005D68A0" w:rsidRDefault="0084326C">
            <w:pPr>
              <w:rPr>
                <w:rFonts w:ascii="Arial Narrow" w:eastAsiaTheme="minorEastAsia" w:hAnsi="Arial Narrow"/>
                <w:noProof/>
                <w:color w:val="006100"/>
                <w:sz w:val="20"/>
                <w:szCs w:val="20"/>
                <w:lang w:val="en-GB"/>
              </w:rPr>
            </w:pPr>
          </w:p>
          <w:p w14:paraId="49095157" w14:textId="77777777"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 Infrastruktuuri juurdepääsetavus Cagliari sadamale (Sardegna)</w:t>
            </w:r>
          </w:p>
          <w:p w14:paraId="058261FB" w14:textId="72BE692F"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 Infrastruktuuriga seotud sekkumised Augusta, Riporto, Sant’Agata di Militello ja Gela (Sicilia) sadamatega ühinemiseks</w:t>
            </w:r>
          </w:p>
        </w:tc>
      </w:tr>
    </w:tbl>
    <w:p w14:paraId="69F4AACB" w14:textId="77777777" w:rsidR="0084326C" w:rsidRPr="00F33804" w:rsidRDefault="0084326C" w:rsidP="0084326C">
      <w:pPr>
        <w:spacing w:before="120" w:after="120"/>
        <w:rPr>
          <w:noProof/>
        </w:rPr>
        <w:sectPr w:rsidR="0084326C" w:rsidRPr="00F33804">
          <w:headerReference w:type="even" r:id="rId368"/>
          <w:headerReference w:type="default" r:id="rId369"/>
          <w:footerReference w:type="even" r:id="rId370"/>
          <w:footerReference w:type="default" r:id="rId371"/>
          <w:headerReference w:type="first" r:id="rId372"/>
          <w:footerReference w:type="first" r:id="rId373"/>
          <w:pgSz w:w="16839" w:h="11907" w:orient="landscape"/>
          <w:pgMar w:top="1440" w:right="1440" w:bottom="1440" w:left="1440" w:header="567" w:footer="567" w:gutter="0"/>
          <w:cols w:space="720"/>
          <w:docGrid w:linePitch="360"/>
        </w:sectPr>
      </w:pPr>
    </w:p>
    <w:p w14:paraId="6A492D59" w14:textId="77777777" w:rsidR="0084326C" w:rsidRPr="005D68A0" w:rsidRDefault="0084326C" w:rsidP="0084326C">
      <w:pPr>
        <w:pStyle w:val="Heading2"/>
        <w:numPr>
          <w:ilvl w:val="0"/>
          <w:numId w:val="0"/>
        </w:numPr>
        <w:ind w:left="850" w:hanging="850"/>
        <w:rPr>
          <w:noProof/>
        </w:rPr>
      </w:pPr>
      <w:r>
        <w:rPr>
          <w:noProof/>
        </w:rPr>
        <w:t>ÜLESANNE 6 KOMPONENT 1. Lähivõrgud, ruumid ja telemeditsiin territoriaalseks tervishoiuabiks</w:t>
      </w:r>
    </w:p>
    <w:p w14:paraId="145D95FD" w14:textId="77777777" w:rsidR="0084326C" w:rsidRPr="005D68A0" w:rsidRDefault="0084326C" w:rsidP="0084326C">
      <w:pPr>
        <w:spacing w:before="120"/>
        <w:jc w:val="both"/>
        <w:rPr>
          <w:iCs/>
          <w:noProof/>
        </w:rPr>
      </w:pPr>
      <w:r>
        <w:rPr>
          <w:noProof/>
        </w:rPr>
        <w:t xml:space="preserve">Selle komponendi eesmärk on tugevdada Itaalia riiklikku tervishoiuteenistust, muu hulgas parandades kaitset keskkonna ja kliimamuutustega seotud terviseriskide eest ning vastates paremini kogukondade vajadustele seoses kohaliku hoolduse ja abiga. Kohalik tervishoiuabi on killustatud ja seda mõjutavad piirkondlikud erinevused, mille tulemuseks on tervishoiuteenuste osutamise ja tervishoiutulemuste erinev tase piirkonniti. Integreeritud koduhooldusteenuste osutamist peetakse madalaks ning erinevaid tervishoiu- ja sotsiaalteenuste osutajaid peetakse vaid nõrgalt seotuks. Lisaks sellele on Itaalia riikliku tervishoiuteenistuse suutlikkust tegeleda keskkonnaga kokkupuutest ja kliimamuutustest tulenevate terviseriskidega katsetanud mitu keskkonnakriisi ja hädaolukorda, mis tõid esile piisavate ennetusmeetmete puudumisest tulenevad probleemid. Itaalia taaste- ja vastupidavuskava selle osa eesmärk on tugevdada Itaalia riiklikku tervishoiuteenistust, muu hulgas parandades kaitset keskkonna ja kliimamuutustega seotud terviseriskide eest ning vastates paremini kogukondade vajadustele seoses kohaliku hoolduse ja abiga. </w:t>
      </w:r>
    </w:p>
    <w:p w14:paraId="654FB88A" w14:textId="77777777" w:rsidR="0084326C" w:rsidRPr="005D68A0" w:rsidRDefault="0084326C" w:rsidP="0084326C">
      <w:pPr>
        <w:spacing w:before="120"/>
        <w:jc w:val="both"/>
        <w:rPr>
          <w:noProof/>
        </w:rPr>
      </w:pPr>
      <w:r>
        <w:rPr>
          <w:noProof/>
        </w:rPr>
        <w:t>Selle komponendiga seotud investeeringud ja reformid aitavad täita 2019. ja 2020. aastal Itaaliale esitatud riigipõhiseid soovitusi, milles käsitletakse vajadust keskendada investeeringutega seotud majanduspoliitika teadusuuringutele ja innovatsioonile ning taristu kvaliteedile, võttes arvesse piirkondlikke erinevusi (riigipõhine soovitus nr 3, 2019), „</w:t>
      </w:r>
      <w:r>
        <w:rPr>
          <w:noProof/>
          <w:color w:val="333333"/>
        </w:rPr>
        <w:t>tugevdada tervishoiusüsteemi vastupanuvõimet ja suutlikkust tervishoiutöötajate, elutähtsate meditsiinitoodete ja taristu valdkonnas</w:t>
      </w:r>
      <w:r>
        <w:rPr>
          <w:noProof/>
        </w:rPr>
        <w:t>“ (riigipõhine soovitus nr 1, 2020) ning „keskenduda investeeringute tegemisel eelkõige riigipõhisele taristule, et tagada 2020. aasta kestlik ja digiülemine“.</w:t>
      </w:r>
    </w:p>
    <w:p w14:paraId="3E6777B9" w14:textId="77777777" w:rsidR="0084326C" w:rsidRPr="00F33804" w:rsidRDefault="0084326C" w:rsidP="0084326C">
      <w:pPr>
        <w:spacing w:before="120"/>
        <w:jc w:val="both"/>
        <w:rPr>
          <w:noProof/>
        </w:rPr>
      </w:pPr>
    </w:p>
    <w:p w14:paraId="2268DC22" w14:textId="77777777" w:rsidR="0084326C" w:rsidRPr="005D68A0" w:rsidRDefault="0084326C" w:rsidP="0084326C">
      <w:pPr>
        <w:pStyle w:val="Heading3"/>
        <w:numPr>
          <w:ilvl w:val="0"/>
          <w:numId w:val="0"/>
        </w:numPr>
        <w:ind w:left="850" w:hanging="850"/>
        <w:rPr>
          <w:b/>
          <w:bCs w:val="0"/>
          <w:i w:val="0"/>
          <w:iCs/>
          <w:noProof/>
          <w:color w:val="4472C4" w:themeColor="accent1"/>
          <w:u w:val="single"/>
        </w:rPr>
      </w:pPr>
      <w:r>
        <w:rPr>
          <w:b/>
          <w:i w:val="0"/>
          <w:noProof/>
          <w:u w:val="single"/>
        </w:rPr>
        <w:t xml:space="preserve">O.1. </w:t>
      </w:r>
      <w:r>
        <w:rPr>
          <w:noProof/>
        </w:rPr>
        <w:tab/>
      </w:r>
      <w:r>
        <w:rPr>
          <w:b/>
          <w:i w:val="0"/>
          <w:noProof/>
          <w:u w:val="single"/>
        </w:rPr>
        <w:t>Tagastamatu rahalise toetusega seotud reformide ja investeeringute kirjeldus</w:t>
      </w:r>
    </w:p>
    <w:p w14:paraId="2BD1DBB8" w14:textId="77777777" w:rsidR="0084326C" w:rsidRPr="005D68A0" w:rsidRDefault="0084326C" w:rsidP="0084326C">
      <w:pPr>
        <w:spacing w:before="120" w:after="120"/>
        <w:jc w:val="both"/>
        <w:rPr>
          <w:i/>
          <w:noProof/>
        </w:rPr>
      </w:pPr>
      <w:r>
        <w:rPr>
          <w:i/>
          <w:noProof/>
        </w:rPr>
        <w:t>Ei kohaldata</w:t>
      </w:r>
    </w:p>
    <w:p w14:paraId="2CE6F3BE" w14:textId="77777777" w:rsidR="0084326C" w:rsidRPr="005D68A0" w:rsidRDefault="0084326C" w:rsidP="0084326C">
      <w:pPr>
        <w:pStyle w:val="Heading3"/>
        <w:numPr>
          <w:ilvl w:val="0"/>
          <w:numId w:val="0"/>
        </w:numPr>
        <w:ind w:left="850" w:hanging="850"/>
        <w:rPr>
          <w:b/>
          <w:bCs w:val="0"/>
          <w:i w:val="0"/>
          <w:iCs/>
          <w:noProof/>
          <w:u w:val="single"/>
        </w:rPr>
      </w:pPr>
      <w:r>
        <w:rPr>
          <w:b/>
          <w:i w:val="0"/>
          <w:noProof/>
          <w:u w:val="single"/>
        </w:rPr>
        <w:t xml:space="preserve">O.2. </w:t>
      </w:r>
      <w:r>
        <w:rPr>
          <w:noProof/>
        </w:rPr>
        <w:tab/>
      </w:r>
      <w:r>
        <w:rPr>
          <w:b/>
          <w:i w:val="0"/>
          <w:noProof/>
          <w:u w:val="single"/>
        </w:rPr>
        <w:t>Tagastamatu rahalise toetuse eesmärgid, sihid, näitajad ning seire ja rakendamise ajakava</w:t>
      </w:r>
    </w:p>
    <w:p w14:paraId="332187F5" w14:textId="77777777" w:rsidR="0084326C" w:rsidRPr="005D68A0" w:rsidRDefault="0084326C" w:rsidP="0084326C">
      <w:pPr>
        <w:spacing w:before="120" w:after="120"/>
        <w:jc w:val="both"/>
        <w:rPr>
          <w:noProof/>
        </w:rPr>
      </w:pPr>
      <w:r>
        <w:rPr>
          <w:i/>
          <w:noProof/>
        </w:rPr>
        <w:t>Ei kohaldata</w:t>
      </w:r>
    </w:p>
    <w:p w14:paraId="286983DE" w14:textId="77777777" w:rsidR="0084326C" w:rsidRPr="005D68A0" w:rsidRDefault="0084326C" w:rsidP="0084326C">
      <w:pPr>
        <w:spacing w:after="200" w:line="276" w:lineRule="auto"/>
        <w:rPr>
          <w:noProof/>
        </w:rPr>
      </w:pPr>
      <w:r>
        <w:rPr>
          <w:noProof/>
        </w:rPr>
        <w:br w:type="page"/>
      </w:r>
    </w:p>
    <w:p w14:paraId="72F4A886" w14:textId="77777777" w:rsidR="0084326C" w:rsidRPr="005D68A0" w:rsidRDefault="0084326C" w:rsidP="0084326C">
      <w:pPr>
        <w:pStyle w:val="Heading3"/>
        <w:numPr>
          <w:ilvl w:val="2"/>
          <w:numId w:val="0"/>
        </w:numPr>
        <w:ind w:left="850" w:hanging="850"/>
        <w:rPr>
          <w:b/>
          <w:i w:val="0"/>
          <w:noProof/>
          <w:color w:val="4472C4" w:themeColor="accent1"/>
          <w:u w:val="single"/>
        </w:rPr>
      </w:pPr>
      <w:r>
        <w:rPr>
          <w:b/>
          <w:i w:val="0"/>
          <w:noProof/>
          <w:u w:val="single"/>
        </w:rPr>
        <w:t xml:space="preserve">O.3. </w:t>
      </w:r>
      <w:r>
        <w:rPr>
          <w:noProof/>
        </w:rPr>
        <w:tab/>
      </w:r>
      <w:r>
        <w:rPr>
          <w:b/>
          <w:i w:val="0"/>
          <w:noProof/>
          <w:u w:val="single"/>
        </w:rPr>
        <w:t xml:space="preserve">Laenuga seotud reformide ja investeeringute kirjeldus </w:t>
      </w:r>
    </w:p>
    <w:p w14:paraId="2EF20475" w14:textId="4CA327FE" w:rsidR="0084326C" w:rsidRPr="005D68A0" w:rsidRDefault="0084326C" w:rsidP="0084326C">
      <w:pPr>
        <w:spacing w:before="120" w:after="120"/>
        <w:jc w:val="both"/>
        <w:rPr>
          <w:rFonts w:eastAsia="Calibri"/>
          <w:b/>
          <w:noProof/>
        </w:rPr>
      </w:pPr>
      <w:r>
        <w:rPr>
          <w:b/>
          <w:noProof/>
        </w:rPr>
        <w:t>Reform 1. Piirkondliku tervishoiuabi võrgustiku uue organisatsioonilise mudeli määratlemine</w:t>
      </w:r>
    </w:p>
    <w:p w14:paraId="15A1C603" w14:textId="77777777" w:rsidR="0084326C" w:rsidRPr="005D68A0" w:rsidRDefault="0084326C" w:rsidP="0084326C">
      <w:pPr>
        <w:spacing w:before="120" w:after="120"/>
        <w:jc w:val="both"/>
        <w:rPr>
          <w:rFonts w:eastAsia="Calibri"/>
          <w:noProof/>
        </w:rPr>
      </w:pPr>
      <w:r>
        <w:rPr>
          <w:noProof/>
        </w:rPr>
        <w:t>Reform on komponendi investeeringute ettevalmistav element. Sellega luuakse uus territoriaalse tervishoiuabi mudel ning tervise-, keskkonna- ja kliimaalase ennetustöö uus institutsiooniline struktuur. See saavutatakse järgmiste meetmete abil:</w:t>
      </w:r>
    </w:p>
    <w:p w14:paraId="7A361BD5" w14:textId="77777777" w:rsidR="0084326C" w:rsidRPr="005D68A0" w:rsidRDefault="0084326C" w:rsidP="0084326C">
      <w:pPr>
        <w:numPr>
          <w:ilvl w:val="0"/>
          <w:numId w:val="44"/>
        </w:numPr>
        <w:spacing w:before="120" w:after="120"/>
        <w:ind w:left="360"/>
        <w:jc w:val="both"/>
        <w:rPr>
          <w:rFonts w:eastAsiaTheme="minorEastAsia"/>
          <w:noProof/>
        </w:rPr>
      </w:pPr>
      <w:r>
        <w:rPr>
          <w:noProof/>
        </w:rPr>
        <w:t>Uue organisatsioonilise mudeli loomine piirkondliku tervishoiuabi võrgustiku jaoks, määratledes reguleeriva raamistiku, milles määratakse kindlaks struktuurilised, tehnoloogilised ja organisatsioonilised standardid.</w:t>
      </w:r>
    </w:p>
    <w:p w14:paraId="08D6A3CF" w14:textId="77777777" w:rsidR="0084326C" w:rsidRPr="005D68A0" w:rsidRDefault="0084326C" w:rsidP="0084326C">
      <w:pPr>
        <w:numPr>
          <w:ilvl w:val="0"/>
          <w:numId w:val="44"/>
        </w:numPr>
        <w:spacing w:before="120" w:after="120"/>
        <w:ind w:left="360"/>
        <w:jc w:val="both"/>
        <w:rPr>
          <w:rFonts w:eastAsiaTheme="minorEastAsia"/>
          <w:noProof/>
        </w:rPr>
      </w:pPr>
      <w:r>
        <w:rPr>
          <w:noProof/>
        </w:rPr>
        <w:t>Tervise-, keskkonna- ja kliimaalase ennetustöö uue institutsioonilise struktuuri määratlemine, järgides integreeritud lähenemisviisi („Üks tervis“) ja terviklikku visiooni („Planetaartervis“).</w:t>
      </w:r>
    </w:p>
    <w:p w14:paraId="2D56DF31" w14:textId="77777777" w:rsidR="0084326C" w:rsidRPr="005D68A0" w:rsidRDefault="0084326C" w:rsidP="0084326C">
      <w:pPr>
        <w:spacing w:before="120" w:after="120"/>
        <w:jc w:val="both"/>
        <w:rPr>
          <w:rFonts w:eastAsia="Calibri"/>
          <w:b/>
          <w:noProof/>
        </w:rPr>
      </w:pPr>
      <w:r>
        <w:rPr>
          <w:b/>
          <w:noProof/>
        </w:rPr>
        <w:t>Investeering 1.1. Kogukondlikud tervishoiukojad, et parandada piirkondlikku tervishoiuabi.</w:t>
      </w:r>
    </w:p>
    <w:p w14:paraId="78BD2DF8" w14:textId="77777777" w:rsidR="0084326C" w:rsidRPr="005D68A0" w:rsidRDefault="0084326C" w:rsidP="0084326C">
      <w:pPr>
        <w:spacing w:before="120" w:after="120"/>
        <w:jc w:val="both"/>
        <w:rPr>
          <w:rFonts w:eastAsia="Calibri"/>
          <w:noProof/>
        </w:rPr>
      </w:pPr>
      <w:r>
        <w:rPr>
          <w:noProof/>
        </w:rPr>
        <w:t>Investeerimisprojekt hõlmab vähemalt 1 038 ühenduse tervishoiuasutuse loomist ja kasutuselevõtmist esmatasandi tervishoiuteenuste aktiveerimise, arendamise ja koondamise ning (energiatõhusate) tugikeskuste rakendamise kaudu, et reageerida integreeritud viisil hooldusvajadustele.</w:t>
      </w:r>
    </w:p>
    <w:p w14:paraId="0C9974C3" w14:textId="77777777" w:rsidR="0084326C" w:rsidRPr="005D68A0" w:rsidRDefault="0084326C" w:rsidP="0084326C">
      <w:pPr>
        <w:spacing w:before="120" w:after="120"/>
        <w:jc w:val="both"/>
        <w:rPr>
          <w:rFonts w:eastAsia="Calibri"/>
          <w:b/>
          <w:bCs/>
          <w:noProof/>
        </w:rPr>
      </w:pPr>
      <w:r>
        <w:rPr>
          <w:b/>
          <w:noProof/>
        </w:rPr>
        <w:t>Investeering 1.2. Kodu kui esimene ravi- ja telemeditsiinikoht</w:t>
      </w:r>
    </w:p>
    <w:p w14:paraId="76212571" w14:textId="77777777" w:rsidR="0084326C" w:rsidRPr="005D68A0" w:rsidRDefault="0084326C" w:rsidP="0084326C">
      <w:pPr>
        <w:spacing w:before="120" w:after="120"/>
        <w:jc w:val="both"/>
        <w:rPr>
          <w:rFonts w:eastAsia="Calibri"/>
          <w:noProof/>
        </w:rPr>
      </w:pPr>
      <w:r>
        <w:rPr>
          <w:noProof/>
        </w:rPr>
        <w:t>Investeering seisneb telemeditsiini lahenduste ulatuslikus kasutuselevõtus ja tervishoiualase innovatsiooni toetamises järgmiste meetmete kaudu:</w:t>
      </w:r>
    </w:p>
    <w:p w14:paraId="70A660A0" w14:textId="77777777" w:rsidR="0084326C" w:rsidRPr="005D68A0" w:rsidRDefault="0084326C" w:rsidP="0084326C">
      <w:pPr>
        <w:numPr>
          <w:ilvl w:val="0"/>
          <w:numId w:val="43"/>
        </w:numPr>
        <w:spacing w:before="120" w:after="120"/>
        <w:ind w:left="357" w:hanging="357"/>
        <w:jc w:val="both"/>
        <w:rPr>
          <w:rFonts w:eastAsiaTheme="minorEastAsia"/>
          <w:noProof/>
        </w:rPr>
      </w:pPr>
      <w:r>
        <w:rPr>
          <w:noProof/>
        </w:rPr>
        <w:t xml:space="preserve">Koduhooldus kui esimene abistamispunkt (investeering 1.2.1) – eesmärk on suurendada koduhoolduses elavate inimeste arvu 10 %-ni üle 65-aastastest elanikest, investeerides riistvarasse ja suurendades teenuste osutamist.   </w:t>
      </w:r>
    </w:p>
    <w:p w14:paraId="39D5CEA4" w14:textId="77777777" w:rsidR="0084326C" w:rsidRPr="005D68A0" w:rsidRDefault="0084326C" w:rsidP="0084326C">
      <w:pPr>
        <w:numPr>
          <w:ilvl w:val="0"/>
          <w:numId w:val="43"/>
        </w:numPr>
        <w:spacing w:before="120" w:after="120"/>
        <w:ind w:left="357" w:hanging="357"/>
        <w:jc w:val="both"/>
        <w:rPr>
          <w:rFonts w:eastAsiaTheme="minorEastAsia"/>
          <w:noProof/>
        </w:rPr>
      </w:pPr>
      <w:r>
        <w:rPr>
          <w:noProof/>
        </w:rPr>
        <w:t>Territoriaalsed koordineerimiskeskused (investeering 1.2.2) – Kavandatud investeeringud on seotud vähemalt 480 territoriaalse koordineerimiskeskuse loomisega („Centrali Operative Territoriali“), mille eesmärk on ühendada ja koordineerida mitmesuguseid territoriaalseid, sotsiaal- ja haiglateenuseid ning kiirabivõrgustikku. Territoriaalsed koordineerimiskeskused peaksid tagama patsientidele pakutavate seadmete kaugjuhtimise, toetama teabevahetust tervishoiutöötajate vahel ning olema hooldajate ja patsientide vajaduste võrdlusaluseks.</w:t>
      </w:r>
    </w:p>
    <w:p w14:paraId="5A652E70" w14:textId="77777777" w:rsidR="0084326C" w:rsidRPr="005D68A0" w:rsidRDefault="0084326C" w:rsidP="0084326C">
      <w:pPr>
        <w:numPr>
          <w:ilvl w:val="0"/>
          <w:numId w:val="43"/>
        </w:numPr>
        <w:spacing w:before="120" w:after="120"/>
        <w:ind w:left="357" w:hanging="357"/>
        <w:jc w:val="both"/>
        <w:rPr>
          <w:rFonts w:eastAsiaTheme="minorEastAsia"/>
          <w:noProof/>
        </w:rPr>
      </w:pPr>
      <w:r>
        <w:rPr>
          <w:noProof/>
        </w:rPr>
        <w:t>Telemeditsiin kroonilisi haigusi põdevate patsientide paremaks toetamiseks (investeering 1.2.3) – Investeeringu eesmärk on 1) rahastada projekte, mis võimaldavad arsti ja patsiendi vahelist kaugtoimet, eelkõige diagnostikat ja seiret, 2) luua telemeditsiini projektide sõeluuringute riiklik platvorm (seotud 6. ülesande 2. komponendi investeeringutega 1.3) ja 3) rahastada ad hoc uurimisalgatusi digitaalsete tervishoiu- ja hooldustehnoloogiate valdkonnas.</w:t>
      </w:r>
    </w:p>
    <w:p w14:paraId="76B355C0" w14:textId="77777777" w:rsidR="0084326C" w:rsidRPr="005D68A0" w:rsidRDefault="0084326C" w:rsidP="0084326C">
      <w:pPr>
        <w:spacing w:before="120" w:after="120"/>
        <w:jc w:val="both"/>
        <w:rPr>
          <w:rFonts w:eastAsiaTheme="minorEastAsia"/>
          <w:noProof/>
        </w:rPr>
      </w:pPr>
      <w:r>
        <w:rPr>
          <w:noProof/>
        </w:rPr>
        <w:t>Täiendavad sekkumised, mis on seotud koduhooldusega, on loetletud missiooni nr 5 komponendi nr 2 all, eelkõige reformid nr 1 ja 2 ning investeeringud nr 1 ja 2.</w:t>
      </w:r>
    </w:p>
    <w:p w14:paraId="58EDA980" w14:textId="77777777" w:rsidR="0084326C" w:rsidRPr="005D68A0" w:rsidRDefault="0084326C" w:rsidP="0084326C">
      <w:pPr>
        <w:spacing w:before="120" w:after="120"/>
        <w:jc w:val="both"/>
        <w:rPr>
          <w:rFonts w:eastAsia="Calibri"/>
          <w:noProof/>
        </w:rPr>
      </w:pPr>
      <w:r>
        <w:rPr>
          <w:b/>
          <w:noProof/>
        </w:rPr>
        <w:t>Investeering 1.3. Vahetasandi tervishoiu ja selle rajatiste tugevdamine (kogukonnahaiglad)</w:t>
      </w:r>
    </w:p>
    <w:p w14:paraId="308C6BFE" w14:textId="77777777" w:rsidR="0084326C" w:rsidRPr="005D68A0" w:rsidRDefault="0084326C" w:rsidP="0084326C">
      <w:pPr>
        <w:spacing w:before="120" w:after="120"/>
        <w:jc w:val="both"/>
        <w:rPr>
          <w:noProof/>
        </w:rPr>
      </w:pPr>
      <w:r>
        <w:rPr>
          <w:noProof/>
        </w:rPr>
        <w:t>Investeeringuga luuakse vähemalt 307 kogukondlikku haiglat, st tervishoiuasutused patsientidele, kes pärast vähest ravi või kroonilise haiguse taastekkimist vajavad väheintensiivset ja lühiajalist kliinilist sekkumist.</w:t>
      </w:r>
    </w:p>
    <w:p w14:paraId="1617B69C" w14:textId="77777777" w:rsidR="0084326C" w:rsidRPr="005D68A0" w:rsidRDefault="0084326C" w:rsidP="0084326C">
      <w:pPr>
        <w:pStyle w:val="Heading3"/>
        <w:numPr>
          <w:ilvl w:val="0"/>
          <w:numId w:val="0"/>
        </w:numPr>
        <w:ind w:left="850" w:hanging="850"/>
        <w:rPr>
          <w:b/>
          <w:bCs w:val="0"/>
          <w:i w:val="0"/>
          <w:iCs/>
          <w:noProof/>
          <w:u w:val="single"/>
        </w:rPr>
      </w:pPr>
      <w:r>
        <w:rPr>
          <w:b/>
          <w:i w:val="0"/>
          <w:noProof/>
          <w:u w:val="single"/>
        </w:rPr>
        <w:t xml:space="preserve">O.4. </w:t>
      </w:r>
      <w:r>
        <w:rPr>
          <w:noProof/>
        </w:rPr>
        <w:tab/>
      </w:r>
      <w:r>
        <w:rPr>
          <w:b/>
          <w:i w:val="0"/>
          <w:noProof/>
          <w:u w:val="single"/>
        </w:rPr>
        <w:t xml:space="preserve">Laenu eesmärgid, sihid, näitajad ning seire ja rakendamise ajakava </w:t>
      </w:r>
    </w:p>
    <w:p w14:paraId="26C52F27" w14:textId="77777777" w:rsidR="0084326C" w:rsidRPr="00F33804" w:rsidRDefault="0084326C" w:rsidP="0084326C">
      <w:pPr>
        <w:spacing w:before="120" w:after="120"/>
        <w:ind w:left="709"/>
        <w:contextualSpacing/>
        <w:jc w:val="both"/>
        <w:rPr>
          <w:noProof/>
        </w:rPr>
        <w:sectPr w:rsidR="0084326C" w:rsidRPr="00F33804">
          <w:headerReference w:type="even" r:id="rId374"/>
          <w:headerReference w:type="default" r:id="rId375"/>
          <w:footerReference w:type="even" r:id="rId376"/>
          <w:footerReference w:type="default" r:id="rId377"/>
          <w:headerReference w:type="first" r:id="rId378"/>
          <w:footerReference w:type="first" r:id="rId379"/>
          <w:pgSz w:w="11907" w:h="16839"/>
          <w:pgMar w:top="1134" w:right="1417" w:bottom="1134" w:left="1417" w:header="709" w:footer="709" w:gutter="0"/>
          <w:cols w:space="720"/>
          <w:docGrid w:linePitch="360"/>
        </w:sectPr>
      </w:pPr>
    </w:p>
    <w:tbl>
      <w:tblPr>
        <w:tblW w:w="151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701"/>
        <w:gridCol w:w="1134"/>
        <w:gridCol w:w="1417"/>
        <w:gridCol w:w="1363"/>
        <w:gridCol w:w="948"/>
        <w:gridCol w:w="950"/>
        <w:gridCol w:w="992"/>
        <w:gridCol w:w="992"/>
        <w:gridCol w:w="709"/>
        <w:gridCol w:w="3634"/>
      </w:tblGrid>
      <w:tr w:rsidR="00F51189" w:rsidRPr="00D90835" w14:paraId="3E9FE876" w14:textId="77777777" w:rsidTr="5D822CB8">
        <w:trPr>
          <w:trHeight w:val="945"/>
          <w:tblHeader/>
        </w:trPr>
        <w:tc>
          <w:tcPr>
            <w:tcW w:w="1277" w:type="dxa"/>
            <w:vMerge w:val="restart"/>
            <w:shd w:val="clear" w:color="auto" w:fill="BDD7EE"/>
            <w:vAlign w:val="center"/>
          </w:tcPr>
          <w:p w14:paraId="75AEB2A6" w14:textId="77777777" w:rsidR="0084326C" w:rsidRPr="005D68A0" w:rsidRDefault="0084326C">
            <w:pPr>
              <w:jc w:val="center"/>
              <w:rPr>
                <w:rFonts w:ascii="Arial Narrow" w:hAnsi="Arial Narrow"/>
                <w:b/>
                <w:noProof/>
                <w:sz w:val="20"/>
                <w:szCs w:val="20"/>
              </w:rPr>
            </w:pPr>
            <w:r>
              <w:rPr>
                <w:rFonts w:ascii="Arial Narrow" w:hAnsi="Arial Narrow"/>
                <w:b/>
                <w:noProof/>
                <w:sz w:val="20"/>
              </w:rPr>
              <w:t>Järjekorranumber</w:t>
            </w:r>
          </w:p>
        </w:tc>
        <w:tc>
          <w:tcPr>
            <w:tcW w:w="1701" w:type="dxa"/>
            <w:vMerge w:val="restart"/>
            <w:shd w:val="clear" w:color="auto" w:fill="BDD7EE"/>
            <w:vAlign w:val="center"/>
          </w:tcPr>
          <w:p w14:paraId="4A086F15" w14:textId="77777777" w:rsidR="0084326C" w:rsidRPr="005D68A0" w:rsidRDefault="0084326C">
            <w:pPr>
              <w:jc w:val="center"/>
              <w:rPr>
                <w:rFonts w:ascii="Arial Narrow" w:hAnsi="Arial Narrow"/>
                <w:b/>
                <w:noProof/>
                <w:sz w:val="20"/>
                <w:szCs w:val="20"/>
              </w:rPr>
            </w:pPr>
            <w:r>
              <w:rPr>
                <w:rFonts w:ascii="Arial Narrow" w:hAnsi="Arial Narrow"/>
                <w:b/>
                <w:noProof/>
                <w:sz w:val="20"/>
              </w:rPr>
              <w:t>Seotud meede (reform või investeering)</w:t>
            </w:r>
          </w:p>
        </w:tc>
        <w:tc>
          <w:tcPr>
            <w:tcW w:w="1134" w:type="dxa"/>
            <w:vMerge w:val="restart"/>
            <w:shd w:val="clear" w:color="auto" w:fill="BDD7EE"/>
            <w:vAlign w:val="center"/>
          </w:tcPr>
          <w:p w14:paraId="409A5E4F" w14:textId="77777777" w:rsidR="0084326C" w:rsidRPr="005D68A0" w:rsidRDefault="0084326C">
            <w:pPr>
              <w:jc w:val="center"/>
              <w:rPr>
                <w:rFonts w:ascii="Arial Narrow" w:hAnsi="Arial Narrow"/>
                <w:b/>
                <w:noProof/>
                <w:sz w:val="20"/>
                <w:szCs w:val="20"/>
              </w:rPr>
            </w:pPr>
            <w:r>
              <w:rPr>
                <w:rFonts w:ascii="Arial Narrow" w:hAnsi="Arial Narrow"/>
                <w:b/>
                <w:noProof/>
                <w:sz w:val="20"/>
              </w:rPr>
              <w:t>Eesmärk / siht</w:t>
            </w:r>
          </w:p>
        </w:tc>
        <w:tc>
          <w:tcPr>
            <w:tcW w:w="1417" w:type="dxa"/>
            <w:vMerge w:val="restart"/>
            <w:shd w:val="clear" w:color="auto" w:fill="BDD7EE"/>
            <w:vAlign w:val="center"/>
          </w:tcPr>
          <w:p w14:paraId="7D20C2D4" w14:textId="77777777" w:rsidR="0084326C" w:rsidRPr="005D68A0" w:rsidRDefault="0084326C">
            <w:pPr>
              <w:jc w:val="center"/>
              <w:rPr>
                <w:rFonts w:ascii="Arial Narrow" w:hAnsi="Arial Narrow"/>
                <w:b/>
                <w:noProof/>
                <w:sz w:val="20"/>
                <w:szCs w:val="20"/>
              </w:rPr>
            </w:pPr>
            <w:r>
              <w:rPr>
                <w:rFonts w:ascii="Arial Narrow" w:hAnsi="Arial Narrow"/>
                <w:b/>
                <w:noProof/>
                <w:sz w:val="20"/>
              </w:rPr>
              <w:t>Nimi</w:t>
            </w:r>
          </w:p>
        </w:tc>
        <w:tc>
          <w:tcPr>
            <w:tcW w:w="1363" w:type="dxa"/>
            <w:vMerge w:val="restart"/>
            <w:shd w:val="clear" w:color="auto" w:fill="BDD7EE"/>
            <w:vAlign w:val="center"/>
          </w:tcPr>
          <w:p w14:paraId="6CDF3FD1" w14:textId="77777777" w:rsidR="0084326C" w:rsidRPr="005D68A0" w:rsidRDefault="0084326C">
            <w:pPr>
              <w:jc w:val="center"/>
              <w:rPr>
                <w:rFonts w:ascii="Arial Narrow" w:hAnsi="Arial Narrow"/>
                <w:b/>
                <w:noProof/>
                <w:sz w:val="20"/>
                <w:szCs w:val="20"/>
              </w:rPr>
            </w:pPr>
            <w:r>
              <w:rPr>
                <w:rFonts w:ascii="Arial Narrow" w:hAnsi="Arial Narrow"/>
                <w:b/>
                <w:noProof/>
                <w:sz w:val="20"/>
              </w:rPr>
              <w:t>Kvalitatiivsed näitajad</w:t>
            </w:r>
            <w:r>
              <w:rPr>
                <w:noProof/>
              </w:rPr>
              <w:t xml:space="preserve"> </w:t>
            </w:r>
            <w:r>
              <w:rPr>
                <w:noProof/>
              </w:rPr>
              <w:br/>
            </w:r>
            <w:r>
              <w:rPr>
                <w:rFonts w:ascii="Arial Narrow" w:hAnsi="Arial Narrow"/>
                <w:b/>
                <w:noProof/>
                <w:sz w:val="20"/>
              </w:rPr>
              <w:t>(eesmärkide puhul)</w:t>
            </w:r>
          </w:p>
        </w:tc>
        <w:tc>
          <w:tcPr>
            <w:tcW w:w="2890" w:type="dxa"/>
            <w:gridSpan w:val="3"/>
            <w:shd w:val="clear" w:color="auto" w:fill="BDD7EE"/>
            <w:vAlign w:val="center"/>
          </w:tcPr>
          <w:p w14:paraId="4BA0180E" w14:textId="77777777" w:rsidR="0084326C" w:rsidRPr="005D68A0" w:rsidRDefault="0084326C">
            <w:pPr>
              <w:jc w:val="center"/>
              <w:rPr>
                <w:rFonts w:ascii="Arial Narrow" w:hAnsi="Arial Narrow"/>
                <w:b/>
                <w:noProof/>
                <w:sz w:val="20"/>
                <w:szCs w:val="20"/>
              </w:rPr>
            </w:pPr>
            <w:r>
              <w:rPr>
                <w:rFonts w:ascii="Arial Narrow" w:hAnsi="Arial Narrow"/>
                <w:b/>
                <w:noProof/>
                <w:sz w:val="20"/>
              </w:rPr>
              <w:t xml:space="preserve">Kvantitatiivsed näitajad </w:t>
            </w:r>
            <w:r>
              <w:rPr>
                <w:noProof/>
              </w:rPr>
              <w:br/>
            </w:r>
            <w:r>
              <w:rPr>
                <w:rFonts w:ascii="Arial Narrow" w:hAnsi="Arial Narrow"/>
                <w:b/>
                <w:noProof/>
                <w:sz w:val="20"/>
              </w:rPr>
              <w:t>(sihtide puhul)</w:t>
            </w:r>
          </w:p>
        </w:tc>
        <w:tc>
          <w:tcPr>
            <w:tcW w:w="1701" w:type="dxa"/>
            <w:gridSpan w:val="2"/>
            <w:shd w:val="clear" w:color="auto" w:fill="BDD7EE"/>
            <w:vAlign w:val="center"/>
          </w:tcPr>
          <w:p w14:paraId="57C7B6EA" w14:textId="77777777" w:rsidR="0084326C" w:rsidRPr="005D68A0" w:rsidRDefault="0084326C">
            <w:pPr>
              <w:jc w:val="center"/>
              <w:rPr>
                <w:rFonts w:ascii="Arial Narrow" w:hAnsi="Arial Narrow"/>
                <w:b/>
                <w:noProof/>
                <w:sz w:val="20"/>
                <w:szCs w:val="20"/>
              </w:rPr>
            </w:pPr>
            <w:r>
              <w:rPr>
                <w:rFonts w:ascii="Arial Narrow" w:hAnsi="Arial Narrow"/>
                <w:b/>
                <w:noProof/>
                <w:sz w:val="20"/>
              </w:rPr>
              <w:t>Lõpuleviimise soovituslik ajakava</w:t>
            </w:r>
          </w:p>
        </w:tc>
        <w:tc>
          <w:tcPr>
            <w:tcW w:w="3634" w:type="dxa"/>
            <w:vMerge w:val="restart"/>
            <w:shd w:val="clear" w:color="auto" w:fill="BDD7EE"/>
            <w:vAlign w:val="center"/>
          </w:tcPr>
          <w:p w14:paraId="23C10314" w14:textId="77777777" w:rsidR="0084326C" w:rsidRPr="005D68A0" w:rsidRDefault="0084326C">
            <w:pPr>
              <w:jc w:val="center"/>
              <w:rPr>
                <w:rFonts w:ascii="Arial Narrow" w:hAnsi="Arial Narrow"/>
                <w:b/>
                <w:noProof/>
                <w:sz w:val="20"/>
                <w:szCs w:val="20"/>
              </w:rPr>
            </w:pPr>
            <w:r>
              <w:rPr>
                <w:rFonts w:ascii="Arial Narrow" w:hAnsi="Arial Narrow"/>
                <w:b/>
                <w:noProof/>
                <w:sz w:val="20"/>
              </w:rPr>
              <w:t>Iga eesmärgi ja sihi kirjeldus</w:t>
            </w:r>
          </w:p>
        </w:tc>
      </w:tr>
      <w:tr w:rsidR="00F51189" w:rsidRPr="005D68A0" w14:paraId="4F7C228E" w14:textId="77777777" w:rsidTr="5D822CB8">
        <w:trPr>
          <w:trHeight w:val="737"/>
        </w:trPr>
        <w:tc>
          <w:tcPr>
            <w:tcW w:w="1277" w:type="dxa"/>
            <w:vMerge/>
            <w:vAlign w:val="center"/>
          </w:tcPr>
          <w:p w14:paraId="17A5DAAD" w14:textId="77777777" w:rsidR="0084326C" w:rsidRPr="00F33804" w:rsidRDefault="0084326C">
            <w:pPr>
              <w:jc w:val="center"/>
              <w:rPr>
                <w:rFonts w:ascii="Arial Narrow" w:hAnsi="Arial Narrow"/>
                <w:noProof/>
                <w:sz w:val="20"/>
                <w:szCs w:val="20"/>
              </w:rPr>
            </w:pPr>
          </w:p>
        </w:tc>
        <w:tc>
          <w:tcPr>
            <w:tcW w:w="1701" w:type="dxa"/>
            <w:vMerge/>
            <w:vAlign w:val="center"/>
          </w:tcPr>
          <w:p w14:paraId="50C2D03A" w14:textId="77777777" w:rsidR="0084326C" w:rsidRPr="00F33804" w:rsidRDefault="0084326C">
            <w:pPr>
              <w:jc w:val="center"/>
              <w:rPr>
                <w:rFonts w:ascii="Arial Narrow" w:hAnsi="Arial Narrow"/>
                <w:noProof/>
                <w:sz w:val="20"/>
                <w:szCs w:val="20"/>
              </w:rPr>
            </w:pPr>
          </w:p>
        </w:tc>
        <w:tc>
          <w:tcPr>
            <w:tcW w:w="1134" w:type="dxa"/>
            <w:vMerge/>
            <w:vAlign w:val="center"/>
          </w:tcPr>
          <w:p w14:paraId="5CBB0F72" w14:textId="77777777" w:rsidR="0084326C" w:rsidRPr="00F33804" w:rsidRDefault="0084326C">
            <w:pPr>
              <w:jc w:val="center"/>
              <w:rPr>
                <w:rFonts w:ascii="Arial Narrow" w:hAnsi="Arial Narrow"/>
                <w:noProof/>
                <w:sz w:val="20"/>
                <w:szCs w:val="20"/>
              </w:rPr>
            </w:pPr>
          </w:p>
        </w:tc>
        <w:tc>
          <w:tcPr>
            <w:tcW w:w="1417" w:type="dxa"/>
            <w:vMerge/>
            <w:vAlign w:val="center"/>
          </w:tcPr>
          <w:p w14:paraId="0F4C621B" w14:textId="77777777" w:rsidR="0084326C" w:rsidRPr="00F33804" w:rsidRDefault="0084326C">
            <w:pPr>
              <w:jc w:val="center"/>
              <w:rPr>
                <w:rFonts w:ascii="Arial Narrow" w:hAnsi="Arial Narrow"/>
                <w:noProof/>
                <w:sz w:val="20"/>
                <w:szCs w:val="20"/>
              </w:rPr>
            </w:pPr>
          </w:p>
        </w:tc>
        <w:tc>
          <w:tcPr>
            <w:tcW w:w="1363" w:type="dxa"/>
            <w:vMerge/>
            <w:vAlign w:val="center"/>
          </w:tcPr>
          <w:p w14:paraId="005C698C" w14:textId="77777777" w:rsidR="0084326C" w:rsidRPr="00F33804" w:rsidRDefault="0084326C">
            <w:pPr>
              <w:jc w:val="center"/>
              <w:rPr>
                <w:rFonts w:ascii="Arial Narrow" w:hAnsi="Arial Narrow"/>
                <w:noProof/>
                <w:sz w:val="20"/>
                <w:szCs w:val="20"/>
              </w:rPr>
            </w:pPr>
          </w:p>
        </w:tc>
        <w:tc>
          <w:tcPr>
            <w:tcW w:w="948" w:type="dxa"/>
            <w:shd w:val="clear" w:color="auto" w:fill="BDD7EE"/>
            <w:vAlign w:val="center"/>
          </w:tcPr>
          <w:p w14:paraId="7449DB20" w14:textId="77777777" w:rsidR="0084326C" w:rsidRPr="005D68A0" w:rsidRDefault="0084326C">
            <w:pPr>
              <w:jc w:val="center"/>
              <w:rPr>
                <w:rFonts w:ascii="Arial Narrow" w:hAnsi="Arial Narrow"/>
                <w:b/>
                <w:bCs/>
                <w:noProof/>
                <w:sz w:val="20"/>
                <w:szCs w:val="20"/>
              </w:rPr>
            </w:pPr>
            <w:r>
              <w:rPr>
                <w:rFonts w:ascii="Arial Narrow" w:hAnsi="Arial Narrow"/>
                <w:b/>
                <w:noProof/>
                <w:sz w:val="20"/>
              </w:rPr>
              <w:t>Mõõtühik</w:t>
            </w:r>
          </w:p>
        </w:tc>
        <w:tc>
          <w:tcPr>
            <w:tcW w:w="950" w:type="dxa"/>
            <w:shd w:val="clear" w:color="auto" w:fill="BDD7EE"/>
            <w:vAlign w:val="center"/>
          </w:tcPr>
          <w:p w14:paraId="50684E77" w14:textId="77777777" w:rsidR="0084326C" w:rsidRPr="005D68A0" w:rsidRDefault="0084326C">
            <w:pPr>
              <w:jc w:val="center"/>
              <w:rPr>
                <w:rFonts w:ascii="Arial Narrow" w:hAnsi="Arial Narrow"/>
                <w:b/>
                <w:bCs/>
                <w:noProof/>
                <w:sz w:val="20"/>
                <w:szCs w:val="20"/>
              </w:rPr>
            </w:pPr>
            <w:r>
              <w:rPr>
                <w:rFonts w:ascii="Arial Narrow" w:hAnsi="Arial Narrow"/>
                <w:b/>
                <w:noProof/>
                <w:sz w:val="20"/>
              </w:rPr>
              <w:t>Lähtetase</w:t>
            </w:r>
          </w:p>
        </w:tc>
        <w:tc>
          <w:tcPr>
            <w:tcW w:w="992" w:type="dxa"/>
            <w:shd w:val="clear" w:color="auto" w:fill="BDD7EE"/>
            <w:vAlign w:val="center"/>
          </w:tcPr>
          <w:p w14:paraId="4C970C69" w14:textId="77777777" w:rsidR="0084326C" w:rsidRPr="005D68A0" w:rsidRDefault="0084326C">
            <w:pPr>
              <w:jc w:val="center"/>
              <w:rPr>
                <w:rFonts w:ascii="Arial Narrow" w:hAnsi="Arial Narrow"/>
                <w:b/>
                <w:bCs/>
                <w:noProof/>
                <w:sz w:val="20"/>
                <w:szCs w:val="20"/>
              </w:rPr>
            </w:pPr>
            <w:r>
              <w:rPr>
                <w:rFonts w:ascii="Arial Narrow" w:hAnsi="Arial Narrow"/>
                <w:b/>
                <w:noProof/>
                <w:sz w:val="20"/>
              </w:rPr>
              <w:t>Eesmärk</w:t>
            </w:r>
          </w:p>
        </w:tc>
        <w:tc>
          <w:tcPr>
            <w:tcW w:w="992" w:type="dxa"/>
            <w:shd w:val="clear" w:color="auto" w:fill="BDD7EE"/>
            <w:vAlign w:val="center"/>
          </w:tcPr>
          <w:p w14:paraId="59C40889" w14:textId="77777777" w:rsidR="0084326C" w:rsidRPr="005D68A0" w:rsidRDefault="0084326C">
            <w:pPr>
              <w:jc w:val="center"/>
              <w:rPr>
                <w:rFonts w:ascii="Arial Narrow" w:hAnsi="Arial Narrow"/>
                <w:b/>
                <w:bCs/>
                <w:noProof/>
                <w:sz w:val="20"/>
                <w:szCs w:val="20"/>
              </w:rPr>
            </w:pPr>
            <w:r>
              <w:rPr>
                <w:rFonts w:ascii="Arial Narrow" w:hAnsi="Arial Narrow"/>
                <w:b/>
                <w:noProof/>
                <w:sz w:val="20"/>
              </w:rPr>
              <w:t>Kvartal</w:t>
            </w:r>
          </w:p>
        </w:tc>
        <w:tc>
          <w:tcPr>
            <w:tcW w:w="709" w:type="dxa"/>
            <w:shd w:val="clear" w:color="auto" w:fill="BDD7EE"/>
            <w:vAlign w:val="center"/>
          </w:tcPr>
          <w:p w14:paraId="50885B4A" w14:textId="77777777" w:rsidR="0084326C" w:rsidRPr="005D68A0" w:rsidRDefault="0084326C">
            <w:pPr>
              <w:jc w:val="center"/>
              <w:rPr>
                <w:rFonts w:ascii="Arial Narrow" w:hAnsi="Arial Narrow"/>
                <w:b/>
                <w:bCs/>
                <w:noProof/>
                <w:sz w:val="20"/>
                <w:szCs w:val="20"/>
              </w:rPr>
            </w:pPr>
            <w:r>
              <w:rPr>
                <w:rFonts w:ascii="Arial Narrow" w:hAnsi="Arial Narrow"/>
                <w:b/>
                <w:noProof/>
                <w:sz w:val="20"/>
              </w:rPr>
              <w:t>Aasta</w:t>
            </w:r>
          </w:p>
        </w:tc>
        <w:tc>
          <w:tcPr>
            <w:tcW w:w="3634" w:type="dxa"/>
            <w:vMerge/>
            <w:vAlign w:val="center"/>
          </w:tcPr>
          <w:p w14:paraId="1A2318D3" w14:textId="77777777" w:rsidR="0084326C" w:rsidRPr="005D68A0" w:rsidRDefault="0084326C">
            <w:pPr>
              <w:rPr>
                <w:rFonts w:ascii="Arial Narrow" w:hAnsi="Arial Narrow"/>
                <w:noProof/>
                <w:sz w:val="20"/>
                <w:szCs w:val="20"/>
                <w:lang w:val="en-GB"/>
              </w:rPr>
            </w:pPr>
          </w:p>
        </w:tc>
      </w:tr>
      <w:tr w:rsidR="00512838" w:rsidRPr="00D90835" w14:paraId="7F3609E8" w14:textId="77777777" w:rsidTr="5D822CB8">
        <w:trPr>
          <w:trHeight w:val="315"/>
        </w:trPr>
        <w:tc>
          <w:tcPr>
            <w:tcW w:w="1277" w:type="dxa"/>
            <w:shd w:val="clear" w:color="auto" w:fill="C6EFCE"/>
            <w:vAlign w:val="center"/>
          </w:tcPr>
          <w:p w14:paraId="68467B7F"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M6C1-1</w:t>
            </w:r>
          </w:p>
        </w:tc>
        <w:tc>
          <w:tcPr>
            <w:tcW w:w="1701" w:type="dxa"/>
            <w:shd w:val="clear" w:color="auto" w:fill="C6EFCE"/>
            <w:vAlign w:val="center"/>
          </w:tcPr>
          <w:p w14:paraId="72FCB623" w14:textId="44D4A3D6"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Reform 1. Piirkondliku tervishoiuabi võrgustiku uue organisatsioonilise mudeli määratlemine</w:t>
            </w:r>
          </w:p>
        </w:tc>
        <w:tc>
          <w:tcPr>
            <w:tcW w:w="1134" w:type="dxa"/>
            <w:shd w:val="clear" w:color="auto" w:fill="C6EFCE"/>
            <w:vAlign w:val="center"/>
          </w:tcPr>
          <w:p w14:paraId="63E45858"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Eesmärk</w:t>
            </w:r>
          </w:p>
        </w:tc>
        <w:tc>
          <w:tcPr>
            <w:tcW w:w="1417" w:type="dxa"/>
            <w:shd w:val="clear" w:color="auto" w:fill="C6EFCE"/>
            <w:vAlign w:val="center"/>
          </w:tcPr>
          <w:p w14:paraId="4A1E1D15"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Tervishoiukorralduse reformi käsitleva teisese õigusakti (ministri määrus) jõustumine.</w:t>
            </w:r>
          </w:p>
        </w:tc>
        <w:tc>
          <w:tcPr>
            <w:tcW w:w="1363" w:type="dxa"/>
            <w:shd w:val="clear" w:color="auto" w:fill="C6EFCE"/>
            <w:vAlign w:val="center"/>
          </w:tcPr>
          <w:p w14:paraId="004E84CD" w14:textId="2A421963"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 xml:space="preserve">Seaduse säte, mis viitab õigusakti jõustumisele </w:t>
            </w:r>
          </w:p>
        </w:tc>
        <w:tc>
          <w:tcPr>
            <w:tcW w:w="948" w:type="dxa"/>
            <w:shd w:val="clear" w:color="auto" w:fill="C6EFCE"/>
            <w:vAlign w:val="center"/>
          </w:tcPr>
          <w:p w14:paraId="5F495B9A"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Ei kohaldata</w:t>
            </w:r>
          </w:p>
        </w:tc>
        <w:tc>
          <w:tcPr>
            <w:tcW w:w="950" w:type="dxa"/>
            <w:shd w:val="clear" w:color="auto" w:fill="C6EFCE"/>
            <w:vAlign w:val="center"/>
          </w:tcPr>
          <w:p w14:paraId="1C4C0674"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Ei kohaldata</w:t>
            </w:r>
          </w:p>
        </w:tc>
        <w:tc>
          <w:tcPr>
            <w:tcW w:w="992" w:type="dxa"/>
            <w:shd w:val="clear" w:color="auto" w:fill="C6EFCE"/>
            <w:vAlign w:val="center"/>
          </w:tcPr>
          <w:p w14:paraId="2BA05A65"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Ei kohaldata</w:t>
            </w:r>
          </w:p>
        </w:tc>
        <w:tc>
          <w:tcPr>
            <w:tcW w:w="992" w:type="dxa"/>
            <w:shd w:val="clear" w:color="auto" w:fill="C6EFCE"/>
            <w:vAlign w:val="center"/>
          </w:tcPr>
          <w:p w14:paraId="41B8AEC1"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2. kv</w:t>
            </w:r>
          </w:p>
        </w:tc>
        <w:tc>
          <w:tcPr>
            <w:tcW w:w="709" w:type="dxa"/>
            <w:shd w:val="clear" w:color="auto" w:fill="C6EFCE"/>
            <w:vAlign w:val="center"/>
          </w:tcPr>
          <w:p w14:paraId="651508B0"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2022</w:t>
            </w:r>
          </w:p>
        </w:tc>
        <w:tc>
          <w:tcPr>
            <w:tcW w:w="3634" w:type="dxa"/>
            <w:shd w:val="clear" w:color="auto" w:fill="C6EFCE"/>
            <w:vAlign w:val="center"/>
          </w:tcPr>
          <w:p w14:paraId="72FB3B53" w14:textId="77777777"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Teisese õigusakti (ministri määrus) jõustumine, mis käsitleb:</w:t>
            </w:r>
          </w:p>
          <w:p w14:paraId="2B1FD4DE" w14:textId="77777777"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 Piirkondliku tervishoiuabi võrgustiku uue organisatsioonilise mudeli määratlemine, määratledes reguleeriva raamistiku, millega määratakse kindlaks piirkondadevahelised struktuurilised, tehnoloogilised ja organisatsioonilised standardid; tervise-, keskkonna- ja kliimaalase ennetustöö uue institutsioonilise struktuuri määratlemine vastavalt „Üks tervis“ lähenemisviisile.</w:t>
            </w:r>
          </w:p>
        </w:tc>
      </w:tr>
      <w:tr w:rsidR="00512838" w:rsidRPr="00D90835" w14:paraId="71F204D7" w14:textId="77777777" w:rsidTr="5D822CB8">
        <w:trPr>
          <w:trHeight w:val="315"/>
        </w:trPr>
        <w:tc>
          <w:tcPr>
            <w:tcW w:w="1277" w:type="dxa"/>
            <w:shd w:val="clear" w:color="auto" w:fill="C6EFCE"/>
            <w:vAlign w:val="center"/>
          </w:tcPr>
          <w:p w14:paraId="57271180"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M6C1-2</w:t>
            </w:r>
          </w:p>
        </w:tc>
        <w:tc>
          <w:tcPr>
            <w:tcW w:w="1701" w:type="dxa"/>
            <w:shd w:val="clear" w:color="auto" w:fill="C6EFCE"/>
            <w:vAlign w:val="center"/>
          </w:tcPr>
          <w:p w14:paraId="10D73E09"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Investeering 1.1. Kogukondlikud tervishoiukojad, et parandada piirkondlikku tervishoiuabi.</w:t>
            </w:r>
          </w:p>
        </w:tc>
        <w:tc>
          <w:tcPr>
            <w:tcW w:w="1134" w:type="dxa"/>
            <w:shd w:val="clear" w:color="auto" w:fill="C6EFCE"/>
            <w:vAlign w:val="center"/>
          </w:tcPr>
          <w:p w14:paraId="2C738D47"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Eesmärk</w:t>
            </w:r>
          </w:p>
        </w:tc>
        <w:tc>
          <w:tcPr>
            <w:tcW w:w="1417" w:type="dxa"/>
            <w:shd w:val="clear" w:color="auto" w:fill="C6EFCE"/>
            <w:vAlign w:val="center"/>
          </w:tcPr>
          <w:p w14:paraId="67FFA47F"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 xml:space="preserve">Institutsioonilise arengu lepingu heakskiitmine </w:t>
            </w:r>
          </w:p>
        </w:tc>
        <w:tc>
          <w:tcPr>
            <w:tcW w:w="1363" w:type="dxa"/>
            <w:shd w:val="clear" w:color="auto" w:fill="C6EFCE"/>
            <w:vAlign w:val="center"/>
          </w:tcPr>
          <w:p w14:paraId="555695D2"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Tervishoiu- ja piirkonnaministeeriumi teade heakskiidu kohta</w:t>
            </w:r>
          </w:p>
        </w:tc>
        <w:tc>
          <w:tcPr>
            <w:tcW w:w="948" w:type="dxa"/>
            <w:shd w:val="clear" w:color="auto" w:fill="C6EFCE"/>
            <w:vAlign w:val="center"/>
          </w:tcPr>
          <w:p w14:paraId="75BE7287"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Ei kohaldata</w:t>
            </w:r>
          </w:p>
        </w:tc>
        <w:tc>
          <w:tcPr>
            <w:tcW w:w="950" w:type="dxa"/>
            <w:shd w:val="clear" w:color="auto" w:fill="C6EFCE"/>
            <w:vAlign w:val="center"/>
          </w:tcPr>
          <w:p w14:paraId="263C8BB2"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Ei kohaldata</w:t>
            </w:r>
          </w:p>
        </w:tc>
        <w:tc>
          <w:tcPr>
            <w:tcW w:w="992" w:type="dxa"/>
            <w:shd w:val="clear" w:color="auto" w:fill="C6EFCE"/>
            <w:vAlign w:val="center"/>
          </w:tcPr>
          <w:p w14:paraId="7BC7FFCE"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Ei kohaldata</w:t>
            </w:r>
          </w:p>
        </w:tc>
        <w:tc>
          <w:tcPr>
            <w:tcW w:w="992" w:type="dxa"/>
            <w:shd w:val="clear" w:color="auto" w:fill="C6EFCE"/>
            <w:vAlign w:val="center"/>
          </w:tcPr>
          <w:p w14:paraId="42AD815D"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2. kv</w:t>
            </w:r>
          </w:p>
        </w:tc>
        <w:tc>
          <w:tcPr>
            <w:tcW w:w="709" w:type="dxa"/>
            <w:shd w:val="clear" w:color="auto" w:fill="C6EFCE"/>
            <w:vAlign w:val="center"/>
          </w:tcPr>
          <w:p w14:paraId="1548AC9F"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2022</w:t>
            </w:r>
          </w:p>
        </w:tc>
        <w:tc>
          <w:tcPr>
            <w:tcW w:w="3634" w:type="dxa"/>
            <w:shd w:val="clear" w:color="auto" w:fill="C6EFCE"/>
            <w:vAlign w:val="center"/>
          </w:tcPr>
          <w:p w14:paraId="20130F74" w14:textId="77777777"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Institutsioonilise arengu lepingu (Contratto Istituzionale di Sviluppo) heakskiitmine Itaalia tervishoiuministeeriumi kui vastutava ja rakendava asutusega ning piirkondlike ametiasutuste osalemine koos teiste ühenduse tervishoiuasutuste asjaomaste üksustega:</w:t>
            </w:r>
          </w:p>
          <w:p w14:paraId="164497C1" w14:textId="77777777"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 xml:space="preserve">Institutsioonilise arengu leping on juhtimisvahend, milles loetletakse kõik ühenduse tervishoiuameti rakendamiseks sobivad isikud, et parandada piirkondlikku tervishoiuabi. Lepingus määratakse kindlaks ka kohustused, mida Itaalia iga piirkond võtab, et tagada ühenduse tervishoiuametiga seotud oodatavate tulemuste saavutamine. </w:t>
            </w:r>
          </w:p>
          <w:p w14:paraId="607E8CF2" w14:textId="77777777"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 xml:space="preserve"> Lepingu eesmärk oli toetada territoriaalset ühtekuuluvust, arengut ja majanduskasvu ning kiirendada keerukate sekkumiste rakendamist. Institutsioonilise arengu leping on eriti kasulik suurte projektide või investeeringute puhul, mis on väljendatud omavahel funktsionaalselt seotud üksikmeetmetes, mis nõuavad integreeritud lähenemisviisi ning Euroopa investeeringute struktuurifondide ja riiklike fondide kasutamist, mis sisalduvad ka riiklikest ja Euroopa vahenditest rahastatavates kavades ja rakenduskavades.</w:t>
            </w:r>
          </w:p>
        </w:tc>
      </w:tr>
      <w:tr w:rsidR="00512838" w:rsidRPr="00D90835" w14:paraId="6C8B17F0" w14:textId="77777777" w:rsidTr="5D822CB8">
        <w:trPr>
          <w:trHeight w:val="315"/>
        </w:trPr>
        <w:tc>
          <w:tcPr>
            <w:tcW w:w="1277" w:type="dxa"/>
            <w:shd w:val="clear" w:color="auto" w:fill="C6EFCE"/>
            <w:vAlign w:val="center"/>
          </w:tcPr>
          <w:p w14:paraId="6CB09FA4"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M6C1-3</w:t>
            </w:r>
          </w:p>
        </w:tc>
        <w:tc>
          <w:tcPr>
            <w:tcW w:w="1701" w:type="dxa"/>
            <w:shd w:val="clear" w:color="auto" w:fill="C6EFCE"/>
            <w:vAlign w:val="center"/>
          </w:tcPr>
          <w:p w14:paraId="4EE95A60" w14:textId="77777777" w:rsidR="0084326C" w:rsidRPr="005D68A0" w:rsidRDefault="0084326C">
            <w:pPr>
              <w:jc w:val="center"/>
              <w:rPr>
                <w:rFonts w:ascii="Arial Narrow" w:eastAsiaTheme="minorEastAsia" w:hAnsi="Arial Narrow"/>
                <w:noProof/>
                <w:color w:val="006100"/>
                <w:sz w:val="20"/>
                <w:szCs w:val="20"/>
              </w:rPr>
            </w:pPr>
            <w:bookmarkStart w:id="13" w:name="_Hlk160472482"/>
            <w:r>
              <w:rPr>
                <w:rFonts w:ascii="Arial Narrow" w:hAnsi="Arial Narrow"/>
                <w:noProof/>
                <w:color w:val="006100"/>
                <w:sz w:val="20"/>
              </w:rPr>
              <w:t>Investeering 1.1. Kogukondlikud tervishoiukojad, et parandada piirkondlikku tervishoiuabi.</w:t>
            </w:r>
            <w:bookmarkEnd w:id="13"/>
          </w:p>
        </w:tc>
        <w:tc>
          <w:tcPr>
            <w:tcW w:w="1134" w:type="dxa"/>
            <w:shd w:val="clear" w:color="auto" w:fill="C6EFCE"/>
            <w:vAlign w:val="center"/>
          </w:tcPr>
          <w:p w14:paraId="693D0231"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Siht</w:t>
            </w:r>
          </w:p>
        </w:tc>
        <w:tc>
          <w:tcPr>
            <w:tcW w:w="1417" w:type="dxa"/>
            <w:shd w:val="clear" w:color="auto" w:fill="C6EFCE"/>
            <w:vAlign w:val="center"/>
          </w:tcPr>
          <w:p w14:paraId="648A1287"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Kättesaadavaks tehtud ja tehnoloogiliselt varustatud kogukonna tervisemajad (esimene partii)</w:t>
            </w:r>
          </w:p>
        </w:tc>
        <w:tc>
          <w:tcPr>
            <w:tcW w:w="1363" w:type="dxa"/>
            <w:shd w:val="clear" w:color="auto" w:fill="C6EFCE"/>
            <w:vAlign w:val="center"/>
          </w:tcPr>
          <w:p w14:paraId="1FF5A122"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Ei kohaldata</w:t>
            </w:r>
          </w:p>
        </w:tc>
        <w:tc>
          <w:tcPr>
            <w:tcW w:w="948" w:type="dxa"/>
            <w:shd w:val="clear" w:color="auto" w:fill="C6EFCE"/>
            <w:vAlign w:val="center"/>
          </w:tcPr>
          <w:p w14:paraId="2D3351E5"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Arv</w:t>
            </w:r>
          </w:p>
        </w:tc>
        <w:tc>
          <w:tcPr>
            <w:tcW w:w="950" w:type="dxa"/>
            <w:shd w:val="clear" w:color="auto" w:fill="C6EFCE"/>
            <w:vAlign w:val="center"/>
          </w:tcPr>
          <w:p w14:paraId="24D98F0B"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0</w:t>
            </w:r>
          </w:p>
        </w:tc>
        <w:tc>
          <w:tcPr>
            <w:tcW w:w="992" w:type="dxa"/>
            <w:shd w:val="clear" w:color="auto" w:fill="C6EFCE"/>
            <w:vAlign w:val="center"/>
          </w:tcPr>
          <w:p w14:paraId="49514C19"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1 038</w:t>
            </w:r>
          </w:p>
        </w:tc>
        <w:tc>
          <w:tcPr>
            <w:tcW w:w="992" w:type="dxa"/>
            <w:shd w:val="clear" w:color="auto" w:fill="C6EFCE"/>
            <w:vAlign w:val="center"/>
          </w:tcPr>
          <w:p w14:paraId="4EE13046"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2. kv</w:t>
            </w:r>
          </w:p>
        </w:tc>
        <w:tc>
          <w:tcPr>
            <w:tcW w:w="709" w:type="dxa"/>
            <w:shd w:val="clear" w:color="auto" w:fill="C6EFCE"/>
            <w:vAlign w:val="center"/>
          </w:tcPr>
          <w:p w14:paraId="3005DB6D"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2026</w:t>
            </w:r>
          </w:p>
        </w:tc>
        <w:tc>
          <w:tcPr>
            <w:tcW w:w="3634" w:type="dxa"/>
            <w:shd w:val="clear" w:color="auto" w:fill="C6EFCE"/>
            <w:vAlign w:val="center"/>
          </w:tcPr>
          <w:p w14:paraId="33F437A4" w14:textId="0DD626B0" w:rsidR="0084326C" w:rsidRPr="005D68A0" w:rsidRDefault="0084326C">
            <w:pPr>
              <w:rPr>
                <w:rFonts w:ascii="Arial Narrow" w:hAnsi="Arial Narrow"/>
                <w:noProof/>
                <w:color w:val="006100"/>
                <w:sz w:val="20"/>
              </w:rPr>
            </w:pPr>
            <w:r>
              <w:rPr>
                <w:rFonts w:ascii="Arial Narrow" w:hAnsi="Arial Narrow"/>
                <w:noProof/>
                <w:color w:val="006100"/>
                <w:sz w:val="20"/>
              </w:rPr>
              <w:t>Vähemalt 1 038 ühenduse tervishoiuasutust tehakse kättesaadavaks ja varustatakse tehnoloogiliselt, et tagada võrdne juurdepääs hooldusele, territoriaalne lähedus ja kvaliteet inimestele sõltumata nende vanusest ja kliinilisest taustast (kronoloogiliselt haiged patsiendid, mittesõltumatud inimesed, kes vajavad pikaajalist hooldust, puudega inimesed, vaimse stressiga inimesed, vaesus) esmatasandi tervishoiuteenuste aktiveerimise, arendamise ja koondamise kaudu ning rakendades (energiatõhusaid) tugikeskusi, et reageerida mitme kutseala vajadustele.</w:t>
            </w:r>
          </w:p>
          <w:p w14:paraId="76F33D7F" w14:textId="76B05351" w:rsidR="0084326C" w:rsidRPr="005D68A0" w:rsidRDefault="0084326C" w:rsidP="00503A16">
            <w:pPr>
              <w:rPr>
                <w:rFonts w:ascii="Arial Narrow" w:eastAsiaTheme="minorEastAsia" w:hAnsi="Arial Narrow"/>
                <w:noProof/>
                <w:color w:val="006100"/>
                <w:sz w:val="20"/>
                <w:szCs w:val="20"/>
              </w:rPr>
            </w:pPr>
            <w:r>
              <w:rPr>
                <w:rFonts w:ascii="Arial Narrow" w:hAnsi="Arial Narrow"/>
                <w:noProof/>
                <w:color w:val="006100"/>
                <w:sz w:val="20"/>
              </w:rPr>
              <w:t>Vähemalt 50 % taaste- ja vastupidavusrahastu investeeringukulude toetusest eraldatakse määruse (EL) 2021/241 VI lisa joonealuse märkuse 5 nõuetele vastavate uute hoonete ehitamiseks (sekkumisväli 025 ter) või hoonete renoveerimiseks (sekkumisväli 026).</w:t>
            </w:r>
          </w:p>
        </w:tc>
      </w:tr>
      <w:tr w:rsidR="00512838" w:rsidRPr="00D90835" w14:paraId="7179ECA1" w14:textId="77777777" w:rsidTr="5D822CB8">
        <w:trPr>
          <w:trHeight w:val="315"/>
        </w:trPr>
        <w:tc>
          <w:tcPr>
            <w:tcW w:w="1277" w:type="dxa"/>
            <w:shd w:val="clear" w:color="auto" w:fill="C6EFCE"/>
            <w:vAlign w:val="center"/>
          </w:tcPr>
          <w:p w14:paraId="2F22341F"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M6C1-4</w:t>
            </w:r>
          </w:p>
        </w:tc>
        <w:tc>
          <w:tcPr>
            <w:tcW w:w="1701" w:type="dxa"/>
            <w:shd w:val="clear" w:color="auto" w:fill="C6EFCE"/>
            <w:vAlign w:val="center"/>
          </w:tcPr>
          <w:p w14:paraId="4E364C52"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Investeering 1.2. Kodu kui esimene ravi- ja telemeditsiinikoht</w:t>
            </w:r>
          </w:p>
        </w:tc>
        <w:tc>
          <w:tcPr>
            <w:tcW w:w="1134" w:type="dxa"/>
            <w:shd w:val="clear" w:color="auto" w:fill="C6EFCE"/>
            <w:vAlign w:val="center"/>
          </w:tcPr>
          <w:p w14:paraId="141AD56F"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Eesmärk</w:t>
            </w:r>
          </w:p>
        </w:tc>
        <w:tc>
          <w:tcPr>
            <w:tcW w:w="1417" w:type="dxa"/>
            <w:shd w:val="clear" w:color="auto" w:fill="C6EFCE"/>
            <w:vAlign w:val="center"/>
          </w:tcPr>
          <w:p w14:paraId="647ACF86"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Koduhoolduse rakendamise digitaalset mudelit sisaldavate suuniste heakskiitmine</w:t>
            </w:r>
          </w:p>
        </w:tc>
        <w:tc>
          <w:tcPr>
            <w:tcW w:w="1363" w:type="dxa"/>
            <w:shd w:val="clear" w:color="auto" w:fill="C6EFCE"/>
            <w:vAlign w:val="center"/>
          </w:tcPr>
          <w:p w14:paraId="56783D77"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Tervishoiuministeeriumi heakskiidetud suunised</w:t>
            </w:r>
          </w:p>
        </w:tc>
        <w:tc>
          <w:tcPr>
            <w:tcW w:w="948" w:type="dxa"/>
            <w:shd w:val="clear" w:color="auto" w:fill="C6EFCE"/>
            <w:vAlign w:val="center"/>
          </w:tcPr>
          <w:p w14:paraId="5DDAECC0"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Ei kohaldata</w:t>
            </w:r>
          </w:p>
        </w:tc>
        <w:tc>
          <w:tcPr>
            <w:tcW w:w="950" w:type="dxa"/>
            <w:shd w:val="clear" w:color="auto" w:fill="C6EFCE"/>
            <w:vAlign w:val="center"/>
          </w:tcPr>
          <w:p w14:paraId="32B95885"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Ei kohaldata</w:t>
            </w:r>
          </w:p>
        </w:tc>
        <w:tc>
          <w:tcPr>
            <w:tcW w:w="992" w:type="dxa"/>
            <w:shd w:val="clear" w:color="auto" w:fill="C6EFCE"/>
            <w:vAlign w:val="center"/>
          </w:tcPr>
          <w:p w14:paraId="0B85A6D5"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Ei kohaldata</w:t>
            </w:r>
          </w:p>
        </w:tc>
        <w:tc>
          <w:tcPr>
            <w:tcW w:w="992" w:type="dxa"/>
            <w:shd w:val="clear" w:color="auto" w:fill="C6EFCE"/>
            <w:vAlign w:val="center"/>
          </w:tcPr>
          <w:p w14:paraId="215DFBEB"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2. kv</w:t>
            </w:r>
          </w:p>
        </w:tc>
        <w:tc>
          <w:tcPr>
            <w:tcW w:w="709" w:type="dxa"/>
            <w:shd w:val="clear" w:color="auto" w:fill="C6EFCE"/>
            <w:vAlign w:val="center"/>
          </w:tcPr>
          <w:p w14:paraId="2D96253D"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2022</w:t>
            </w:r>
          </w:p>
        </w:tc>
        <w:tc>
          <w:tcPr>
            <w:tcW w:w="3634" w:type="dxa"/>
            <w:shd w:val="clear" w:color="auto" w:fill="C6EFCE"/>
            <w:vAlign w:val="center"/>
          </w:tcPr>
          <w:p w14:paraId="741F57D8" w14:textId="77777777"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Suunistega ühtlustatakse koduhoolduse tõhustamiseks vajalikke protsesse kaugseiretehnikate ja koduautomaatika arendamise kaudu.</w:t>
            </w:r>
          </w:p>
        </w:tc>
      </w:tr>
      <w:tr w:rsidR="00512838" w:rsidRPr="00D90835" w14:paraId="07B073A7" w14:textId="77777777" w:rsidTr="5D822CB8">
        <w:trPr>
          <w:trHeight w:val="315"/>
        </w:trPr>
        <w:tc>
          <w:tcPr>
            <w:tcW w:w="1277" w:type="dxa"/>
            <w:shd w:val="clear" w:color="auto" w:fill="C6EFCE"/>
            <w:vAlign w:val="center"/>
          </w:tcPr>
          <w:p w14:paraId="6D77E3BB"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M6C1-5</w:t>
            </w:r>
          </w:p>
        </w:tc>
        <w:tc>
          <w:tcPr>
            <w:tcW w:w="1701" w:type="dxa"/>
            <w:shd w:val="clear" w:color="auto" w:fill="C6EFCE"/>
            <w:vAlign w:val="center"/>
          </w:tcPr>
          <w:p w14:paraId="2B6877E4"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Investeering 1.2. Kodu kui esimene ravi- ja telemeditsiinikoht</w:t>
            </w:r>
          </w:p>
        </w:tc>
        <w:tc>
          <w:tcPr>
            <w:tcW w:w="1134" w:type="dxa"/>
            <w:shd w:val="clear" w:color="auto" w:fill="C6EFCE"/>
            <w:vAlign w:val="center"/>
          </w:tcPr>
          <w:p w14:paraId="61CC4283"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Eesmärk</w:t>
            </w:r>
          </w:p>
        </w:tc>
        <w:tc>
          <w:tcPr>
            <w:tcW w:w="1417" w:type="dxa"/>
            <w:shd w:val="clear" w:color="auto" w:fill="C6EFCE"/>
            <w:vAlign w:val="center"/>
          </w:tcPr>
          <w:p w14:paraId="74208FE0"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 xml:space="preserve">Institutsioonilise arengu leping, mille on heaks kiitnud tervishoiu- ja regionaalministeerium </w:t>
            </w:r>
          </w:p>
        </w:tc>
        <w:tc>
          <w:tcPr>
            <w:tcW w:w="1363" w:type="dxa"/>
            <w:shd w:val="clear" w:color="auto" w:fill="C6EFCE"/>
            <w:vAlign w:val="center"/>
          </w:tcPr>
          <w:p w14:paraId="203C80FC"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Teade heakskiidetud lepingu kohta</w:t>
            </w:r>
          </w:p>
        </w:tc>
        <w:tc>
          <w:tcPr>
            <w:tcW w:w="948" w:type="dxa"/>
            <w:shd w:val="clear" w:color="auto" w:fill="C6EFCE"/>
            <w:vAlign w:val="center"/>
          </w:tcPr>
          <w:p w14:paraId="4C2CF9B8"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Ei kohaldata</w:t>
            </w:r>
          </w:p>
        </w:tc>
        <w:tc>
          <w:tcPr>
            <w:tcW w:w="950" w:type="dxa"/>
            <w:shd w:val="clear" w:color="auto" w:fill="C6EFCE"/>
            <w:vAlign w:val="center"/>
          </w:tcPr>
          <w:p w14:paraId="7474EE31"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Ei kohaldata</w:t>
            </w:r>
          </w:p>
        </w:tc>
        <w:tc>
          <w:tcPr>
            <w:tcW w:w="992" w:type="dxa"/>
            <w:shd w:val="clear" w:color="auto" w:fill="C6EFCE"/>
            <w:vAlign w:val="center"/>
          </w:tcPr>
          <w:p w14:paraId="44E2D2A6"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Ei kohaldata</w:t>
            </w:r>
          </w:p>
        </w:tc>
        <w:tc>
          <w:tcPr>
            <w:tcW w:w="992" w:type="dxa"/>
            <w:shd w:val="clear" w:color="auto" w:fill="C6EFCE"/>
            <w:vAlign w:val="center"/>
          </w:tcPr>
          <w:p w14:paraId="4CB80617"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2. kv</w:t>
            </w:r>
          </w:p>
        </w:tc>
        <w:tc>
          <w:tcPr>
            <w:tcW w:w="709" w:type="dxa"/>
            <w:shd w:val="clear" w:color="auto" w:fill="C6EFCE"/>
            <w:vAlign w:val="center"/>
          </w:tcPr>
          <w:p w14:paraId="4ACE8DC0"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2022</w:t>
            </w:r>
          </w:p>
        </w:tc>
        <w:tc>
          <w:tcPr>
            <w:tcW w:w="3634" w:type="dxa"/>
            <w:shd w:val="clear" w:color="auto" w:fill="C6EFCE"/>
            <w:vAlign w:val="center"/>
          </w:tcPr>
          <w:p w14:paraId="7120E014" w14:textId="31BB26F8"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Institutsioonilise arengu lepingu (Contratto Istituzionale di Sviluppo) heakskiitmine Itaalia tervishoiuministeeriumi kui vastutava ja rakendava asutusega ning piirkondlike haldusasutuste osalemine koos teiste koduhooldusega seotud üksustega.</w:t>
            </w:r>
          </w:p>
          <w:p w14:paraId="15415D99" w14:textId="77777777"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Institutsioonidevahelises arenduslepingus sätestatakse iga sekkumise või sekkumiskategooria, ajakava, töövõtjate kohustused, hindamis- ja järelevalvekriteeriumid ning sanktsioonid mis tahes mittevastavuse korral. Samuti määratletakse selles tingimused sekkumiste võimalikuks osaliseks rahastamiseks või asjaomaste vahendite eraldamiseks teisele valitsemistasandile kooskõlas subsidiaarsuse põhimõttega.</w:t>
            </w:r>
          </w:p>
        </w:tc>
      </w:tr>
      <w:tr w:rsidR="00512838" w:rsidRPr="00D90835" w14:paraId="1D7E8983" w14:textId="77777777" w:rsidTr="5D822CB8">
        <w:trPr>
          <w:trHeight w:val="315"/>
        </w:trPr>
        <w:tc>
          <w:tcPr>
            <w:tcW w:w="1277" w:type="dxa"/>
            <w:shd w:val="clear" w:color="auto" w:fill="C6EFCE"/>
            <w:vAlign w:val="center"/>
          </w:tcPr>
          <w:p w14:paraId="17518292"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M6C1-6</w:t>
            </w:r>
          </w:p>
        </w:tc>
        <w:tc>
          <w:tcPr>
            <w:tcW w:w="1701" w:type="dxa"/>
            <w:shd w:val="clear" w:color="auto" w:fill="C6EFCE"/>
            <w:vAlign w:val="center"/>
          </w:tcPr>
          <w:p w14:paraId="2D0AD7A8"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Investeering 1.2. Kodu kui esimene ravi- ja telemeditsiinikoht</w:t>
            </w:r>
          </w:p>
        </w:tc>
        <w:tc>
          <w:tcPr>
            <w:tcW w:w="1134" w:type="dxa"/>
            <w:shd w:val="clear" w:color="auto" w:fill="C6EFCE"/>
            <w:vAlign w:val="center"/>
          </w:tcPr>
          <w:p w14:paraId="14001FDA"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Siht</w:t>
            </w:r>
          </w:p>
        </w:tc>
        <w:tc>
          <w:tcPr>
            <w:tcW w:w="1417" w:type="dxa"/>
            <w:shd w:val="clear" w:color="auto" w:fill="C6EFCE"/>
            <w:vAlign w:val="center"/>
          </w:tcPr>
          <w:p w14:paraId="63D29D2C"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Lisaisikud, keda ravitakse kodus (esimene partii)</w:t>
            </w:r>
          </w:p>
        </w:tc>
        <w:tc>
          <w:tcPr>
            <w:tcW w:w="1363" w:type="dxa"/>
            <w:shd w:val="clear" w:color="auto" w:fill="C6EFCE"/>
            <w:vAlign w:val="center"/>
          </w:tcPr>
          <w:p w14:paraId="21E49CEB"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Ei kohaldata</w:t>
            </w:r>
          </w:p>
        </w:tc>
        <w:tc>
          <w:tcPr>
            <w:tcW w:w="948" w:type="dxa"/>
            <w:shd w:val="clear" w:color="auto" w:fill="C6EFCE"/>
            <w:vAlign w:val="center"/>
          </w:tcPr>
          <w:p w14:paraId="5A64A77B"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Arv</w:t>
            </w:r>
          </w:p>
        </w:tc>
        <w:tc>
          <w:tcPr>
            <w:tcW w:w="950" w:type="dxa"/>
            <w:shd w:val="clear" w:color="auto" w:fill="C6EFCE"/>
            <w:vAlign w:val="center"/>
          </w:tcPr>
          <w:p w14:paraId="6279F7CB"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0</w:t>
            </w:r>
          </w:p>
        </w:tc>
        <w:tc>
          <w:tcPr>
            <w:tcW w:w="992" w:type="dxa"/>
            <w:shd w:val="clear" w:color="auto" w:fill="C6EFCE"/>
            <w:vAlign w:val="center"/>
          </w:tcPr>
          <w:p w14:paraId="7C2405FA"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842 000</w:t>
            </w:r>
          </w:p>
        </w:tc>
        <w:tc>
          <w:tcPr>
            <w:tcW w:w="992" w:type="dxa"/>
            <w:shd w:val="clear" w:color="auto" w:fill="C6EFCE"/>
            <w:vAlign w:val="center"/>
          </w:tcPr>
          <w:p w14:paraId="0D0642DB"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2. kv</w:t>
            </w:r>
          </w:p>
        </w:tc>
        <w:tc>
          <w:tcPr>
            <w:tcW w:w="709" w:type="dxa"/>
            <w:shd w:val="clear" w:color="auto" w:fill="C6EFCE"/>
            <w:vAlign w:val="center"/>
          </w:tcPr>
          <w:p w14:paraId="443F88ED"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2026</w:t>
            </w:r>
          </w:p>
        </w:tc>
        <w:tc>
          <w:tcPr>
            <w:tcW w:w="3634" w:type="dxa"/>
            <w:shd w:val="clear" w:color="auto" w:fill="C6EFCE"/>
            <w:vAlign w:val="center"/>
          </w:tcPr>
          <w:p w14:paraId="5474BCDF" w14:textId="77777777"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Suurendada koduhoolduses elavate inimeste arvu 10 %-ni üle 65-aastastest elanikest (hinnanguliselt 1,5 miljonit inimest 2026. aastal). Selle eesmärgi saavutamiseks on vaja suurendada 2026. aastal koduhoolduses ravitud üle 65-aastaste inimeste arvu vähemalt 842 000 võrra. Integreeritud koduhooldus on teenus igas vanuses inimestele, kellel on üks või mitu kroonilist haigust või lõppkliiniline seisund, mis nõuab pidevat ja väga spetsialiseeritud professionaalset tervishoiu- ja sotsiaalhooldust.</w:t>
            </w:r>
          </w:p>
        </w:tc>
      </w:tr>
      <w:tr w:rsidR="00512838" w:rsidRPr="00D90835" w14:paraId="7AC221DC" w14:textId="77777777" w:rsidTr="5D822CB8">
        <w:trPr>
          <w:trHeight w:val="315"/>
        </w:trPr>
        <w:tc>
          <w:tcPr>
            <w:tcW w:w="1277" w:type="dxa"/>
            <w:shd w:val="clear" w:color="auto" w:fill="C6EFCE"/>
            <w:vAlign w:val="center"/>
          </w:tcPr>
          <w:p w14:paraId="1A6E198B"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M6C1-7</w:t>
            </w:r>
          </w:p>
        </w:tc>
        <w:tc>
          <w:tcPr>
            <w:tcW w:w="1701" w:type="dxa"/>
            <w:shd w:val="clear" w:color="auto" w:fill="C6EFCE"/>
            <w:vAlign w:val="center"/>
          </w:tcPr>
          <w:p w14:paraId="0CD6B0C2"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Investeering 1.2. Kodu kui esimene ravi- ja telemeditsiinikoht</w:t>
            </w:r>
          </w:p>
        </w:tc>
        <w:tc>
          <w:tcPr>
            <w:tcW w:w="1134" w:type="dxa"/>
            <w:shd w:val="clear" w:color="auto" w:fill="C6EFCE"/>
            <w:vAlign w:val="center"/>
          </w:tcPr>
          <w:p w14:paraId="2347ABFD"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Siht</w:t>
            </w:r>
          </w:p>
        </w:tc>
        <w:tc>
          <w:tcPr>
            <w:tcW w:w="1417" w:type="dxa"/>
            <w:shd w:val="clear" w:color="auto" w:fill="C6EFCE"/>
            <w:vAlign w:val="center"/>
          </w:tcPr>
          <w:p w14:paraId="0F9DD484"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Täielikult toimivad koordineerimiskeskused (teine osa)</w:t>
            </w:r>
          </w:p>
        </w:tc>
        <w:tc>
          <w:tcPr>
            <w:tcW w:w="1363" w:type="dxa"/>
            <w:shd w:val="clear" w:color="auto" w:fill="C6EFCE"/>
            <w:vAlign w:val="center"/>
          </w:tcPr>
          <w:p w14:paraId="34EE89FF"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Ei kohaldata</w:t>
            </w:r>
          </w:p>
        </w:tc>
        <w:tc>
          <w:tcPr>
            <w:tcW w:w="948" w:type="dxa"/>
            <w:shd w:val="clear" w:color="auto" w:fill="C6EFCE"/>
            <w:vAlign w:val="center"/>
          </w:tcPr>
          <w:p w14:paraId="3E30BE66"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Arv</w:t>
            </w:r>
          </w:p>
        </w:tc>
        <w:tc>
          <w:tcPr>
            <w:tcW w:w="950" w:type="dxa"/>
            <w:shd w:val="clear" w:color="auto" w:fill="C6EFCE"/>
            <w:vAlign w:val="center"/>
          </w:tcPr>
          <w:p w14:paraId="6F0522D2"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0</w:t>
            </w:r>
          </w:p>
        </w:tc>
        <w:tc>
          <w:tcPr>
            <w:tcW w:w="992" w:type="dxa"/>
            <w:shd w:val="clear" w:color="auto" w:fill="C6EFCE"/>
            <w:vAlign w:val="center"/>
          </w:tcPr>
          <w:p w14:paraId="3315D557"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480</w:t>
            </w:r>
          </w:p>
        </w:tc>
        <w:tc>
          <w:tcPr>
            <w:tcW w:w="992" w:type="dxa"/>
            <w:shd w:val="clear" w:color="auto" w:fill="C6EFCE"/>
            <w:vAlign w:val="center"/>
          </w:tcPr>
          <w:p w14:paraId="67A6389B"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4. kv</w:t>
            </w:r>
          </w:p>
        </w:tc>
        <w:tc>
          <w:tcPr>
            <w:tcW w:w="709" w:type="dxa"/>
            <w:shd w:val="clear" w:color="auto" w:fill="C6EFCE"/>
            <w:vAlign w:val="center"/>
          </w:tcPr>
          <w:p w14:paraId="6ED66F84"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2024</w:t>
            </w:r>
          </w:p>
        </w:tc>
        <w:tc>
          <w:tcPr>
            <w:tcW w:w="3634" w:type="dxa"/>
            <w:shd w:val="clear" w:color="auto" w:fill="C6EFCE"/>
            <w:vAlign w:val="center"/>
          </w:tcPr>
          <w:p w14:paraId="338119A8" w14:textId="77777777"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Selle sekkumise otsustavaks punktiks on vähemalt 480 territoriaalse koordineerimise keskuse (Centrali Executive territoriali) tegevuse alustamine, mille ülesanne on koordineerida ja ühendada erinevaid territoriaalseid, sotsiaal- ja haiglatervishoiuteenuseid ning kiirabivõrgustikku, et tagada ravi järjepidevus, kättesaadavus ja integreerimine.</w:t>
            </w:r>
          </w:p>
        </w:tc>
      </w:tr>
      <w:tr w:rsidR="00512838" w:rsidRPr="00D90835" w14:paraId="1AA129E8" w14:textId="77777777" w:rsidTr="5D822CB8">
        <w:trPr>
          <w:trHeight w:val="315"/>
        </w:trPr>
        <w:tc>
          <w:tcPr>
            <w:tcW w:w="1277" w:type="dxa"/>
            <w:shd w:val="clear" w:color="auto" w:fill="C6EFCE"/>
            <w:vAlign w:val="center"/>
          </w:tcPr>
          <w:p w14:paraId="049A0157"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M6C1-8</w:t>
            </w:r>
          </w:p>
        </w:tc>
        <w:tc>
          <w:tcPr>
            <w:tcW w:w="1701" w:type="dxa"/>
            <w:shd w:val="clear" w:color="auto" w:fill="C6EFCE"/>
            <w:vAlign w:val="center"/>
          </w:tcPr>
          <w:p w14:paraId="2332295E"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Investeering 1.2. Kodu kui esimene ravi- ja telemeditsiinikoht</w:t>
            </w:r>
          </w:p>
        </w:tc>
        <w:tc>
          <w:tcPr>
            <w:tcW w:w="1134" w:type="dxa"/>
            <w:shd w:val="clear" w:color="auto" w:fill="C6EFCE"/>
            <w:vAlign w:val="center"/>
          </w:tcPr>
          <w:p w14:paraId="5669CEEB"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Siht</w:t>
            </w:r>
          </w:p>
        </w:tc>
        <w:tc>
          <w:tcPr>
            <w:tcW w:w="1417" w:type="dxa"/>
            <w:shd w:val="clear" w:color="auto" w:fill="C6EFCE"/>
            <w:vAlign w:val="center"/>
          </w:tcPr>
          <w:p w14:paraId="3433EA0F" w14:textId="7E9885EB" w:rsidR="0084326C" w:rsidRPr="005D68A0" w:rsidRDefault="239C0FB3" w:rsidP="5D822CB8">
            <w:pPr>
              <w:jc w:val="center"/>
              <w:rPr>
                <w:rFonts w:ascii="Arial Narrow" w:eastAsiaTheme="minorEastAsia" w:hAnsi="Arial Narrow"/>
                <w:noProof/>
                <w:color w:val="006100"/>
                <w:sz w:val="20"/>
                <w:szCs w:val="20"/>
              </w:rPr>
            </w:pPr>
            <w:r>
              <w:rPr>
                <w:rFonts w:ascii="Arial Narrow" w:hAnsi="Arial Narrow"/>
                <w:noProof/>
                <w:color w:val="006100"/>
                <w:sz w:val="20"/>
              </w:rPr>
              <w:t>Vähemalt üks telemeditsiini projekt, mis on määratud igale piirkonnale (võttes arvesse nii konkreetses piirkonnas rakendatavaid projekte kui ka neid, mida võidakse arendada piirkondadevaheliste konsortsiumide osana)</w:t>
            </w:r>
          </w:p>
        </w:tc>
        <w:tc>
          <w:tcPr>
            <w:tcW w:w="1363" w:type="dxa"/>
            <w:shd w:val="clear" w:color="auto" w:fill="C6EFCE"/>
            <w:vAlign w:val="center"/>
          </w:tcPr>
          <w:p w14:paraId="46A70F60" w14:textId="2FBBDCF6" w:rsidR="0084326C" w:rsidRPr="005D68A0" w:rsidRDefault="5AD1A26A" w:rsidP="5D822CB8">
            <w:pPr>
              <w:jc w:val="center"/>
              <w:rPr>
                <w:rFonts w:ascii="Arial Narrow" w:eastAsiaTheme="minorEastAsia" w:hAnsi="Arial Narrow"/>
                <w:noProof/>
                <w:color w:val="006100"/>
                <w:sz w:val="20"/>
                <w:szCs w:val="20"/>
              </w:rPr>
            </w:pPr>
            <w:r>
              <w:rPr>
                <w:rFonts w:ascii="Arial Narrow" w:hAnsi="Arial Narrow"/>
                <w:noProof/>
                <w:color w:val="006100"/>
                <w:sz w:val="20"/>
              </w:rPr>
              <w:t>Ei kohaldata</w:t>
            </w:r>
          </w:p>
        </w:tc>
        <w:tc>
          <w:tcPr>
            <w:tcW w:w="948" w:type="dxa"/>
            <w:shd w:val="clear" w:color="auto" w:fill="C6EFCE"/>
            <w:vAlign w:val="center"/>
          </w:tcPr>
          <w:p w14:paraId="1205AC1F"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Arv</w:t>
            </w:r>
          </w:p>
        </w:tc>
        <w:tc>
          <w:tcPr>
            <w:tcW w:w="950" w:type="dxa"/>
            <w:shd w:val="clear" w:color="auto" w:fill="C6EFCE"/>
            <w:vAlign w:val="center"/>
          </w:tcPr>
          <w:p w14:paraId="7EA8D75B"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0</w:t>
            </w:r>
          </w:p>
        </w:tc>
        <w:tc>
          <w:tcPr>
            <w:tcW w:w="992" w:type="dxa"/>
            <w:shd w:val="clear" w:color="auto" w:fill="C6EFCE"/>
            <w:vAlign w:val="center"/>
          </w:tcPr>
          <w:p w14:paraId="2E5AC3CF"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20</w:t>
            </w:r>
          </w:p>
        </w:tc>
        <w:tc>
          <w:tcPr>
            <w:tcW w:w="992" w:type="dxa"/>
            <w:shd w:val="clear" w:color="auto" w:fill="C6EFCE"/>
            <w:vAlign w:val="center"/>
          </w:tcPr>
          <w:p w14:paraId="6B169884"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4. kv</w:t>
            </w:r>
          </w:p>
        </w:tc>
        <w:tc>
          <w:tcPr>
            <w:tcW w:w="709" w:type="dxa"/>
            <w:shd w:val="clear" w:color="auto" w:fill="C6EFCE"/>
            <w:vAlign w:val="center"/>
          </w:tcPr>
          <w:p w14:paraId="5CE5E242"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2023</w:t>
            </w:r>
          </w:p>
        </w:tc>
        <w:tc>
          <w:tcPr>
            <w:tcW w:w="3634" w:type="dxa"/>
            <w:shd w:val="clear" w:color="auto" w:fill="C6EFCE"/>
            <w:vAlign w:val="center"/>
          </w:tcPr>
          <w:p w14:paraId="7A25E3CD" w14:textId="77777777"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Riiklik telemeditsiini strateegia edendab ja rahastab uute telemeditsiini projektide ja lahenduste arendamist ja laiendamist piirkondlikes tervishoiusüsteemides ning on seega peamine (tehnoloogiline) võimaldaja tõhustatud kaugravi lähenemisviisi rakendamiseks tervishoius, pöörates erilist tähelepanu kroonilistele patsientidele.</w:t>
            </w:r>
          </w:p>
        </w:tc>
      </w:tr>
      <w:tr w:rsidR="00512838" w:rsidRPr="00D90835" w14:paraId="0B28F4AA" w14:textId="77777777" w:rsidTr="5D822CB8">
        <w:trPr>
          <w:trHeight w:val="315"/>
        </w:trPr>
        <w:tc>
          <w:tcPr>
            <w:tcW w:w="1277" w:type="dxa"/>
            <w:shd w:val="clear" w:color="auto" w:fill="C6EFCE"/>
            <w:vAlign w:val="center"/>
          </w:tcPr>
          <w:p w14:paraId="33D17BA1"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M6C1-9</w:t>
            </w:r>
          </w:p>
        </w:tc>
        <w:tc>
          <w:tcPr>
            <w:tcW w:w="1701" w:type="dxa"/>
            <w:shd w:val="clear" w:color="auto" w:fill="C6EFCE"/>
            <w:vAlign w:val="center"/>
          </w:tcPr>
          <w:p w14:paraId="06809ADF"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Investeering 1.2. Kodu kui esimene ravi- ja telemeditsiinikoht</w:t>
            </w:r>
          </w:p>
        </w:tc>
        <w:tc>
          <w:tcPr>
            <w:tcW w:w="1134" w:type="dxa"/>
            <w:shd w:val="clear" w:color="auto" w:fill="C6EFCE"/>
            <w:vAlign w:val="center"/>
          </w:tcPr>
          <w:p w14:paraId="0EC20627"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Siht</w:t>
            </w:r>
          </w:p>
        </w:tc>
        <w:tc>
          <w:tcPr>
            <w:tcW w:w="1417" w:type="dxa"/>
            <w:shd w:val="clear" w:color="auto" w:fill="C6EFCE"/>
            <w:vAlign w:val="center"/>
          </w:tcPr>
          <w:p w14:paraId="4472AEEE"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Telemeditsiinivahendite abil abistatud inimeste arv (kolmas partii)</w:t>
            </w:r>
          </w:p>
        </w:tc>
        <w:tc>
          <w:tcPr>
            <w:tcW w:w="1363" w:type="dxa"/>
            <w:shd w:val="clear" w:color="auto" w:fill="C6EFCE"/>
            <w:vAlign w:val="center"/>
          </w:tcPr>
          <w:p w14:paraId="7EADB31A"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Ei kohaldata</w:t>
            </w:r>
          </w:p>
        </w:tc>
        <w:tc>
          <w:tcPr>
            <w:tcW w:w="948" w:type="dxa"/>
            <w:shd w:val="clear" w:color="auto" w:fill="C6EFCE"/>
            <w:vAlign w:val="center"/>
          </w:tcPr>
          <w:p w14:paraId="68BCFA0F"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Arv</w:t>
            </w:r>
          </w:p>
        </w:tc>
        <w:tc>
          <w:tcPr>
            <w:tcW w:w="950" w:type="dxa"/>
            <w:shd w:val="clear" w:color="auto" w:fill="C6EFCE"/>
            <w:vAlign w:val="center"/>
          </w:tcPr>
          <w:p w14:paraId="34D1F6FA"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0</w:t>
            </w:r>
          </w:p>
        </w:tc>
        <w:tc>
          <w:tcPr>
            <w:tcW w:w="992" w:type="dxa"/>
            <w:shd w:val="clear" w:color="auto" w:fill="C6EFCE"/>
            <w:vAlign w:val="center"/>
          </w:tcPr>
          <w:p w14:paraId="75FCB360"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300 000</w:t>
            </w:r>
          </w:p>
        </w:tc>
        <w:tc>
          <w:tcPr>
            <w:tcW w:w="992" w:type="dxa"/>
            <w:shd w:val="clear" w:color="auto" w:fill="C6EFCE"/>
            <w:vAlign w:val="center"/>
          </w:tcPr>
          <w:p w14:paraId="7A7A72EA"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4. kv</w:t>
            </w:r>
          </w:p>
        </w:tc>
        <w:tc>
          <w:tcPr>
            <w:tcW w:w="709" w:type="dxa"/>
            <w:shd w:val="clear" w:color="auto" w:fill="C6EFCE"/>
            <w:vAlign w:val="center"/>
          </w:tcPr>
          <w:p w14:paraId="469783C0"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2025</w:t>
            </w:r>
          </w:p>
        </w:tc>
        <w:tc>
          <w:tcPr>
            <w:tcW w:w="3634" w:type="dxa"/>
            <w:shd w:val="clear" w:color="auto" w:fill="C6EFCE"/>
            <w:vAlign w:val="center"/>
          </w:tcPr>
          <w:p w14:paraId="3DA6499F" w14:textId="77777777"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Vähemalt 300 000 inimest, keda abistavad telemeditsiini vahendid.</w:t>
            </w:r>
          </w:p>
          <w:p w14:paraId="2F632FAE" w14:textId="77777777"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Sekkumine hõlmab digitaalsete tervishoiu- ja hooldustehnoloogiate ad hoc uurimisalgatuste rahastamist.</w:t>
            </w:r>
          </w:p>
        </w:tc>
      </w:tr>
      <w:tr w:rsidR="00512838" w:rsidRPr="00D90835" w14:paraId="796838ED" w14:textId="77777777" w:rsidTr="5D822CB8">
        <w:trPr>
          <w:trHeight w:val="315"/>
        </w:trPr>
        <w:tc>
          <w:tcPr>
            <w:tcW w:w="1277" w:type="dxa"/>
            <w:shd w:val="clear" w:color="auto" w:fill="C6EFCE"/>
            <w:vAlign w:val="center"/>
          </w:tcPr>
          <w:p w14:paraId="3D3ED80D"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M6C1-10</w:t>
            </w:r>
          </w:p>
        </w:tc>
        <w:tc>
          <w:tcPr>
            <w:tcW w:w="1701" w:type="dxa"/>
            <w:shd w:val="clear" w:color="auto" w:fill="C6EFCE"/>
            <w:vAlign w:val="center"/>
          </w:tcPr>
          <w:p w14:paraId="2EF350B4"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Investeering 1.3. Vahetasandi tervishoiu ja selle rajatiste tugevdamine (kogukonnahaiglad)</w:t>
            </w:r>
          </w:p>
        </w:tc>
        <w:tc>
          <w:tcPr>
            <w:tcW w:w="1134" w:type="dxa"/>
            <w:shd w:val="clear" w:color="auto" w:fill="C6EFCE"/>
            <w:vAlign w:val="center"/>
          </w:tcPr>
          <w:p w14:paraId="476BC509"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Eesmärk</w:t>
            </w:r>
          </w:p>
        </w:tc>
        <w:tc>
          <w:tcPr>
            <w:tcW w:w="1417" w:type="dxa"/>
            <w:shd w:val="clear" w:color="auto" w:fill="C6EFCE"/>
            <w:vAlign w:val="center"/>
          </w:tcPr>
          <w:p w14:paraId="0C72B43A"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Institutsioonilise arengu lepingu (Contratto Istituzionale di Sviluppo) heakskiitmine</w:t>
            </w:r>
          </w:p>
        </w:tc>
        <w:tc>
          <w:tcPr>
            <w:tcW w:w="1363" w:type="dxa"/>
            <w:shd w:val="clear" w:color="auto" w:fill="C6EFCE"/>
            <w:vAlign w:val="center"/>
          </w:tcPr>
          <w:p w14:paraId="2778D343"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Institutsioonilise arendustöö lepingu heakskiitmisest teatamine</w:t>
            </w:r>
          </w:p>
        </w:tc>
        <w:tc>
          <w:tcPr>
            <w:tcW w:w="948" w:type="dxa"/>
            <w:shd w:val="clear" w:color="auto" w:fill="C6EFCE"/>
            <w:vAlign w:val="center"/>
          </w:tcPr>
          <w:p w14:paraId="614D8209"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Ei kohaldata</w:t>
            </w:r>
          </w:p>
        </w:tc>
        <w:tc>
          <w:tcPr>
            <w:tcW w:w="950" w:type="dxa"/>
            <w:shd w:val="clear" w:color="auto" w:fill="C6EFCE"/>
            <w:vAlign w:val="center"/>
          </w:tcPr>
          <w:p w14:paraId="75828528"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Ei kohaldata</w:t>
            </w:r>
          </w:p>
        </w:tc>
        <w:tc>
          <w:tcPr>
            <w:tcW w:w="992" w:type="dxa"/>
            <w:shd w:val="clear" w:color="auto" w:fill="C6EFCE"/>
            <w:vAlign w:val="center"/>
          </w:tcPr>
          <w:p w14:paraId="2B3B5355"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Ei kohaldata</w:t>
            </w:r>
          </w:p>
        </w:tc>
        <w:tc>
          <w:tcPr>
            <w:tcW w:w="992" w:type="dxa"/>
            <w:shd w:val="clear" w:color="auto" w:fill="C6EFCE"/>
            <w:vAlign w:val="center"/>
          </w:tcPr>
          <w:p w14:paraId="1DF8AAD7"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2. kv</w:t>
            </w:r>
          </w:p>
        </w:tc>
        <w:tc>
          <w:tcPr>
            <w:tcW w:w="709" w:type="dxa"/>
            <w:shd w:val="clear" w:color="auto" w:fill="C6EFCE"/>
            <w:vAlign w:val="center"/>
          </w:tcPr>
          <w:p w14:paraId="67BEAE1B"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2022</w:t>
            </w:r>
          </w:p>
        </w:tc>
        <w:tc>
          <w:tcPr>
            <w:tcW w:w="3634" w:type="dxa"/>
            <w:shd w:val="clear" w:color="auto" w:fill="C6EFCE"/>
            <w:vAlign w:val="center"/>
          </w:tcPr>
          <w:p w14:paraId="192A1DE6" w14:textId="77777777"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Institutsioonilise arengu lepingu (Contratto Istituzionale di Sviluppo) heakskiitmine Itaalia tervishoiuministeeriumi kui vastutava ja rakendava asutusega ning piirkondlike haldusasutuste osalemine koos teiste ühenduse haiglatega seotud üksustega</w:t>
            </w:r>
          </w:p>
          <w:p w14:paraId="7FC9BD18" w14:textId="77777777"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Institutsioonilises arenduslepingus loetletakse kõik investeeringuteks sobivad kohad ning kohustused, mida iga piirkond peab võtma, et tagada kavandatud tulemuse saavutamine. Kui mõni piirkond rikub eeskirju, pöördub tervishoiuministeerium voliniku „ad acta“ poole. Rajatiste tehnoloogiapargi, st kõigi vahendite, litsentside ja ühenduste puhul eelistatakse agregeeritud hankemeetodeid.</w:t>
            </w:r>
          </w:p>
        </w:tc>
      </w:tr>
      <w:tr w:rsidR="00512838" w:rsidRPr="00D90835" w14:paraId="56A60060" w14:textId="77777777" w:rsidTr="5D822CB8">
        <w:trPr>
          <w:trHeight w:val="315"/>
        </w:trPr>
        <w:tc>
          <w:tcPr>
            <w:tcW w:w="1277" w:type="dxa"/>
            <w:shd w:val="clear" w:color="auto" w:fill="C6EFCE"/>
            <w:vAlign w:val="center"/>
          </w:tcPr>
          <w:p w14:paraId="2E5CDC00"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M6C1-11</w:t>
            </w:r>
          </w:p>
        </w:tc>
        <w:tc>
          <w:tcPr>
            <w:tcW w:w="1701" w:type="dxa"/>
            <w:shd w:val="clear" w:color="auto" w:fill="C6EFCE"/>
            <w:vAlign w:val="center"/>
          </w:tcPr>
          <w:p w14:paraId="3B70C83D"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Investeering 1.3. Vahetasandi tervishoiu ja selle rajatiste tugevdamine (kogukonnahaiglad)</w:t>
            </w:r>
          </w:p>
        </w:tc>
        <w:tc>
          <w:tcPr>
            <w:tcW w:w="1134" w:type="dxa"/>
            <w:shd w:val="clear" w:color="auto" w:fill="C6EFCE"/>
            <w:vAlign w:val="center"/>
          </w:tcPr>
          <w:p w14:paraId="70BE96A3"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Siht</w:t>
            </w:r>
          </w:p>
        </w:tc>
        <w:tc>
          <w:tcPr>
            <w:tcW w:w="1417" w:type="dxa"/>
            <w:shd w:val="clear" w:color="auto" w:fill="C6EFCE"/>
            <w:vAlign w:val="center"/>
          </w:tcPr>
          <w:p w14:paraId="5AA5DA2F"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Renoveeritud, omavahel ühendatud ja tehnoloogiliselt varustatud kogukonnahaiglad (esimene partii)</w:t>
            </w:r>
          </w:p>
        </w:tc>
        <w:tc>
          <w:tcPr>
            <w:tcW w:w="1363" w:type="dxa"/>
            <w:shd w:val="clear" w:color="auto" w:fill="C6EFCE"/>
            <w:vAlign w:val="center"/>
          </w:tcPr>
          <w:p w14:paraId="27B0175D"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Ei kohaldata</w:t>
            </w:r>
          </w:p>
        </w:tc>
        <w:tc>
          <w:tcPr>
            <w:tcW w:w="948" w:type="dxa"/>
            <w:shd w:val="clear" w:color="auto" w:fill="C6EFCE"/>
            <w:vAlign w:val="center"/>
          </w:tcPr>
          <w:p w14:paraId="297D1FE8"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Arv</w:t>
            </w:r>
          </w:p>
        </w:tc>
        <w:tc>
          <w:tcPr>
            <w:tcW w:w="950" w:type="dxa"/>
            <w:shd w:val="clear" w:color="auto" w:fill="C6EFCE"/>
            <w:vAlign w:val="center"/>
          </w:tcPr>
          <w:p w14:paraId="403DC7F2"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0</w:t>
            </w:r>
          </w:p>
        </w:tc>
        <w:tc>
          <w:tcPr>
            <w:tcW w:w="992" w:type="dxa"/>
            <w:shd w:val="clear" w:color="auto" w:fill="C6EFCE"/>
            <w:vAlign w:val="center"/>
          </w:tcPr>
          <w:p w14:paraId="1D2C5F64"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307</w:t>
            </w:r>
          </w:p>
        </w:tc>
        <w:tc>
          <w:tcPr>
            <w:tcW w:w="992" w:type="dxa"/>
            <w:shd w:val="clear" w:color="auto" w:fill="C6EFCE"/>
            <w:vAlign w:val="center"/>
          </w:tcPr>
          <w:p w14:paraId="4A5435F3"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2. kv</w:t>
            </w:r>
          </w:p>
        </w:tc>
        <w:tc>
          <w:tcPr>
            <w:tcW w:w="709" w:type="dxa"/>
            <w:shd w:val="clear" w:color="auto" w:fill="C6EFCE"/>
            <w:vAlign w:val="center"/>
          </w:tcPr>
          <w:p w14:paraId="1BA69514"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2026</w:t>
            </w:r>
          </w:p>
        </w:tc>
        <w:tc>
          <w:tcPr>
            <w:tcW w:w="3634" w:type="dxa"/>
            <w:shd w:val="clear" w:color="auto" w:fill="C6EFCE"/>
            <w:vAlign w:val="center"/>
          </w:tcPr>
          <w:p w14:paraId="60B1E606" w14:textId="77777777"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Vähemalt 307 enoveeritud, omavahel ühendatud ja tehnoloogiliselt varustatud kogukonnahaiglad</w:t>
            </w:r>
          </w:p>
          <w:p w14:paraId="23D25224" w14:textId="77777777"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Kogukonnahaiglad on tervishoiuasutused patsientidele, kes vajavad väikeseteralisuse või krooniliste patoloogiate relapside korral väheintensiivseid ja lühiajalisi kliinilisi sekkumisi, mida on võimalik pakkuda kodus, kuid kes on nendesse raviasutustesse vastu võetud kodu (struktuurse ja/või pere) sobimatuse tõttu.</w:t>
            </w:r>
          </w:p>
        </w:tc>
      </w:tr>
    </w:tbl>
    <w:p w14:paraId="15C0E4DA" w14:textId="77777777" w:rsidR="0084326C" w:rsidRPr="00F33804" w:rsidRDefault="0084326C" w:rsidP="0084326C">
      <w:pPr>
        <w:keepNext/>
        <w:tabs>
          <w:tab w:val="left" w:pos="4252"/>
        </w:tabs>
        <w:spacing w:before="720"/>
        <w:jc w:val="both"/>
        <w:rPr>
          <w:i/>
          <w:noProof/>
        </w:rPr>
        <w:sectPr w:rsidR="0084326C" w:rsidRPr="00F33804">
          <w:headerReference w:type="even" r:id="rId380"/>
          <w:headerReference w:type="default" r:id="rId381"/>
          <w:footerReference w:type="even" r:id="rId382"/>
          <w:footerReference w:type="default" r:id="rId383"/>
          <w:headerReference w:type="first" r:id="rId384"/>
          <w:footerReference w:type="first" r:id="rId385"/>
          <w:pgSz w:w="16839" w:h="11907" w:orient="landscape"/>
          <w:pgMar w:top="1417" w:right="1134" w:bottom="1417" w:left="1134" w:header="709" w:footer="709" w:gutter="0"/>
          <w:cols w:space="720"/>
          <w:docGrid w:linePitch="360"/>
        </w:sectPr>
      </w:pPr>
    </w:p>
    <w:p w14:paraId="24184914" w14:textId="77777777" w:rsidR="0084326C" w:rsidRPr="005D68A0" w:rsidRDefault="0084326C" w:rsidP="0084326C">
      <w:pPr>
        <w:pStyle w:val="Heading2"/>
        <w:numPr>
          <w:ilvl w:val="0"/>
          <w:numId w:val="0"/>
        </w:numPr>
        <w:ind w:left="850" w:hanging="850"/>
        <w:rPr>
          <w:noProof/>
        </w:rPr>
      </w:pPr>
      <w:r>
        <w:rPr>
          <w:noProof/>
        </w:rPr>
        <w:t>P. ÜLESANNE 6, KOMPONENT 2: Innovatsioon, teadusuuringud ja riiklike tervishoiuteenuste digiteerimine</w:t>
      </w:r>
    </w:p>
    <w:p w14:paraId="52B83B7D" w14:textId="77777777" w:rsidR="0084326C" w:rsidRPr="005D68A0" w:rsidRDefault="0084326C" w:rsidP="0084326C">
      <w:pPr>
        <w:tabs>
          <w:tab w:val="left" w:pos="1134"/>
        </w:tabs>
        <w:spacing w:before="120" w:after="120"/>
        <w:jc w:val="both"/>
        <w:rPr>
          <w:i/>
          <w:smallCaps/>
          <w:noProof/>
          <w:color w:val="4472C4" w:themeColor="accent1"/>
          <w:lang w:val="en-GB"/>
        </w:rPr>
      </w:pPr>
    </w:p>
    <w:p w14:paraId="00CEFF3C" w14:textId="3BC85738" w:rsidR="0084326C" w:rsidRPr="005D68A0" w:rsidRDefault="0084326C" w:rsidP="0084326C">
      <w:pPr>
        <w:spacing w:before="120" w:after="120"/>
        <w:jc w:val="both"/>
        <w:rPr>
          <w:noProof/>
        </w:rPr>
      </w:pPr>
      <w:r>
        <w:rPr>
          <w:noProof/>
        </w:rPr>
        <w:t>Itaalia taaste- ja vastupidavuskava selle osa eesmärk on tagada vajalikud tingimused riikliku tervishoiusüsteemi vastupanuvõime suurendamiseks järgmiste meetmete abil: i) aegunud tervishoiutehnoloogiate asendamine haiglates; ii) haiglahoonete turvalisuse olulise struktuurse parandamise arendamine; iii) terviseteabesüsteemide ja digitaalsete vahendite parandamine; iv)</w:t>
      </w:r>
      <w:r w:rsidR="002A3241">
        <w:rPr>
          <w:noProof/>
        </w:rPr>
        <w:t> </w:t>
      </w:r>
      <w:r>
        <w:rPr>
          <w:noProof/>
        </w:rPr>
        <w:t>teadusuuringute sektori edendamine ja tugevdamine; v) inimressursside suurendamine.</w:t>
      </w:r>
    </w:p>
    <w:p w14:paraId="20224597" w14:textId="77777777" w:rsidR="0084326C" w:rsidRPr="005D68A0" w:rsidRDefault="0084326C" w:rsidP="0084326C">
      <w:pPr>
        <w:spacing w:before="120" w:after="120"/>
        <w:jc w:val="both"/>
        <w:rPr>
          <w:noProof/>
        </w:rPr>
      </w:pPr>
      <w:r>
        <w:rPr>
          <w:noProof/>
        </w:rPr>
        <w:t>Selle komponendi raames tehtavad investeeringud ja reformid aitavad täita Itaaliale 2020. ja 2019. aastal esitatud riigipõhiseid soovitusi, milles käsitletakse vajadust „tugevdada tervishoiusüsteemi vastupanuvõimet ja suutlikkust tervishoiutöötajate, elutähtsate meditsiinitoodete ja taristu valdkonnas“ (2020. aasta riigipõhine soovitus nr 1), „keskenduda investeeringutele keskkonnasäästlikule ja digitaalsele üleminekule, eelkõige [...] tugevdatud digitaristule, et tagada oluliste teenuste osutamine“ (2020. aasta riigipõhine soovitus nr 3), ning „keskenduda investeeringutega seotud majanduspoliitikas teadusuuringutele ja innovatsioonile ning taristu kvaliteedile, võttes arvesse ka piirkondlikke erinevusi“ (2019. aasta riigipõhine soovitus nr 3). </w:t>
      </w:r>
    </w:p>
    <w:p w14:paraId="5DD46C73" w14:textId="77777777" w:rsidR="0084326C" w:rsidRPr="00F33804" w:rsidRDefault="0084326C" w:rsidP="0084326C">
      <w:pPr>
        <w:spacing w:before="120" w:after="120"/>
        <w:jc w:val="both"/>
        <w:rPr>
          <w:noProof/>
        </w:rPr>
      </w:pPr>
    </w:p>
    <w:p w14:paraId="39515EC4" w14:textId="77777777" w:rsidR="0084326C" w:rsidRPr="005D68A0" w:rsidRDefault="0084326C" w:rsidP="0084326C">
      <w:pPr>
        <w:pStyle w:val="Heading3"/>
        <w:numPr>
          <w:ilvl w:val="0"/>
          <w:numId w:val="0"/>
        </w:numPr>
        <w:ind w:left="850" w:hanging="850"/>
        <w:rPr>
          <w:b/>
          <w:bCs w:val="0"/>
          <w:i w:val="0"/>
          <w:iCs/>
          <w:noProof/>
          <w:u w:val="single"/>
        </w:rPr>
      </w:pPr>
      <w:r>
        <w:rPr>
          <w:b/>
          <w:i w:val="0"/>
          <w:noProof/>
          <w:u w:val="single"/>
        </w:rPr>
        <w:t xml:space="preserve">P.1. </w:t>
      </w:r>
      <w:r>
        <w:rPr>
          <w:noProof/>
        </w:rPr>
        <w:tab/>
      </w:r>
      <w:r>
        <w:rPr>
          <w:b/>
          <w:i w:val="0"/>
          <w:noProof/>
          <w:u w:val="single"/>
        </w:rPr>
        <w:t>Tagastamatu rahalise toetusega seotud reformide ja investeeringute kirjeldus</w:t>
      </w:r>
    </w:p>
    <w:p w14:paraId="01AD656A" w14:textId="77777777" w:rsidR="0084326C" w:rsidRPr="005D68A0" w:rsidRDefault="0084326C" w:rsidP="0084326C">
      <w:pPr>
        <w:spacing w:before="120" w:after="120"/>
        <w:jc w:val="both"/>
        <w:rPr>
          <w:b/>
          <w:noProof/>
        </w:rPr>
      </w:pPr>
      <w:r>
        <w:rPr>
          <w:b/>
          <w:noProof/>
        </w:rPr>
        <w:t>Reform 1. Vaadata läbi ja ajakohastada haiglasse paigutamise ja raviga tegelevate teadusinstituutide (IRCCS) kehtivat õigusraamistikku</w:t>
      </w:r>
    </w:p>
    <w:p w14:paraId="74184FAC" w14:textId="0B19BD0B" w:rsidR="0084326C" w:rsidRPr="005D68A0" w:rsidRDefault="0084326C" w:rsidP="0084326C">
      <w:pPr>
        <w:spacing w:before="120" w:after="160" w:line="259" w:lineRule="auto"/>
        <w:jc w:val="both"/>
        <w:rPr>
          <w:bCs/>
          <w:iCs/>
          <w:noProof/>
        </w:rPr>
      </w:pPr>
      <w:r>
        <w:rPr>
          <w:noProof/>
        </w:rPr>
        <w:t xml:space="preserve">Reformi eesmärk on korraldada ümber haigla- ja hooldusalaste teadusinstituutide võrgustik (IRCCS), et i) parandada riikliku tervishoiusüsteemi kvaliteeti, ii) parandada tervishoiu ja teadusuuringute vahelisi suhteid ning iii) vaadata läbi IRCCSi õiguskord ja teaduspoliitika, mis kuulub Itaalia tervishoiuministeeriumi pädevusse. </w:t>
      </w:r>
    </w:p>
    <w:p w14:paraId="63B57438" w14:textId="6B02C723" w:rsidR="0084326C" w:rsidRPr="005D68A0" w:rsidRDefault="0084326C" w:rsidP="0084326C">
      <w:pPr>
        <w:spacing w:before="120" w:after="160" w:line="259" w:lineRule="auto"/>
        <w:jc w:val="both"/>
        <w:rPr>
          <w:bCs/>
          <w:iCs/>
          <w:noProof/>
        </w:rPr>
      </w:pPr>
      <w:r>
        <w:rPr>
          <w:noProof/>
        </w:rPr>
        <w:t>Reformiga parandatakse avalik-õiguslike teabe- ja kontrollisüsteemide juhtimist, i) tõhustades strateegilist juhtimist, ii) määratledes paremini volitused ja pädevusvaldkonnad ning iii)</w:t>
      </w:r>
      <w:r w:rsidR="002A3241">
        <w:rPr>
          <w:noProof/>
        </w:rPr>
        <w:t> </w:t>
      </w:r>
      <w:r>
        <w:rPr>
          <w:noProof/>
        </w:rPr>
        <w:t xml:space="preserve">määratledes põhjalikult eeskirjad avalik-õiguslike teabe- ja kontrollisüsteemide teadusdirektori ja teadustöötajate staatuse kohta. </w:t>
      </w:r>
    </w:p>
    <w:p w14:paraId="43386721" w14:textId="77777777" w:rsidR="0084326C" w:rsidRPr="005D68A0" w:rsidRDefault="0084326C" w:rsidP="0084326C">
      <w:pPr>
        <w:spacing w:before="120" w:after="160" w:line="259" w:lineRule="auto"/>
        <w:jc w:val="both"/>
        <w:rPr>
          <w:bCs/>
          <w:iCs/>
          <w:noProof/>
        </w:rPr>
      </w:pPr>
      <w:r>
        <w:rPr>
          <w:noProof/>
        </w:rPr>
        <w:t>Ja lõpuks konkreetne alameede, mis eristab IRCCS-e nende tegevuse alusel (üks spetsialiseerunud või üldspetsialist), luues IRCCS- ide integreeritud võrgustiku ning hõlbustades oskusteabe vahetamist IRCCS-ide endi ja teiste Itaalia NHS-i struktuuride vahel.</w:t>
      </w:r>
    </w:p>
    <w:p w14:paraId="65D92E35" w14:textId="77777777" w:rsidR="0084326C" w:rsidRPr="005D68A0" w:rsidRDefault="0084326C" w:rsidP="0084326C">
      <w:pPr>
        <w:spacing w:before="120" w:after="120"/>
        <w:jc w:val="both"/>
        <w:rPr>
          <w:b/>
          <w:bCs/>
          <w:iCs/>
          <w:noProof/>
        </w:rPr>
      </w:pPr>
      <w:r>
        <w:rPr>
          <w:b/>
          <w:noProof/>
        </w:rPr>
        <w:t>Investeering 2.1. NHSi biomeditsiiniliste uuringute tugevdamine ja tõhustamine.</w:t>
      </w:r>
    </w:p>
    <w:p w14:paraId="57CEA38F" w14:textId="3ED8F23D" w:rsidR="0084326C" w:rsidRPr="005D68A0" w:rsidRDefault="0084326C" w:rsidP="0084326C">
      <w:pPr>
        <w:spacing w:before="120" w:after="120"/>
        <w:jc w:val="both"/>
        <w:rPr>
          <w:noProof/>
        </w:rPr>
      </w:pPr>
      <w:r>
        <w:rPr>
          <w:noProof/>
        </w:rPr>
        <w:t>See investeering seisneb biomeditsiiniliste teadusuuringute süsteemi tugevdamises kahe sekkumisliini kaudu: a) kontseptsiooni tõestamise (PoC) projektide rahastamine, millega toetatakse tehnoloogiliselt vähearenenud tehnoloogiate arendamist ning edendatakse tehnoloogia siiret tööstusesse; b) teadusuuringute programmide/projektide rahastamine haruldaste haiguste, haruldaste vähivormide ja muude haiguste valdkonnas, millel on tervisele suur mõju.</w:t>
      </w:r>
    </w:p>
    <w:p w14:paraId="2D658BE7" w14:textId="77777777" w:rsidR="0084326C" w:rsidRPr="00F33804" w:rsidRDefault="0084326C" w:rsidP="0084326C">
      <w:pPr>
        <w:spacing w:before="120" w:after="120"/>
        <w:ind w:left="709"/>
        <w:jc w:val="both"/>
        <w:rPr>
          <w:noProof/>
        </w:rPr>
        <w:sectPr w:rsidR="0084326C" w:rsidRPr="00F33804">
          <w:headerReference w:type="even" r:id="rId386"/>
          <w:headerReference w:type="default" r:id="rId387"/>
          <w:footerReference w:type="even" r:id="rId388"/>
          <w:footerReference w:type="default" r:id="rId389"/>
          <w:headerReference w:type="first" r:id="rId390"/>
          <w:footerReference w:type="first" r:id="rId391"/>
          <w:pgSz w:w="11907" w:h="16839"/>
          <w:pgMar w:top="1134" w:right="1417" w:bottom="1134" w:left="1417" w:header="709" w:footer="709" w:gutter="0"/>
          <w:cols w:space="720"/>
          <w:docGrid w:linePitch="360"/>
        </w:sectPr>
      </w:pPr>
    </w:p>
    <w:p w14:paraId="2BB4E66D" w14:textId="77777777" w:rsidR="0084326C" w:rsidRPr="005D68A0" w:rsidRDefault="0084326C" w:rsidP="0084326C">
      <w:pPr>
        <w:spacing w:before="120" w:after="120"/>
        <w:jc w:val="both"/>
        <w:rPr>
          <w:b/>
          <w:bCs/>
          <w:i/>
          <w:iCs/>
          <w:noProof/>
          <w:u w:val="single"/>
        </w:rPr>
      </w:pPr>
      <w:r>
        <w:rPr>
          <w:b/>
          <w:noProof/>
          <w:u w:val="single"/>
        </w:rPr>
        <w:t xml:space="preserve">P.2. </w:t>
      </w:r>
      <w:r>
        <w:rPr>
          <w:noProof/>
        </w:rPr>
        <w:tab/>
      </w:r>
      <w:r>
        <w:rPr>
          <w:b/>
          <w:noProof/>
          <w:u w:val="single"/>
        </w:rPr>
        <w:t>Tagastamatu rahalise toetuse eesmärgid, sihid, näitajad ning seire ja rakendamise ajakava</w:t>
      </w:r>
    </w:p>
    <w:tbl>
      <w:tblPr>
        <w:tblW w:w="5000" w:type="pct"/>
        <w:tblInd w:w="113" w:type="dxa"/>
        <w:tblLayout w:type="fixed"/>
        <w:tblLook w:val="04A0" w:firstRow="1" w:lastRow="0" w:firstColumn="1" w:lastColumn="0" w:noHBand="0" w:noVBand="1"/>
      </w:tblPr>
      <w:tblGrid>
        <w:gridCol w:w="1158"/>
        <w:gridCol w:w="1985"/>
        <w:gridCol w:w="1275"/>
        <w:gridCol w:w="1843"/>
        <w:gridCol w:w="1701"/>
        <w:gridCol w:w="992"/>
        <w:gridCol w:w="1134"/>
        <w:gridCol w:w="851"/>
        <w:gridCol w:w="850"/>
        <w:gridCol w:w="709"/>
        <w:gridCol w:w="2891"/>
      </w:tblGrid>
      <w:tr w:rsidR="0084326C" w:rsidRPr="00D90835" w14:paraId="4CADA181" w14:textId="77777777">
        <w:trPr>
          <w:trHeight w:val="927"/>
          <w:tblHeader/>
        </w:trPr>
        <w:tc>
          <w:tcPr>
            <w:tcW w:w="115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5F89E57" w14:textId="77777777" w:rsidR="0084326C" w:rsidRPr="005D68A0" w:rsidRDefault="0084326C">
            <w:pPr>
              <w:spacing w:before="120" w:after="120"/>
              <w:jc w:val="center"/>
              <w:rPr>
                <w:rFonts w:ascii="Arial Narrow" w:hAnsi="Arial Narrow"/>
                <w:b/>
                <w:noProof/>
                <w:sz w:val="20"/>
                <w:szCs w:val="20"/>
              </w:rPr>
            </w:pPr>
            <w:r>
              <w:rPr>
                <w:rFonts w:ascii="Arial Narrow" w:hAnsi="Arial Narrow"/>
                <w:b/>
                <w:noProof/>
                <w:sz w:val="20"/>
              </w:rPr>
              <w:t>Järjekorranumber</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DDF5908" w14:textId="77777777" w:rsidR="0084326C" w:rsidRPr="005D68A0" w:rsidRDefault="0084326C">
            <w:pPr>
              <w:spacing w:before="120" w:after="120"/>
              <w:jc w:val="center"/>
              <w:rPr>
                <w:rFonts w:ascii="Arial Narrow" w:hAnsi="Arial Narrow"/>
                <w:b/>
                <w:noProof/>
                <w:sz w:val="20"/>
                <w:szCs w:val="20"/>
              </w:rPr>
            </w:pPr>
            <w:r>
              <w:rPr>
                <w:rFonts w:ascii="Arial Narrow" w:hAnsi="Arial Narrow"/>
                <w:b/>
                <w:noProof/>
                <w:sz w:val="20"/>
              </w:rPr>
              <w:t>Seotud meede (reform või investeering)</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C675130" w14:textId="77777777" w:rsidR="0084326C" w:rsidRPr="005D68A0" w:rsidRDefault="0084326C">
            <w:pPr>
              <w:spacing w:before="120" w:after="120"/>
              <w:jc w:val="center"/>
              <w:rPr>
                <w:rFonts w:ascii="Arial Narrow" w:hAnsi="Arial Narrow"/>
                <w:b/>
                <w:noProof/>
                <w:sz w:val="20"/>
                <w:szCs w:val="20"/>
              </w:rPr>
            </w:pPr>
            <w:r>
              <w:rPr>
                <w:rFonts w:ascii="Arial Narrow" w:hAnsi="Arial Narrow"/>
                <w:b/>
                <w:noProof/>
                <w:sz w:val="20"/>
              </w:rPr>
              <w:t>Eesmärk / siht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2A26AA3" w14:textId="77777777" w:rsidR="0084326C" w:rsidRPr="005D68A0" w:rsidRDefault="0084326C">
            <w:pPr>
              <w:spacing w:before="120" w:after="120"/>
              <w:jc w:val="center"/>
              <w:rPr>
                <w:rFonts w:ascii="Arial Narrow" w:hAnsi="Arial Narrow"/>
                <w:b/>
                <w:noProof/>
                <w:sz w:val="20"/>
                <w:szCs w:val="20"/>
              </w:rPr>
            </w:pPr>
            <w:r>
              <w:rPr>
                <w:rFonts w:ascii="Arial Narrow" w:hAnsi="Arial Narrow"/>
                <w:b/>
                <w:noProof/>
                <w:sz w:val="20"/>
              </w:rPr>
              <w:t>Nimi</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BE1E501" w14:textId="77777777" w:rsidR="0084326C" w:rsidRPr="005D68A0" w:rsidRDefault="0084326C">
            <w:pPr>
              <w:spacing w:before="120" w:after="120"/>
              <w:jc w:val="center"/>
              <w:rPr>
                <w:rFonts w:ascii="Arial Narrow" w:hAnsi="Arial Narrow"/>
                <w:b/>
                <w:noProof/>
                <w:sz w:val="20"/>
                <w:szCs w:val="20"/>
              </w:rPr>
            </w:pPr>
            <w:r>
              <w:rPr>
                <w:rFonts w:ascii="Arial Narrow" w:hAnsi="Arial Narrow"/>
                <w:b/>
                <w:noProof/>
                <w:sz w:val="20"/>
              </w:rPr>
              <w:t>Kvalitatiivsed näitajad</w:t>
            </w:r>
            <w:r>
              <w:rPr>
                <w:noProof/>
              </w:rPr>
              <w:t xml:space="preserve"> </w:t>
            </w:r>
            <w:r>
              <w:rPr>
                <w:noProof/>
              </w:rPr>
              <w:br/>
            </w:r>
            <w:r>
              <w:rPr>
                <w:rFonts w:ascii="Arial Narrow" w:hAnsi="Arial Narrow"/>
                <w:b/>
                <w:noProof/>
                <w:sz w:val="20"/>
              </w:rPr>
              <w:t>(eesmärkide puhul)</w:t>
            </w:r>
          </w:p>
        </w:tc>
        <w:tc>
          <w:tcPr>
            <w:tcW w:w="2977"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741B1F84" w14:textId="77777777" w:rsidR="0084326C" w:rsidRPr="005D68A0" w:rsidRDefault="0084326C">
            <w:pPr>
              <w:spacing w:before="120" w:after="120"/>
              <w:jc w:val="center"/>
              <w:rPr>
                <w:rFonts w:ascii="Arial Narrow" w:hAnsi="Arial Narrow"/>
                <w:b/>
                <w:noProof/>
                <w:sz w:val="20"/>
                <w:szCs w:val="20"/>
              </w:rPr>
            </w:pPr>
            <w:r>
              <w:rPr>
                <w:rFonts w:ascii="Arial Narrow" w:hAnsi="Arial Narrow"/>
                <w:b/>
                <w:noProof/>
                <w:sz w:val="20"/>
              </w:rPr>
              <w:t xml:space="preserve">Kvantitatiivsed näitajad </w:t>
            </w:r>
            <w:r>
              <w:rPr>
                <w:noProof/>
              </w:rPr>
              <w:br/>
            </w:r>
            <w:r>
              <w:rPr>
                <w:rFonts w:ascii="Arial Narrow" w:hAnsi="Arial Narrow"/>
                <w:b/>
                <w:noProof/>
                <w:sz w:val="20"/>
              </w:rPr>
              <w:t>(sihtide puhul)</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14:paraId="4F950815" w14:textId="77777777" w:rsidR="0084326C" w:rsidRPr="005D68A0" w:rsidRDefault="0084326C">
            <w:pPr>
              <w:spacing w:before="120" w:after="120"/>
              <w:jc w:val="center"/>
              <w:rPr>
                <w:rFonts w:ascii="Arial Narrow" w:hAnsi="Arial Narrow"/>
                <w:b/>
                <w:noProof/>
                <w:sz w:val="20"/>
                <w:szCs w:val="20"/>
              </w:rPr>
            </w:pPr>
            <w:r>
              <w:rPr>
                <w:rFonts w:ascii="Arial Narrow" w:hAnsi="Arial Narrow"/>
                <w:b/>
                <w:noProof/>
                <w:sz w:val="20"/>
              </w:rPr>
              <w:t>Lõpuleviimise soovituslik ajakava</w:t>
            </w:r>
          </w:p>
        </w:tc>
        <w:tc>
          <w:tcPr>
            <w:tcW w:w="289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363F4A8" w14:textId="77777777" w:rsidR="0084326C" w:rsidRPr="005D68A0" w:rsidRDefault="0084326C">
            <w:pPr>
              <w:spacing w:before="120" w:after="120"/>
              <w:jc w:val="center"/>
              <w:rPr>
                <w:rFonts w:ascii="Arial Narrow" w:hAnsi="Arial Narrow"/>
                <w:b/>
                <w:noProof/>
                <w:sz w:val="20"/>
                <w:szCs w:val="20"/>
              </w:rPr>
            </w:pPr>
            <w:r>
              <w:rPr>
                <w:rFonts w:ascii="Arial Narrow" w:hAnsi="Arial Narrow"/>
                <w:b/>
                <w:noProof/>
                <w:sz w:val="20"/>
              </w:rPr>
              <w:t>Iga eesmärgi ja sihi kirjeldus</w:t>
            </w:r>
          </w:p>
        </w:tc>
      </w:tr>
      <w:tr w:rsidR="0084326C" w:rsidRPr="005D68A0" w14:paraId="53B597B1" w14:textId="77777777">
        <w:trPr>
          <w:trHeight w:val="703"/>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3C19AEDA" w14:textId="77777777" w:rsidR="0084326C" w:rsidRPr="00F33804" w:rsidRDefault="0084326C">
            <w:pPr>
              <w:spacing w:before="120" w:after="120"/>
              <w:jc w:val="center"/>
              <w:rPr>
                <w:rFonts w:ascii="Arial Narrow" w:hAnsi="Arial Narrow"/>
                <w:b/>
                <w:bCs/>
                <w:noProof/>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055A4A2" w14:textId="77777777" w:rsidR="0084326C" w:rsidRPr="00F33804" w:rsidRDefault="0084326C">
            <w:pPr>
              <w:spacing w:before="120" w:after="120"/>
              <w:jc w:val="center"/>
              <w:rPr>
                <w:rFonts w:ascii="Arial Narrow" w:hAnsi="Arial Narrow"/>
                <w:b/>
                <w:bCs/>
                <w:noProof/>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099A09C" w14:textId="77777777" w:rsidR="0084326C" w:rsidRPr="00F33804" w:rsidRDefault="0084326C">
            <w:pPr>
              <w:spacing w:before="120" w:after="120"/>
              <w:jc w:val="center"/>
              <w:rPr>
                <w:rFonts w:ascii="Arial Narrow" w:hAnsi="Arial Narrow"/>
                <w:b/>
                <w:bCs/>
                <w:noProof/>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0B35EA3" w14:textId="77777777" w:rsidR="0084326C" w:rsidRPr="00F33804" w:rsidRDefault="0084326C">
            <w:pPr>
              <w:spacing w:before="120" w:after="120"/>
              <w:jc w:val="center"/>
              <w:rPr>
                <w:rFonts w:ascii="Arial Narrow" w:hAnsi="Arial Narrow"/>
                <w:b/>
                <w:bCs/>
                <w:noProof/>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C423E26" w14:textId="77777777" w:rsidR="0084326C" w:rsidRPr="00F33804" w:rsidRDefault="0084326C">
            <w:pPr>
              <w:spacing w:before="120" w:after="120"/>
              <w:jc w:val="center"/>
              <w:rPr>
                <w:rFonts w:ascii="Arial Narrow" w:hAnsi="Arial Narrow"/>
                <w:b/>
                <w:bCs/>
                <w:noProof/>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245714B8" w14:textId="77777777" w:rsidR="0084326C" w:rsidRPr="005D68A0" w:rsidRDefault="0084326C">
            <w:pPr>
              <w:spacing w:before="120" w:after="120"/>
              <w:jc w:val="center"/>
              <w:rPr>
                <w:rFonts w:ascii="Arial Narrow" w:hAnsi="Arial Narrow"/>
                <w:b/>
                <w:noProof/>
                <w:sz w:val="20"/>
                <w:szCs w:val="20"/>
              </w:rPr>
            </w:pPr>
            <w:r>
              <w:rPr>
                <w:rFonts w:ascii="Arial Narrow" w:hAnsi="Arial Narrow"/>
                <w:b/>
                <w:noProof/>
                <w:sz w:val="20"/>
              </w:rPr>
              <w:t>Mõõtühik</w:t>
            </w:r>
          </w:p>
        </w:tc>
        <w:tc>
          <w:tcPr>
            <w:tcW w:w="1134" w:type="dxa"/>
            <w:tcBorders>
              <w:top w:val="single" w:sz="4" w:space="0" w:color="auto"/>
              <w:left w:val="nil"/>
              <w:bottom w:val="single" w:sz="4" w:space="0" w:color="auto"/>
              <w:right w:val="single" w:sz="4" w:space="0" w:color="auto"/>
            </w:tcBorders>
            <w:shd w:val="clear" w:color="auto" w:fill="BDD7EE"/>
            <w:vAlign w:val="center"/>
            <w:hideMark/>
          </w:tcPr>
          <w:p w14:paraId="3BC29350" w14:textId="77777777" w:rsidR="0084326C" w:rsidRPr="005D68A0" w:rsidRDefault="0084326C">
            <w:pPr>
              <w:spacing w:before="120" w:after="120"/>
              <w:jc w:val="center"/>
              <w:rPr>
                <w:rFonts w:ascii="Arial Narrow" w:hAnsi="Arial Narrow"/>
                <w:b/>
                <w:noProof/>
                <w:sz w:val="20"/>
                <w:szCs w:val="20"/>
              </w:rPr>
            </w:pPr>
            <w:r>
              <w:rPr>
                <w:rFonts w:ascii="Arial Narrow" w:hAnsi="Arial Narrow"/>
                <w:b/>
                <w:noProof/>
                <w:sz w:val="20"/>
              </w:rPr>
              <w:t>Lähtetase</w:t>
            </w:r>
          </w:p>
        </w:tc>
        <w:tc>
          <w:tcPr>
            <w:tcW w:w="851" w:type="dxa"/>
            <w:tcBorders>
              <w:top w:val="single" w:sz="4" w:space="0" w:color="auto"/>
              <w:left w:val="nil"/>
              <w:bottom w:val="single" w:sz="4" w:space="0" w:color="auto"/>
              <w:right w:val="single" w:sz="4" w:space="0" w:color="auto"/>
            </w:tcBorders>
            <w:shd w:val="clear" w:color="auto" w:fill="BDD7EE"/>
            <w:vAlign w:val="center"/>
            <w:hideMark/>
          </w:tcPr>
          <w:p w14:paraId="329A2DF1" w14:textId="77777777" w:rsidR="0084326C" w:rsidRPr="005D68A0" w:rsidRDefault="0084326C">
            <w:pPr>
              <w:spacing w:before="120" w:after="120"/>
              <w:jc w:val="center"/>
              <w:rPr>
                <w:rFonts w:ascii="Arial Narrow" w:hAnsi="Arial Narrow"/>
                <w:b/>
                <w:noProof/>
                <w:sz w:val="20"/>
                <w:szCs w:val="20"/>
              </w:rPr>
            </w:pPr>
            <w:r>
              <w:rPr>
                <w:rFonts w:ascii="Arial Narrow" w:hAnsi="Arial Narrow"/>
                <w:b/>
                <w:noProof/>
                <w:sz w:val="20"/>
              </w:rPr>
              <w:t>Eesmärk</w:t>
            </w:r>
          </w:p>
        </w:tc>
        <w:tc>
          <w:tcPr>
            <w:tcW w:w="850" w:type="dxa"/>
            <w:tcBorders>
              <w:top w:val="single" w:sz="4" w:space="0" w:color="auto"/>
              <w:left w:val="nil"/>
              <w:bottom w:val="single" w:sz="4" w:space="0" w:color="auto"/>
              <w:right w:val="single" w:sz="4" w:space="0" w:color="auto"/>
            </w:tcBorders>
            <w:shd w:val="clear" w:color="auto" w:fill="BDD7EE"/>
            <w:vAlign w:val="center"/>
            <w:hideMark/>
          </w:tcPr>
          <w:p w14:paraId="5FE15422" w14:textId="77777777" w:rsidR="0084326C" w:rsidRPr="005D68A0" w:rsidRDefault="0084326C">
            <w:pPr>
              <w:spacing w:before="120" w:after="120"/>
              <w:jc w:val="center"/>
              <w:rPr>
                <w:rFonts w:ascii="Arial Narrow" w:hAnsi="Arial Narrow"/>
                <w:b/>
                <w:noProof/>
                <w:sz w:val="20"/>
                <w:szCs w:val="20"/>
              </w:rPr>
            </w:pPr>
            <w:r>
              <w:rPr>
                <w:rFonts w:ascii="Arial Narrow" w:hAnsi="Arial Narrow"/>
                <w:b/>
                <w:noProof/>
                <w:sz w:val="20"/>
              </w:rPr>
              <w:t>Kvartal</w:t>
            </w:r>
          </w:p>
        </w:tc>
        <w:tc>
          <w:tcPr>
            <w:tcW w:w="709" w:type="dxa"/>
            <w:tcBorders>
              <w:top w:val="single" w:sz="4" w:space="0" w:color="auto"/>
              <w:left w:val="nil"/>
              <w:bottom w:val="single" w:sz="4" w:space="0" w:color="auto"/>
              <w:right w:val="single" w:sz="4" w:space="0" w:color="auto"/>
            </w:tcBorders>
            <w:shd w:val="clear" w:color="auto" w:fill="BDD7EE"/>
            <w:vAlign w:val="center"/>
            <w:hideMark/>
          </w:tcPr>
          <w:p w14:paraId="62659788" w14:textId="77777777" w:rsidR="0084326C" w:rsidRPr="005D68A0" w:rsidRDefault="0084326C">
            <w:pPr>
              <w:spacing w:before="120" w:after="120"/>
              <w:jc w:val="center"/>
              <w:rPr>
                <w:rFonts w:ascii="Arial Narrow" w:hAnsi="Arial Narrow"/>
                <w:b/>
                <w:noProof/>
                <w:sz w:val="20"/>
                <w:szCs w:val="20"/>
              </w:rPr>
            </w:pPr>
            <w:r>
              <w:rPr>
                <w:rFonts w:ascii="Arial Narrow" w:hAnsi="Arial Narrow"/>
                <w:b/>
                <w:noProof/>
                <w:sz w:val="20"/>
              </w:rPr>
              <w:t>Aasta</w:t>
            </w:r>
          </w:p>
        </w:tc>
        <w:tc>
          <w:tcPr>
            <w:tcW w:w="2891" w:type="dxa"/>
            <w:vMerge/>
            <w:tcBorders>
              <w:top w:val="single" w:sz="4" w:space="0" w:color="auto"/>
              <w:bottom w:val="single" w:sz="4" w:space="0" w:color="auto"/>
              <w:right w:val="single" w:sz="4" w:space="0" w:color="auto"/>
            </w:tcBorders>
            <w:vAlign w:val="center"/>
            <w:hideMark/>
          </w:tcPr>
          <w:p w14:paraId="6E732DEC" w14:textId="77777777" w:rsidR="0084326C" w:rsidRPr="005D68A0" w:rsidRDefault="0084326C">
            <w:pPr>
              <w:spacing w:before="120" w:after="120"/>
              <w:rPr>
                <w:rFonts w:ascii="Arial Narrow" w:hAnsi="Arial Narrow"/>
                <w:b/>
                <w:bCs/>
                <w:noProof/>
                <w:sz w:val="20"/>
                <w:szCs w:val="20"/>
                <w:lang w:val="en-GB"/>
              </w:rPr>
            </w:pPr>
          </w:p>
        </w:tc>
      </w:tr>
      <w:tr w:rsidR="0084326C" w:rsidRPr="00D90835" w14:paraId="59728AA3" w14:textId="77777777">
        <w:trPr>
          <w:trHeight w:val="309"/>
        </w:trPr>
        <w:tc>
          <w:tcPr>
            <w:tcW w:w="115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893CEF"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M6C2-1</w:t>
            </w:r>
          </w:p>
        </w:tc>
        <w:tc>
          <w:tcPr>
            <w:tcW w:w="1985" w:type="dxa"/>
            <w:tcBorders>
              <w:top w:val="single" w:sz="4" w:space="0" w:color="auto"/>
              <w:left w:val="nil"/>
              <w:bottom w:val="single" w:sz="4" w:space="0" w:color="auto"/>
              <w:right w:val="single" w:sz="4" w:space="0" w:color="auto"/>
            </w:tcBorders>
            <w:shd w:val="clear" w:color="auto" w:fill="C6EFCE"/>
            <w:noWrap/>
            <w:vAlign w:val="center"/>
          </w:tcPr>
          <w:p w14:paraId="43F3A2A5"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Reform 1. Vaadata läbi ja ajakohastada tervishoiuministeeriumi kliinikumi- ja hooldusalaste teadusinstituutide (IRCCS) ning teaduspoliitika kehtivat õigusraamistikku, et tugevdada teadusuuringute, innovatsiooni ja tervishoiu vahelist seost</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14:paraId="74B37DAA"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Eesmärk</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24E8C7EA"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Jõustus seadusandlik dekreet, millega nähakse ette haiglaravi ja raviga tegelevate teadusinstituutide (IRCSS) eeskirjade ümberkorraldamine</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114A17E1" w14:textId="63D01A54"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 xml:space="preserve">Määruse jõustumisele viitav säte </w:t>
            </w:r>
          </w:p>
        </w:tc>
        <w:tc>
          <w:tcPr>
            <w:tcW w:w="992" w:type="dxa"/>
            <w:tcBorders>
              <w:top w:val="nil"/>
              <w:left w:val="nil"/>
              <w:bottom w:val="single" w:sz="4" w:space="0" w:color="auto"/>
              <w:right w:val="single" w:sz="4" w:space="0" w:color="auto"/>
            </w:tcBorders>
            <w:shd w:val="clear" w:color="auto" w:fill="C6EFCE"/>
            <w:noWrap/>
            <w:vAlign w:val="center"/>
          </w:tcPr>
          <w:p w14:paraId="6282CB3C"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Ei kohaldata</w:t>
            </w:r>
          </w:p>
        </w:tc>
        <w:tc>
          <w:tcPr>
            <w:tcW w:w="1134" w:type="dxa"/>
            <w:tcBorders>
              <w:top w:val="nil"/>
              <w:left w:val="nil"/>
              <w:bottom w:val="single" w:sz="4" w:space="0" w:color="auto"/>
              <w:right w:val="single" w:sz="4" w:space="0" w:color="auto"/>
            </w:tcBorders>
            <w:shd w:val="clear" w:color="auto" w:fill="C6EFCE"/>
            <w:noWrap/>
            <w:vAlign w:val="center"/>
          </w:tcPr>
          <w:p w14:paraId="4EBB94FD"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Ei kohaldata</w:t>
            </w:r>
          </w:p>
        </w:tc>
        <w:tc>
          <w:tcPr>
            <w:tcW w:w="851" w:type="dxa"/>
            <w:tcBorders>
              <w:top w:val="nil"/>
              <w:left w:val="nil"/>
              <w:bottom w:val="single" w:sz="4" w:space="0" w:color="auto"/>
              <w:right w:val="single" w:sz="4" w:space="0" w:color="auto"/>
            </w:tcBorders>
            <w:shd w:val="clear" w:color="auto" w:fill="C6EFCE"/>
            <w:noWrap/>
            <w:vAlign w:val="center"/>
          </w:tcPr>
          <w:p w14:paraId="0D4F7FBC"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Ei kohaldata</w:t>
            </w:r>
          </w:p>
        </w:tc>
        <w:tc>
          <w:tcPr>
            <w:tcW w:w="850" w:type="dxa"/>
            <w:tcBorders>
              <w:top w:val="nil"/>
              <w:left w:val="nil"/>
              <w:bottom w:val="single" w:sz="4" w:space="0" w:color="auto"/>
              <w:right w:val="single" w:sz="4" w:space="0" w:color="auto"/>
            </w:tcBorders>
            <w:shd w:val="clear" w:color="auto" w:fill="C6EFCE"/>
            <w:noWrap/>
            <w:vAlign w:val="center"/>
          </w:tcPr>
          <w:p w14:paraId="3DE41043"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4. kv</w:t>
            </w:r>
          </w:p>
        </w:tc>
        <w:tc>
          <w:tcPr>
            <w:tcW w:w="709" w:type="dxa"/>
            <w:tcBorders>
              <w:top w:val="nil"/>
              <w:left w:val="nil"/>
              <w:bottom w:val="single" w:sz="4" w:space="0" w:color="auto"/>
              <w:right w:val="single" w:sz="4" w:space="0" w:color="auto"/>
            </w:tcBorders>
            <w:shd w:val="clear" w:color="auto" w:fill="C6EFCE"/>
            <w:noWrap/>
            <w:vAlign w:val="center"/>
          </w:tcPr>
          <w:p w14:paraId="7150A052"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2022</w:t>
            </w:r>
          </w:p>
        </w:tc>
        <w:tc>
          <w:tcPr>
            <w:tcW w:w="2891" w:type="dxa"/>
            <w:tcBorders>
              <w:top w:val="single" w:sz="4" w:space="0" w:color="auto"/>
              <w:left w:val="nil"/>
              <w:bottom w:val="single" w:sz="4" w:space="0" w:color="auto"/>
              <w:right w:val="single" w:sz="4" w:space="0" w:color="auto"/>
            </w:tcBorders>
            <w:shd w:val="clear" w:color="auto" w:fill="C6EFCE"/>
            <w:noWrap/>
            <w:vAlign w:val="center"/>
          </w:tcPr>
          <w:p w14:paraId="3D235CA8" w14:textId="77777777"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Reformiga korraldatakse ümber IRCCSi võrgustik, et parandada NHSi kvaliteeti ja tipptaset, parandades tervise ja teadusuuringute vahelisi suhteid, vaadates läbi IRCCSi õiguskorra ja teaduspoliitika, mis kuulub Itaalia tervishoiuministeeriumi pädevusse.</w:t>
            </w:r>
          </w:p>
          <w:p w14:paraId="10A65E0B" w14:textId="77777777"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Reform hõlmab meetmeid, mille eesmärk on: i) tugevdada seost teadusuuringute, innovatsiooni ja tervishoiu vahel; ii) parandada avalik-õiguslike sisserände kontaktametnike juhtimist, tõhustades strateegilist juhtimist ning määratledes paremini volitused ja pädevusvaldkonnad.</w:t>
            </w:r>
          </w:p>
        </w:tc>
      </w:tr>
      <w:tr w:rsidR="0084326C" w:rsidRPr="00D90835" w14:paraId="44151C62" w14:textId="77777777">
        <w:trPr>
          <w:trHeight w:val="309"/>
        </w:trPr>
        <w:tc>
          <w:tcPr>
            <w:tcW w:w="1158" w:type="dxa"/>
            <w:tcBorders>
              <w:top w:val="nil"/>
              <w:left w:val="single" w:sz="4" w:space="0" w:color="auto"/>
              <w:bottom w:val="single" w:sz="4" w:space="0" w:color="auto"/>
              <w:right w:val="single" w:sz="4" w:space="0" w:color="auto"/>
            </w:tcBorders>
            <w:shd w:val="clear" w:color="auto" w:fill="C6EFCE"/>
            <w:noWrap/>
            <w:vAlign w:val="center"/>
            <w:hideMark/>
          </w:tcPr>
          <w:p w14:paraId="1A3D635D"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M6C2-2</w:t>
            </w:r>
          </w:p>
        </w:tc>
        <w:tc>
          <w:tcPr>
            <w:tcW w:w="1985" w:type="dxa"/>
            <w:tcBorders>
              <w:top w:val="nil"/>
              <w:left w:val="nil"/>
              <w:bottom w:val="single" w:sz="4" w:space="0" w:color="auto"/>
              <w:right w:val="single" w:sz="4" w:space="0" w:color="auto"/>
            </w:tcBorders>
            <w:shd w:val="clear" w:color="auto" w:fill="C6EFCE"/>
            <w:noWrap/>
            <w:vAlign w:val="center"/>
            <w:hideMark/>
          </w:tcPr>
          <w:p w14:paraId="40199996"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Investeering 2.1. NHSi biomeditsiiniliste uuringute tugevdamine ja tõhustamine.</w:t>
            </w:r>
          </w:p>
        </w:tc>
        <w:tc>
          <w:tcPr>
            <w:tcW w:w="1275" w:type="dxa"/>
            <w:tcBorders>
              <w:top w:val="nil"/>
              <w:left w:val="nil"/>
              <w:bottom w:val="single" w:sz="4" w:space="0" w:color="auto"/>
              <w:right w:val="single" w:sz="4" w:space="0" w:color="auto"/>
            </w:tcBorders>
            <w:shd w:val="clear" w:color="auto" w:fill="C6EFCE"/>
            <w:noWrap/>
            <w:vAlign w:val="center"/>
            <w:hideMark/>
          </w:tcPr>
          <w:p w14:paraId="3125EF2D"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Siht</w:t>
            </w:r>
          </w:p>
        </w:tc>
        <w:tc>
          <w:tcPr>
            <w:tcW w:w="1843" w:type="dxa"/>
            <w:tcBorders>
              <w:top w:val="nil"/>
              <w:left w:val="nil"/>
              <w:bottom w:val="single" w:sz="4" w:space="0" w:color="auto"/>
              <w:right w:val="single" w:sz="4" w:space="0" w:color="auto"/>
            </w:tcBorders>
            <w:shd w:val="clear" w:color="auto" w:fill="C6EFCE"/>
            <w:noWrap/>
            <w:vAlign w:val="center"/>
            <w:hideMark/>
          </w:tcPr>
          <w:p w14:paraId="17556977"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Haruldasi vähktõbe ja haigusi käsitlevad rahastatud uurimisprojektid</w:t>
            </w:r>
          </w:p>
        </w:tc>
        <w:tc>
          <w:tcPr>
            <w:tcW w:w="1701" w:type="dxa"/>
            <w:tcBorders>
              <w:top w:val="nil"/>
              <w:left w:val="nil"/>
              <w:bottom w:val="single" w:sz="4" w:space="0" w:color="auto"/>
              <w:right w:val="single" w:sz="4" w:space="0" w:color="auto"/>
            </w:tcBorders>
            <w:shd w:val="clear" w:color="auto" w:fill="C6EFCE"/>
            <w:noWrap/>
            <w:vAlign w:val="center"/>
          </w:tcPr>
          <w:p w14:paraId="42BBC516"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Ei kohaldata</w:t>
            </w:r>
          </w:p>
        </w:tc>
        <w:tc>
          <w:tcPr>
            <w:tcW w:w="992" w:type="dxa"/>
            <w:tcBorders>
              <w:top w:val="nil"/>
              <w:left w:val="nil"/>
              <w:bottom w:val="single" w:sz="4" w:space="0" w:color="auto"/>
              <w:right w:val="single" w:sz="4" w:space="0" w:color="auto"/>
            </w:tcBorders>
            <w:shd w:val="clear" w:color="auto" w:fill="C6EFCE"/>
            <w:noWrap/>
            <w:vAlign w:val="center"/>
            <w:hideMark/>
          </w:tcPr>
          <w:p w14:paraId="3884A214"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Arv</w:t>
            </w:r>
          </w:p>
        </w:tc>
        <w:tc>
          <w:tcPr>
            <w:tcW w:w="1134" w:type="dxa"/>
            <w:tcBorders>
              <w:top w:val="nil"/>
              <w:left w:val="nil"/>
              <w:bottom w:val="single" w:sz="4" w:space="0" w:color="auto"/>
              <w:right w:val="single" w:sz="4" w:space="0" w:color="auto"/>
            </w:tcBorders>
            <w:shd w:val="clear" w:color="auto" w:fill="C6EFCE"/>
            <w:noWrap/>
            <w:vAlign w:val="center"/>
            <w:hideMark/>
          </w:tcPr>
          <w:p w14:paraId="534A9EE0"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0</w:t>
            </w:r>
          </w:p>
        </w:tc>
        <w:tc>
          <w:tcPr>
            <w:tcW w:w="851" w:type="dxa"/>
            <w:tcBorders>
              <w:top w:val="nil"/>
              <w:left w:val="nil"/>
              <w:bottom w:val="single" w:sz="4" w:space="0" w:color="auto"/>
              <w:right w:val="single" w:sz="4" w:space="0" w:color="auto"/>
            </w:tcBorders>
            <w:shd w:val="clear" w:color="auto" w:fill="C6EFCE"/>
            <w:noWrap/>
            <w:vAlign w:val="center"/>
            <w:hideMark/>
          </w:tcPr>
          <w:p w14:paraId="70BDC765"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100</w:t>
            </w:r>
          </w:p>
        </w:tc>
        <w:tc>
          <w:tcPr>
            <w:tcW w:w="850" w:type="dxa"/>
            <w:tcBorders>
              <w:top w:val="nil"/>
              <w:left w:val="nil"/>
              <w:bottom w:val="single" w:sz="4" w:space="0" w:color="auto"/>
              <w:right w:val="single" w:sz="4" w:space="0" w:color="auto"/>
            </w:tcBorders>
            <w:shd w:val="clear" w:color="auto" w:fill="C6EFCE"/>
            <w:noWrap/>
            <w:vAlign w:val="center"/>
            <w:hideMark/>
          </w:tcPr>
          <w:p w14:paraId="3B976D98"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4. kv</w:t>
            </w:r>
          </w:p>
        </w:tc>
        <w:tc>
          <w:tcPr>
            <w:tcW w:w="709" w:type="dxa"/>
            <w:tcBorders>
              <w:top w:val="nil"/>
              <w:left w:val="nil"/>
              <w:bottom w:val="single" w:sz="4" w:space="0" w:color="auto"/>
              <w:right w:val="single" w:sz="4" w:space="0" w:color="auto"/>
            </w:tcBorders>
            <w:shd w:val="clear" w:color="auto" w:fill="C6EFCE"/>
            <w:noWrap/>
            <w:vAlign w:val="center"/>
            <w:hideMark/>
          </w:tcPr>
          <w:p w14:paraId="3B543C75"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2025</w:t>
            </w:r>
          </w:p>
        </w:tc>
        <w:tc>
          <w:tcPr>
            <w:tcW w:w="2891" w:type="dxa"/>
            <w:tcBorders>
              <w:top w:val="nil"/>
              <w:left w:val="nil"/>
              <w:bottom w:val="single" w:sz="4" w:space="0" w:color="auto"/>
              <w:right w:val="single" w:sz="4" w:space="0" w:color="auto"/>
            </w:tcBorders>
            <w:shd w:val="clear" w:color="auto" w:fill="C6EFCE"/>
            <w:noWrap/>
            <w:vAlign w:val="center"/>
            <w:hideMark/>
          </w:tcPr>
          <w:p w14:paraId="29A01EFC" w14:textId="52821799"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Haruldaste haiguste ja haruldaste vähivormide valdkonna uurimisprogrammide / projektide rahastamine. Need väga biomeditsiiniliselt keerukad ja sageli mitut elundit hõlmavad haigused nõuavad suurt kliinilist pädevust ning kõrgetasemelist diagnostikat ja teadustegevust ning tipptasemel tehnoloogiaid ja koostöövõrgustike koordineerimist riiklikul ja Euroopa tasandil.</w:t>
            </w:r>
            <w:r>
              <w:rPr>
                <w:rFonts w:ascii="Arial Narrow" w:hAnsi="Arial Narrow"/>
                <w:noProof/>
              </w:rPr>
              <w:t xml:space="preserve"> </w:t>
            </w:r>
            <w:r>
              <w:rPr>
                <w:noProof/>
              </w:rPr>
              <w:t xml:space="preserve"> </w:t>
            </w:r>
            <w:r>
              <w:rPr>
                <w:noProof/>
              </w:rPr>
              <w:br/>
            </w:r>
            <w:r>
              <w:rPr>
                <w:rFonts w:ascii="Arial Narrow" w:hAnsi="Arial Narrow"/>
                <w:noProof/>
                <w:color w:val="006100"/>
                <w:sz w:val="20"/>
              </w:rPr>
              <w:t>Haruldaste haiguste ja haruldaste vähivormidega seotud teadusprojektide rahastamine toimub avaliku pakkumismenetluse kaudu.</w:t>
            </w:r>
          </w:p>
          <w:p w14:paraId="7ED17226" w14:textId="77777777"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Vähemalt 100 teadusprojekti on saanud esimese osa rahastamisest.</w:t>
            </w:r>
          </w:p>
        </w:tc>
      </w:tr>
      <w:tr w:rsidR="0084326C" w:rsidRPr="00D90835" w14:paraId="22D6E0F4" w14:textId="77777777">
        <w:trPr>
          <w:trHeight w:val="309"/>
        </w:trPr>
        <w:tc>
          <w:tcPr>
            <w:tcW w:w="115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EEA9C0"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M6C2-3</w:t>
            </w:r>
          </w:p>
        </w:tc>
        <w:tc>
          <w:tcPr>
            <w:tcW w:w="1985" w:type="dxa"/>
            <w:tcBorders>
              <w:top w:val="single" w:sz="4" w:space="0" w:color="auto"/>
              <w:left w:val="nil"/>
              <w:bottom w:val="single" w:sz="4" w:space="0" w:color="auto"/>
              <w:right w:val="single" w:sz="4" w:space="0" w:color="auto"/>
            </w:tcBorders>
            <w:shd w:val="clear" w:color="auto" w:fill="C6EFCE"/>
            <w:noWrap/>
            <w:vAlign w:val="center"/>
          </w:tcPr>
          <w:p w14:paraId="76F315E5"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Investeering 2.1. NHSi biomeditsiiniliste uuringute tugevdamine ja tõhustamine.</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14:paraId="669BE8CD"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Siht</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063EEEFF"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Rahastatud teadusprojektid, mis käsitlevad suure tervisemõjuga haigusi</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37635D0B"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Ei kohaldata</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79F52F82"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Arv</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4E2C7720"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0</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1AE2EBDB"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324</w:t>
            </w:r>
          </w:p>
        </w:tc>
        <w:tc>
          <w:tcPr>
            <w:tcW w:w="850" w:type="dxa"/>
            <w:tcBorders>
              <w:top w:val="single" w:sz="4" w:space="0" w:color="auto"/>
              <w:left w:val="nil"/>
              <w:bottom w:val="single" w:sz="4" w:space="0" w:color="auto"/>
              <w:right w:val="single" w:sz="4" w:space="0" w:color="auto"/>
            </w:tcBorders>
            <w:shd w:val="clear" w:color="auto" w:fill="C6EFCE"/>
            <w:noWrap/>
            <w:vAlign w:val="center"/>
          </w:tcPr>
          <w:p w14:paraId="0E7EF340"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4. kv</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374684B0" w14:textId="77777777" w:rsidR="0084326C" w:rsidRPr="005D68A0" w:rsidRDefault="0084326C">
            <w:pPr>
              <w:jc w:val="center"/>
              <w:rPr>
                <w:rFonts w:ascii="Arial Narrow" w:eastAsiaTheme="minorEastAsia" w:hAnsi="Arial Narrow"/>
                <w:noProof/>
                <w:color w:val="006100"/>
                <w:sz w:val="20"/>
                <w:szCs w:val="20"/>
              </w:rPr>
            </w:pPr>
            <w:r>
              <w:rPr>
                <w:rFonts w:ascii="Arial Narrow" w:hAnsi="Arial Narrow"/>
                <w:noProof/>
                <w:color w:val="006100"/>
                <w:sz w:val="20"/>
              </w:rPr>
              <w:t>2025</w:t>
            </w:r>
          </w:p>
        </w:tc>
        <w:tc>
          <w:tcPr>
            <w:tcW w:w="2891" w:type="dxa"/>
            <w:tcBorders>
              <w:top w:val="single" w:sz="4" w:space="0" w:color="auto"/>
              <w:left w:val="nil"/>
              <w:bottom w:val="single" w:sz="4" w:space="0" w:color="auto"/>
              <w:right w:val="single" w:sz="4" w:space="0" w:color="auto"/>
            </w:tcBorders>
            <w:shd w:val="clear" w:color="auto" w:fill="C6EFCE"/>
            <w:noWrap/>
            <w:vAlign w:val="center"/>
          </w:tcPr>
          <w:p w14:paraId="275D34BF" w14:textId="2288A37B"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Toetus teadusuuringute programmidele/projektidele, mis on seotud haigustega, millel on suur mõju tervisele.</w:t>
            </w:r>
            <w:r>
              <w:rPr>
                <w:rFonts w:ascii="Arial Narrow" w:hAnsi="Arial Narrow"/>
                <w:noProof/>
              </w:rPr>
              <w:t xml:space="preserve"> </w:t>
            </w:r>
            <w:r>
              <w:rPr>
                <w:noProof/>
              </w:rPr>
              <w:t xml:space="preserve"> </w:t>
            </w:r>
            <w:r>
              <w:rPr>
                <w:noProof/>
              </w:rPr>
              <w:br/>
            </w:r>
            <w:r>
              <w:rPr>
                <w:rFonts w:ascii="Arial Narrow" w:hAnsi="Arial Narrow"/>
                <w:noProof/>
                <w:color w:val="006100"/>
                <w:sz w:val="20"/>
              </w:rPr>
              <w:t>Suure tervisemõjuga haigusi käsitlevate teadusprojektide rahastamine toimub avaliku pakkumismenetluse kaudu.</w:t>
            </w:r>
          </w:p>
          <w:p w14:paraId="3DBD50F0" w14:textId="77777777" w:rsidR="0084326C" w:rsidRPr="005D68A0" w:rsidRDefault="0084326C">
            <w:pPr>
              <w:rPr>
                <w:rFonts w:ascii="Arial Narrow" w:eastAsiaTheme="minorEastAsia" w:hAnsi="Arial Narrow"/>
                <w:noProof/>
                <w:color w:val="006100"/>
                <w:sz w:val="20"/>
                <w:szCs w:val="20"/>
              </w:rPr>
            </w:pPr>
            <w:r>
              <w:rPr>
                <w:rFonts w:ascii="Arial Narrow" w:hAnsi="Arial Narrow"/>
                <w:noProof/>
                <w:color w:val="006100"/>
                <w:sz w:val="20"/>
              </w:rPr>
              <w:t>Vähemalt 324 teadusprojekti on saanud esimese osa rahastamisest.</w:t>
            </w:r>
          </w:p>
        </w:tc>
      </w:tr>
    </w:tbl>
    <w:p w14:paraId="2880BB59" w14:textId="77777777" w:rsidR="0084326C" w:rsidRPr="005D68A0" w:rsidRDefault="0084326C" w:rsidP="0084326C">
      <w:pPr>
        <w:spacing w:before="120" w:after="120"/>
        <w:ind w:left="709"/>
        <w:jc w:val="both"/>
        <w:rPr>
          <w:noProof/>
          <w:lang w:val="en-GB"/>
        </w:rPr>
      </w:pPr>
    </w:p>
    <w:p w14:paraId="6D9FFC7A" w14:textId="77777777" w:rsidR="0084326C" w:rsidRPr="005D68A0" w:rsidRDefault="0084326C" w:rsidP="0084326C">
      <w:pPr>
        <w:spacing w:before="120" w:after="120"/>
        <w:ind w:left="709"/>
        <w:jc w:val="both"/>
        <w:rPr>
          <w:noProof/>
          <w:lang w:val="en-GB"/>
        </w:rPr>
        <w:sectPr w:rsidR="0084326C" w:rsidRPr="005D68A0">
          <w:headerReference w:type="even" r:id="rId392"/>
          <w:headerReference w:type="default" r:id="rId393"/>
          <w:footerReference w:type="even" r:id="rId394"/>
          <w:footerReference w:type="default" r:id="rId395"/>
          <w:headerReference w:type="first" r:id="rId396"/>
          <w:footerReference w:type="first" r:id="rId397"/>
          <w:pgSz w:w="16839" w:h="11907" w:orient="landscape"/>
          <w:pgMar w:top="720" w:right="720" w:bottom="720" w:left="720" w:header="709" w:footer="709" w:gutter="0"/>
          <w:cols w:space="720"/>
          <w:docGrid w:linePitch="360"/>
        </w:sectPr>
      </w:pPr>
    </w:p>
    <w:p w14:paraId="2DA5C889" w14:textId="77777777" w:rsidR="0084326C" w:rsidRPr="005D68A0" w:rsidRDefault="0084326C" w:rsidP="0084326C">
      <w:pPr>
        <w:pStyle w:val="Heading3"/>
        <w:numPr>
          <w:ilvl w:val="0"/>
          <w:numId w:val="0"/>
        </w:numPr>
        <w:ind w:left="850" w:hanging="850"/>
        <w:rPr>
          <w:b/>
          <w:bCs w:val="0"/>
          <w:i w:val="0"/>
          <w:iCs/>
          <w:noProof/>
          <w:color w:val="4472C4" w:themeColor="accent1"/>
          <w:u w:val="single"/>
        </w:rPr>
      </w:pPr>
      <w:r>
        <w:rPr>
          <w:b/>
          <w:i w:val="0"/>
          <w:noProof/>
          <w:u w:val="single"/>
        </w:rPr>
        <w:t xml:space="preserve">P.3. </w:t>
      </w:r>
      <w:r>
        <w:rPr>
          <w:noProof/>
        </w:rPr>
        <w:tab/>
      </w:r>
      <w:r>
        <w:rPr>
          <w:b/>
          <w:i w:val="0"/>
          <w:noProof/>
          <w:u w:val="single"/>
        </w:rPr>
        <w:t xml:space="preserve">Laenuga seotud reformide ja investeeringute kirjeldus </w:t>
      </w:r>
    </w:p>
    <w:p w14:paraId="4C0AFF1E" w14:textId="77777777" w:rsidR="0084326C" w:rsidRPr="005D68A0" w:rsidRDefault="0084326C" w:rsidP="0084326C">
      <w:pPr>
        <w:spacing w:before="120" w:after="120"/>
        <w:jc w:val="both"/>
        <w:rPr>
          <w:b/>
          <w:noProof/>
        </w:rPr>
      </w:pPr>
      <w:r>
        <w:rPr>
          <w:b/>
          <w:noProof/>
        </w:rPr>
        <w:t>Investeering 1.1. Haiglate tehniliste seadmete digitaalne ajakohastamine.</w:t>
      </w:r>
    </w:p>
    <w:p w14:paraId="5CEA0973" w14:textId="23D1DFFC" w:rsidR="0084326C" w:rsidRPr="005D68A0" w:rsidRDefault="0084326C" w:rsidP="0084326C">
      <w:pPr>
        <w:spacing w:before="120" w:after="120" w:line="259" w:lineRule="auto"/>
        <w:jc w:val="both"/>
        <w:rPr>
          <w:bCs/>
          <w:iCs/>
          <w:noProof/>
        </w:rPr>
      </w:pPr>
      <w:r>
        <w:rPr>
          <w:noProof/>
        </w:rPr>
        <w:t>See investeering seisneb tervishoiu digiteerimise parandamises, et suurendada töötajate tootlikkust, parandada protsesside kvaliteeti, tagada patsiendi ohutus ja kvaliteetsete teenuste osutamine. Investeeringul on kolm sekkumisliini:</w:t>
      </w:r>
    </w:p>
    <w:p w14:paraId="19795BAB" w14:textId="5518A00F" w:rsidR="0084326C" w:rsidRPr="005D68A0" w:rsidRDefault="0084326C" w:rsidP="0084326C">
      <w:pPr>
        <w:numPr>
          <w:ilvl w:val="0"/>
          <w:numId w:val="45"/>
        </w:numPr>
        <w:spacing w:before="120" w:after="120" w:line="259" w:lineRule="auto"/>
        <w:ind w:left="360"/>
        <w:contextualSpacing/>
        <w:jc w:val="both"/>
        <w:rPr>
          <w:noProof/>
        </w:rPr>
      </w:pPr>
      <w:r>
        <w:rPr>
          <w:noProof/>
        </w:rPr>
        <w:t>Suurte tervishoiuseadmete moderniseerimine, asendades vananenud mudelid tehnoloogiliselt arenenud mudelitega. Asendusseadmeid võib kõrvaldada või ümber paigutada teistesse riiklike tervishoiuteenistuste asukohtadesse.</w:t>
      </w:r>
    </w:p>
    <w:p w14:paraId="5FBE6F42" w14:textId="77777777" w:rsidR="0084326C" w:rsidRPr="005D68A0" w:rsidRDefault="0084326C" w:rsidP="0084326C">
      <w:pPr>
        <w:numPr>
          <w:ilvl w:val="0"/>
          <w:numId w:val="45"/>
        </w:numPr>
        <w:spacing w:before="120" w:after="120" w:line="259" w:lineRule="auto"/>
        <w:ind w:left="360"/>
        <w:contextualSpacing/>
        <w:jc w:val="both"/>
        <w:rPr>
          <w:bCs/>
          <w:iCs/>
          <w:noProof/>
        </w:rPr>
      </w:pPr>
      <w:r>
        <w:rPr>
          <w:noProof/>
        </w:rPr>
        <w:t>Haiglate protsesside teavitamine esimese ja teise tasandi erakorralise meditsiini osakonnast („Dipartimenti Emergenza e accettazione“, DEA).</w:t>
      </w:r>
    </w:p>
    <w:p w14:paraId="27BF2366" w14:textId="77777777" w:rsidR="0084326C" w:rsidRPr="005D68A0" w:rsidRDefault="0084326C" w:rsidP="0084326C">
      <w:pPr>
        <w:numPr>
          <w:ilvl w:val="0"/>
          <w:numId w:val="45"/>
        </w:numPr>
        <w:spacing w:before="120" w:after="120" w:line="259" w:lineRule="auto"/>
        <w:ind w:left="360"/>
        <w:contextualSpacing/>
        <w:jc w:val="both"/>
        <w:rPr>
          <w:bCs/>
          <w:iCs/>
          <w:noProof/>
        </w:rPr>
      </w:pPr>
      <w:r>
        <w:rPr>
          <w:noProof/>
        </w:rPr>
        <w:t>Voodikohtade arvu suurenemine intensiiv- ja poolintensiivsetes hooldusasutustes riiklikes tervishoiuasutustes.</w:t>
      </w:r>
    </w:p>
    <w:p w14:paraId="6ABDD386" w14:textId="77777777" w:rsidR="0084326C" w:rsidRPr="005D68A0" w:rsidRDefault="0084326C" w:rsidP="0084326C">
      <w:pPr>
        <w:spacing w:before="120" w:after="120"/>
        <w:jc w:val="both"/>
        <w:rPr>
          <w:b/>
          <w:noProof/>
        </w:rPr>
      </w:pPr>
      <w:r>
        <w:rPr>
          <w:b/>
          <w:noProof/>
        </w:rPr>
        <w:t>Investeering 1.2. Ohutu ja jätkusuutliku haigla suunas</w:t>
      </w:r>
    </w:p>
    <w:p w14:paraId="0F68A2DC" w14:textId="77777777" w:rsidR="0084326C" w:rsidRPr="005D68A0" w:rsidRDefault="0084326C" w:rsidP="0084326C">
      <w:pPr>
        <w:spacing w:before="120" w:after="120" w:line="259" w:lineRule="auto"/>
        <w:jc w:val="both"/>
        <w:rPr>
          <w:noProof/>
        </w:rPr>
      </w:pPr>
      <w:r>
        <w:rPr>
          <w:noProof/>
        </w:rPr>
        <w:t>See investeering seisneb haiglate vastavusse viimises maavärinavastaste eeskirjadega. Selleks on ette nähtud kaks erinevat investeerimisliini:</w:t>
      </w:r>
    </w:p>
    <w:p w14:paraId="3C3C89F8" w14:textId="77777777" w:rsidR="0084326C" w:rsidRPr="005D68A0" w:rsidRDefault="0084326C" w:rsidP="0084326C">
      <w:pPr>
        <w:pStyle w:val="ListParagraph"/>
        <w:numPr>
          <w:ilvl w:val="0"/>
          <w:numId w:val="47"/>
        </w:numPr>
        <w:spacing w:line="259" w:lineRule="auto"/>
        <w:ind w:left="360"/>
        <w:rPr>
          <w:noProof/>
        </w:rPr>
      </w:pPr>
      <w:r>
        <w:rPr>
          <w:noProof/>
        </w:rPr>
        <w:t>Piirkondade vajaduste uuringu põhjal kindlaks tehtud haiglate maavärinakindluse suurendamise ja parendamise meetmed.</w:t>
      </w:r>
    </w:p>
    <w:p w14:paraId="7985C3D6" w14:textId="77777777" w:rsidR="0084326C" w:rsidRPr="005D68A0" w:rsidRDefault="0084326C" w:rsidP="0084326C">
      <w:pPr>
        <w:pStyle w:val="ListParagraph"/>
        <w:numPr>
          <w:ilvl w:val="0"/>
          <w:numId w:val="47"/>
        </w:numPr>
        <w:spacing w:line="259" w:lineRule="auto"/>
        <w:ind w:left="360"/>
        <w:rPr>
          <w:noProof/>
        </w:rPr>
      </w:pPr>
      <w:r>
        <w:rPr>
          <w:noProof/>
        </w:rPr>
        <w:t>Mitmeaastane sekkumine, mille eesmärk on renoveerida ja ajakohastada rahvatervise valdkonna kinnisvara füüsilist ja tehnoloogilist raamistikku.</w:t>
      </w:r>
    </w:p>
    <w:p w14:paraId="1BB6D34B" w14:textId="77777777" w:rsidR="0084326C" w:rsidRPr="005D68A0" w:rsidRDefault="0084326C" w:rsidP="0084326C">
      <w:pPr>
        <w:spacing w:before="120" w:after="120"/>
        <w:jc w:val="both"/>
        <w:rPr>
          <w:b/>
          <w:noProof/>
        </w:rPr>
      </w:pPr>
      <w:r>
        <w:rPr>
          <w:b/>
          <w:noProof/>
        </w:rPr>
        <w:t>Investeering 1.3. Tehnoloogilise infrastruktuuri ning andmete kogumise, töötlemise, analüüsimise ja modelleerimise vahendite tugevdamine.</w:t>
      </w:r>
    </w:p>
    <w:p w14:paraId="4FD4A31C" w14:textId="77777777" w:rsidR="0084326C" w:rsidRPr="005D68A0" w:rsidRDefault="0084326C" w:rsidP="0084326C">
      <w:pPr>
        <w:spacing w:before="120" w:after="120" w:line="259" w:lineRule="auto"/>
        <w:jc w:val="both"/>
        <w:rPr>
          <w:bCs/>
          <w:iCs/>
          <w:noProof/>
        </w:rPr>
      </w:pPr>
      <w:r>
        <w:rPr>
          <w:noProof/>
        </w:rPr>
        <w:t>See investeering seisneb tehnilise infrastruktuuri olulises parandamises, mis toetab tervishoiuteenuste osutamist, tervishoiuanalüüsi ja Itaalia riikliku tervishoiusüsteemi prognoosimisvõimet. Investeering koosneb kahest erinevast projektist:</w:t>
      </w:r>
    </w:p>
    <w:p w14:paraId="2B825239" w14:textId="77777777" w:rsidR="0084326C" w:rsidRPr="005D68A0" w:rsidRDefault="0084326C" w:rsidP="0084326C">
      <w:pPr>
        <w:numPr>
          <w:ilvl w:val="0"/>
          <w:numId w:val="46"/>
        </w:numPr>
        <w:spacing w:before="120" w:after="120" w:line="259" w:lineRule="auto"/>
        <w:ind w:left="360"/>
        <w:contextualSpacing/>
        <w:jc w:val="both"/>
        <w:rPr>
          <w:noProof/>
          <w:u w:val="single"/>
        </w:rPr>
      </w:pPr>
      <w:r>
        <w:rPr>
          <w:noProof/>
        </w:rPr>
        <w:t>Suurendada olemasolevate elektrooniliste terviseandmete (EHR) taristut ja kasutamist. Selleks muudetakse see täielikult digitaalseks, seega homogeenseks, järjepidevaks ja üle riigi territooriumi kaasaskantavaks andmekeskkonnaks. Tervisekontrollil on kolm põhiülesannet: esiteks annab see tervishoiutöötajatele võimaluse arvestada sama kliinilise teabe allikaga, mis kirjeldab üksikasjalikult patsiendi kogu haiguslugu; teiseks saab sellest kodanike ja patsientide juurdepääsupunkt riiklike ja piirkondlike tervishoiusüsteemide pakutavatele põhiteenustele; kolmandaks on tervishoiuasutustel õigus kasutada kliinilisi andmeid terviseanalüüsi tegemiseks ja tervishoiuteenuste osutamise parandamiseks.</w:t>
      </w:r>
    </w:p>
    <w:p w14:paraId="41992182" w14:textId="77777777" w:rsidR="0084326C" w:rsidRPr="005D68A0" w:rsidRDefault="0084326C" w:rsidP="0084326C">
      <w:pPr>
        <w:numPr>
          <w:ilvl w:val="0"/>
          <w:numId w:val="46"/>
        </w:numPr>
        <w:spacing w:before="120" w:after="120"/>
        <w:ind w:left="360"/>
        <w:contextualSpacing/>
        <w:jc w:val="both"/>
        <w:rPr>
          <w:noProof/>
          <w:u w:val="single"/>
        </w:rPr>
      </w:pPr>
      <w:r>
        <w:rPr>
          <w:noProof/>
        </w:rPr>
        <w:t xml:space="preserve">Tugevdada tervishoiuministeeriumi infrastruktuuri ning tehnoloogilisi ja analüütilisi vahendeid, et jälgida abi olulisi tasemeid (LEA, st teenused, mille tagab riiklik tervishoiusüsteem) ning kavandada tervishoiuabi ja -teenuseid kooskõlas rahvastikuvajadustega ning demograafiliste, innovatsiooni ja epidemioloogia suundumuste arenguga. See Itaalia tervishoiuministeeriumi keskne ja peamine eesmärk saavutatakse järgmise 4 alleesmärgi saavutamise ja integreerimise kaudu: i) Itaalia tervishoiuministeeriumi infrastruktuuri tugevdamine, tervisealaste kliiniliste andmete integreerimine uude terviseteabesüsteemi (NSIS) kliiniliste, haldus- ja kuluandmetega ning muu tervisega seotud teabe ja andmetega terviseühtsuse lähenemisviisis, et jälgida tervisekontrolli ning tagada terviseseire ja -järelevalve; ii) NSISi andmete kogumise, töötlemise ja koostamise tõhustamine kohalikul tasandil, andmete koostamise piirkondliku ja kohaliku protsessi ümberkorraldamine ja standardimine, et parandada NHSi kvaliteedi, tõhususe ja asjakohasuse mõõtmise vahendit; iii) täiustatud analüüsivahendite väljatöötamine keerukate nähtuste ja stsenaariumiprognooside hindamiseks, et parandada tervishoiuteenuste kavandamise ja esilekerkivate haiguste tuvastamise keskset suutlikkust; iv) riikliku platvormi loomine, millele akrediteeritud teenuseosutajate telemeditsiiniteenuste pakkumine ja nõudlus võib vastata. </w:t>
      </w:r>
    </w:p>
    <w:p w14:paraId="2AA75909" w14:textId="77777777" w:rsidR="0084326C" w:rsidRPr="005D68A0" w:rsidRDefault="0084326C" w:rsidP="0084326C">
      <w:pPr>
        <w:spacing w:before="120" w:after="120"/>
        <w:jc w:val="both"/>
        <w:rPr>
          <w:b/>
          <w:iCs/>
          <w:noProof/>
        </w:rPr>
      </w:pPr>
      <w:r>
        <w:rPr>
          <w:b/>
          <w:noProof/>
        </w:rPr>
        <w:t>Investeering 2.2. Tervishoiusüsteemi spetsialistide tehniliste, kutsealaste, digitaalsete ja juhtimisoskuste arendamine.</w:t>
      </w:r>
    </w:p>
    <w:p w14:paraId="710F7BD1" w14:textId="77777777" w:rsidR="0084326C" w:rsidRPr="005D68A0" w:rsidRDefault="0084326C" w:rsidP="0084326C">
      <w:pPr>
        <w:spacing w:before="120" w:after="120"/>
        <w:jc w:val="both"/>
        <w:rPr>
          <w:iCs/>
          <w:noProof/>
          <w:u w:val="single"/>
        </w:rPr>
      </w:pPr>
      <w:r>
        <w:rPr>
          <w:noProof/>
        </w:rPr>
        <w:t>See investeering seisneb üldmeditsiini erikursuse stipendiumide suurendamises; kõigi NHSi töötajate haiglanakkuste ohutuse alase koolituskava käivitamine; NHSi organites juhtivat rolli täitvate töötajate koolitamine juhtimis- ja digioskuste valdkonnas ning spetsiaalsete meditsiinikoolituse lepingute rahastamine.</w:t>
      </w:r>
    </w:p>
    <w:p w14:paraId="7A0E010D" w14:textId="77777777" w:rsidR="0084326C" w:rsidRPr="005D68A0" w:rsidRDefault="0084326C" w:rsidP="0084326C">
      <w:pPr>
        <w:pStyle w:val="Heading3"/>
        <w:numPr>
          <w:ilvl w:val="0"/>
          <w:numId w:val="0"/>
        </w:numPr>
        <w:ind w:left="850" w:hanging="850"/>
        <w:rPr>
          <w:b/>
          <w:bCs w:val="0"/>
          <w:i w:val="0"/>
          <w:iCs/>
          <w:noProof/>
          <w:u w:val="single"/>
        </w:rPr>
      </w:pPr>
      <w:r>
        <w:rPr>
          <w:b/>
          <w:i w:val="0"/>
          <w:noProof/>
          <w:u w:val="single"/>
        </w:rPr>
        <w:t xml:space="preserve">P.4. </w:t>
      </w:r>
      <w:r>
        <w:rPr>
          <w:noProof/>
        </w:rPr>
        <w:tab/>
      </w:r>
      <w:r>
        <w:rPr>
          <w:b/>
          <w:i w:val="0"/>
          <w:noProof/>
          <w:u w:val="single"/>
        </w:rPr>
        <w:t xml:space="preserve">Laenu eesmärgid, sihid, näitajad ning seire ja rakendamise ajakava </w:t>
      </w:r>
    </w:p>
    <w:p w14:paraId="064B40F1" w14:textId="77777777" w:rsidR="0084326C" w:rsidRPr="005D68A0" w:rsidRDefault="0084326C" w:rsidP="0084326C">
      <w:pPr>
        <w:spacing w:before="120" w:after="120"/>
        <w:ind w:left="709"/>
        <w:jc w:val="both"/>
        <w:rPr>
          <w:i/>
          <w:iCs/>
          <w:noProof/>
          <w:color w:val="4472C4" w:themeColor="accent1"/>
        </w:rPr>
      </w:pPr>
      <w:r>
        <w:rPr>
          <w:i/>
          <w:noProof/>
          <w:color w:val="4472C4" w:themeColor="accent1"/>
        </w:rPr>
        <w:t xml:space="preserve"> </w:t>
      </w:r>
    </w:p>
    <w:p w14:paraId="100722B6" w14:textId="77777777" w:rsidR="0084326C" w:rsidRPr="00F33804" w:rsidRDefault="0084326C" w:rsidP="0084326C">
      <w:pPr>
        <w:spacing w:before="120" w:after="120"/>
        <w:ind w:left="709"/>
        <w:contextualSpacing/>
        <w:jc w:val="both"/>
        <w:rPr>
          <w:noProof/>
        </w:rPr>
        <w:sectPr w:rsidR="0084326C" w:rsidRPr="00F33804">
          <w:headerReference w:type="even" r:id="rId398"/>
          <w:headerReference w:type="default" r:id="rId399"/>
          <w:footerReference w:type="even" r:id="rId400"/>
          <w:footerReference w:type="default" r:id="rId401"/>
          <w:headerReference w:type="first" r:id="rId402"/>
          <w:footerReference w:type="first" r:id="rId403"/>
          <w:pgSz w:w="11907" w:h="16839"/>
          <w:pgMar w:top="1134" w:right="1417" w:bottom="1134" w:left="1417" w:header="709" w:footer="709" w:gutter="0"/>
          <w:cols w:space="720"/>
          <w:docGrid w:linePitch="360"/>
        </w:sectPr>
      </w:pPr>
    </w:p>
    <w:tbl>
      <w:tblPr>
        <w:tblW w:w="5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701"/>
        <w:gridCol w:w="1134"/>
        <w:gridCol w:w="1560"/>
        <w:gridCol w:w="1559"/>
        <w:gridCol w:w="1276"/>
        <w:gridCol w:w="992"/>
        <w:gridCol w:w="850"/>
        <w:gridCol w:w="851"/>
        <w:gridCol w:w="709"/>
        <w:gridCol w:w="2835"/>
      </w:tblGrid>
      <w:tr w:rsidR="0084326C" w:rsidRPr="00D90835" w14:paraId="503C5DA6" w14:textId="77777777" w:rsidTr="72D320C3">
        <w:trPr>
          <w:trHeight w:val="939"/>
          <w:tblHeader/>
          <w:jc w:val="center"/>
        </w:trPr>
        <w:tc>
          <w:tcPr>
            <w:tcW w:w="1129" w:type="dxa"/>
            <w:vMerge w:val="restart"/>
            <w:shd w:val="clear" w:color="auto" w:fill="BDD7EE"/>
            <w:vAlign w:val="center"/>
            <w:hideMark/>
          </w:tcPr>
          <w:p w14:paraId="7CCB6CB1" w14:textId="77777777" w:rsidR="0084326C" w:rsidRPr="005D68A0" w:rsidRDefault="0084326C">
            <w:pPr>
              <w:spacing w:before="120" w:after="120"/>
              <w:jc w:val="center"/>
              <w:rPr>
                <w:rFonts w:ascii="Arial Narrow" w:hAnsi="Arial Narrow"/>
                <w:b/>
                <w:noProof/>
                <w:sz w:val="20"/>
                <w:szCs w:val="20"/>
              </w:rPr>
            </w:pPr>
            <w:r>
              <w:rPr>
                <w:rFonts w:ascii="Arial Narrow" w:hAnsi="Arial Narrow"/>
                <w:b/>
                <w:noProof/>
                <w:sz w:val="20"/>
              </w:rPr>
              <w:t>Järjekorranumber</w:t>
            </w:r>
          </w:p>
        </w:tc>
        <w:tc>
          <w:tcPr>
            <w:tcW w:w="1701" w:type="dxa"/>
            <w:vMerge w:val="restart"/>
            <w:shd w:val="clear" w:color="auto" w:fill="BDD7EE"/>
            <w:vAlign w:val="center"/>
            <w:hideMark/>
          </w:tcPr>
          <w:p w14:paraId="2315B492" w14:textId="77777777" w:rsidR="0084326C" w:rsidRPr="005D68A0" w:rsidRDefault="0084326C">
            <w:pPr>
              <w:spacing w:before="120" w:after="120"/>
              <w:jc w:val="center"/>
              <w:rPr>
                <w:rFonts w:ascii="Arial Narrow" w:hAnsi="Arial Narrow"/>
                <w:b/>
                <w:noProof/>
                <w:sz w:val="20"/>
                <w:szCs w:val="20"/>
              </w:rPr>
            </w:pPr>
            <w:r>
              <w:rPr>
                <w:rFonts w:ascii="Arial Narrow" w:hAnsi="Arial Narrow"/>
                <w:b/>
                <w:noProof/>
                <w:sz w:val="20"/>
              </w:rPr>
              <w:t>Seotud meede (reform või investeering)</w:t>
            </w:r>
          </w:p>
        </w:tc>
        <w:tc>
          <w:tcPr>
            <w:tcW w:w="1134" w:type="dxa"/>
            <w:vMerge w:val="restart"/>
            <w:shd w:val="clear" w:color="auto" w:fill="BDD7EE"/>
            <w:vAlign w:val="center"/>
            <w:hideMark/>
          </w:tcPr>
          <w:p w14:paraId="12BCF8AB" w14:textId="77777777" w:rsidR="0084326C" w:rsidRPr="005D68A0" w:rsidRDefault="0084326C">
            <w:pPr>
              <w:spacing w:before="120" w:after="120"/>
              <w:jc w:val="center"/>
              <w:rPr>
                <w:rFonts w:ascii="Arial Narrow" w:hAnsi="Arial Narrow"/>
                <w:b/>
                <w:noProof/>
                <w:sz w:val="20"/>
                <w:szCs w:val="20"/>
              </w:rPr>
            </w:pPr>
            <w:r>
              <w:rPr>
                <w:rFonts w:ascii="Arial Narrow" w:hAnsi="Arial Narrow"/>
                <w:b/>
                <w:noProof/>
                <w:sz w:val="20"/>
              </w:rPr>
              <w:t>Eesmärk / siht</w:t>
            </w:r>
          </w:p>
        </w:tc>
        <w:tc>
          <w:tcPr>
            <w:tcW w:w="1560" w:type="dxa"/>
            <w:vMerge w:val="restart"/>
            <w:shd w:val="clear" w:color="auto" w:fill="BDD7EE"/>
            <w:vAlign w:val="center"/>
            <w:hideMark/>
          </w:tcPr>
          <w:p w14:paraId="769C715D" w14:textId="77777777" w:rsidR="0084326C" w:rsidRPr="005D68A0" w:rsidRDefault="0084326C">
            <w:pPr>
              <w:spacing w:before="120" w:after="120"/>
              <w:jc w:val="center"/>
              <w:rPr>
                <w:rFonts w:ascii="Arial Narrow" w:hAnsi="Arial Narrow"/>
                <w:b/>
                <w:noProof/>
                <w:sz w:val="20"/>
                <w:szCs w:val="20"/>
              </w:rPr>
            </w:pPr>
            <w:r>
              <w:rPr>
                <w:rFonts w:ascii="Arial Narrow" w:hAnsi="Arial Narrow"/>
                <w:b/>
                <w:noProof/>
                <w:sz w:val="20"/>
              </w:rPr>
              <w:t>Nimi</w:t>
            </w:r>
          </w:p>
        </w:tc>
        <w:tc>
          <w:tcPr>
            <w:tcW w:w="1559" w:type="dxa"/>
            <w:vMerge w:val="restart"/>
            <w:shd w:val="clear" w:color="auto" w:fill="BDD7EE"/>
            <w:vAlign w:val="center"/>
            <w:hideMark/>
          </w:tcPr>
          <w:p w14:paraId="6AB5F44B" w14:textId="77777777" w:rsidR="0084326C" w:rsidRPr="005D68A0" w:rsidRDefault="0084326C">
            <w:pPr>
              <w:spacing w:before="120" w:after="120"/>
              <w:jc w:val="center"/>
              <w:rPr>
                <w:rFonts w:ascii="Arial Narrow" w:hAnsi="Arial Narrow"/>
                <w:b/>
                <w:noProof/>
                <w:sz w:val="20"/>
                <w:szCs w:val="20"/>
              </w:rPr>
            </w:pPr>
            <w:r>
              <w:rPr>
                <w:rFonts w:ascii="Arial Narrow" w:hAnsi="Arial Narrow"/>
                <w:b/>
                <w:noProof/>
                <w:sz w:val="20"/>
              </w:rPr>
              <w:t>Kvalitatiivsed näitajad</w:t>
            </w:r>
            <w:r>
              <w:rPr>
                <w:noProof/>
              </w:rPr>
              <w:t xml:space="preserve"> </w:t>
            </w:r>
            <w:r>
              <w:rPr>
                <w:noProof/>
              </w:rPr>
              <w:br/>
            </w:r>
            <w:r>
              <w:rPr>
                <w:rFonts w:ascii="Arial Narrow" w:hAnsi="Arial Narrow"/>
                <w:b/>
                <w:noProof/>
                <w:sz w:val="20"/>
              </w:rPr>
              <w:t>(eesmärkide puhul)</w:t>
            </w:r>
          </w:p>
        </w:tc>
        <w:tc>
          <w:tcPr>
            <w:tcW w:w="3118" w:type="dxa"/>
            <w:gridSpan w:val="3"/>
            <w:shd w:val="clear" w:color="auto" w:fill="BDD7EE"/>
            <w:vAlign w:val="center"/>
            <w:hideMark/>
          </w:tcPr>
          <w:p w14:paraId="6169D6A8" w14:textId="77777777" w:rsidR="0084326C" w:rsidRPr="005D68A0" w:rsidRDefault="0084326C">
            <w:pPr>
              <w:spacing w:before="120" w:after="120"/>
              <w:jc w:val="center"/>
              <w:rPr>
                <w:rFonts w:ascii="Arial Narrow" w:hAnsi="Arial Narrow"/>
                <w:b/>
                <w:noProof/>
                <w:sz w:val="20"/>
                <w:szCs w:val="20"/>
              </w:rPr>
            </w:pPr>
            <w:r>
              <w:rPr>
                <w:rFonts w:ascii="Arial Narrow" w:hAnsi="Arial Narrow"/>
                <w:b/>
                <w:noProof/>
                <w:sz w:val="20"/>
              </w:rPr>
              <w:t xml:space="preserve">Kvantitatiivsed näitajad </w:t>
            </w:r>
            <w:r>
              <w:rPr>
                <w:noProof/>
              </w:rPr>
              <w:br/>
            </w:r>
            <w:r>
              <w:rPr>
                <w:rFonts w:ascii="Arial Narrow" w:hAnsi="Arial Narrow"/>
                <w:b/>
                <w:noProof/>
                <w:sz w:val="20"/>
              </w:rPr>
              <w:t>(sihtide puhul)</w:t>
            </w:r>
          </w:p>
        </w:tc>
        <w:tc>
          <w:tcPr>
            <w:tcW w:w="1560" w:type="dxa"/>
            <w:gridSpan w:val="2"/>
            <w:shd w:val="clear" w:color="auto" w:fill="BDD7EE"/>
            <w:vAlign w:val="center"/>
            <w:hideMark/>
          </w:tcPr>
          <w:p w14:paraId="345CDD13" w14:textId="77777777" w:rsidR="0084326C" w:rsidRPr="005D68A0" w:rsidRDefault="0084326C">
            <w:pPr>
              <w:spacing w:before="120" w:after="120"/>
              <w:jc w:val="center"/>
              <w:rPr>
                <w:rFonts w:ascii="Arial Narrow" w:hAnsi="Arial Narrow"/>
                <w:b/>
                <w:noProof/>
                <w:sz w:val="20"/>
                <w:szCs w:val="20"/>
              </w:rPr>
            </w:pPr>
            <w:r>
              <w:rPr>
                <w:rFonts w:ascii="Arial Narrow" w:hAnsi="Arial Narrow"/>
                <w:b/>
                <w:noProof/>
                <w:sz w:val="20"/>
              </w:rPr>
              <w:t>Lõpuleviimise soovituslik ajakava</w:t>
            </w:r>
          </w:p>
        </w:tc>
        <w:tc>
          <w:tcPr>
            <w:tcW w:w="2835" w:type="dxa"/>
            <w:vMerge w:val="restart"/>
            <w:shd w:val="clear" w:color="auto" w:fill="BDD7EE"/>
            <w:vAlign w:val="center"/>
            <w:hideMark/>
          </w:tcPr>
          <w:p w14:paraId="6999E6E9" w14:textId="77777777" w:rsidR="0084326C" w:rsidRPr="005D68A0" w:rsidRDefault="0084326C">
            <w:pPr>
              <w:spacing w:before="120" w:after="120"/>
              <w:jc w:val="center"/>
              <w:rPr>
                <w:rFonts w:ascii="Arial Narrow" w:hAnsi="Arial Narrow"/>
                <w:b/>
                <w:noProof/>
                <w:sz w:val="20"/>
                <w:szCs w:val="20"/>
              </w:rPr>
            </w:pPr>
            <w:r>
              <w:rPr>
                <w:rFonts w:ascii="Arial Narrow" w:hAnsi="Arial Narrow"/>
                <w:b/>
                <w:noProof/>
                <w:sz w:val="20"/>
              </w:rPr>
              <w:t>Iga eesmärgi ja sihi kirjeldus</w:t>
            </w:r>
          </w:p>
        </w:tc>
      </w:tr>
      <w:tr w:rsidR="0084326C" w:rsidRPr="005D68A0" w14:paraId="69A3D2E3" w14:textId="77777777" w:rsidTr="72D320C3">
        <w:trPr>
          <w:trHeight w:val="883"/>
          <w:jc w:val="center"/>
        </w:trPr>
        <w:tc>
          <w:tcPr>
            <w:tcW w:w="1129" w:type="dxa"/>
            <w:vMerge/>
            <w:vAlign w:val="center"/>
            <w:hideMark/>
          </w:tcPr>
          <w:p w14:paraId="36E17D73" w14:textId="77777777" w:rsidR="0084326C" w:rsidRPr="00F33804" w:rsidRDefault="0084326C">
            <w:pPr>
              <w:spacing w:before="120" w:after="120"/>
              <w:jc w:val="center"/>
              <w:rPr>
                <w:rFonts w:ascii="Arial Narrow" w:hAnsi="Arial Narrow"/>
                <w:b/>
                <w:noProof/>
                <w:sz w:val="20"/>
                <w:szCs w:val="20"/>
              </w:rPr>
            </w:pPr>
          </w:p>
        </w:tc>
        <w:tc>
          <w:tcPr>
            <w:tcW w:w="1701" w:type="dxa"/>
            <w:vMerge/>
            <w:vAlign w:val="center"/>
            <w:hideMark/>
          </w:tcPr>
          <w:p w14:paraId="03967DF2" w14:textId="77777777" w:rsidR="0084326C" w:rsidRPr="00F33804" w:rsidRDefault="0084326C">
            <w:pPr>
              <w:spacing w:before="120" w:after="120"/>
              <w:jc w:val="center"/>
              <w:rPr>
                <w:rFonts w:ascii="Arial Narrow" w:hAnsi="Arial Narrow"/>
                <w:b/>
                <w:noProof/>
                <w:sz w:val="20"/>
                <w:szCs w:val="20"/>
              </w:rPr>
            </w:pPr>
          </w:p>
        </w:tc>
        <w:tc>
          <w:tcPr>
            <w:tcW w:w="1134" w:type="dxa"/>
            <w:vMerge/>
            <w:vAlign w:val="center"/>
            <w:hideMark/>
          </w:tcPr>
          <w:p w14:paraId="3F6A663C" w14:textId="77777777" w:rsidR="0084326C" w:rsidRPr="00F33804" w:rsidRDefault="0084326C">
            <w:pPr>
              <w:spacing w:before="120" w:after="120"/>
              <w:jc w:val="center"/>
              <w:rPr>
                <w:rFonts w:ascii="Arial Narrow" w:hAnsi="Arial Narrow"/>
                <w:b/>
                <w:noProof/>
                <w:sz w:val="20"/>
                <w:szCs w:val="20"/>
              </w:rPr>
            </w:pPr>
          </w:p>
        </w:tc>
        <w:tc>
          <w:tcPr>
            <w:tcW w:w="1560" w:type="dxa"/>
            <w:vMerge/>
            <w:vAlign w:val="center"/>
            <w:hideMark/>
          </w:tcPr>
          <w:p w14:paraId="6FE0E3E9" w14:textId="77777777" w:rsidR="0084326C" w:rsidRPr="00F33804" w:rsidRDefault="0084326C">
            <w:pPr>
              <w:spacing w:before="120" w:after="120"/>
              <w:jc w:val="center"/>
              <w:rPr>
                <w:rFonts w:ascii="Arial Narrow" w:hAnsi="Arial Narrow"/>
                <w:b/>
                <w:noProof/>
                <w:sz w:val="20"/>
                <w:szCs w:val="20"/>
              </w:rPr>
            </w:pPr>
          </w:p>
        </w:tc>
        <w:tc>
          <w:tcPr>
            <w:tcW w:w="1559" w:type="dxa"/>
            <w:vMerge/>
            <w:vAlign w:val="center"/>
            <w:hideMark/>
          </w:tcPr>
          <w:p w14:paraId="219452DD" w14:textId="77777777" w:rsidR="0084326C" w:rsidRPr="00F33804" w:rsidRDefault="0084326C">
            <w:pPr>
              <w:spacing w:before="120" w:after="120"/>
              <w:jc w:val="center"/>
              <w:rPr>
                <w:rFonts w:ascii="Arial Narrow" w:hAnsi="Arial Narrow"/>
                <w:b/>
                <w:noProof/>
                <w:sz w:val="20"/>
                <w:szCs w:val="20"/>
              </w:rPr>
            </w:pPr>
          </w:p>
        </w:tc>
        <w:tc>
          <w:tcPr>
            <w:tcW w:w="1276" w:type="dxa"/>
            <w:shd w:val="clear" w:color="auto" w:fill="BDD7EE"/>
            <w:vAlign w:val="center"/>
            <w:hideMark/>
          </w:tcPr>
          <w:p w14:paraId="523BAD71" w14:textId="77777777" w:rsidR="0084326C" w:rsidRPr="005D68A0" w:rsidRDefault="0084326C">
            <w:pPr>
              <w:spacing w:before="120" w:after="120"/>
              <w:jc w:val="center"/>
              <w:rPr>
                <w:rFonts w:ascii="Arial Narrow" w:hAnsi="Arial Narrow"/>
                <w:b/>
                <w:noProof/>
                <w:sz w:val="20"/>
                <w:szCs w:val="20"/>
              </w:rPr>
            </w:pPr>
            <w:r>
              <w:rPr>
                <w:rFonts w:ascii="Arial Narrow" w:hAnsi="Arial Narrow"/>
                <w:b/>
                <w:noProof/>
                <w:sz w:val="20"/>
              </w:rPr>
              <w:t>Mõõtühik</w:t>
            </w:r>
          </w:p>
        </w:tc>
        <w:tc>
          <w:tcPr>
            <w:tcW w:w="992" w:type="dxa"/>
            <w:shd w:val="clear" w:color="auto" w:fill="BDD7EE"/>
            <w:vAlign w:val="center"/>
            <w:hideMark/>
          </w:tcPr>
          <w:p w14:paraId="5679BAFD" w14:textId="77777777" w:rsidR="0084326C" w:rsidRPr="005D68A0" w:rsidRDefault="0084326C">
            <w:pPr>
              <w:spacing w:before="120" w:after="120"/>
              <w:jc w:val="center"/>
              <w:rPr>
                <w:rFonts w:ascii="Arial Narrow" w:hAnsi="Arial Narrow"/>
                <w:b/>
                <w:noProof/>
                <w:sz w:val="20"/>
                <w:szCs w:val="20"/>
              </w:rPr>
            </w:pPr>
            <w:r>
              <w:rPr>
                <w:rFonts w:ascii="Arial Narrow" w:hAnsi="Arial Narrow"/>
                <w:b/>
                <w:noProof/>
                <w:sz w:val="20"/>
              </w:rPr>
              <w:t>Lähtetase</w:t>
            </w:r>
          </w:p>
        </w:tc>
        <w:tc>
          <w:tcPr>
            <w:tcW w:w="850" w:type="dxa"/>
            <w:shd w:val="clear" w:color="auto" w:fill="BDD7EE"/>
            <w:vAlign w:val="center"/>
            <w:hideMark/>
          </w:tcPr>
          <w:p w14:paraId="17076E2E" w14:textId="77777777" w:rsidR="0084326C" w:rsidRPr="005D68A0" w:rsidRDefault="0084326C">
            <w:pPr>
              <w:spacing w:before="120" w:after="120"/>
              <w:jc w:val="center"/>
              <w:rPr>
                <w:rFonts w:ascii="Arial Narrow" w:hAnsi="Arial Narrow"/>
                <w:b/>
                <w:noProof/>
                <w:sz w:val="20"/>
                <w:szCs w:val="20"/>
              </w:rPr>
            </w:pPr>
            <w:r>
              <w:rPr>
                <w:rFonts w:ascii="Arial Narrow" w:hAnsi="Arial Narrow"/>
                <w:b/>
                <w:noProof/>
                <w:sz w:val="20"/>
              </w:rPr>
              <w:t>Eesmärk</w:t>
            </w:r>
          </w:p>
        </w:tc>
        <w:tc>
          <w:tcPr>
            <w:tcW w:w="851" w:type="dxa"/>
            <w:shd w:val="clear" w:color="auto" w:fill="BDD7EE"/>
            <w:vAlign w:val="center"/>
            <w:hideMark/>
          </w:tcPr>
          <w:p w14:paraId="131A8E44" w14:textId="77777777" w:rsidR="0084326C" w:rsidRPr="005D68A0" w:rsidRDefault="0084326C">
            <w:pPr>
              <w:spacing w:before="120" w:after="120"/>
              <w:jc w:val="center"/>
              <w:rPr>
                <w:rFonts w:ascii="Arial Narrow" w:hAnsi="Arial Narrow"/>
                <w:b/>
                <w:noProof/>
                <w:sz w:val="20"/>
                <w:szCs w:val="20"/>
              </w:rPr>
            </w:pPr>
            <w:r>
              <w:rPr>
                <w:rFonts w:ascii="Arial Narrow" w:hAnsi="Arial Narrow"/>
                <w:b/>
                <w:noProof/>
                <w:sz w:val="20"/>
              </w:rPr>
              <w:t>Kvartal</w:t>
            </w:r>
          </w:p>
        </w:tc>
        <w:tc>
          <w:tcPr>
            <w:tcW w:w="709" w:type="dxa"/>
            <w:shd w:val="clear" w:color="auto" w:fill="BDD7EE"/>
            <w:vAlign w:val="center"/>
            <w:hideMark/>
          </w:tcPr>
          <w:p w14:paraId="7CD078FA" w14:textId="77777777" w:rsidR="0084326C" w:rsidRPr="005D68A0" w:rsidRDefault="0084326C">
            <w:pPr>
              <w:spacing w:before="120" w:after="120"/>
              <w:jc w:val="center"/>
              <w:rPr>
                <w:rFonts w:ascii="Arial Narrow" w:hAnsi="Arial Narrow"/>
                <w:b/>
                <w:noProof/>
                <w:sz w:val="20"/>
                <w:szCs w:val="20"/>
              </w:rPr>
            </w:pPr>
            <w:r>
              <w:rPr>
                <w:rFonts w:ascii="Arial Narrow" w:hAnsi="Arial Narrow"/>
                <w:b/>
                <w:noProof/>
                <w:sz w:val="20"/>
              </w:rPr>
              <w:t>Aasta</w:t>
            </w:r>
          </w:p>
        </w:tc>
        <w:tc>
          <w:tcPr>
            <w:tcW w:w="2835" w:type="dxa"/>
            <w:vMerge/>
            <w:vAlign w:val="center"/>
            <w:hideMark/>
          </w:tcPr>
          <w:p w14:paraId="64BE0A73" w14:textId="77777777" w:rsidR="0084326C" w:rsidRPr="005D68A0" w:rsidRDefault="0084326C">
            <w:pPr>
              <w:spacing w:before="120" w:after="120"/>
              <w:rPr>
                <w:rFonts w:ascii="Arial Narrow" w:hAnsi="Arial Narrow"/>
                <w:b/>
                <w:noProof/>
                <w:sz w:val="20"/>
                <w:szCs w:val="20"/>
                <w:lang w:val="en-GB"/>
              </w:rPr>
            </w:pPr>
          </w:p>
        </w:tc>
      </w:tr>
      <w:tr w:rsidR="0084326C" w:rsidRPr="00D90835" w14:paraId="7AA16094" w14:textId="77777777" w:rsidTr="72D320C3">
        <w:trPr>
          <w:trHeight w:val="313"/>
          <w:jc w:val="center"/>
        </w:trPr>
        <w:tc>
          <w:tcPr>
            <w:tcW w:w="1129" w:type="dxa"/>
            <w:shd w:val="clear" w:color="auto" w:fill="C6EFCE"/>
            <w:noWrap/>
            <w:vAlign w:val="center"/>
          </w:tcPr>
          <w:p w14:paraId="4CDE4AFF"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M6C2-4</w:t>
            </w:r>
          </w:p>
        </w:tc>
        <w:tc>
          <w:tcPr>
            <w:tcW w:w="1701" w:type="dxa"/>
            <w:shd w:val="clear" w:color="auto" w:fill="C6EFCE"/>
            <w:noWrap/>
            <w:vAlign w:val="center"/>
          </w:tcPr>
          <w:p w14:paraId="06EFEE22"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Investeering 1.1. Haiglate tehniliste seadmete digitaalne ajakohastamine.</w:t>
            </w:r>
          </w:p>
        </w:tc>
        <w:tc>
          <w:tcPr>
            <w:tcW w:w="1134" w:type="dxa"/>
            <w:shd w:val="clear" w:color="auto" w:fill="C6EFCE"/>
            <w:noWrap/>
            <w:vAlign w:val="center"/>
          </w:tcPr>
          <w:p w14:paraId="3D8F4B7E"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Eesmärk</w:t>
            </w:r>
          </w:p>
        </w:tc>
        <w:tc>
          <w:tcPr>
            <w:tcW w:w="1560" w:type="dxa"/>
            <w:shd w:val="clear" w:color="auto" w:fill="C6EFCE"/>
            <w:noWrap/>
            <w:vAlign w:val="center"/>
          </w:tcPr>
          <w:p w14:paraId="3D500301" w14:textId="77777777" w:rsidR="0084326C" w:rsidRPr="005D68A0" w:rsidRDefault="0084326C">
            <w:pPr>
              <w:spacing w:before="120" w:after="120"/>
              <w:jc w:val="center"/>
              <w:rPr>
                <w:rFonts w:ascii="Arial Narrow" w:eastAsia="Calibri" w:hAnsi="Arial Narrow"/>
                <w:noProof/>
                <w:color w:val="006600"/>
                <w:sz w:val="20"/>
                <w:szCs w:val="20"/>
              </w:rPr>
            </w:pPr>
            <w:r>
              <w:rPr>
                <w:rFonts w:ascii="Arial Narrow" w:hAnsi="Arial Narrow"/>
                <w:noProof/>
                <w:color w:val="006600"/>
                <w:sz w:val="20"/>
              </w:rPr>
              <w:t xml:space="preserve">Reorganiseerimise kava, mille on heaks kiitnud tervishoiuministeerium/Itaalia maakonnad </w:t>
            </w:r>
          </w:p>
        </w:tc>
        <w:tc>
          <w:tcPr>
            <w:tcW w:w="1559" w:type="dxa"/>
            <w:shd w:val="clear" w:color="auto" w:fill="C6EFCE"/>
            <w:noWrap/>
            <w:vAlign w:val="center"/>
          </w:tcPr>
          <w:p w14:paraId="41901C39" w14:textId="77777777" w:rsidR="0084326C" w:rsidRPr="005D68A0" w:rsidRDefault="0084326C">
            <w:pPr>
              <w:spacing w:before="120" w:after="120"/>
              <w:jc w:val="center"/>
              <w:rPr>
                <w:rFonts w:ascii="Arial Narrow" w:eastAsia="Calibri" w:hAnsi="Arial Narrow"/>
                <w:noProof/>
                <w:color w:val="006600"/>
                <w:sz w:val="20"/>
                <w:szCs w:val="20"/>
              </w:rPr>
            </w:pPr>
            <w:r>
              <w:rPr>
                <w:rFonts w:ascii="Arial Narrow" w:hAnsi="Arial Narrow"/>
                <w:noProof/>
                <w:color w:val="006600"/>
                <w:sz w:val="20"/>
              </w:rPr>
              <w:t>Tüübikinnitusest teatamine</w:t>
            </w:r>
          </w:p>
        </w:tc>
        <w:tc>
          <w:tcPr>
            <w:tcW w:w="1276" w:type="dxa"/>
            <w:shd w:val="clear" w:color="auto" w:fill="C6EFCE"/>
            <w:noWrap/>
            <w:vAlign w:val="center"/>
          </w:tcPr>
          <w:p w14:paraId="50978EE6"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Ei kohaldata</w:t>
            </w:r>
          </w:p>
        </w:tc>
        <w:tc>
          <w:tcPr>
            <w:tcW w:w="992" w:type="dxa"/>
            <w:shd w:val="clear" w:color="auto" w:fill="C6EFCE"/>
            <w:noWrap/>
            <w:vAlign w:val="center"/>
          </w:tcPr>
          <w:p w14:paraId="6151DF60"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Ei kohaldata</w:t>
            </w:r>
          </w:p>
        </w:tc>
        <w:tc>
          <w:tcPr>
            <w:tcW w:w="850" w:type="dxa"/>
            <w:shd w:val="clear" w:color="auto" w:fill="C6EFCE"/>
            <w:noWrap/>
            <w:vAlign w:val="center"/>
          </w:tcPr>
          <w:p w14:paraId="1CF34D34"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Ei kohaldata</w:t>
            </w:r>
          </w:p>
        </w:tc>
        <w:tc>
          <w:tcPr>
            <w:tcW w:w="851" w:type="dxa"/>
            <w:shd w:val="clear" w:color="auto" w:fill="C6EFCE"/>
            <w:noWrap/>
            <w:vAlign w:val="center"/>
          </w:tcPr>
          <w:p w14:paraId="3CE589E0"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4. kv</w:t>
            </w:r>
          </w:p>
        </w:tc>
        <w:tc>
          <w:tcPr>
            <w:tcW w:w="709" w:type="dxa"/>
            <w:shd w:val="clear" w:color="auto" w:fill="C6EFCE"/>
            <w:noWrap/>
            <w:vAlign w:val="center"/>
          </w:tcPr>
          <w:p w14:paraId="4CE722E0"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2021</w:t>
            </w:r>
          </w:p>
        </w:tc>
        <w:tc>
          <w:tcPr>
            <w:tcW w:w="2835" w:type="dxa"/>
            <w:shd w:val="clear" w:color="auto" w:fill="C6EFCE"/>
            <w:noWrap/>
            <w:vAlign w:val="center"/>
          </w:tcPr>
          <w:p w14:paraId="5A31D6AC" w14:textId="77777777" w:rsidR="0084326C" w:rsidRPr="005D68A0" w:rsidRDefault="0084326C">
            <w:pPr>
              <w:spacing w:before="120" w:after="120"/>
              <w:rPr>
                <w:rFonts w:ascii="Arial Narrow" w:hAnsi="Arial Narrow"/>
                <w:noProof/>
                <w:color w:val="006600"/>
                <w:sz w:val="20"/>
                <w:szCs w:val="20"/>
              </w:rPr>
            </w:pPr>
            <w:r>
              <w:rPr>
                <w:rFonts w:ascii="Arial Narrow" w:hAnsi="Arial Narrow"/>
                <w:noProof/>
                <w:color w:val="006600"/>
                <w:sz w:val="20"/>
              </w:rPr>
              <w:t>Kiita heaks reorganiseerimise kava, mille eesmärk on tugevdada NHSi haiglate suutlikkust pandeemiaga seotud hädaolukordadega asjakohaselt toime tulla, suurendades voodikohtade arvu intensiivravi ja subintensiivravi üksustes.</w:t>
            </w:r>
          </w:p>
          <w:p w14:paraId="45056285" w14:textId="77777777" w:rsidR="0084326C" w:rsidRPr="005D68A0" w:rsidRDefault="0084326C">
            <w:pPr>
              <w:spacing w:before="120" w:after="120"/>
              <w:rPr>
                <w:rFonts w:ascii="Arial Narrow" w:hAnsi="Arial Narrow"/>
                <w:noProof/>
                <w:color w:val="006600"/>
                <w:sz w:val="20"/>
                <w:szCs w:val="20"/>
              </w:rPr>
            </w:pPr>
            <w:r>
              <w:rPr>
                <w:rFonts w:ascii="Arial Narrow" w:hAnsi="Arial Narrow"/>
                <w:noProof/>
                <w:color w:val="006600"/>
                <w:sz w:val="20"/>
              </w:rPr>
              <w:t>Haigla reorganiseerimise kava suurendab NHSi haiglate intensiivravi- ja poolintensiivse ravi üksustes kättesaadavate voodikohtade arvu.</w:t>
            </w:r>
          </w:p>
        </w:tc>
      </w:tr>
      <w:tr w:rsidR="0084326C" w:rsidRPr="00D90835" w14:paraId="7F712E05" w14:textId="77777777" w:rsidTr="72D320C3">
        <w:trPr>
          <w:trHeight w:val="313"/>
          <w:jc w:val="center"/>
        </w:trPr>
        <w:tc>
          <w:tcPr>
            <w:tcW w:w="1129" w:type="dxa"/>
            <w:shd w:val="clear" w:color="auto" w:fill="C6EFCE"/>
            <w:noWrap/>
            <w:vAlign w:val="center"/>
          </w:tcPr>
          <w:p w14:paraId="1C030CEC"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M6C2-5</w:t>
            </w:r>
          </w:p>
        </w:tc>
        <w:tc>
          <w:tcPr>
            <w:tcW w:w="1701" w:type="dxa"/>
            <w:shd w:val="clear" w:color="auto" w:fill="C6EFCE"/>
            <w:noWrap/>
            <w:vAlign w:val="center"/>
          </w:tcPr>
          <w:p w14:paraId="3C1376A7"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Investeering 1.1. Haiglate tehniliste seadmete digitaalne ajakohastamine.</w:t>
            </w:r>
          </w:p>
        </w:tc>
        <w:tc>
          <w:tcPr>
            <w:tcW w:w="1134" w:type="dxa"/>
            <w:shd w:val="clear" w:color="auto" w:fill="C6EFCE"/>
            <w:noWrap/>
            <w:vAlign w:val="center"/>
          </w:tcPr>
          <w:p w14:paraId="51BBB1FE"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Eesmärk</w:t>
            </w:r>
          </w:p>
        </w:tc>
        <w:tc>
          <w:tcPr>
            <w:tcW w:w="1560" w:type="dxa"/>
            <w:shd w:val="clear" w:color="auto" w:fill="C6EFCE"/>
            <w:noWrap/>
            <w:vAlign w:val="center"/>
          </w:tcPr>
          <w:p w14:paraId="28A8487F" w14:textId="77777777" w:rsidR="0084326C" w:rsidRPr="005D68A0" w:rsidRDefault="0084326C">
            <w:pPr>
              <w:spacing w:before="120" w:after="120"/>
              <w:jc w:val="center"/>
              <w:rPr>
                <w:rFonts w:ascii="Arial Narrow" w:eastAsia="Calibri" w:hAnsi="Arial Narrow"/>
                <w:noProof/>
                <w:color w:val="006600"/>
                <w:sz w:val="20"/>
                <w:szCs w:val="20"/>
              </w:rPr>
            </w:pPr>
            <w:r>
              <w:rPr>
                <w:rFonts w:ascii="Arial Narrow" w:hAnsi="Arial Narrow"/>
                <w:noProof/>
                <w:color w:val="006600"/>
                <w:sz w:val="20"/>
              </w:rPr>
              <w:t xml:space="preserve"> Institutsioonilise arengu lepingu heakskiitmine </w:t>
            </w:r>
          </w:p>
        </w:tc>
        <w:tc>
          <w:tcPr>
            <w:tcW w:w="1559" w:type="dxa"/>
            <w:shd w:val="clear" w:color="auto" w:fill="C6EFCE"/>
            <w:noWrap/>
            <w:vAlign w:val="center"/>
          </w:tcPr>
          <w:p w14:paraId="5AF20734" w14:textId="77777777" w:rsidR="0084326C" w:rsidRPr="005D68A0" w:rsidRDefault="0084326C">
            <w:pPr>
              <w:spacing w:before="120" w:after="120"/>
              <w:jc w:val="center"/>
              <w:rPr>
                <w:rFonts w:ascii="Arial Narrow" w:hAnsi="Arial Narrow"/>
                <w:noProof/>
                <w:color w:val="006600"/>
                <w:sz w:val="20"/>
                <w:szCs w:val="20"/>
              </w:rPr>
            </w:pPr>
            <w:r>
              <w:rPr>
                <w:rFonts w:ascii="Arial Narrow" w:hAnsi="Arial Narrow"/>
                <w:noProof/>
                <w:color w:val="006600"/>
                <w:sz w:val="20"/>
              </w:rPr>
              <w:t>Tervishoiu- ja Itaalia piirkondade ministeeriumi teade institutsioonilise arengu lepingu allkirjastamise kohta</w:t>
            </w:r>
          </w:p>
        </w:tc>
        <w:tc>
          <w:tcPr>
            <w:tcW w:w="1276" w:type="dxa"/>
            <w:shd w:val="clear" w:color="auto" w:fill="C6EFCE"/>
            <w:noWrap/>
            <w:vAlign w:val="center"/>
          </w:tcPr>
          <w:p w14:paraId="120B3248"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Ei kohaldata</w:t>
            </w:r>
          </w:p>
        </w:tc>
        <w:tc>
          <w:tcPr>
            <w:tcW w:w="992" w:type="dxa"/>
            <w:shd w:val="clear" w:color="auto" w:fill="C6EFCE"/>
            <w:noWrap/>
            <w:vAlign w:val="center"/>
          </w:tcPr>
          <w:p w14:paraId="5294A635"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Ei kohaldata</w:t>
            </w:r>
          </w:p>
        </w:tc>
        <w:tc>
          <w:tcPr>
            <w:tcW w:w="850" w:type="dxa"/>
            <w:shd w:val="clear" w:color="auto" w:fill="C6EFCE"/>
            <w:noWrap/>
            <w:vAlign w:val="center"/>
          </w:tcPr>
          <w:p w14:paraId="2BB925FB"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Ei kohaldata</w:t>
            </w:r>
          </w:p>
        </w:tc>
        <w:tc>
          <w:tcPr>
            <w:tcW w:w="851" w:type="dxa"/>
            <w:shd w:val="clear" w:color="auto" w:fill="C6EFCE"/>
            <w:noWrap/>
            <w:vAlign w:val="center"/>
          </w:tcPr>
          <w:p w14:paraId="78F2E925"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2. kv</w:t>
            </w:r>
          </w:p>
        </w:tc>
        <w:tc>
          <w:tcPr>
            <w:tcW w:w="709" w:type="dxa"/>
            <w:shd w:val="clear" w:color="auto" w:fill="C6EFCE"/>
            <w:noWrap/>
            <w:vAlign w:val="center"/>
          </w:tcPr>
          <w:p w14:paraId="19E71DEA"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2022</w:t>
            </w:r>
          </w:p>
        </w:tc>
        <w:tc>
          <w:tcPr>
            <w:tcW w:w="2835" w:type="dxa"/>
            <w:shd w:val="clear" w:color="auto" w:fill="C6EFCE"/>
            <w:noWrap/>
            <w:vAlign w:val="center"/>
          </w:tcPr>
          <w:p w14:paraId="52735C05" w14:textId="77777777" w:rsidR="0084326C" w:rsidRPr="005D68A0" w:rsidRDefault="0084326C">
            <w:pPr>
              <w:spacing w:before="120" w:after="120"/>
              <w:rPr>
                <w:rFonts w:ascii="Arial Narrow" w:eastAsia="Calibri" w:hAnsi="Arial Narrow"/>
                <w:noProof/>
                <w:color w:val="006600"/>
                <w:sz w:val="20"/>
                <w:szCs w:val="20"/>
              </w:rPr>
            </w:pPr>
            <w:r>
              <w:rPr>
                <w:rFonts w:ascii="Arial Narrow" w:hAnsi="Arial Narrow"/>
                <w:noProof/>
                <w:color w:val="006600"/>
                <w:sz w:val="20"/>
              </w:rPr>
              <w:t>Institutsioonilise arengu lepingu (Contratto Istituzionale di Sviluppo) heakskiitmine, kusjuures vastutavaks ja rakendavaks asutuseks on Itaalia tervishoiuministeerium ning osalevad piirkondlikud haldusasutused ja muud olulised sidusrühmad.</w:t>
            </w:r>
          </w:p>
          <w:p w14:paraId="2E9E06A2" w14:textId="6E7D7292" w:rsidR="0084326C" w:rsidRPr="005D68A0" w:rsidRDefault="0084326C">
            <w:pPr>
              <w:spacing w:before="120" w:after="120"/>
              <w:rPr>
                <w:rFonts w:ascii="Arial Narrow" w:eastAsia="Calibri" w:hAnsi="Arial Narrow"/>
                <w:noProof/>
                <w:color w:val="006600"/>
                <w:sz w:val="20"/>
                <w:szCs w:val="20"/>
              </w:rPr>
            </w:pPr>
            <w:r>
              <w:rPr>
                <w:rFonts w:ascii="Arial Narrow" w:hAnsi="Arial Narrow"/>
                <w:noProof/>
                <w:color w:val="006600"/>
                <w:sz w:val="20"/>
              </w:rPr>
              <w:t>Institutsioonilise arengu leping on vahend, mis on määratletud kehtivates siseriiklikes õigusaktides (31. mai 2011. aasta seadusandliku dekreedi nr 88 artiklite 1 ja 6 ning 20. juuni 2017. aasta seadusandliku dekreedi nr 91 artikli 7 kombineeritud sätted 3. augusti 2017. aasta seadusega nr 123), et kiirendada omavahel funktsionaalselt seotud strateegiliste projektide elluviimist. Institutsioonilises arenduslepingus loetletakse kõik paikkonnad, mis on kindlaksmääratud investeeringute jaoks, ning kohustused, mida iga piirkond võtab, et tagada oodatava tulemuse saavutamine. Kui mõni piirkond rikub eeskirju, pöördub tervishoiuministeerium voliniku „ad acta“ poole.</w:t>
            </w:r>
          </w:p>
        </w:tc>
      </w:tr>
      <w:tr w:rsidR="0084326C" w:rsidRPr="00D90835" w14:paraId="2664BF6A" w14:textId="77777777" w:rsidTr="72D320C3">
        <w:trPr>
          <w:trHeight w:val="313"/>
          <w:jc w:val="center"/>
        </w:trPr>
        <w:tc>
          <w:tcPr>
            <w:tcW w:w="1129" w:type="dxa"/>
            <w:shd w:val="clear" w:color="auto" w:fill="C6EFCE"/>
            <w:noWrap/>
            <w:vAlign w:val="center"/>
          </w:tcPr>
          <w:p w14:paraId="33FF665C" w14:textId="6B3BA628"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M6C2-6</w:t>
            </w:r>
          </w:p>
        </w:tc>
        <w:tc>
          <w:tcPr>
            <w:tcW w:w="1701" w:type="dxa"/>
            <w:shd w:val="clear" w:color="auto" w:fill="C6EFCE"/>
            <w:noWrap/>
            <w:vAlign w:val="center"/>
          </w:tcPr>
          <w:p w14:paraId="6806AAAA"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Investeering 1.1. Haiglate tehniliste seadmete digitaalne ajakohastamine.</w:t>
            </w:r>
          </w:p>
        </w:tc>
        <w:tc>
          <w:tcPr>
            <w:tcW w:w="1134" w:type="dxa"/>
            <w:shd w:val="clear" w:color="auto" w:fill="C6EFCE"/>
            <w:noWrap/>
            <w:vAlign w:val="center"/>
          </w:tcPr>
          <w:p w14:paraId="62CE3464"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Siht</w:t>
            </w:r>
          </w:p>
        </w:tc>
        <w:tc>
          <w:tcPr>
            <w:tcW w:w="1560" w:type="dxa"/>
            <w:shd w:val="clear" w:color="auto" w:fill="C6EFCE"/>
            <w:noWrap/>
            <w:vAlign w:val="center"/>
          </w:tcPr>
          <w:p w14:paraId="1BBCCB1A"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Kasutuses olevad suured sanitaarseadmed</w:t>
            </w:r>
          </w:p>
        </w:tc>
        <w:tc>
          <w:tcPr>
            <w:tcW w:w="1559" w:type="dxa"/>
            <w:shd w:val="clear" w:color="auto" w:fill="C6EFCE"/>
            <w:noWrap/>
            <w:vAlign w:val="center"/>
          </w:tcPr>
          <w:p w14:paraId="34C87811"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Ei kohaldata</w:t>
            </w:r>
          </w:p>
        </w:tc>
        <w:tc>
          <w:tcPr>
            <w:tcW w:w="1276" w:type="dxa"/>
            <w:shd w:val="clear" w:color="auto" w:fill="C6EFCE"/>
            <w:noWrap/>
            <w:vAlign w:val="center"/>
          </w:tcPr>
          <w:p w14:paraId="09B2F2EE"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Arv</w:t>
            </w:r>
          </w:p>
        </w:tc>
        <w:tc>
          <w:tcPr>
            <w:tcW w:w="992" w:type="dxa"/>
            <w:shd w:val="clear" w:color="auto" w:fill="C6EFCE"/>
            <w:noWrap/>
            <w:vAlign w:val="center"/>
          </w:tcPr>
          <w:p w14:paraId="311E4444"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0</w:t>
            </w:r>
          </w:p>
        </w:tc>
        <w:tc>
          <w:tcPr>
            <w:tcW w:w="850" w:type="dxa"/>
            <w:shd w:val="clear" w:color="auto" w:fill="C6EFCE"/>
            <w:noWrap/>
            <w:vAlign w:val="center"/>
          </w:tcPr>
          <w:p w14:paraId="712DBA32" w14:textId="2B86C4B1"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3100</w:t>
            </w:r>
          </w:p>
        </w:tc>
        <w:tc>
          <w:tcPr>
            <w:tcW w:w="851" w:type="dxa"/>
            <w:shd w:val="clear" w:color="auto" w:fill="C6EFCE"/>
            <w:noWrap/>
            <w:vAlign w:val="center"/>
          </w:tcPr>
          <w:p w14:paraId="024CF3AC" w14:textId="77777777" w:rsidR="0084326C" w:rsidRPr="005D68A0" w:rsidRDefault="0084326C">
            <w:pPr>
              <w:spacing w:before="120" w:after="120"/>
              <w:jc w:val="center"/>
              <w:rPr>
                <w:rFonts w:ascii="Arial Narrow" w:hAnsi="Arial Narrow"/>
                <w:noProof/>
                <w:color w:val="006600"/>
                <w:sz w:val="20"/>
                <w:szCs w:val="20"/>
              </w:rPr>
            </w:pPr>
            <w:r>
              <w:rPr>
                <w:rFonts w:ascii="Arial Narrow" w:hAnsi="Arial Narrow"/>
                <w:noProof/>
                <w:color w:val="006600"/>
                <w:sz w:val="20"/>
              </w:rPr>
              <w:t>2. kv</w:t>
            </w:r>
          </w:p>
        </w:tc>
        <w:tc>
          <w:tcPr>
            <w:tcW w:w="709" w:type="dxa"/>
            <w:shd w:val="clear" w:color="auto" w:fill="C6EFCE"/>
            <w:noWrap/>
            <w:vAlign w:val="center"/>
          </w:tcPr>
          <w:p w14:paraId="5D2CC95A" w14:textId="77777777" w:rsidR="0084326C" w:rsidRPr="005D68A0" w:rsidRDefault="0084326C">
            <w:pPr>
              <w:spacing w:before="120" w:after="120"/>
              <w:jc w:val="center"/>
              <w:rPr>
                <w:rFonts w:ascii="Arial Narrow" w:hAnsi="Arial Narrow"/>
                <w:noProof/>
                <w:color w:val="006600"/>
                <w:sz w:val="20"/>
                <w:szCs w:val="20"/>
              </w:rPr>
            </w:pPr>
            <w:r>
              <w:rPr>
                <w:rFonts w:ascii="Arial Narrow" w:hAnsi="Arial Narrow"/>
                <w:noProof/>
                <w:color w:val="006600"/>
                <w:sz w:val="20"/>
              </w:rPr>
              <w:t>2026</w:t>
            </w:r>
          </w:p>
        </w:tc>
        <w:tc>
          <w:tcPr>
            <w:tcW w:w="2835" w:type="dxa"/>
            <w:shd w:val="clear" w:color="auto" w:fill="C6EFCE"/>
            <w:noWrap/>
            <w:vAlign w:val="center"/>
          </w:tcPr>
          <w:p w14:paraId="1A35608F" w14:textId="54F781EF" w:rsidR="0084326C" w:rsidRPr="005D68A0" w:rsidRDefault="0084326C">
            <w:pPr>
              <w:spacing w:before="120" w:after="120"/>
              <w:rPr>
                <w:rFonts w:ascii="Arial Narrow" w:hAnsi="Arial Narrow"/>
                <w:noProof/>
                <w:color w:val="006600"/>
                <w:sz w:val="20"/>
              </w:rPr>
            </w:pPr>
            <w:r>
              <w:rPr>
                <w:rFonts w:ascii="Arial Narrow" w:hAnsi="Arial Narrow"/>
                <w:noProof/>
                <w:color w:val="006600"/>
                <w:sz w:val="20"/>
              </w:rPr>
              <w:t>Asendatavate seadmete arv ja tüübid on järgmised : 333 CT (arvutitomograafia), millel on 128 või rohkem lõiku, 178 NMR (tuumamagnetresonants) kiirusel 1,5 T või rohkem, 78 lineaarkiirendit, 932 paikseid röntgenisüsteeme, 193 angiograafiat, 78 gammakaamerat, 51 gammakaamerat/CT (arvutitomograafia) skaneerimist, 34 PET-i (positron-heittomograafia) CT (arvutitomograafia), 295 Mammograafia, 928 Ultraheli).</w:t>
            </w:r>
          </w:p>
          <w:p w14:paraId="0CC616C8" w14:textId="36408CFC" w:rsidR="0084326C" w:rsidRPr="005D68A0" w:rsidRDefault="0084326C">
            <w:pPr>
              <w:spacing w:before="120" w:after="120"/>
              <w:rPr>
                <w:rFonts w:ascii="Arial Narrow" w:hAnsi="Arial Narrow"/>
                <w:noProof/>
                <w:color w:val="006100"/>
                <w:sz w:val="20"/>
                <w:szCs w:val="20"/>
              </w:rPr>
            </w:pPr>
            <w:r>
              <w:rPr>
                <w:rFonts w:ascii="Arial Narrow" w:hAnsi="Arial Narrow"/>
                <w:noProof/>
                <w:color w:val="006600"/>
                <w:sz w:val="20"/>
              </w:rPr>
              <w:t>Asendusseadmeid võib kõrvaldada või ümber paigutada teistesse riiklike tervishoiuteenistuste asukohtadesse.</w:t>
            </w:r>
          </w:p>
        </w:tc>
      </w:tr>
      <w:tr w:rsidR="0084326C" w:rsidRPr="00D90835" w14:paraId="04EEAAF1" w14:textId="77777777" w:rsidTr="72D320C3">
        <w:trPr>
          <w:trHeight w:val="313"/>
          <w:jc w:val="center"/>
        </w:trPr>
        <w:tc>
          <w:tcPr>
            <w:tcW w:w="1129" w:type="dxa"/>
            <w:shd w:val="clear" w:color="auto" w:fill="C6EFCE"/>
            <w:noWrap/>
            <w:vAlign w:val="center"/>
          </w:tcPr>
          <w:p w14:paraId="0210074D"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M6C2-7</w:t>
            </w:r>
          </w:p>
        </w:tc>
        <w:tc>
          <w:tcPr>
            <w:tcW w:w="1701" w:type="dxa"/>
            <w:shd w:val="clear" w:color="auto" w:fill="C6EFCE"/>
            <w:noWrap/>
            <w:vAlign w:val="center"/>
          </w:tcPr>
          <w:p w14:paraId="3BF4B485"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Investeering 1.1. Haiglate tehniliste seadmete digitaalne ajakohastamine.</w:t>
            </w:r>
          </w:p>
        </w:tc>
        <w:tc>
          <w:tcPr>
            <w:tcW w:w="1134" w:type="dxa"/>
            <w:shd w:val="clear" w:color="auto" w:fill="C6EFCE"/>
            <w:noWrap/>
            <w:vAlign w:val="center"/>
          </w:tcPr>
          <w:p w14:paraId="35BE17DA"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Eesmärk</w:t>
            </w:r>
          </w:p>
        </w:tc>
        <w:tc>
          <w:tcPr>
            <w:tcW w:w="1560" w:type="dxa"/>
            <w:shd w:val="clear" w:color="auto" w:fill="C6EFCE"/>
            <w:noWrap/>
            <w:vAlign w:val="center"/>
          </w:tcPr>
          <w:p w14:paraId="58A5E641"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Kõigi riigihankelepingute sõlmimine</w:t>
            </w:r>
          </w:p>
        </w:tc>
        <w:tc>
          <w:tcPr>
            <w:tcW w:w="1559" w:type="dxa"/>
            <w:shd w:val="clear" w:color="auto" w:fill="C6EFCE"/>
            <w:noWrap/>
            <w:vAlign w:val="center"/>
          </w:tcPr>
          <w:p w14:paraId="6F7F2034"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Kõikidest sõlmitud riigihankelepingutest teatamine.</w:t>
            </w:r>
          </w:p>
        </w:tc>
        <w:tc>
          <w:tcPr>
            <w:tcW w:w="1276" w:type="dxa"/>
            <w:shd w:val="clear" w:color="auto" w:fill="C6EFCE"/>
            <w:noWrap/>
            <w:vAlign w:val="center"/>
          </w:tcPr>
          <w:p w14:paraId="7B036DDD"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Ei kohaldata</w:t>
            </w:r>
          </w:p>
        </w:tc>
        <w:tc>
          <w:tcPr>
            <w:tcW w:w="992" w:type="dxa"/>
            <w:shd w:val="clear" w:color="auto" w:fill="C6EFCE"/>
            <w:noWrap/>
            <w:vAlign w:val="center"/>
          </w:tcPr>
          <w:p w14:paraId="4D9AA49B"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Ei kohaldata</w:t>
            </w:r>
          </w:p>
        </w:tc>
        <w:tc>
          <w:tcPr>
            <w:tcW w:w="850" w:type="dxa"/>
            <w:shd w:val="clear" w:color="auto" w:fill="C6EFCE"/>
            <w:noWrap/>
            <w:vAlign w:val="center"/>
          </w:tcPr>
          <w:p w14:paraId="40A9A8BF"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Ei kohaldata</w:t>
            </w:r>
          </w:p>
        </w:tc>
        <w:tc>
          <w:tcPr>
            <w:tcW w:w="851" w:type="dxa"/>
            <w:shd w:val="clear" w:color="auto" w:fill="C6EFCE"/>
            <w:noWrap/>
            <w:vAlign w:val="center"/>
          </w:tcPr>
          <w:p w14:paraId="47BB8A71"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4. kv</w:t>
            </w:r>
          </w:p>
        </w:tc>
        <w:tc>
          <w:tcPr>
            <w:tcW w:w="709" w:type="dxa"/>
            <w:shd w:val="clear" w:color="auto" w:fill="C6EFCE"/>
            <w:noWrap/>
            <w:vAlign w:val="center"/>
          </w:tcPr>
          <w:p w14:paraId="00BAEFD7"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2022</w:t>
            </w:r>
          </w:p>
        </w:tc>
        <w:tc>
          <w:tcPr>
            <w:tcW w:w="2835" w:type="dxa"/>
            <w:shd w:val="clear" w:color="auto" w:fill="C6EFCE"/>
            <w:noWrap/>
            <w:vAlign w:val="center"/>
          </w:tcPr>
          <w:p w14:paraId="1E8FB5F8" w14:textId="32BF0105" w:rsidR="0084326C" w:rsidRPr="005D68A0" w:rsidRDefault="0084326C">
            <w:pPr>
              <w:spacing w:before="120" w:after="120"/>
              <w:rPr>
                <w:rFonts w:ascii="Arial Narrow" w:hAnsi="Arial Narrow"/>
                <w:noProof/>
                <w:color w:val="006600"/>
                <w:sz w:val="20"/>
                <w:szCs w:val="20"/>
              </w:rPr>
            </w:pPr>
            <w:r>
              <w:rPr>
                <w:rFonts w:ascii="Arial Narrow" w:hAnsi="Arial Narrow"/>
                <w:noProof/>
                <w:color w:val="006600"/>
                <w:sz w:val="20"/>
              </w:rPr>
              <w:t>Hankemenetluste avaldamine (konsulaadi raamleping) ja lepingute sõlmimine teenuseosutajatega ning DEA I ja II tasandi haiglate digiteerimine)</w:t>
            </w:r>
          </w:p>
          <w:p w14:paraId="0A449AAE" w14:textId="07EAE211" w:rsidR="0084326C" w:rsidRPr="005D68A0" w:rsidRDefault="0084326C">
            <w:pPr>
              <w:spacing w:before="120" w:after="120"/>
              <w:rPr>
                <w:rFonts w:ascii="Arial Narrow" w:hAnsi="Arial Narrow"/>
                <w:noProof/>
                <w:color w:val="006100"/>
                <w:sz w:val="20"/>
                <w:szCs w:val="20"/>
              </w:rPr>
            </w:pPr>
            <w:r>
              <w:rPr>
                <w:rFonts w:ascii="Arial Narrow" w:hAnsi="Arial Narrow"/>
                <w:noProof/>
                <w:color w:val="006600"/>
                <w:sz w:val="20"/>
              </w:rPr>
              <w:t>Lepingud hõlmavad järgmiste toodete ostmist: a) Andmetöötluskeskus (DPC), sealhulgas IKT ja kõik sellega seotud tööd, mis on vajalikud kogu haiglastruktuuri arvutistamiseks, b) riistvara ja/või tarkvara infotehnoloogia, elektromeditsiinitehnoloogia ning lisatehnoloogia ja -tööde omandamine, mis on vajalikud haiglaosakondade arvutistamise saavutamiseks. Praeguse digiteerimistaseme hindamine, mis eelneb sekkumise rakendamisele, võimaldab seda hindamist viimistleda vastavalt iga piirkonna / haigla tegelikele vajadustele.</w:t>
            </w:r>
          </w:p>
        </w:tc>
      </w:tr>
      <w:tr w:rsidR="0084326C" w:rsidRPr="00D90835" w14:paraId="336BCC16" w14:textId="77777777" w:rsidTr="72D320C3">
        <w:trPr>
          <w:trHeight w:val="313"/>
          <w:jc w:val="center"/>
        </w:trPr>
        <w:tc>
          <w:tcPr>
            <w:tcW w:w="1129" w:type="dxa"/>
            <w:shd w:val="clear" w:color="auto" w:fill="C6EFCE"/>
            <w:noWrap/>
            <w:vAlign w:val="center"/>
          </w:tcPr>
          <w:p w14:paraId="53209157" w14:textId="6A6239C6"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M6C2-8</w:t>
            </w:r>
          </w:p>
        </w:tc>
        <w:tc>
          <w:tcPr>
            <w:tcW w:w="1701" w:type="dxa"/>
            <w:shd w:val="clear" w:color="auto" w:fill="C6EFCE"/>
            <w:noWrap/>
            <w:vAlign w:val="center"/>
          </w:tcPr>
          <w:p w14:paraId="23749820"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Investeering 1.1. Haiglate tehniliste seadmete digitaalne ajakohastamine.</w:t>
            </w:r>
          </w:p>
        </w:tc>
        <w:tc>
          <w:tcPr>
            <w:tcW w:w="1134" w:type="dxa"/>
            <w:shd w:val="clear" w:color="auto" w:fill="C6EFCE"/>
            <w:noWrap/>
            <w:vAlign w:val="center"/>
          </w:tcPr>
          <w:p w14:paraId="4AFCD9CB"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Siht</w:t>
            </w:r>
          </w:p>
        </w:tc>
        <w:tc>
          <w:tcPr>
            <w:tcW w:w="1560" w:type="dxa"/>
            <w:shd w:val="clear" w:color="auto" w:fill="C6EFCE"/>
            <w:noWrap/>
            <w:vAlign w:val="center"/>
          </w:tcPr>
          <w:p w14:paraId="613C163D" w14:textId="77777777" w:rsidR="0084326C" w:rsidRPr="005D68A0" w:rsidRDefault="0084326C">
            <w:pPr>
              <w:spacing w:before="120" w:after="120"/>
              <w:jc w:val="center"/>
              <w:rPr>
                <w:rFonts w:ascii="Arial Narrow" w:eastAsia="Calibri" w:hAnsi="Arial Narrow"/>
                <w:noProof/>
                <w:color w:val="006600"/>
                <w:sz w:val="20"/>
                <w:szCs w:val="20"/>
              </w:rPr>
            </w:pPr>
            <w:r>
              <w:rPr>
                <w:rFonts w:ascii="Arial Narrow" w:hAnsi="Arial Narrow"/>
                <w:noProof/>
                <w:color w:val="006600"/>
                <w:sz w:val="20"/>
              </w:rPr>
              <w:t>Haiglad digiteeritakse (DEA – hädaabi- ja vastuvõtuosakonnad – I ja II tasand)</w:t>
            </w:r>
          </w:p>
        </w:tc>
        <w:tc>
          <w:tcPr>
            <w:tcW w:w="1559" w:type="dxa"/>
            <w:shd w:val="clear" w:color="auto" w:fill="C6EFCE"/>
            <w:noWrap/>
            <w:vAlign w:val="center"/>
          </w:tcPr>
          <w:p w14:paraId="592E05AA"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Ei kohaldata</w:t>
            </w:r>
          </w:p>
        </w:tc>
        <w:tc>
          <w:tcPr>
            <w:tcW w:w="1276" w:type="dxa"/>
            <w:shd w:val="clear" w:color="auto" w:fill="C6EFCE"/>
            <w:noWrap/>
            <w:vAlign w:val="center"/>
          </w:tcPr>
          <w:p w14:paraId="559C2CFD" w14:textId="77777777" w:rsidR="0084326C" w:rsidRPr="005D68A0" w:rsidRDefault="0084326C">
            <w:pPr>
              <w:spacing w:before="120" w:after="120"/>
              <w:jc w:val="center"/>
              <w:rPr>
                <w:rFonts w:ascii="Arial Narrow" w:eastAsia="Calibri" w:hAnsi="Arial Narrow"/>
                <w:noProof/>
                <w:color w:val="006600"/>
                <w:sz w:val="20"/>
                <w:szCs w:val="20"/>
              </w:rPr>
            </w:pPr>
            <w:r>
              <w:rPr>
                <w:rFonts w:ascii="Arial Narrow" w:hAnsi="Arial Narrow"/>
                <w:noProof/>
                <w:color w:val="006600"/>
                <w:sz w:val="20"/>
              </w:rPr>
              <w:t xml:space="preserve">Arv </w:t>
            </w:r>
          </w:p>
        </w:tc>
        <w:tc>
          <w:tcPr>
            <w:tcW w:w="992" w:type="dxa"/>
            <w:shd w:val="clear" w:color="auto" w:fill="C6EFCE"/>
            <w:noWrap/>
            <w:vAlign w:val="center"/>
          </w:tcPr>
          <w:p w14:paraId="6376C4C4"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0</w:t>
            </w:r>
          </w:p>
        </w:tc>
        <w:tc>
          <w:tcPr>
            <w:tcW w:w="850" w:type="dxa"/>
            <w:shd w:val="clear" w:color="auto" w:fill="C6EFCE"/>
            <w:noWrap/>
            <w:vAlign w:val="center"/>
          </w:tcPr>
          <w:p w14:paraId="5E6791C1"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280</w:t>
            </w:r>
          </w:p>
        </w:tc>
        <w:tc>
          <w:tcPr>
            <w:tcW w:w="851" w:type="dxa"/>
            <w:shd w:val="clear" w:color="auto" w:fill="C6EFCE"/>
            <w:noWrap/>
            <w:vAlign w:val="center"/>
          </w:tcPr>
          <w:p w14:paraId="464F914C"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4. kv</w:t>
            </w:r>
          </w:p>
        </w:tc>
        <w:tc>
          <w:tcPr>
            <w:tcW w:w="709" w:type="dxa"/>
            <w:shd w:val="clear" w:color="auto" w:fill="C6EFCE"/>
            <w:noWrap/>
            <w:vAlign w:val="center"/>
          </w:tcPr>
          <w:p w14:paraId="7585F7EF"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2025</w:t>
            </w:r>
          </w:p>
        </w:tc>
        <w:tc>
          <w:tcPr>
            <w:tcW w:w="2835" w:type="dxa"/>
            <w:shd w:val="clear" w:color="auto" w:fill="C6EFCE"/>
            <w:noWrap/>
            <w:vAlign w:val="center"/>
          </w:tcPr>
          <w:p w14:paraId="2F85782C" w14:textId="4BFEC57B" w:rsidR="0084326C" w:rsidRPr="005D68A0" w:rsidRDefault="0084326C">
            <w:pPr>
              <w:spacing w:before="120" w:after="120"/>
              <w:rPr>
                <w:rFonts w:ascii="Arial Narrow" w:hAnsi="Arial Narrow"/>
                <w:noProof/>
                <w:color w:val="006600"/>
                <w:sz w:val="20"/>
                <w:szCs w:val="20"/>
              </w:rPr>
            </w:pPr>
            <w:r>
              <w:rPr>
                <w:rFonts w:ascii="Arial Narrow" w:hAnsi="Arial Narrow"/>
                <w:noProof/>
                <w:color w:val="006600"/>
                <w:sz w:val="20"/>
              </w:rPr>
              <w:t>Igal digiteeritud haiglal peab olema andmetöötluskeskus, mis on vajalik kogu haigla struktuuri arvutistamiseks, ning piisav riistvara ja/või tarkvara infotehnoloogia, elektromeditsiinitehnoloogia ja lisatehnoloogia, mis on vajalik iga haiglaosa arvutistamise saavutamiseks.</w:t>
            </w:r>
          </w:p>
          <w:p w14:paraId="2E5FFCA3" w14:textId="31D8C237" w:rsidR="0084326C" w:rsidRPr="005D68A0" w:rsidRDefault="0084326C">
            <w:pPr>
              <w:spacing w:before="120" w:after="120"/>
              <w:rPr>
                <w:rFonts w:ascii="Arial Narrow" w:hAnsi="Arial Narrow"/>
                <w:noProof/>
                <w:color w:val="006100"/>
                <w:sz w:val="20"/>
                <w:szCs w:val="20"/>
              </w:rPr>
            </w:pPr>
            <w:bookmarkStart w:id="14" w:name="_Hlk149126432"/>
            <w:r>
              <w:rPr>
                <w:rFonts w:ascii="Arial Narrow" w:hAnsi="Arial Narrow"/>
                <w:noProof/>
                <w:color w:val="006600"/>
                <w:sz w:val="20"/>
              </w:rPr>
              <w:t>Lisaks 31. detsembriks 2022 suletud dokumentidele on lubatud kasutada ka Consip’i poolt kättesaadavaks tehtudhankevahendeid („Concessionaria Servizi Informativi Pubblici“) ning lisaks 31. detsembriks 2022 suletud vahenditele ka elektrooniline avaliku halduse turg (Mepa)/avaliku halduse dünaamiline omandamissüsteem (SDAPA) lisaostude jaoks.</w:t>
            </w:r>
            <w:bookmarkEnd w:id="14"/>
          </w:p>
        </w:tc>
      </w:tr>
      <w:tr w:rsidR="0084326C" w:rsidRPr="00D90835" w14:paraId="1571FDE0" w14:textId="77777777" w:rsidTr="72D320C3">
        <w:trPr>
          <w:trHeight w:val="313"/>
          <w:jc w:val="center"/>
        </w:trPr>
        <w:tc>
          <w:tcPr>
            <w:tcW w:w="1129" w:type="dxa"/>
            <w:shd w:val="clear" w:color="auto" w:fill="C6EFCE"/>
            <w:noWrap/>
            <w:vAlign w:val="center"/>
          </w:tcPr>
          <w:p w14:paraId="49813DC9"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M6C2-9</w:t>
            </w:r>
          </w:p>
        </w:tc>
        <w:tc>
          <w:tcPr>
            <w:tcW w:w="1701" w:type="dxa"/>
            <w:shd w:val="clear" w:color="auto" w:fill="C6EFCE"/>
            <w:noWrap/>
            <w:vAlign w:val="center"/>
          </w:tcPr>
          <w:p w14:paraId="7E2C2108"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Investeering 1.1. Haiglate tehniliste seadmete digitaalne ajakohastamine.</w:t>
            </w:r>
          </w:p>
        </w:tc>
        <w:tc>
          <w:tcPr>
            <w:tcW w:w="1134" w:type="dxa"/>
            <w:shd w:val="clear" w:color="auto" w:fill="C6EFCE"/>
            <w:noWrap/>
            <w:vAlign w:val="center"/>
          </w:tcPr>
          <w:p w14:paraId="7DFC2803"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Siht</w:t>
            </w:r>
          </w:p>
        </w:tc>
        <w:tc>
          <w:tcPr>
            <w:tcW w:w="1560" w:type="dxa"/>
            <w:shd w:val="clear" w:color="auto" w:fill="C6EFCE"/>
            <w:noWrap/>
            <w:vAlign w:val="center"/>
          </w:tcPr>
          <w:p w14:paraId="4D9801E3" w14:textId="77777777" w:rsidR="0084326C" w:rsidRPr="005D68A0" w:rsidRDefault="0084326C">
            <w:pPr>
              <w:spacing w:before="120" w:after="120"/>
              <w:jc w:val="center"/>
              <w:rPr>
                <w:rFonts w:ascii="Arial Narrow" w:hAnsi="Arial Narrow"/>
                <w:noProof/>
                <w:color w:val="006600"/>
                <w:sz w:val="20"/>
                <w:szCs w:val="20"/>
              </w:rPr>
            </w:pPr>
            <w:r>
              <w:rPr>
                <w:rFonts w:ascii="Arial Narrow" w:hAnsi="Arial Narrow"/>
                <w:noProof/>
                <w:color w:val="006600"/>
                <w:sz w:val="20"/>
              </w:rPr>
              <w:t>ICUdes ja alaintensiivravis pakutavad lisavoodid</w:t>
            </w:r>
          </w:p>
        </w:tc>
        <w:tc>
          <w:tcPr>
            <w:tcW w:w="1559" w:type="dxa"/>
            <w:shd w:val="clear" w:color="auto" w:fill="C6EFCE"/>
            <w:noWrap/>
            <w:vAlign w:val="center"/>
          </w:tcPr>
          <w:p w14:paraId="5B8D329C"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Ei kohaldata</w:t>
            </w:r>
          </w:p>
        </w:tc>
        <w:tc>
          <w:tcPr>
            <w:tcW w:w="1276" w:type="dxa"/>
            <w:shd w:val="clear" w:color="auto" w:fill="C6EFCE"/>
            <w:noWrap/>
            <w:vAlign w:val="center"/>
          </w:tcPr>
          <w:p w14:paraId="52DB8002" w14:textId="77777777" w:rsidR="0084326C" w:rsidRPr="005D68A0" w:rsidRDefault="0084326C">
            <w:pPr>
              <w:spacing w:before="120" w:after="120"/>
              <w:jc w:val="center"/>
              <w:rPr>
                <w:rFonts w:ascii="Arial Narrow" w:eastAsia="Calibri" w:hAnsi="Arial Narrow"/>
                <w:noProof/>
                <w:color w:val="006600"/>
                <w:sz w:val="20"/>
                <w:szCs w:val="20"/>
              </w:rPr>
            </w:pPr>
            <w:r>
              <w:rPr>
                <w:rFonts w:ascii="Arial Narrow" w:hAnsi="Arial Narrow"/>
                <w:noProof/>
                <w:color w:val="006600"/>
                <w:sz w:val="20"/>
              </w:rPr>
              <w:t xml:space="preserve">Arv </w:t>
            </w:r>
          </w:p>
        </w:tc>
        <w:tc>
          <w:tcPr>
            <w:tcW w:w="992" w:type="dxa"/>
            <w:shd w:val="clear" w:color="auto" w:fill="C6EFCE"/>
            <w:noWrap/>
            <w:vAlign w:val="center"/>
          </w:tcPr>
          <w:p w14:paraId="49CAB7CC"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0</w:t>
            </w:r>
          </w:p>
        </w:tc>
        <w:tc>
          <w:tcPr>
            <w:tcW w:w="850" w:type="dxa"/>
            <w:shd w:val="clear" w:color="auto" w:fill="C6EFCE"/>
            <w:noWrap/>
            <w:vAlign w:val="center"/>
          </w:tcPr>
          <w:p w14:paraId="00F9FC9B"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5</w:t>
            </w:r>
            <w:r>
              <w:rPr>
                <w:rFonts w:ascii="Arial Narrow" w:hAnsi="Arial Narrow"/>
                <w:noProof/>
                <w:color w:val="006100"/>
                <w:sz w:val="20"/>
              </w:rPr>
              <w:t> </w:t>
            </w:r>
            <w:r>
              <w:rPr>
                <w:rFonts w:ascii="Arial Narrow" w:hAnsi="Arial Narrow"/>
                <w:noProof/>
                <w:color w:val="006600"/>
                <w:sz w:val="20"/>
              </w:rPr>
              <w:t>922</w:t>
            </w:r>
          </w:p>
        </w:tc>
        <w:tc>
          <w:tcPr>
            <w:tcW w:w="851" w:type="dxa"/>
            <w:shd w:val="clear" w:color="auto" w:fill="C6EFCE"/>
            <w:noWrap/>
            <w:vAlign w:val="center"/>
          </w:tcPr>
          <w:p w14:paraId="115C8494"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2. kv</w:t>
            </w:r>
          </w:p>
        </w:tc>
        <w:tc>
          <w:tcPr>
            <w:tcW w:w="709" w:type="dxa"/>
            <w:shd w:val="clear" w:color="auto" w:fill="C6EFCE"/>
            <w:noWrap/>
            <w:vAlign w:val="center"/>
          </w:tcPr>
          <w:p w14:paraId="2556D312"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2026</w:t>
            </w:r>
          </w:p>
        </w:tc>
        <w:tc>
          <w:tcPr>
            <w:tcW w:w="2835" w:type="dxa"/>
            <w:shd w:val="clear" w:color="auto" w:fill="C6EFCE"/>
            <w:noWrap/>
            <w:vAlign w:val="center"/>
          </w:tcPr>
          <w:p w14:paraId="0EEC2C73" w14:textId="009E66BC" w:rsidR="0084326C" w:rsidRPr="005D68A0" w:rsidRDefault="0084326C">
            <w:pPr>
              <w:spacing w:before="120" w:after="120"/>
              <w:rPr>
                <w:rFonts w:ascii="Arial Narrow" w:eastAsia="Calibri" w:hAnsi="Arial Narrow"/>
                <w:noProof/>
                <w:color w:val="006600"/>
                <w:sz w:val="20"/>
                <w:szCs w:val="20"/>
              </w:rPr>
            </w:pPr>
            <w:r>
              <w:rPr>
                <w:rFonts w:ascii="Arial Narrow" w:hAnsi="Arial Narrow"/>
                <w:noProof/>
                <w:color w:val="006600"/>
                <w:sz w:val="20"/>
              </w:rPr>
              <w:t>Poolintensiivses piirkonnas vähemalt 2 692 intensiivravivoodi ja 3 230 voodikohta koos seotud ventilatsiooniseadmetega tuleb muuta struktuurseks (mis vastab pandeemiaeelsete voodikohtade arvu suurenemisele ligikaudu 60 %).</w:t>
            </w:r>
          </w:p>
        </w:tc>
      </w:tr>
      <w:tr w:rsidR="0084326C" w:rsidRPr="00D90835" w14:paraId="3B491221" w14:textId="77777777" w:rsidTr="72D320C3">
        <w:trPr>
          <w:trHeight w:val="313"/>
          <w:jc w:val="center"/>
        </w:trPr>
        <w:tc>
          <w:tcPr>
            <w:tcW w:w="1129" w:type="dxa"/>
            <w:shd w:val="clear" w:color="auto" w:fill="C6EFCE"/>
            <w:noWrap/>
            <w:vAlign w:val="center"/>
          </w:tcPr>
          <w:p w14:paraId="51253E26"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M6C2-10</w:t>
            </w:r>
          </w:p>
        </w:tc>
        <w:tc>
          <w:tcPr>
            <w:tcW w:w="1701" w:type="dxa"/>
            <w:shd w:val="clear" w:color="auto" w:fill="C6EFCE"/>
            <w:noWrap/>
            <w:vAlign w:val="center"/>
          </w:tcPr>
          <w:p w14:paraId="1CCE09BE"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Investeering 1.2. Ohutu ja jätkusuutliku haigla suunas</w:t>
            </w:r>
          </w:p>
        </w:tc>
        <w:tc>
          <w:tcPr>
            <w:tcW w:w="1134" w:type="dxa"/>
            <w:shd w:val="clear" w:color="auto" w:fill="C6EFCE"/>
            <w:noWrap/>
            <w:vAlign w:val="center"/>
          </w:tcPr>
          <w:p w14:paraId="27587639"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Siht</w:t>
            </w:r>
          </w:p>
        </w:tc>
        <w:tc>
          <w:tcPr>
            <w:tcW w:w="1560" w:type="dxa"/>
            <w:shd w:val="clear" w:color="auto" w:fill="C6EFCE"/>
            <w:noWrap/>
            <w:vAlign w:val="center"/>
          </w:tcPr>
          <w:p w14:paraId="07BC2507" w14:textId="77777777" w:rsidR="0084326C" w:rsidRPr="005D68A0" w:rsidRDefault="0084326C">
            <w:pPr>
              <w:spacing w:before="120" w:after="120"/>
              <w:jc w:val="center"/>
              <w:rPr>
                <w:rFonts w:ascii="Arial Narrow" w:eastAsia="Calibri" w:hAnsi="Arial Narrow"/>
                <w:noProof/>
                <w:color w:val="006600"/>
                <w:sz w:val="20"/>
                <w:szCs w:val="20"/>
              </w:rPr>
            </w:pPr>
            <w:r>
              <w:rPr>
                <w:rFonts w:ascii="Arial Narrow" w:hAnsi="Arial Narrow"/>
                <w:noProof/>
                <w:color w:val="006600"/>
                <w:sz w:val="20"/>
              </w:rPr>
              <w:t>Lõpule on viidud maavärinavastased sekkumised haiglates</w:t>
            </w:r>
          </w:p>
        </w:tc>
        <w:tc>
          <w:tcPr>
            <w:tcW w:w="1559" w:type="dxa"/>
            <w:shd w:val="clear" w:color="auto" w:fill="C6EFCE"/>
            <w:noWrap/>
            <w:vAlign w:val="center"/>
          </w:tcPr>
          <w:p w14:paraId="57E5397C"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Ei kohaldata</w:t>
            </w:r>
          </w:p>
        </w:tc>
        <w:tc>
          <w:tcPr>
            <w:tcW w:w="1276" w:type="dxa"/>
            <w:shd w:val="clear" w:color="auto" w:fill="C6EFCE"/>
            <w:noWrap/>
            <w:vAlign w:val="center"/>
          </w:tcPr>
          <w:p w14:paraId="0FDB2FE1" w14:textId="77777777" w:rsidR="0084326C" w:rsidRPr="005D68A0" w:rsidRDefault="0084326C">
            <w:pPr>
              <w:spacing w:before="120" w:after="120"/>
              <w:jc w:val="center"/>
              <w:rPr>
                <w:rFonts w:ascii="Arial Narrow" w:eastAsia="Calibri" w:hAnsi="Arial Narrow"/>
                <w:noProof/>
                <w:color w:val="006600"/>
                <w:sz w:val="20"/>
                <w:szCs w:val="20"/>
              </w:rPr>
            </w:pPr>
            <w:r>
              <w:rPr>
                <w:rFonts w:ascii="Arial Narrow" w:hAnsi="Arial Narrow"/>
                <w:noProof/>
                <w:color w:val="006600"/>
                <w:sz w:val="20"/>
              </w:rPr>
              <w:t xml:space="preserve">Arv </w:t>
            </w:r>
          </w:p>
        </w:tc>
        <w:tc>
          <w:tcPr>
            <w:tcW w:w="992" w:type="dxa"/>
            <w:shd w:val="clear" w:color="auto" w:fill="C6EFCE"/>
            <w:noWrap/>
            <w:vAlign w:val="center"/>
          </w:tcPr>
          <w:p w14:paraId="66C87871"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0</w:t>
            </w:r>
          </w:p>
        </w:tc>
        <w:tc>
          <w:tcPr>
            <w:tcW w:w="850" w:type="dxa"/>
            <w:shd w:val="clear" w:color="auto" w:fill="C6EFCE"/>
            <w:noWrap/>
            <w:vAlign w:val="center"/>
          </w:tcPr>
          <w:p w14:paraId="33C17F9D" w14:textId="77777777" w:rsidR="0084326C" w:rsidRPr="005D68A0" w:rsidRDefault="0084326C">
            <w:pPr>
              <w:spacing w:before="120" w:after="120"/>
              <w:jc w:val="center"/>
              <w:rPr>
                <w:rFonts w:ascii="Arial Narrow" w:hAnsi="Arial Narrow"/>
                <w:noProof/>
                <w:color w:val="006600"/>
                <w:sz w:val="20"/>
                <w:szCs w:val="20"/>
              </w:rPr>
            </w:pPr>
            <w:r>
              <w:rPr>
                <w:rFonts w:ascii="Arial Narrow" w:hAnsi="Arial Narrow"/>
                <w:noProof/>
                <w:color w:val="006600"/>
                <w:sz w:val="20"/>
              </w:rPr>
              <w:t>84</w:t>
            </w:r>
          </w:p>
        </w:tc>
        <w:tc>
          <w:tcPr>
            <w:tcW w:w="851" w:type="dxa"/>
            <w:shd w:val="clear" w:color="auto" w:fill="C6EFCE"/>
            <w:noWrap/>
            <w:vAlign w:val="center"/>
          </w:tcPr>
          <w:p w14:paraId="2149677B"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2. kv</w:t>
            </w:r>
          </w:p>
        </w:tc>
        <w:tc>
          <w:tcPr>
            <w:tcW w:w="709" w:type="dxa"/>
            <w:shd w:val="clear" w:color="auto" w:fill="C6EFCE"/>
            <w:noWrap/>
            <w:vAlign w:val="center"/>
          </w:tcPr>
          <w:p w14:paraId="18138B10"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2026</w:t>
            </w:r>
          </w:p>
        </w:tc>
        <w:tc>
          <w:tcPr>
            <w:tcW w:w="2835" w:type="dxa"/>
            <w:shd w:val="clear" w:color="auto" w:fill="C6EFCE"/>
            <w:noWrap/>
            <w:vAlign w:val="center"/>
          </w:tcPr>
          <w:p w14:paraId="40CAB330" w14:textId="77777777" w:rsidR="0084326C" w:rsidRPr="005D68A0" w:rsidRDefault="0084326C">
            <w:pPr>
              <w:spacing w:before="120" w:after="120"/>
              <w:rPr>
                <w:rFonts w:ascii="Arial Narrow" w:hAnsi="Arial Narrow"/>
                <w:noProof/>
                <w:sz w:val="20"/>
                <w:szCs w:val="20"/>
              </w:rPr>
            </w:pPr>
            <w:r>
              <w:rPr>
                <w:rFonts w:ascii="Arial Narrow" w:hAnsi="Arial Narrow"/>
                <w:noProof/>
                <w:color w:val="006600"/>
                <w:sz w:val="20"/>
              </w:rPr>
              <w:t>Haiglates on lõpule viidud vähemalt 84 maavärinavastast sekkumist, et viia need vastavusse maavärinavastaste eeskirjadega.</w:t>
            </w:r>
          </w:p>
        </w:tc>
      </w:tr>
      <w:tr w:rsidR="0084326C" w:rsidRPr="00D90835" w14:paraId="1B8861E6" w14:textId="77777777" w:rsidTr="72D320C3">
        <w:trPr>
          <w:trHeight w:val="313"/>
          <w:jc w:val="center"/>
        </w:trPr>
        <w:tc>
          <w:tcPr>
            <w:tcW w:w="1129" w:type="dxa"/>
            <w:shd w:val="clear" w:color="auto" w:fill="C6EFCE"/>
            <w:noWrap/>
            <w:vAlign w:val="center"/>
          </w:tcPr>
          <w:p w14:paraId="7D493FB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M6C2–10bis</w:t>
            </w:r>
          </w:p>
        </w:tc>
        <w:tc>
          <w:tcPr>
            <w:tcW w:w="1701" w:type="dxa"/>
            <w:shd w:val="clear" w:color="auto" w:fill="C6EFCE"/>
            <w:noWrap/>
            <w:vAlign w:val="center"/>
          </w:tcPr>
          <w:p w14:paraId="7E1E7DD6" w14:textId="77777777" w:rsidR="0084326C" w:rsidRPr="005D68A0" w:rsidRDefault="0084326C">
            <w:pPr>
              <w:spacing w:before="120" w:after="120" w:line="276" w:lineRule="auto"/>
              <w:jc w:val="center"/>
              <w:rPr>
                <w:rFonts w:ascii="Arial Narrow" w:hAnsi="Arial Narrow"/>
                <w:noProof/>
                <w:color w:val="006600"/>
                <w:sz w:val="20"/>
                <w:szCs w:val="20"/>
              </w:rPr>
            </w:pPr>
            <w:bookmarkStart w:id="15" w:name="_Hlk160472567"/>
            <w:r>
              <w:rPr>
                <w:rFonts w:ascii="Arial Narrow" w:hAnsi="Arial Narrow"/>
                <w:noProof/>
                <w:color w:val="006600"/>
                <w:sz w:val="20"/>
              </w:rPr>
              <w:t>Investeering 1.2. Ohutu ja jätkusuutliku haigla suunas</w:t>
            </w:r>
            <w:bookmarkEnd w:id="15"/>
          </w:p>
        </w:tc>
        <w:tc>
          <w:tcPr>
            <w:tcW w:w="1134" w:type="dxa"/>
            <w:shd w:val="clear" w:color="auto" w:fill="C6EFCE"/>
            <w:noWrap/>
            <w:vAlign w:val="center"/>
          </w:tcPr>
          <w:p w14:paraId="72CE6EA7" w14:textId="77777777" w:rsidR="0084326C" w:rsidRPr="005D68A0" w:rsidRDefault="0084326C">
            <w:pPr>
              <w:jc w:val="center"/>
              <w:rPr>
                <w:rFonts w:ascii="Arial Narrow" w:hAnsi="Arial Narrow"/>
                <w:noProof/>
                <w:color w:val="006600"/>
                <w:sz w:val="20"/>
                <w:szCs w:val="20"/>
              </w:rPr>
            </w:pPr>
            <w:r>
              <w:rPr>
                <w:rFonts w:ascii="Arial Narrow" w:hAnsi="Arial Narrow"/>
                <w:noProof/>
                <w:color w:val="006600"/>
                <w:sz w:val="20"/>
              </w:rPr>
              <w:t xml:space="preserve">Siht </w:t>
            </w:r>
          </w:p>
        </w:tc>
        <w:tc>
          <w:tcPr>
            <w:tcW w:w="1560" w:type="dxa"/>
            <w:shd w:val="clear" w:color="auto" w:fill="C6EFCE"/>
            <w:noWrap/>
            <w:vAlign w:val="center"/>
          </w:tcPr>
          <w:p w14:paraId="7477FCDE" w14:textId="77777777" w:rsidR="0084326C" w:rsidRPr="005D68A0" w:rsidRDefault="0084326C">
            <w:pPr>
              <w:spacing w:before="120" w:after="120"/>
              <w:jc w:val="center"/>
              <w:rPr>
                <w:rFonts w:ascii="Arial Narrow" w:eastAsia="Calibri" w:hAnsi="Arial Narrow"/>
                <w:noProof/>
                <w:color w:val="006600"/>
                <w:sz w:val="20"/>
                <w:szCs w:val="20"/>
              </w:rPr>
            </w:pPr>
            <w:r>
              <w:rPr>
                <w:rFonts w:ascii="Arial Narrow" w:hAnsi="Arial Narrow"/>
                <w:noProof/>
                <w:color w:val="006600"/>
                <w:sz w:val="20"/>
              </w:rPr>
              <w:t>Taaste- ja vastupidavusrahastu vahendite väljamaksmine finantsseaduse 67/88 artikli 20 kohastele projektidele</w:t>
            </w:r>
          </w:p>
        </w:tc>
        <w:tc>
          <w:tcPr>
            <w:tcW w:w="1559" w:type="dxa"/>
            <w:shd w:val="clear" w:color="auto" w:fill="C6EFCE"/>
            <w:noWrap/>
            <w:vAlign w:val="center"/>
          </w:tcPr>
          <w:p w14:paraId="3A2CC8C2" w14:textId="77777777" w:rsidR="0084326C" w:rsidRPr="005D68A0" w:rsidRDefault="0084326C">
            <w:pPr>
              <w:jc w:val="center"/>
              <w:rPr>
                <w:rFonts w:ascii="Arial Narrow" w:hAnsi="Arial Narrow"/>
                <w:noProof/>
                <w:color w:val="006600"/>
                <w:sz w:val="20"/>
                <w:szCs w:val="20"/>
              </w:rPr>
            </w:pPr>
            <w:r>
              <w:rPr>
                <w:rFonts w:ascii="Arial Narrow" w:hAnsi="Arial Narrow"/>
                <w:noProof/>
                <w:color w:val="006600"/>
                <w:sz w:val="20"/>
              </w:rPr>
              <w:t>Ei kohaldata</w:t>
            </w:r>
          </w:p>
        </w:tc>
        <w:tc>
          <w:tcPr>
            <w:tcW w:w="1276" w:type="dxa"/>
            <w:shd w:val="clear" w:color="auto" w:fill="C6EFCE"/>
            <w:noWrap/>
            <w:vAlign w:val="center"/>
          </w:tcPr>
          <w:p w14:paraId="631E9AE8" w14:textId="77777777" w:rsidR="0084326C" w:rsidRPr="005D68A0" w:rsidRDefault="0084326C">
            <w:pPr>
              <w:jc w:val="center"/>
              <w:rPr>
                <w:rFonts w:ascii="Arial Narrow" w:eastAsia="Calibri" w:hAnsi="Arial Narrow"/>
                <w:noProof/>
                <w:color w:val="006600"/>
                <w:sz w:val="20"/>
                <w:szCs w:val="20"/>
              </w:rPr>
            </w:pPr>
            <w:r>
              <w:rPr>
                <w:rFonts w:ascii="Arial Narrow" w:hAnsi="Arial Narrow"/>
                <w:noProof/>
                <w:color w:val="006600"/>
                <w:sz w:val="20"/>
              </w:rPr>
              <w:t xml:space="preserve">Protsent </w:t>
            </w:r>
          </w:p>
        </w:tc>
        <w:tc>
          <w:tcPr>
            <w:tcW w:w="992" w:type="dxa"/>
            <w:shd w:val="clear" w:color="auto" w:fill="C6EFCE"/>
            <w:noWrap/>
            <w:vAlign w:val="center"/>
          </w:tcPr>
          <w:p w14:paraId="2829ADB8" w14:textId="77777777" w:rsidR="0084326C" w:rsidRPr="005D68A0" w:rsidRDefault="0084326C">
            <w:pPr>
              <w:jc w:val="center"/>
              <w:rPr>
                <w:rFonts w:ascii="Arial Narrow" w:hAnsi="Arial Narrow"/>
                <w:noProof/>
                <w:color w:val="006600"/>
                <w:sz w:val="20"/>
                <w:szCs w:val="20"/>
              </w:rPr>
            </w:pPr>
            <w:r>
              <w:rPr>
                <w:rFonts w:ascii="Arial Narrow" w:hAnsi="Arial Narrow"/>
                <w:noProof/>
                <w:color w:val="006600"/>
                <w:sz w:val="20"/>
              </w:rPr>
              <w:t>0</w:t>
            </w:r>
          </w:p>
        </w:tc>
        <w:tc>
          <w:tcPr>
            <w:tcW w:w="850" w:type="dxa"/>
            <w:shd w:val="clear" w:color="auto" w:fill="C6EFCE"/>
            <w:noWrap/>
            <w:vAlign w:val="center"/>
          </w:tcPr>
          <w:p w14:paraId="61FA33D9" w14:textId="6BD0D79A" w:rsidR="0084326C" w:rsidRPr="005D68A0" w:rsidRDefault="0084326C">
            <w:pPr>
              <w:jc w:val="center"/>
              <w:rPr>
                <w:rFonts w:ascii="Arial Narrow" w:hAnsi="Arial Narrow"/>
                <w:noProof/>
                <w:color w:val="006600"/>
                <w:sz w:val="20"/>
                <w:szCs w:val="20"/>
              </w:rPr>
            </w:pPr>
            <w:r>
              <w:rPr>
                <w:rFonts w:ascii="Arial Narrow" w:hAnsi="Arial Narrow"/>
                <w:noProof/>
                <w:color w:val="006600"/>
                <w:sz w:val="20"/>
              </w:rPr>
              <w:t xml:space="preserve">90 </w:t>
            </w:r>
          </w:p>
        </w:tc>
        <w:tc>
          <w:tcPr>
            <w:tcW w:w="851" w:type="dxa"/>
            <w:shd w:val="clear" w:color="auto" w:fill="C6EFCE"/>
            <w:noWrap/>
            <w:vAlign w:val="center"/>
          </w:tcPr>
          <w:p w14:paraId="56A3FB06" w14:textId="77777777" w:rsidR="0084326C" w:rsidRPr="005D68A0" w:rsidRDefault="0084326C">
            <w:pPr>
              <w:jc w:val="center"/>
              <w:rPr>
                <w:rFonts w:ascii="Arial Narrow" w:hAnsi="Arial Narrow"/>
                <w:noProof/>
                <w:color w:val="006600"/>
                <w:sz w:val="20"/>
                <w:szCs w:val="20"/>
              </w:rPr>
            </w:pPr>
            <w:r>
              <w:rPr>
                <w:rFonts w:ascii="Arial Narrow" w:hAnsi="Arial Narrow"/>
                <w:noProof/>
                <w:color w:val="006600"/>
                <w:sz w:val="20"/>
              </w:rPr>
              <w:t>2. kv</w:t>
            </w:r>
          </w:p>
        </w:tc>
        <w:tc>
          <w:tcPr>
            <w:tcW w:w="709" w:type="dxa"/>
            <w:shd w:val="clear" w:color="auto" w:fill="C6EFCE"/>
            <w:noWrap/>
            <w:vAlign w:val="center"/>
          </w:tcPr>
          <w:p w14:paraId="6BE2044C" w14:textId="77777777" w:rsidR="0084326C" w:rsidRPr="005D68A0" w:rsidRDefault="0084326C">
            <w:pPr>
              <w:jc w:val="center"/>
              <w:rPr>
                <w:rFonts w:ascii="Arial Narrow" w:hAnsi="Arial Narrow"/>
                <w:noProof/>
                <w:color w:val="006600"/>
                <w:sz w:val="20"/>
                <w:szCs w:val="20"/>
              </w:rPr>
            </w:pPr>
            <w:r>
              <w:rPr>
                <w:rFonts w:ascii="Arial Narrow" w:hAnsi="Arial Narrow"/>
                <w:noProof/>
                <w:color w:val="006600"/>
                <w:sz w:val="20"/>
              </w:rPr>
              <w:t>2026</w:t>
            </w:r>
          </w:p>
        </w:tc>
        <w:tc>
          <w:tcPr>
            <w:tcW w:w="2835" w:type="dxa"/>
            <w:shd w:val="clear" w:color="auto" w:fill="C6EFCE"/>
            <w:noWrap/>
            <w:vAlign w:val="center"/>
          </w:tcPr>
          <w:p w14:paraId="58CBBFC2" w14:textId="5AB229AD" w:rsidR="0084326C" w:rsidRPr="005D68A0" w:rsidRDefault="0084326C">
            <w:pPr>
              <w:rPr>
                <w:rFonts w:ascii="Arial Narrow" w:eastAsia="Calibri" w:hAnsi="Arial Narrow"/>
                <w:noProof/>
                <w:color w:val="006600"/>
                <w:sz w:val="20"/>
                <w:szCs w:val="20"/>
              </w:rPr>
            </w:pPr>
            <w:r>
              <w:rPr>
                <w:rFonts w:ascii="Arial Narrow" w:hAnsi="Arial Narrow"/>
                <w:noProof/>
                <w:color w:val="006600"/>
                <w:sz w:val="20"/>
              </w:rPr>
              <w:t>Vähemalt 90 % 250 000 000 eurost makstakse välja haiglate ümberkorraldamise ja moderniseerimise projektidele, mis on seotud programmilepingutega vastavalt L. 67/88 artiklile 20 ning mida viib läbi tervishoiuministeerium koos asjaomase piirkonnaga.</w:t>
            </w:r>
          </w:p>
        </w:tc>
      </w:tr>
      <w:tr w:rsidR="0084326C" w:rsidRPr="00D90835" w14:paraId="528356FB" w14:textId="77777777" w:rsidTr="72D320C3">
        <w:trPr>
          <w:trHeight w:val="313"/>
          <w:jc w:val="center"/>
        </w:trPr>
        <w:tc>
          <w:tcPr>
            <w:tcW w:w="1129" w:type="dxa"/>
            <w:shd w:val="clear" w:color="auto" w:fill="C6EFCE"/>
            <w:noWrap/>
            <w:vAlign w:val="center"/>
          </w:tcPr>
          <w:p w14:paraId="5A208806"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M6C2-11</w:t>
            </w:r>
          </w:p>
        </w:tc>
        <w:tc>
          <w:tcPr>
            <w:tcW w:w="1701" w:type="dxa"/>
            <w:shd w:val="clear" w:color="auto" w:fill="C6EFCE"/>
            <w:noWrap/>
            <w:vAlign w:val="center"/>
          </w:tcPr>
          <w:p w14:paraId="2D0F355C"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Investeering 1.3. Tehnoloogilise infrastruktuuri ning andmete kogumise, töötlemise, analüüsimise ja modelleerimise vahendite tugevdamine.</w:t>
            </w:r>
          </w:p>
        </w:tc>
        <w:tc>
          <w:tcPr>
            <w:tcW w:w="1134" w:type="dxa"/>
            <w:shd w:val="clear" w:color="auto" w:fill="C6EFCE"/>
            <w:noWrap/>
            <w:vAlign w:val="center"/>
          </w:tcPr>
          <w:p w14:paraId="3B7EC278"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Siht</w:t>
            </w:r>
          </w:p>
        </w:tc>
        <w:tc>
          <w:tcPr>
            <w:tcW w:w="1560" w:type="dxa"/>
            <w:shd w:val="clear" w:color="auto" w:fill="C6EFCE"/>
            <w:noWrap/>
            <w:vAlign w:val="center"/>
          </w:tcPr>
          <w:p w14:paraId="08F74A57" w14:textId="77777777" w:rsidR="0084326C" w:rsidRPr="005D68A0" w:rsidRDefault="0084326C">
            <w:pPr>
              <w:spacing w:before="120" w:after="120"/>
              <w:jc w:val="center"/>
              <w:rPr>
                <w:rFonts w:ascii="Arial Narrow" w:hAnsi="Arial Narrow"/>
                <w:noProof/>
                <w:color w:val="006600"/>
                <w:sz w:val="20"/>
                <w:szCs w:val="20"/>
              </w:rPr>
            </w:pPr>
            <w:r>
              <w:rPr>
                <w:rFonts w:ascii="Arial Narrow" w:hAnsi="Arial Narrow"/>
                <w:noProof/>
                <w:color w:val="006600"/>
                <w:sz w:val="20"/>
              </w:rPr>
              <w:t>E-tervisekaarti edastavad üldarstid.</w:t>
            </w:r>
          </w:p>
        </w:tc>
        <w:tc>
          <w:tcPr>
            <w:tcW w:w="1559" w:type="dxa"/>
            <w:shd w:val="clear" w:color="auto" w:fill="C6EFCE"/>
            <w:noWrap/>
            <w:vAlign w:val="center"/>
          </w:tcPr>
          <w:p w14:paraId="11EBAFCB"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Ei kohaldata</w:t>
            </w:r>
          </w:p>
        </w:tc>
        <w:tc>
          <w:tcPr>
            <w:tcW w:w="1276" w:type="dxa"/>
            <w:shd w:val="clear" w:color="auto" w:fill="C6EFCE"/>
            <w:noWrap/>
            <w:vAlign w:val="center"/>
          </w:tcPr>
          <w:p w14:paraId="19C3BD77" w14:textId="77777777" w:rsidR="0084326C" w:rsidRPr="005D68A0" w:rsidRDefault="0084326C">
            <w:pPr>
              <w:spacing w:before="120" w:after="120"/>
              <w:jc w:val="center"/>
              <w:rPr>
                <w:rFonts w:ascii="Arial Narrow" w:eastAsia="Calibri" w:hAnsi="Arial Narrow"/>
                <w:noProof/>
                <w:color w:val="006600"/>
                <w:sz w:val="20"/>
                <w:szCs w:val="20"/>
              </w:rPr>
            </w:pPr>
            <w:r>
              <w:rPr>
                <w:rFonts w:ascii="Arial Narrow" w:hAnsi="Arial Narrow"/>
                <w:noProof/>
                <w:color w:val="006600"/>
                <w:sz w:val="20"/>
              </w:rPr>
              <w:t xml:space="preserve">Protsent </w:t>
            </w:r>
          </w:p>
        </w:tc>
        <w:tc>
          <w:tcPr>
            <w:tcW w:w="992" w:type="dxa"/>
            <w:shd w:val="clear" w:color="auto" w:fill="C6EFCE"/>
            <w:noWrap/>
            <w:vAlign w:val="center"/>
          </w:tcPr>
          <w:p w14:paraId="054832FC"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0</w:t>
            </w:r>
          </w:p>
        </w:tc>
        <w:tc>
          <w:tcPr>
            <w:tcW w:w="850" w:type="dxa"/>
            <w:shd w:val="clear" w:color="auto" w:fill="C6EFCE"/>
            <w:noWrap/>
            <w:vAlign w:val="center"/>
          </w:tcPr>
          <w:p w14:paraId="3DD89C3A"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85</w:t>
            </w:r>
          </w:p>
        </w:tc>
        <w:tc>
          <w:tcPr>
            <w:tcW w:w="851" w:type="dxa"/>
            <w:shd w:val="clear" w:color="auto" w:fill="C6EFCE"/>
            <w:noWrap/>
            <w:vAlign w:val="center"/>
          </w:tcPr>
          <w:p w14:paraId="39EE3D21"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4. kv</w:t>
            </w:r>
          </w:p>
        </w:tc>
        <w:tc>
          <w:tcPr>
            <w:tcW w:w="709" w:type="dxa"/>
            <w:shd w:val="clear" w:color="auto" w:fill="C6EFCE"/>
            <w:noWrap/>
            <w:vAlign w:val="center"/>
          </w:tcPr>
          <w:p w14:paraId="03ABEF96"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2025</w:t>
            </w:r>
          </w:p>
        </w:tc>
        <w:tc>
          <w:tcPr>
            <w:tcW w:w="2835" w:type="dxa"/>
            <w:shd w:val="clear" w:color="auto" w:fill="C6EFCE"/>
            <w:noWrap/>
            <w:vAlign w:val="center"/>
          </w:tcPr>
          <w:p w14:paraId="761303BD" w14:textId="77777777" w:rsidR="0084326C" w:rsidRPr="005D68A0" w:rsidRDefault="0084326C">
            <w:pPr>
              <w:spacing w:before="120" w:after="120"/>
              <w:rPr>
                <w:rFonts w:ascii="Arial Narrow" w:hAnsi="Arial Narrow"/>
                <w:noProof/>
                <w:color w:val="006600"/>
                <w:sz w:val="20"/>
                <w:szCs w:val="20"/>
              </w:rPr>
            </w:pPr>
            <w:r>
              <w:rPr>
                <w:rFonts w:ascii="Arial Narrow" w:hAnsi="Arial Narrow"/>
                <w:noProof/>
                <w:color w:val="006600"/>
                <w:sz w:val="20"/>
              </w:rPr>
              <w:t>See eesmärk saavutatakse, suurendades digitaalsete dokumentide liikide digiteerimist Euroopa inimõiguste määruses ning pakkudes erialast tuge ja koolitust, et tagada üldarstide digioskuste täiendamine kogu riigis.</w:t>
            </w:r>
          </w:p>
        </w:tc>
      </w:tr>
      <w:tr w:rsidR="0084326C" w:rsidRPr="00D90835" w14:paraId="06AE5980" w14:textId="77777777" w:rsidTr="72D320C3">
        <w:trPr>
          <w:trHeight w:val="313"/>
          <w:jc w:val="center"/>
        </w:trPr>
        <w:tc>
          <w:tcPr>
            <w:tcW w:w="1129" w:type="dxa"/>
            <w:shd w:val="clear" w:color="auto" w:fill="C6EFCE"/>
            <w:noWrap/>
            <w:vAlign w:val="center"/>
          </w:tcPr>
          <w:p w14:paraId="13ACB5A0"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M6C2-12</w:t>
            </w:r>
          </w:p>
        </w:tc>
        <w:tc>
          <w:tcPr>
            <w:tcW w:w="1701" w:type="dxa"/>
            <w:shd w:val="clear" w:color="auto" w:fill="C6EFCE"/>
            <w:noWrap/>
            <w:vAlign w:val="center"/>
          </w:tcPr>
          <w:p w14:paraId="63C077D1"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Investeering 1.3. Tehnoloogilise infrastruktuuri ning andmete kogumise, töötlemise, analüüsimise ja modelleerimise vahendite tugevdamine.</w:t>
            </w:r>
          </w:p>
        </w:tc>
        <w:tc>
          <w:tcPr>
            <w:tcW w:w="1134" w:type="dxa"/>
            <w:shd w:val="clear" w:color="auto" w:fill="C6EFCE"/>
            <w:noWrap/>
            <w:vAlign w:val="center"/>
          </w:tcPr>
          <w:p w14:paraId="69C16BB5"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Eesmärk</w:t>
            </w:r>
          </w:p>
        </w:tc>
        <w:tc>
          <w:tcPr>
            <w:tcW w:w="1560" w:type="dxa"/>
            <w:shd w:val="clear" w:color="auto" w:fill="C6EFCE"/>
            <w:noWrap/>
            <w:vAlign w:val="center"/>
          </w:tcPr>
          <w:p w14:paraId="3C4DF657" w14:textId="77777777" w:rsidR="0084326C" w:rsidRPr="005D68A0" w:rsidRDefault="0084326C">
            <w:pPr>
              <w:spacing w:before="120" w:after="120"/>
              <w:jc w:val="center"/>
              <w:rPr>
                <w:rFonts w:ascii="Arial Narrow" w:hAnsi="Arial Narrow"/>
                <w:noProof/>
                <w:color w:val="006600"/>
                <w:sz w:val="20"/>
                <w:szCs w:val="20"/>
              </w:rPr>
            </w:pPr>
            <w:r>
              <w:rPr>
                <w:rFonts w:ascii="Arial Narrow" w:hAnsi="Arial Narrow"/>
                <w:noProof/>
                <w:color w:val="006600"/>
                <w:sz w:val="20"/>
              </w:rPr>
              <w:t>Ravikindlustuskaardi süsteem ja elektrooniliste terviseandmete koostalitlusvõime infrastruktuur on täielikult toimivad.</w:t>
            </w:r>
          </w:p>
        </w:tc>
        <w:tc>
          <w:tcPr>
            <w:tcW w:w="1559" w:type="dxa"/>
            <w:shd w:val="clear" w:color="auto" w:fill="C6EFCE"/>
            <w:noWrap/>
            <w:vAlign w:val="center"/>
          </w:tcPr>
          <w:p w14:paraId="15F03D8D" w14:textId="77777777" w:rsidR="0084326C" w:rsidRPr="005D68A0" w:rsidRDefault="0084326C">
            <w:pPr>
              <w:spacing w:before="120" w:after="120"/>
              <w:jc w:val="center"/>
              <w:rPr>
                <w:rFonts w:ascii="Arial Narrow" w:hAnsi="Arial Narrow"/>
                <w:noProof/>
                <w:sz w:val="20"/>
                <w:szCs w:val="20"/>
              </w:rPr>
            </w:pPr>
            <w:r>
              <w:rPr>
                <w:rFonts w:ascii="Arial Narrow" w:hAnsi="Arial Narrow"/>
                <w:noProof/>
                <w:color w:val="006600"/>
                <w:sz w:val="20"/>
              </w:rPr>
              <w:t xml:space="preserve">Ravikindlustuskaardi süsteemi ja elektrooniliste terviseandmete </w:t>
            </w:r>
            <w:r>
              <w:rPr>
                <w:noProof/>
              </w:rPr>
              <w:br/>
            </w:r>
            <w:r>
              <w:rPr>
                <w:rFonts w:ascii="Arial Narrow" w:hAnsi="Arial Narrow"/>
                <w:noProof/>
                <w:color w:val="006600"/>
                <w:sz w:val="20"/>
              </w:rPr>
              <w:t>koostalitlusvõime infrastruktuuri kasutuselevõtmine:</w:t>
            </w:r>
          </w:p>
        </w:tc>
        <w:tc>
          <w:tcPr>
            <w:tcW w:w="1276" w:type="dxa"/>
            <w:shd w:val="clear" w:color="auto" w:fill="C6EFCE"/>
            <w:noWrap/>
            <w:vAlign w:val="center"/>
          </w:tcPr>
          <w:p w14:paraId="3C760AD0"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Ei kohaldata</w:t>
            </w:r>
          </w:p>
        </w:tc>
        <w:tc>
          <w:tcPr>
            <w:tcW w:w="992" w:type="dxa"/>
            <w:shd w:val="clear" w:color="auto" w:fill="C6EFCE"/>
            <w:noWrap/>
            <w:vAlign w:val="center"/>
          </w:tcPr>
          <w:p w14:paraId="17899712"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Ei kohaldata</w:t>
            </w:r>
          </w:p>
        </w:tc>
        <w:tc>
          <w:tcPr>
            <w:tcW w:w="850" w:type="dxa"/>
            <w:shd w:val="clear" w:color="auto" w:fill="C6EFCE"/>
            <w:noWrap/>
            <w:vAlign w:val="center"/>
          </w:tcPr>
          <w:p w14:paraId="14754849"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Ei kohaldata</w:t>
            </w:r>
          </w:p>
        </w:tc>
        <w:tc>
          <w:tcPr>
            <w:tcW w:w="851" w:type="dxa"/>
            <w:shd w:val="clear" w:color="auto" w:fill="C6EFCE"/>
            <w:noWrap/>
            <w:vAlign w:val="center"/>
          </w:tcPr>
          <w:p w14:paraId="7262DB94"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2. kv</w:t>
            </w:r>
          </w:p>
        </w:tc>
        <w:tc>
          <w:tcPr>
            <w:tcW w:w="709" w:type="dxa"/>
            <w:shd w:val="clear" w:color="auto" w:fill="C6EFCE"/>
            <w:noWrap/>
            <w:vAlign w:val="center"/>
          </w:tcPr>
          <w:p w14:paraId="558EAC68"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2026</w:t>
            </w:r>
          </w:p>
        </w:tc>
        <w:tc>
          <w:tcPr>
            <w:tcW w:w="2835" w:type="dxa"/>
            <w:shd w:val="clear" w:color="auto" w:fill="C6EFCE"/>
            <w:noWrap/>
            <w:vAlign w:val="center"/>
          </w:tcPr>
          <w:p w14:paraId="5D79047F" w14:textId="77777777" w:rsidR="0084326C" w:rsidRPr="005D68A0" w:rsidRDefault="0084326C">
            <w:pPr>
              <w:spacing w:before="120" w:after="120"/>
              <w:rPr>
                <w:rFonts w:ascii="Arial Narrow" w:eastAsia="Calibri" w:hAnsi="Arial Narrow"/>
                <w:noProof/>
                <w:color w:val="006600"/>
                <w:sz w:val="20"/>
                <w:szCs w:val="20"/>
              </w:rPr>
            </w:pPr>
            <w:r>
              <w:rPr>
                <w:rFonts w:ascii="Arial Narrow" w:hAnsi="Arial Narrow"/>
                <w:noProof/>
                <w:color w:val="006600"/>
                <w:sz w:val="20"/>
              </w:rPr>
              <w:t>Ravikindlustuskaardi süsteemi ja elektrooniliste terviseandmete koostalitlusvõime infrastruktuuri kasutuselevõtmine: Keskse andmehoidla, koostalitlusvõime ja teenuste platvormi rakendamine kooskõlas kiire tervishoiu koostalitlusvõime ressursside standardiga, kasutades ära selles valdkonnas juba olemasolevaid kogemusi ning tagades säilitamis-, ohutus- ja koostalitlusvõime standardid.</w:t>
            </w:r>
          </w:p>
        </w:tc>
      </w:tr>
      <w:tr w:rsidR="0084326C" w:rsidRPr="00D90835" w14:paraId="5D63DB67" w14:textId="77777777" w:rsidTr="72D320C3">
        <w:trPr>
          <w:trHeight w:val="313"/>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AC4369"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M6C2-13</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0A31107"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Investeering 1.3. Tehnoloogilise infrastruktuuri ning andmete kogumise, töötlemise, analüüsimise ja modelleerimise vahendite tugevdamine.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AD0F303"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Siht</w:t>
            </w:r>
          </w:p>
        </w:tc>
        <w:tc>
          <w:tcPr>
            <w:tcW w:w="156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D07A025" w14:textId="77777777" w:rsidR="0084326C" w:rsidRPr="005D68A0" w:rsidRDefault="0084326C">
            <w:pPr>
              <w:spacing w:before="120" w:after="120"/>
              <w:jc w:val="center"/>
              <w:rPr>
                <w:rFonts w:ascii="Arial Narrow" w:eastAsia="Calibri" w:hAnsi="Arial Narrow"/>
                <w:noProof/>
                <w:color w:val="006600"/>
                <w:sz w:val="20"/>
                <w:szCs w:val="20"/>
              </w:rPr>
            </w:pPr>
            <w:r>
              <w:rPr>
                <w:rFonts w:ascii="Arial Narrow" w:hAnsi="Arial Narrow"/>
                <w:noProof/>
                <w:color w:val="006600"/>
                <w:sz w:val="20"/>
              </w:rPr>
              <w:t>Kõik piirkonnad on Euroopa inimõiguste harta vastu võtnud ja kasutavad seda</w:t>
            </w:r>
          </w:p>
        </w:tc>
        <w:tc>
          <w:tcPr>
            <w:tcW w:w="155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8976E0D"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Ei kohaldata</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65D4EB" w14:textId="77777777" w:rsidR="0084326C" w:rsidRPr="005D68A0" w:rsidRDefault="0084326C">
            <w:pPr>
              <w:spacing w:before="120" w:after="120"/>
              <w:jc w:val="center"/>
              <w:rPr>
                <w:rFonts w:ascii="Arial Narrow" w:eastAsia="Arial" w:hAnsi="Arial Narrow"/>
                <w:noProof/>
                <w:color w:val="006600"/>
                <w:sz w:val="20"/>
                <w:szCs w:val="20"/>
              </w:rPr>
            </w:pPr>
            <w:r>
              <w:rPr>
                <w:rFonts w:ascii="Arial Narrow" w:hAnsi="Arial Narrow"/>
                <w:noProof/>
                <w:color w:val="006600"/>
                <w:sz w:val="20"/>
              </w:rPr>
              <w:t>Arv</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1A6204E"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D31F739"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21</w:t>
            </w:r>
          </w:p>
        </w:tc>
        <w:tc>
          <w:tcPr>
            <w:tcW w:w="85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0E629F6"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2. kv</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E4A904"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2026</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734F8CF" w14:textId="0D785D8F" w:rsidR="0084326C" w:rsidRPr="005D68A0" w:rsidRDefault="0084326C">
            <w:pPr>
              <w:spacing w:before="120" w:after="120"/>
              <w:rPr>
                <w:rFonts w:ascii="Arial Narrow" w:hAnsi="Arial Narrow"/>
                <w:noProof/>
                <w:color w:val="006600"/>
                <w:sz w:val="20"/>
                <w:szCs w:val="20"/>
              </w:rPr>
            </w:pPr>
            <w:r>
              <w:rPr>
                <w:rFonts w:ascii="Arial Narrow" w:hAnsi="Arial Narrow"/>
                <w:noProof/>
                <w:color w:val="006600"/>
                <w:sz w:val="20"/>
              </w:rPr>
              <w:t xml:space="preserve">Kõik piirkonnad loovad, kasutavad ja laadivad digitaalselt üles digitaalselt algupärased dokumendid digitaalselt digitaalselt. Eelkõige hõlmab siht järgmist:        </w:t>
            </w:r>
          </w:p>
          <w:p w14:paraId="463A0EDE" w14:textId="77777777" w:rsidR="0084326C" w:rsidRPr="005D68A0" w:rsidRDefault="0084326C">
            <w:pPr>
              <w:spacing w:before="120" w:after="120"/>
              <w:rPr>
                <w:rFonts w:ascii="Arial Narrow" w:eastAsia="Calibri" w:hAnsi="Arial Narrow"/>
                <w:noProof/>
                <w:color w:val="006600"/>
                <w:sz w:val="20"/>
                <w:szCs w:val="20"/>
              </w:rPr>
            </w:pPr>
            <w:r>
              <w:rPr>
                <w:rFonts w:ascii="Arial Narrow" w:hAnsi="Arial Narrow"/>
                <w:noProof/>
                <w:color w:val="006600"/>
                <w:sz w:val="20"/>
              </w:rPr>
              <w:t>Digitaalselt algupärased dokumendid laaditakse digitaalselt üles digitaalselt väljakujunenud toimikusse, nagu on viidatud 18. mai 2022. aasta dekreedis ja sellele järgnevates määrustes, mis käsitlevad digitaalsete tervise infosüsteemide sisu.</w:t>
            </w:r>
          </w:p>
          <w:p w14:paraId="3C592341" w14:textId="77777777" w:rsidR="0084326C" w:rsidRPr="005D68A0" w:rsidRDefault="0084326C">
            <w:pPr>
              <w:spacing w:before="120" w:after="120"/>
              <w:rPr>
                <w:rFonts w:ascii="Arial Narrow" w:hAnsi="Arial Narrow"/>
                <w:noProof/>
                <w:color w:val="006600"/>
                <w:sz w:val="20"/>
                <w:szCs w:val="20"/>
              </w:rPr>
            </w:pPr>
            <w:r>
              <w:rPr>
                <w:rFonts w:ascii="Arial Narrow" w:hAnsi="Arial Narrow"/>
                <w:noProof/>
                <w:color w:val="006600"/>
                <w:sz w:val="20"/>
              </w:rPr>
              <w:t xml:space="preserve">Rahaline toetus tervishoiuteenuse osutajatele, et ajakohastada nende seadmeid ning tagada, et tervishoiuandmed, metaandmed ja dokumentatsioon luuakse digitaalselt pärismaisena.    </w:t>
            </w:r>
          </w:p>
          <w:p w14:paraId="42AA4ED4" w14:textId="77777777" w:rsidR="0084326C" w:rsidRPr="005D68A0" w:rsidRDefault="0084326C">
            <w:pPr>
              <w:spacing w:before="120" w:after="120"/>
              <w:rPr>
                <w:rFonts w:ascii="Arial Narrow" w:hAnsi="Arial Narrow"/>
                <w:noProof/>
                <w:color w:val="006600"/>
                <w:sz w:val="20"/>
                <w:szCs w:val="20"/>
              </w:rPr>
            </w:pPr>
            <w:r>
              <w:rPr>
                <w:rFonts w:ascii="Arial Narrow" w:hAnsi="Arial Narrow"/>
                <w:noProof/>
                <w:color w:val="006600"/>
                <w:sz w:val="20"/>
              </w:rPr>
              <w:t xml:space="preserve">Rahaline toetus tervishoiuteenuse osutajatele, kes soovivad võtta vastu riikliku platvormi, koostalitlusvõime ja UI/UX standardid.  </w:t>
            </w:r>
          </w:p>
          <w:p w14:paraId="1A9EE92B" w14:textId="77777777" w:rsidR="0084326C" w:rsidRPr="005D68A0" w:rsidRDefault="0084326C">
            <w:pPr>
              <w:spacing w:before="120" w:after="120"/>
              <w:rPr>
                <w:rFonts w:ascii="Arial Narrow" w:eastAsia="Calibri" w:hAnsi="Arial Narrow"/>
                <w:noProof/>
                <w:color w:val="006600"/>
                <w:sz w:val="20"/>
                <w:szCs w:val="20"/>
              </w:rPr>
            </w:pPr>
            <w:r>
              <w:rPr>
                <w:rFonts w:ascii="Arial Narrow" w:hAnsi="Arial Narrow"/>
                <w:noProof/>
                <w:color w:val="006600"/>
                <w:sz w:val="20"/>
              </w:rPr>
              <w:t>- Tervishoiuteenuste osutajate ja piirkondlike tervishoiuasutuste pädevuse toetamine (inimkapital), et teha taristu- ja andmemuudatusi riikliku elektroonilise terviseloo kasutuselevõtuks.</w:t>
            </w:r>
          </w:p>
        </w:tc>
      </w:tr>
      <w:tr w:rsidR="0084326C" w:rsidRPr="00D90835" w14:paraId="0D99B217" w14:textId="77777777" w:rsidTr="72D320C3">
        <w:trPr>
          <w:trHeight w:val="313"/>
          <w:jc w:val="center"/>
        </w:trPr>
        <w:tc>
          <w:tcPr>
            <w:tcW w:w="1129" w:type="dxa"/>
            <w:shd w:val="clear" w:color="auto" w:fill="C6EFCE"/>
            <w:noWrap/>
            <w:vAlign w:val="center"/>
          </w:tcPr>
          <w:p w14:paraId="5AE4F4E1"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M6C2-14</w:t>
            </w:r>
          </w:p>
        </w:tc>
        <w:tc>
          <w:tcPr>
            <w:tcW w:w="1701" w:type="dxa"/>
            <w:shd w:val="clear" w:color="auto" w:fill="C6EFCE"/>
            <w:noWrap/>
            <w:vAlign w:val="center"/>
          </w:tcPr>
          <w:p w14:paraId="1C933C40"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Investeering 2.2. Tervishoiusüsteemi spetsialistide tehniliste, kutsealaste, digitaalsete ja juhtimisoskuste arendamine.</w:t>
            </w:r>
          </w:p>
        </w:tc>
        <w:tc>
          <w:tcPr>
            <w:tcW w:w="1134" w:type="dxa"/>
            <w:shd w:val="clear" w:color="auto" w:fill="C6EFCE"/>
            <w:noWrap/>
            <w:vAlign w:val="center"/>
          </w:tcPr>
          <w:p w14:paraId="577B14ED"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Siht</w:t>
            </w:r>
          </w:p>
        </w:tc>
        <w:tc>
          <w:tcPr>
            <w:tcW w:w="1560" w:type="dxa"/>
            <w:shd w:val="clear" w:color="auto" w:fill="C6EFCE"/>
            <w:noWrap/>
            <w:vAlign w:val="center"/>
          </w:tcPr>
          <w:p w14:paraId="27DEB259" w14:textId="77777777" w:rsidR="0084326C" w:rsidRPr="005D68A0" w:rsidRDefault="0084326C">
            <w:pPr>
              <w:spacing w:before="120" w:after="120"/>
              <w:jc w:val="center"/>
              <w:rPr>
                <w:rFonts w:ascii="Arial Narrow" w:hAnsi="Arial Narrow"/>
                <w:noProof/>
                <w:color w:val="006600"/>
                <w:sz w:val="20"/>
                <w:szCs w:val="20"/>
              </w:rPr>
            </w:pPr>
            <w:r>
              <w:rPr>
                <w:rFonts w:ascii="Arial Narrow" w:hAnsi="Arial Narrow"/>
                <w:noProof/>
                <w:color w:val="006600"/>
                <w:sz w:val="20"/>
              </w:rPr>
              <w:t>Üldarsti erikoolituse stipendiume antakse.</w:t>
            </w:r>
          </w:p>
        </w:tc>
        <w:tc>
          <w:tcPr>
            <w:tcW w:w="1559" w:type="dxa"/>
            <w:shd w:val="clear" w:color="auto" w:fill="C6EFCE"/>
            <w:noWrap/>
            <w:vAlign w:val="center"/>
          </w:tcPr>
          <w:p w14:paraId="256CC98A"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Ei kohaldata</w:t>
            </w:r>
          </w:p>
        </w:tc>
        <w:tc>
          <w:tcPr>
            <w:tcW w:w="1276" w:type="dxa"/>
            <w:shd w:val="clear" w:color="auto" w:fill="C6EFCE"/>
            <w:noWrap/>
            <w:vAlign w:val="center"/>
          </w:tcPr>
          <w:p w14:paraId="597C785E" w14:textId="77777777" w:rsidR="0084326C" w:rsidRPr="005D68A0" w:rsidRDefault="0084326C">
            <w:pPr>
              <w:spacing w:before="120" w:after="120"/>
              <w:jc w:val="center"/>
              <w:rPr>
                <w:rFonts w:ascii="Arial Narrow" w:eastAsia="Calibri" w:hAnsi="Arial Narrow"/>
                <w:noProof/>
                <w:color w:val="006600"/>
                <w:sz w:val="20"/>
                <w:szCs w:val="20"/>
              </w:rPr>
            </w:pPr>
            <w:r>
              <w:rPr>
                <w:rFonts w:ascii="Arial Narrow" w:hAnsi="Arial Narrow"/>
                <w:noProof/>
                <w:color w:val="006600"/>
                <w:sz w:val="20"/>
              </w:rPr>
              <w:t xml:space="preserve">Arv </w:t>
            </w:r>
          </w:p>
        </w:tc>
        <w:tc>
          <w:tcPr>
            <w:tcW w:w="992" w:type="dxa"/>
            <w:shd w:val="clear" w:color="auto" w:fill="C6EFCE"/>
            <w:noWrap/>
            <w:vAlign w:val="center"/>
          </w:tcPr>
          <w:p w14:paraId="172281B2"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0</w:t>
            </w:r>
          </w:p>
        </w:tc>
        <w:tc>
          <w:tcPr>
            <w:tcW w:w="850" w:type="dxa"/>
            <w:shd w:val="clear" w:color="auto" w:fill="C6EFCE"/>
            <w:noWrap/>
            <w:vAlign w:val="center"/>
          </w:tcPr>
          <w:p w14:paraId="21D65173" w14:textId="0B8EE2C3"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1 800</w:t>
            </w:r>
          </w:p>
        </w:tc>
        <w:tc>
          <w:tcPr>
            <w:tcW w:w="851" w:type="dxa"/>
            <w:shd w:val="clear" w:color="auto" w:fill="C6EFCE"/>
            <w:noWrap/>
            <w:vAlign w:val="center"/>
          </w:tcPr>
          <w:p w14:paraId="35FF5CB4"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2. kv</w:t>
            </w:r>
          </w:p>
        </w:tc>
        <w:tc>
          <w:tcPr>
            <w:tcW w:w="709" w:type="dxa"/>
            <w:shd w:val="clear" w:color="auto" w:fill="C6EFCE"/>
            <w:noWrap/>
            <w:vAlign w:val="center"/>
          </w:tcPr>
          <w:p w14:paraId="20943A83"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2023</w:t>
            </w:r>
          </w:p>
        </w:tc>
        <w:tc>
          <w:tcPr>
            <w:tcW w:w="2835" w:type="dxa"/>
            <w:shd w:val="clear" w:color="auto" w:fill="C6EFCE"/>
            <w:noWrap/>
            <w:vAlign w:val="center"/>
          </w:tcPr>
          <w:p w14:paraId="71957440" w14:textId="77777777" w:rsidR="0084326C" w:rsidRPr="005D68A0" w:rsidRDefault="0084326C">
            <w:pPr>
              <w:spacing w:before="120" w:after="120"/>
              <w:rPr>
                <w:rFonts w:ascii="Arial Narrow" w:eastAsia="Calibri" w:hAnsi="Arial Narrow"/>
                <w:noProof/>
                <w:color w:val="006600"/>
                <w:sz w:val="20"/>
                <w:szCs w:val="20"/>
              </w:rPr>
            </w:pPr>
            <w:r>
              <w:rPr>
                <w:rFonts w:ascii="Arial Narrow" w:hAnsi="Arial Narrow"/>
                <w:noProof/>
                <w:color w:val="006600"/>
                <w:sz w:val="20"/>
              </w:rPr>
              <w:t>Selle investeeringuga suurendatakse üldarsti erikursuse stipendiume, tagades 3 kolmeaastase koolitustsükli läbimise;</w:t>
            </w:r>
          </w:p>
        </w:tc>
      </w:tr>
      <w:tr w:rsidR="0084326C" w:rsidRPr="00D90835" w14:paraId="22EC5619" w14:textId="77777777" w:rsidTr="72D320C3">
        <w:trPr>
          <w:trHeight w:val="313"/>
          <w:jc w:val="center"/>
        </w:trPr>
        <w:tc>
          <w:tcPr>
            <w:tcW w:w="1129" w:type="dxa"/>
            <w:shd w:val="clear" w:color="auto" w:fill="C6EFCE"/>
            <w:noWrap/>
            <w:vAlign w:val="center"/>
          </w:tcPr>
          <w:p w14:paraId="5C51D320"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M6C2-15</w:t>
            </w:r>
          </w:p>
        </w:tc>
        <w:tc>
          <w:tcPr>
            <w:tcW w:w="1701" w:type="dxa"/>
            <w:shd w:val="clear" w:color="auto" w:fill="C6EFCE"/>
            <w:noWrap/>
            <w:vAlign w:val="center"/>
          </w:tcPr>
          <w:p w14:paraId="4A1D6A5C"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Investeering 2.2. Tervishoiusüsteemi spetsialistide tehniliste, kutsealaste, digitaalsete ja juhtimisoskuste arendamine.</w:t>
            </w:r>
          </w:p>
        </w:tc>
        <w:tc>
          <w:tcPr>
            <w:tcW w:w="1134" w:type="dxa"/>
            <w:shd w:val="clear" w:color="auto" w:fill="C6EFCE"/>
            <w:noWrap/>
            <w:vAlign w:val="center"/>
          </w:tcPr>
          <w:p w14:paraId="65862F4D"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Siht</w:t>
            </w:r>
          </w:p>
        </w:tc>
        <w:tc>
          <w:tcPr>
            <w:tcW w:w="1560" w:type="dxa"/>
            <w:shd w:val="clear" w:color="auto" w:fill="C6EFCE"/>
            <w:noWrap/>
            <w:vAlign w:val="center"/>
          </w:tcPr>
          <w:p w14:paraId="67D17BAE" w14:textId="58EF6C9B" w:rsidR="0084326C" w:rsidRPr="005D68A0" w:rsidRDefault="0084326C">
            <w:pPr>
              <w:spacing w:before="120" w:after="120"/>
              <w:jc w:val="center"/>
              <w:rPr>
                <w:rFonts w:ascii="Arial Narrow" w:hAnsi="Arial Narrow"/>
                <w:noProof/>
                <w:sz w:val="20"/>
                <w:szCs w:val="20"/>
              </w:rPr>
            </w:pPr>
            <w:r>
              <w:rPr>
                <w:rFonts w:ascii="Arial Narrow" w:hAnsi="Arial Narrow"/>
                <w:noProof/>
                <w:color w:val="006600"/>
                <w:sz w:val="20"/>
              </w:rPr>
              <w:t>Üldarsti erikoolituseks antakse lisastipendiume.</w:t>
            </w:r>
          </w:p>
        </w:tc>
        <w:tc>
          <w:tcPr>
            <w:tcW w:w="1559" w:type="dxa"/>
            <w:shd w:val="clear" w:color="auto" w:fill="C6EFCE"/>
            <w:noWrap/>
            <w:vAlign w:val="center"/>
          </w:tcPr>
          <w:p w14:paraId="6A82B2D3"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Ei kohaldata</w:t>
            </w:r>
          </w:p>
        </w:tc>
        <w:tc>
          <w:tcPr>
            <w:tcW w:w="1276" w:type="dxa"/>
            <w:shd w:val="clear" w:color="auto" w:fill="C6EFCE"/>
            <w:noWrap/>
            <w:vAlign w:val="center"/>
          </w:tcPr>
          <w:p w14:paraId="33134915" w14:textId="77777777" w:rsidR="0084326C" w:rsidRPr="005D68A0" w:rsidRDefault="0084326C">
            <w:pPr>
              <w:spacing w:before="120" w:after="120"/>
              <w:jc w:val="center"/>
              <w:rPr>
                <w:rFonts w:ascii="Arial Narrow" w:eastAsia="Calibri" w:hAnsi="Arial Narrow"/>
                <w:noProof/>
                <w:color w:val="006600"/>
                <w:sz w:val="20"/>
                <w:szCs w:val="20"/>
              </w:rPr>
            </w:pPr>
            <w:r>
              <w:rPr>
                <w:rFonts w:ascii="Arial Narrow" w:hAnsi="Arial Narrow"/>
                <w:noProof/>
                <w:color w:val="006600"/>
                <w:sz w:val="20"/>
              </w:rPr>
              <w:t xml:space="preserve">Arv </w:t>
            </w:r>
          </w:p>
        </w:tc>
        <w:tc>
          <w:tcPr>
            <w:tcW w:w="992" w:type="dxa"/>
            <w:shd w:val="clear" w:color="auto" w:fill="C6EFCE"/>
            <w:noWrap/>
            <w:vAlign w:val="center"/>
          </w:tcPr>
          <w:p w14:paraId="05E76AD9" w14:textId="61429022"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1 800</w:t>
            </w:r>
          </w:p>
        </w:tc>
        <w:tc>
          <w:tcPr>
            <w:tcW w:w="850" w:type="dxa"/>
            <w:shd w:val="clear" w:color="auto" w:fill="C6EFCE"/>
            <w:noWrap/>
            <w:vAlign w:val="center"/>
          </w:tcPr>
          <w:p w14:paraId="19FAAD7F" w14:textId="0C91F201"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2 700</w:t>
            </w:r>
          </w:p>
        </w:tc>
        <w:tc>
          <w:tcPr>
            <w:tcW w:w="851" w:type="dxa"/>
            <w:shd w:val="clear" w:color="auto" w:fill="C6EFCE"/>
            <w:noWrap/>
            <w:vAlign w:val="center"/>
          </w:tcPr>
          <w:p w14:paraId="40DEB07C"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2. kv</w:t>
            </w:r>
          </w:p>
        </w:tc>
        <w:tc>
          <w:tcPr>
            <w:tcW w:w="709" w:type="dxa"/>
            <w:shd w:val="clear" w:color="auto" w:fill="C6EFCE"/>
            <w:noWrap/>
            <w:vAlign w:val="center"/>
          </w:tcPr>
          <w:p w14:paraId="3A256C99"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2024</w:t>
            </w:r>
          </w:p>
        </w:tc>
        <w:tc>
          <w:tcPr>
            <w:tcW w:w="2835" w:type="dxa"/>
            <w:shd w:val="clear" w:color="auto" w:fill="C6EFCE"/>
            <w:noWrap/>
            <w:vAlign w:val="center"/>
          </w:tcPr>
          <w:p w14:paraId="48C40478" w14:textId="77777777" w:rsidR="0084326C" w:rsidRPr="005D68A0" w:rsidRDefault="0084326C">
            <w:pPr>
              <w:spacing w:before="120" w:after="120"/>
              <w:rPr>
                <w:rFonts w:ascii="Arial Narrow" w:eastAsia="Calibri" w:hAnsi="Arial Narrow"/>
                <w:noProof/>
                <w:color w:val="006600"/>
                <w:sz w:val="20"/>
                <w:szCs w:val="20"/>
              </w:rPr>
            </w:pPr>
            <w:r>
              <w:rPr>
                <w:rFonts w:ascii="Arial Narrow" w:hAnsi="Arial Narrow"/>
                <w:noProof/>
                <w:color w:val="006600"/>
                <w:sz w:val="20"/>
              </w:rPr>
              <w:t>Selle investeeringuga suurendatakse üldarsti erikursuse stipendiume, tagades 3 kolmeaastase koolitustsükli läbimise.</w:t>
            </w:r>
          </w:p>
        </w:tc>
      </w:tr>
      <w:tr w:rsidR="0084326C" w:rsidRPr="00D90835" w14:paraId="19CCB5B7" w14:textId="77777777" w:rsidTr="72D320C3">
        <w:trPr>
          <w:trHeight w:val="313"/>
          <w:jc w:val="center"/>
        </w:trPr>
        <w:tc>
          <w:tcPr>
            <w:tcW w:w="1129" w:type="dxa"/>
            <w:shd w:val="clear" w:color="auto" w:fill="C6EFCE"/>
            <w:noWrap/>
            <w:vAlign w:val="center"/>
          </w:tcPr>
          <w:p w14:paraId="5FAFC323"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100"/>
                <w:sz w:val="20"/>
              </w:rPr>
              <w:t>M6C2-16</w:t>
            </w:r>
          </w:p>
        </w:tc>
        <w:tc>
          <w:tcPr>
            <w:tcW w:w="1701" w:type="dxa"/>
            <w:shd w:val="clear" w:color="auto" w:fill="C6EFCE"/>
            <w:noWrap/>
            <w:vAlign w:val="center"/>
          </w:tcPr>
          <w:p w14:paraId="74DE0F8C"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Investeering 2.2. Tervishoiusüsteemi spetsialistide tehniliste, kutsealaste, digitaalsete ja juhtimisoskuste arendamine.</w:t>
            </w:r>
          </w:p>
        </w:tc>
        <w:tc>
          <w:tcPr>
            <w:tcW w:w="1134" w:type="dxa"/>
            <w:shd w:val="clear" w:color="auto" w:fill="C6EFCE"/>
            <w:noWrap/>
            <w:vAlign w:val="center"/>
          </w:tcPr>
          <w:p w14:paraId="0607550A"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Siht</w:t>
            </w:r>
          </w:p>
        </w:tc>
        <w:tc>
          <w:tcPr>
            <w:tcW w:w="1560" w:type="dxa"/>
            <w:shd w:val="clear" w:color="auto" w:fill="C6EFCE"/>
            <w:noWrap/>
            <w:vAlign w:val="center"/>
          </w:tcPr>
          <w:p w14:paraId="625618C1"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Riikliku tervishoiuteenistuse töötajatele pakutav juhtimis- ja digioskuste alane koolitus</w:t>
            </w:r>
          </w:p>
        </w:tc>
        <w:tc>
          <w:tcPr>
            <w:tcW w:w="1559" w:type="dxa"/>
            <w:shd w:val="clear" w:color="auto" w:fill="C6EFCE"/>
            <w:noWrap/>
            <w:vAlign w:val="center"/>
          </w:tcPr>
          <w:p w14:paraId="1C007FD4"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Ei kohaldata</w:t>
            </w:r>
          </w:p>
        </w:tc>
        <w:tc>
          <w:tcPr>
            <w:tcW w:w="1276" w:type="dxa"/>
            <w:shd w:val="clear" w:color="auto" w:fill="C6EFCE"/>
            <w:noWrap/>
            <w:vAlign w:val="center"/>
          </w:tcPr>
          <w:p w14:paraId="5A34A814"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Arv</w:t>
            </w:r>
          </w:p>
        </w:tc>
        <w:tc>
          <w:tcPr>
            <w:tcW w:w="992" w:type="dxa"/>
            <w:shd w:val="clear" w:color="auto" w:fill="C6EFCE"/>
            <w:noWrap/>
            <w:vAlign w:val="center"/>
          </w:tcPr>
          <w:p w14:paraId="3120ECB8"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0</w:t>
            </w:r>
          </w:p>
        </w:tc>
        <w:tc>
          <w:tcPr>
            <w:tcW w:w="850" w:type="dxa"/>
            <w:shd w:val="clear" w:color="auto" w:fill="C6EFCE"/>
            <w:noWrap/>
            <w:vAlign w:val="center"/>
          </w:tcPr>
          <w:p w14:paraId="5726266F" w14:textId="4A64A673"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4 500</w:t>
            </w:r>
          </w:p>
        </w:tc>
        <w:tc>
          <w:tcPr>
            <w:tcW w:w="851" w:type="dxa"/>
            <w:shd w:val="clear" w:color="auto" w:fill="C6EFCE"/>
            <w:noWrap/>
            <w:vAlign w:val="center"/>
          </w:tcPr>
          <w:p w14:paraId="6D9D5720"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2. kv</w:t>
            </w:r>
          </w:p>
        </w:tc>
        <w:tc>
          <w:tcPr>
            <w:tcW w:w="709" w:type="dxa"/>
            <w:shd w:val="clear" w:color="auto" w:fill="C6EFCE"/>
            <w:noWrap/>
            <w:vAlign w:val="center"/>
          </w:tcPr>
          <w:p w14:paraId="4824488E" w14:textId="77777777" w:rsidR="0084326C" w:rsidRPr="005D68A0" w:rsidRDefault="0084326C">
            <w:pPr>
              <w:spacing w:before="120" w:after="120"/>
              <w:jc w:val="center"/>
              <w:rPr>
                <w:rFonts w:ascii="Arial Narrow" w:hAnsi="Arial Narrow"/>
                <w:noProof/>
                <w:color w:val="006100"/>
                <w:sz w:val="20"/>
                <w:szCs w:val="20"/>
              </w:rPr>
            </w:pPr>
            <w:r>
              <w:rPr>
                <w:rFonts w:ascii="Arial Narrow" w:hAnsi="Arial Narrow"/>
                <w:noProof/>
                <w:color w:val="006600"/>
                <w:sz w:val="20"/>
              </w:rPr>
              <w:t>2026</w:t>
            </w:r>
          </w:p>
        </w:tc>
        <w:tc>
          <w:tcPr>
            <w:tcW w:w="2835" w:type="dxa"/>
            <w:shd w:val="clear" w:color="auto" w:fill="C6EFCE"/>
            <w:noWrap/>
            <w:vAlign w:val="center"/>
          </w:tcPr>
          <w:p w14:paraId="33005903" w14:textId="05F26264" w:rsidR="0084326C" w:rsidRPr="005D68A0" w:rsidRDefault="0084326C">
            <w:pPr>
              <w:spacing w:before="120" w:after="120"/>
              <w:rPr>
                <w:rFonts w:ascii="Arial Narrow" w:hAnsi="Arial Narrow"/>
                <w:noProof/>
                <w:sz w:val="20"/>
                <w:szCs w:val="20"/>
              </w:rPr>
            </w:pPr>
            <w:r>
              <w:rPr>
                <w:rFonts w:ascii="Arial Narrow" w:hAnsi="Arial Narrow"/>
                <w:noProof/>
                <w:color w:val="006600"/>
                <w:sz w:val="20"/>
              </w:rPr>
              <w:t>Riikliku tervishoiuteenistuse 4 500 töötajatele pakutav juhtimis- ja digioskuste alane koolitus.</w:t>
            </w:r>
          </w:p>
          <w:p w14:paraId="2F63915F" w14:textId="0DD0B24B" w:rsidR="0084326C" w:rsidRPr="005D68A0" w:rsidRDefault="0084326C">
            <w:pPr>
              <w:spacing w:before="120" w:after="120"/>
              <w:rPr>
                <w:rFonts w:ascii="Arial Narrow" w:eastAsia="Calibri" w:hAnsi="Arial Narrow"/>
                <w:noProof/>
                <w:color w:val="006600"/>
                <w:sz w:val="20"/>
                <w:szCs w:val="20"/>
              </w:rPr>
            </w:pPr>
            <w:r>
              <w:rPr>
                <w:rFonts w:ascii="Arial Narrow" w:hAnsi="Arial Narrow"/>
                <w:noProof/>
                <w:color w:val="006600"/>
                <w:sz w:val="20"/>
              </w:rPr>
              <w:t>Selle investeeringuga aktiveeritakse koolituskava töötajatele, kellel on NHSi organites juhtivad rollid, et nad saaksid omandada vajalikud juhtimis- ja digioskused ning -oskused, et tulla toime praeguste ja tulevaste terviseprobleemidega integreeritud, jätkusuutlikus, innovaatilises, paindlikus ja tulemustele suunatud perspektiivis.</w:t>
            </w:r>
          </w:p>
        </w:tc>
      </w:tr>
      <w:tr w:rsidR="0084326C" w:rsidRPr="00D90835" w14:paraId="01BBF11B" w14:textId="77777777" w:rsidTr="72D320C3">
        <w:trPr>
          <w:trHeight w:val="313"/>
          <w:jc w:val="center"/>
        </w:trPr>
        <w:tc>
          <w:tcPr>
            <w:tcW w:w="1129" w:type="dxa"/>
            <w:shd w:val="clear" w:color="auto" w:fill="C6EFCE"/>
            <w:noWrap/>
            <w:vAlign w:val="center"/>
          </w:tcPr>
          <w:p w14:paraId="5D63FCE7" w14:textId="77777777" w:rsidR="0084326C" w:rsidRPr="005D68A0" w:rsidRDefault="0084326C">
            <w:pPr>
              <w:spacing w:before="120" w:after="120"/>
              <w:jc w:val="center"/>
              <w:rPr>
                <w:rFonts w:ascii="Arial Narrow" w:eastAsia="Calibri" w:hAnsi="Arial Narrow"/>
                <w:noProof/>
                <w:color w:val="006600"/>
                <w:sz w:val="20"/>
                <w:szCs w:val="20"/>
              </w:rPr>
            </w:pPr>
            <w:r>
              <w:rPr>
                <w:rFonts w:ascii="Arial Narrow" w:hAnsi="Arial Narrow"/>
                <w:noProof/>
                <w:color w:val="006600"/>
                <w:sz w:val="20"/>
              </w:rPr>
              <w:t>M6C2-17</w:t>
            </w:r>
          </w:p>
        </w:tc>
        <w:tc>
          <w:tcPr>
            <w:tcW w:w="1701" w:type="dxa"/>
            <w:shd w:val="clear" w:color="auto" w:fill="C6EFCE"/>
            <w:noWrap/>
            <w:vAlign w:val="center"/>
          </w:tcPr>
          <w:p w14:paraId="5FEA1870" w14:textId="77777777" w:rsidR="0084326C" w:rsidRPr="005D68A0" w:rsidRDefault="0084326C">
            <w:pPr>
              <w:spacing w:before="120" w:after="120"/>
              <w:jc w:val="center"/>
              <w:rPr>
                <w:rFonts w:ascii="Arial Narrow" w:eastAsia="Calibri" w:hAnsi="Arial Narrow"/>
                <w:noProof/>
                <w:color w:val="006600"/>
                <w:sz w:val="20"/>
                <w:szCs w:val="20"/>
              </w:rPr>
            </w:pPr>
            <w:r>
              <w:rPr>
                <w:rFonts w:ascii="Arial Narrow" w:hAnsi="Arial Narrow"/>
                <w:noProof/>
                <w:color w:val="006600"/>
                <w:sz w:val="20"/>
              </w:rPr>
              <w:t>Investeering 2.2. Tervishoiusüsteemi spetsialistide tehniliste, kutsealaste, digitaalsete ja juhtimisoskuste arendamine.</w:t>
            </w:r>
          </w:p>
        </w:tc>
        <w:tc>
          <w:tcPr>
            <w:tcW w:w="1134" w:type="dxa"/>
            <w:shd w:val="clear" w:color="auto" w:fill="C6EFCE"/>
            <w:noWrap/>
            <w:vAlign w:val="center"/>
          </w:tcPr>
          <w:p w14:paraId="32B85775" w14:textId="77777777" w:rsidR="0084326C" w:rsidRPr="005D68A0" w:rsidRDefault="0084326C">
            <w:pPr>
              <w:spacing w:before="120" w:after="120"/>
              <w:jc w:val="center"/>
              <w:rPr>
                <w:rFonts w:ascii="Arial Narrow" w:eastAsia="Calibri" w:hAnsi="Arial Narrow"/>
                <w:noProof/>
                <w:color w:val="006600"/>
                <w:sz w:val="20"/>
                <w:szCs w:val="20"/>
              </w:rPr>
            </w:pPr>
            <w:r>
              <w:rPr>
                <w:rFonts w:ascii="Arial Narrow" w:hAnsi="Arial Narrow"/>
                <w:noProof/>
                <w:color w:val="006600"/>
                <w:sz w:val="20"/>
              </w:rPr>
              <w:t>Siht</w:t>
            </w:r>
          </w:p>
        </w:tc>
        <w:tc>
          <w:tcPr>
            <w:tcW w:w="1560" w:type="dxa"/>
            <w:shd w:val="clear" w:color="auto" w:fill="C6EFCE"/>
            <w:noWrap/>
            <w:vAlign w:val="center"/>
          </w:tcPr>
          <w:p w14:paraId="64FFE404" w14:textId="77777777" w:rsidR="0084326C" w:rsidRPr="005D68A0" w:rsidRDefault="0084326C">
            <w:pPr>
              <w:spacing w:before="120" w:after="120"/>
              <w:jc w:val="center"/>
              <w:rPr>
                <w:rFonts w:ascii="Arial Narrow" w:eastAsia="Calibri" w:hAnsi="Arial Narrow"/>
                <w:noProof/>
                <w:color w:val="006600"/>
                <w:sz w:val="20"/>
                <w:szCs w:val="20"/>
              </w:rPr>
            </w:pPr>
            <w:r>
              <w:rPr>
                <w:rFonts w:ascii="Arial Narrow" w:hAnsi="Arial Narrow"/>
                <w:noProof/>
                <w:color w:val="006600"/>
                <w:sz w:val="20"/>
              </w:rPr>
              <w:t>Rahastatud meditsiini- ja erikoolituse lepingute arv</w:t>
            </w:r>
          </w:p>
        </w:tc>
        <w:tc>
          <w:tcPr>
            <w:tcW w:w="1559" w:type="dxa"/>
            <w:shd w:val="clear" w:color="auto" w:fill="C6EFCE"/>
            <w:noWrap/>
            <w:vAlign w:val="center"/>
          </w:tcPr>
          <w:p w14:paraId="47DB565A" w14:textId="77777777" w:rsidR="0084326C" w:rsidRPr="005D68A0" w:rsidRDefault="0084326C">
            <w:pPr>
              <w:spacing w:before="120" w:after="120"/>
              <w:jc w:val="center"/>
              <w:rPr>
                <w:rFonts w:ascii="Arial Narrow" w:eastAsia="Calibri" w:hAnsi="Arial Narrow"/>
                <w:noProof/>
                <w:color w:val="006600"/>
                <w:sz w:val="20"/>
                <w:szCs w:val="20"/>
              </w:rPr>
            </w:pPr>
            <w:r>
              <w:rPr>
                <w:rFonts w:ascii="Arial Narrow" w:hAnsi="Arial Narrow"/>
                <w:noProof/>
                <w:color w:val="006600"/>
                <w:sz w:val="20"/>
              </w:rPr>
              <w:t>Ei kohaldata</w:t>
            </w:r>
          </w:p>
        </w:tc>
        <w:tc>
          <w:tcPr>
            <w:tcW w:w="1276" w:type="dxa"/>
            <w:shd w:val="clear" w:color="auto" w:fill="C6EFCE"/>
            <w:noWrap/>
            <w:vAlign w:val="center"/>
          </w:tcPr>
          <w:p w14:paraId="448C9FEC" w14:textId="77777777" w:rsidR="0084326C" w:rsidRPr="005D68A0" w:rsidRDefault="0084326C">
            <w:pPr>
              <w:spacing w:before="120" w:after="120"/>
              <w:jc w:val="center"/>
              <w:rPr>
                <w:rFonts w:ascii="Arial Narrow" w:eastAsia="Calibri" w:hAnsi="Arial Narrow"/>
                <w:noProof/>
                <w:color w:val="006600"/>
                <w:sz w:val="20"/>
                <w:szCs w:val="20"/>
              </w:rPr>
            </w:pPr>
            <w:r>
              <w:rPr>
                <w:rFonts w:ascii="Arial Narrow" w:hAnsi="Arial Narrow"/>
                <w:noProof/>
                <w:color w:val="006600"/>
                <w:sz w:val="20"/>
              </w:rPr>
              <w:t>Arv</w:t>
            </w:r>
          </w:p>
        </w:tc>
        <w:tc>
          <w:tcPr>
            <w:tcW w:w="992" w:type="dxa"/>
            <w:shd w:val="clear" w:color="auto" w:fill="C6EFCE"/>
            <w:noWrap/>
            <w:vAlign w:val="center"/>
          </w:tcPr>
          <w:p w14:paraId="61E009C8" w14:textId="77777777" w:rsidR="0084326C" w:rsidRPr="005D68A0" w:rsidRDefault="0084326C">
            <w:pPr>
              <w:spacing w:before="120" w:after="120"/>
              <w:jc w:val="center"/>
              <w:rPr>
                <w:rFonts w:ascii="Arial Narrow" w:eastAsia="Calibri" w:hAnsi="Arial Narrow"/>
                <w:noProof/>
                <w:color w:val="006600"/>
                <w:sz w:val="20"/>
                <w:szCs w:val="20"/>
              </w:rPr>
            </w:pPr>
            <w:r>
              <w:rPr>
                <w:rFonts w:ascii="Arial Narrow" w:hAnsi="Arial Narrow"/>
                <w:noProof/>
                <w:color w:val="006600"/>
                <w:sz w:val="20"/>
              </w:rPr>
              <w:t>0</w:t>
            </w:r>
          </w:p>
        </w:tc>
        <w:tc>
          <w:tcPr>
            <w:tcW w:w="850" w:type="dxa"/>
            <w:shd w:val="clear" w:color="auto" w:fill="C6EFCE"/>
            <w:noWrap/>
            <w:vAlign w:val="center"/>
          </w:tcPr>
          <w:p w14:paraId="6AE430D2" w14:textId="7E1D920F" w:rsidR="0084326C" w:rsidRPr="005D68A0" w:rsidRDefault="0084326C">
            <w:pPr>
              <w:spacing w:before="120" w:after="120"/>
              <w:jc w:val="center"/>
              <w:rPr>
                <w:rFonts w:ascii="Arial Narrow" w:eastAsia="Calibri" w:hAnsi="Arial Narrow"/>
                <w:noProof/>
                <w:color w:val="006600"/>
                <w:sz w:val="20"/>
                <w:szCs w:val="20"/>
              </w:rPr>
            </w:pPr>
            <w:r>
              <w:rPr>
                <w:rFonts w:ascii="Arial Narrow" w:hAnsi="Arial Narrow"/>
                <w:noProof/>
                <w:color w:val="006600"/>
                <w:sz w:val="20"/>
              </w:rPr>
              <w:t>4 200</w:t>
            </w:r>
          </w:p>
        </w:tc>
        <w:tc>
          <w:tcPr>
            <w:tcW w:w="851" w:type="dxa"/>
            <w:shd w:val="clear" w:color="auto" w:fill="C6EFCE"/>
            <w:noWrap/>
            <w:vAlign w:val="center"/>
          </w:tcPr>
          <w:p w14:paraId="4F31C919" w14:textId="77777777" w:rsidR="0084326C" w:rsidRPr="005D68A0" w:rsidRDefault="0084326C">
            <w:pPr>
              <w:spacing w:before="120" w:after="120"/>
              <w:jc w:val="center"/>
              <w:rPr>
                <w:rFonts w:ascii="Arial Narrow" w:eastAsia="Calibri" w:hAnsi="Arial Narrow"/>
                <w:noProof/>
                <w:color w:val="006600"/>
                <w:sz w:val="20"/>
                <w:szCs w:val="20"/>
              </w:rPr>
            </w:pPr>
            <w:r>
              <w:rPr>
                <w:rFonts w:ascii="Arial Narrow" w:hAnsi="Arial Narrow"/>
                <w:noProof/>
                <w:color w:val="006600"/>
                <w:sz w:val="20"/>
              </w:rPr>
              <w:t>2. kv</w:t>
            </w:r>
          </w:p>
        </w:tc>
        <w:tc>
          <w:tcPr>
            <w:tcW w:w="709" w:type="dxa"/>
            <w:shd w:val="clear" w:color="auto" w:fill="C6EFCE"/>
            <w:noWrap/>
            <w:vAlign w:val="center"/>
          </w:tcPr>
          <w:p w14:paraId="43FC91A2" w14:textId="77777777" w:rsidR="0084326C" w:rsidRPr="005D68A0" w:rsidRDefault="0084326C">
            <w:pPr>
              <w:spacing w:before="120" w:after="120"/>
              <w:jc w:val="center"/>
              <w:rPr>
                <w:rFonts w:ascii="Arial Narrow" w:eastAsia="Calibri" w:hAnsi="Arial Narrow"/>
                <w:noProof/>
                <w:color w:val="006600"/>
                <w:sz w:val="20"/>
                <w:szCs w:val="20"/>
              </w:rPr>
            </w:pPr>
            <w:r>
              <w:rPr>
                <w:rFonts w:ascii="Arial Narrow" w:hAnsi="Arial Narrow"/>
                <w:noProof/>
                <w:color w:val="006600"/>
                <w:sz w:val="20"/>
              </w:rPr>
              <w:t>2026</w:t>
            </w:r>
          </w:p>
        </w:tc>
        <w:tc>
          <w:tcPr>
            <w:tcW w:w="2835" w:type="dxa"/>
            <w:shd w:val="clear" w:color="auto" w:fill="C6EFCE"/>
            <w:noWrap/>
            <w:vAlign w:val="center"/>
          </w:tcPr>
          <w:p w14:paraId="4B6BCD9E" w14:textId="791453F8" w:rsidR="0084326C" w:rsidRPr="005D68A0" w:rsidRDefault="0084326C">
            <w:pPr>
              <w:spacing w:before="120" w:after="120"/>
              <w:rPr>
                <w:rFonts w:ascii="Arial Narrow" w:eastAsia="Calibri" w:hAnsi="Arial Narrow"/>
                <w:noProof/>
                <w:color w:val="006600"/>
                <w:sz w:val="20"/>
                <w:szCs w:val="20"/>
              </w:rPr>
            </w:pPr>
            <w:r>
              <w:rPr>
                <w:rFonts w:ascii="Arial Narrow" w:hAnsi="Arial Narrow"/>
                <w:noProof/>
                <w:color w:val="006600"/>
                <w:sz w:val="20"/>
              </w:rPr>
              <w:t>Selle investeeringuga rahastatakse eriarstikoolituse lepinguid, mis võimaldavad rahastada 4 200 täiendavat koolituslepingut kogu õppetsükli (5 aastat) jooksul.</w:t>
            </w:r>
          </w:p>
        </w:tc>
      </w:tr>
    </w:tbl>
    <w:p w14:paraId="221D4FF5" w14:textId="77777777" w:rsidR="0084326C" w:rsidRPr="00F33804" w:rsidRDefault="0084326C" w:rsidP="0084326C">
      <w:pPr>
        <w:pStyle w:val="Text1"/>
        <w:ind w:left="0"/>
        <w:rPr>
          <w:rFonts w:eastAsiaTheme="majorEastAsia"/>
          <w:b/>
          <w:bCs/>
          <w:smallCaps/>
          <w:noProof/>
          <w:szCs w:val="28"/>
        </w:rPr>
        <w:sectPr w:rsidR="0084326C" w:rsidRPr="00F33804">
          <w:headerReference w:type="even" r:id="rId404"/>
          <w:headerReference w:type="default" r:id="rId405"/>
          <w:footerReference w:type="even" r:id="rId406"/>
          <w:footerReference w:type="default" r:id="rId407"/>
          <w:headerReference w:type="first" r:id="rId408"/>
          <w:footerReference w:type="first" r:id="rId409"/>
          <w:pgSz w:w="16839" w:h="11907" w:orient="landscape"/>
          <w:pgMar w:top="1440" w:right="1440" w:bottom="1440" w:left="1440" w:header="567" w:footer="567" w:gutter="0"/>
          <w:cols w:space="720"/>
          <w:docGrid w:linePitch="360"/>
        </w:sectPr>
      </w:pPr>
    </w:p>
    <w:p w14:paraId="599137DB" w14:textId="77777777" w:rsidR="0084326C" w:rsidRPr="005D68A0" w:rsidRDefault="0084326C" w:rsidP="0084326C">
      <w:pPr>
        <w:pStyle w:val="Heading2"/>
        <w:numPr>
          <w:ilvl w:val="0"/>
          <w:numId w:val="21"/>
        </w:numPr>
        <w:spacing w:before="0"/>
        <w:rPr>
          <w:noProof/>
        </w:rPr>
      </w:pPr>
      <w:r>
        <w:rPr>
          <w:noProof/>
        </w:rPr>
        <w:t>ÜLESANNE 7. REPowerEU</w:t>
      </w:r>
    </w:p>
    <w:p w14:paraId="3318B2D6" w14:textId="77777777" w:rsidR="0084326C" w:rsidRPr="005D68A0" w:rsidRDefault="0084326C" w:rsidP="0084326C">
      <w:pPr>
        <w:pStyle w:val="paragraph"/>
        <w:spacing w:before="0" w:beforeAutospacing="0" w:after="120" w:afterAutospacing="0"/>
        <w:jc w:val="both"/>
        <w:textAlignment w:val="baseline"/>
        <w:rPr>
          <w:noProof/>
        </w:rPr>
      </w:pPr>
      <w:r>
        <w:rPr>
          <w:noProof/>
        </w:rPr>
        <w:t>REPowerEU peatüki eesmärk on tugevdada jaotusvõrke, sealhulgas gaasiga seotud ülekande- ja jaotusvõrke; kiirendada taastuvenergia tootmist, vähendada energianõudlust, suurendada energiatõhusust ning luua avalikus ja erasektoris rohepöördeks vajalikud oskused; taastuvenergia ja vesiniku väärtusahelate edendamine meetmete kaudu, mis hõlbustavad juurdepääsu krediidile ja maksukrediidile.</w:t>
      </w:r>
    </w:p>
    <w:p w14:paraId="55919342" w14:textId="77777777" w:rsidR="0084326C" w:rsidRPr="005D68A0" w:rsidRDefault="0084326C" w:rsidP="0084326C">
      <w:pPr>
        <w:pStyle w:val="paragraph"/>
        <w:spacing w:before="0" w:beforeAutospacing="0" w:after="120" w:afterAutospacing="0"/>
        <w:jc w:val="both"/>
        <w:textAlignment w:val="baseline"/>
        <w:rPr>
          <w:noProof/>
        </w:rPr>
      </w:pPr>
      <w:r>
        <w:rPr>
          <w:noProof/>
        </w:rPr>
        <w:t>Komponent käsitleb 2022. ja 2023. aastal Itaaliale esitatud riigipõhiseid soovitusi. Eelkõige on selle eesmärk kiirendada täiendava taastuvenergia tootmisvõimsuse kasutuselevõttu, investeerides suurtesse elektrivõrkudevaheliste ühenduste projektidesse (nimelt kahte ühendustoru, mis ühendavad Sardiiniat ja Sitsiiliat mandriga, ning kolm ühendust Austria, Sloveenia ja Itaalia vahel), ajakohastades riiklikku põhivõrku ja lihtsustades loamenetlusi. See aitab suurendada gaasi riigisisese ülekande võimsust, et ületada kitsaskohad, mitmekesistada energiaimporti ja tugevdada varustuskindlust. Sellega edendatakse säästvat liikuvust, vähendades keskkonnakahjulikke toetusi ja tugevdades raudteeparki. See aitab vähendada sõltuvust fossiilkütustest, elektrifitseerides kodumajapidamiste tarbimist ja suurendades võrgu vastupidavust. See aitab suurendada energiatõhusust elamu- ja ettevõtlussektoris, sealhulgas sihipäraste stimuleerimiskavade ja rahastamisvahendite kaudu. Lisaks hõlmab see reforme ja investeeringuid, et parandada rohepöördeks vajalike oskuste pakkumist ja omandamist nii era- kui ka avalikus sektoris.</w:t>
      </w:r>
    </w:p>
    <w:p w14:paraId="4CCB2ACF" w14:textId="77777777" w:rsidR="0084326C" w:rsidRPr="005D68A0" w:rsidRDefault="0084326C" w:rsidP="0084326C">
      <w:pPr>
        <w:pStyle w:val="paragraph"/>
        <w:spacing w:before="0" w:beforeAutospacing="0" w:after="120" w:afterAutospacing="0"/>
        <w:jc w:val="both"/>
        <w:textAlignment w:val="baseline"/>
        <w:rPr>
          <w:rFonts w:eastAsia="Calibri"/>
          <w:noProof/>
        </w:rPr>
      </w:pPr>
      <w:r>
        <w:rPr>
          <w:noProof/>
        </w:rPr>
        <w:t>Üheksal projektil on piiriülene mõõde. Kolmel neist on otsene piiriülene mõju: 1) investeering, mille eesmärk on suurendada Itaalia, Austria ja Sloveenia vaheliste elektrivõrkude vaheliste ühenduste nimivõimsust; 2) investeering Sardiinia, Korsika ja Toscana vahelise elektriühenduse ehitamiseks; 3) investeering kompressorjaama, mis suurendab gaasi eksporti Kesk-Euroopasse. Muud projektid toovad kaudselt kasu piiriülestele liikmesriikidele, kõrvaldades riigisiseseid energiaülekande ja -jaotuse kitsaskohti ning suurendades võrgu tõhusust ja vastupidavust.</w:t>
      </w:r>
    </w:p>
    <w:p w14:paraId="29362D41" w14:textId="58C45E17" w:rsidR="0084326C" w:rsidRPr="005D68A0" w:rsidRDefault="0084326C" w:rsidP="0084326C">
      <w:pPr>
        <w:spacing w:after="120"/>
        <w:jc w:val="both"/>
        <w:rPr>
          <w:noProof/>
        </w:rPr>
      </w:pPr>
      <w:r>
        <w:rPr>
          <w:noProof/>
        </w:rPr>
        <w:t>Eeldatakse, et ükski selle komponendi meede ei kahjusta oluliselt keskkonnaeesmärkide saavutamist määruse (EL) 2020/852 artikli 17 tähenduses, võttes arvesse taaste- ja vastupidavuskavas sätestatud meetmete kirjeldust ja leevendusmeetmeid kooskõlas dokumendiga „Ei kahjusta oluliselt“ (C(2023) 6454 final), samas kui olulise kahju ärahoidmise põhimõtet ei kohaldata investeeringute 13 – Aadria mere liini 1. etapp (Sulmona kompressorjaam ja Sestino-Minerbio gaasijuhe) ja investeering 14 – piiriülene gaasiekspordi taristu kooskõlas määruse (EL) 2021/241 artikli 21c lõikega 6.</w:t>
      </w:r>
    </w:p>
    <w:p w14:paraId="1E72D93A" w14:textId="77777777" w:rsidR="0084326C" w:rsidRPr="005D68A0" w:rsidRDefault="0084326C" w:rsidP="0084326C">
      <w:pPr>
        <w:pStyle w:val="Heading3"/>
        <w:numPr>
          <w:ilvl w:val="0"/>
          <w:numId w:val="0"/>
        </w:numPr>
        <w:spacing w:before="0"/>
        <w:ind w:left="850" w:hanging="850"/>
        <w:rPr>
          <w:b/>
          <w:bCs w:val="0"/>
          <w:i w:val="0"/>
          <w:iCs/>
          <w:noProof/>
          <w:u w:val="single"/>
        </w:rPr>
      </w:pPr>
      <w:r>
        <w:rPr>
          <w:b/>
          <w:i w:val="0"/>
          <w:noProof/>
          <w:u w:val="single"/>
        </w:rPr>
        <w:t xml:space="preserve">1. kv </w:t>
      </w:r>
      <w:r>
        <w:rPr>
          <w:noProof/>
        </w:rPr>
        <w:tab/>
      </w:r>
      <w:r>
        <w:rPr>
          <w:b/>
          <w:i w:val="0"/>
          <w:noProof/>
          <w:u w:val="single"/>
        </w:rPr>
        <w:t>Tagastamatu rahalise toetusega seotud reformide ja investeeringute kirjeldus</w:t>
      </w:r>
    </w:p>
    <w:p w14:paraId="37044BE8" w14:textId="77777777" w:rsidR="0084326C" w:rsidRPr="005D68A0" w:rsidRDefault="0084326C" w:rsidP="0084326C">
      <w:pPr>
        <w:pStyle w:val="Heading4"/>
        <w:numPr>
          <w:ilvl w:val="3"/>
          <w:numId w:val="0"/>
        </w:numPr>
        <w:rPr>
          <w:rStyle w:val="normaltextrun"/>
          <w:b/>
          <w:noProof/>
        </w:rPr>
      </w:pPr>
      <w:r>
        <w:rPr>
          <w:rStyle w:val="normaltextrun"/>
          <w:b/>
          <w:noProof/>
        </w:rPr>
        <w:t xml:space="preserve">Reform 1. Taastuvenergia loamenetluste lihtsustamine kesk- ja kohalikul tasandil </w:t>
      </w:r>
    </w:p>
    <w:p w14:paraId="3AE0C1D9" w14:textId="77777777" w:rsidR="0084326C" w:rsidRPr="005D68A0" w:rsidRDefault="0084326C" w:rsidP="0084326C">
      <w:pPr>
        <w:pStyle w:val="Text1"/>
        <w:spacing w:before="0"/>
        <w:ind w:left="0"/>
        <w:rPr>
          <w:noProof/>
        </w:rPr>
      </w:pPr>
      <w:r>
        <w:rPr>
          <w:noProof/>
        </w:rPr>
        <w:t>Reformi eesmärk on konsolideerida ja ühtlustada kehtivaid õigusakte ja sätteid, mis reguleerivad taastuvate energiaallikate kasutuselevõttu.</w:t>
      </w:r>
    </w:p>
    <w:p w14:paraId="5B796F02" w14:textId="77777777" w:rsidR="0084326C" w:rsidRPr="005D68A0" w:rsidRDefault="0084326C" w:rsidP="0084326C">
      <w:pPr>
        <w:pStyle w:val="Text1"/>
        <w:spacing w:before="0"/>
        <w:ind w:left="0"/>
        <w:rPr>
          <w:noProof/>
        </w:rPr>
      </w:pPr>
      <w:r>
        <w:rPr>
          <w:noProof/>
        </w:rPr>
        <w:t xml:space="preserve">Reform hõlmab ühe esmase õigusakti (tuntud ka kui </w:t>
      </w:r>
      <w:r>
        <w:rPr>
          <w:i/>
          <w:noProof/>
        </w:rPr>
        <w:t>Testo Unico</w:t>
      </w:r>
      <w:r>
        <w:rPr>
          <w:noProof/>
        </w:rPr>
        <w:t>) vastuvõtmist ja jõustumist, millega kogutakse, koondatakse ja konsolideeritakse kõik taastuvenergia kasutuselevõttu reguleerivad normid ning asendatakse kõik varasemad asjakohased õigusaktid. Seadusandlikus aktis sätestatakse ka taastuvate energiaallikate loamenetluste lihtsustamise ja ühtlustamise põhimõtted riigi tasandist madalamal tasandil.</w:t>
      </w:r>
    </w:p>
    <w:p w14:paraId="5CA47D03" w14:textId="77777777" w:rsidR="0084326C" w:rsidRPr="005D68A0" w:rsidRDefault="0084326C" w:rsidP="0084326C">
      <w:pPr>
        <w:pStyle w:val="Text1"/>
        <w:spacing w:before="0"/>
        <w:ind w:left="0"/>
        <w:rPr>
          <w:noProof/>
        </w:rPr>
      </w:pPr>
      <w:r>
        <w:rPr>
          <w:i/>
          <w:noProof/>
        </w:rPr>
        <w:t>Testo Unico</w:t>
      </w:r>
      <w:r>
        <w:rPr>
          <w:noProof/>
        </w:rPr>
        <w:t xml:space="preserve"> põhiprioriteedid on järgmised:</w:t>
      </w:r>
    </w:p>
    <w:p w14:paraId="2D5CBB66" w14:textId="77777777" w:rsidR="0084326C" w:rsidRPr="005D68A0" w:rsidRDefault="0084326C" w:rsidP="0084326C">
      <w:pPr>
        <w:pStyle w:val="Text1"/>
        <w:numPr>
          <w:ilvl w:val="0"/>
          <w:numId w:val="30"/>
        </w:numPr>
        <w:spacing w:before="0"/>
        <w:rPr>
          <w:noProof/>
        </w:rPr>
      </w:pPr>
      <w:r>
        <w:rPr>
          <w:noProof/>
        </w:rPr>
        <w:t>Taastuvenergia kiirendusalade kindlaksmääramine kooskõlas läbivaadatud taastuvenergia direktiiviga. Sellised alad määratakse kindlaks ka kooskõlas mereruumi planeeringutega, et kiirendada avamere tuuleenergia kasutuselevõttu.</w:t>
      </w:r>
    </w:p>
    <w:p w14:paraId="598E13B1" w14:textId="77777777" w:rsidR="0084326C" w:rsidRPr="005D68A0" w:rsidRDefault="0084326C" w:rsidP="0084326C">
      <w:pPr>
        <w:pStyle w:val="Text1"/>
        <w:numPr>
          <w:ilvl w:val="0"/>
          <w:numId w:val="30"/>
        </w:numPr>
        <w:spacing w:before="0"/>
        <w:rPr>
          <w:noProof/>
        </w:rPr>
      </w:pPr>
      <w:r>
        <w:rPr>
          <w:noProof/>
        </w:rPr>
        <w:t xml:space="preserve">Kehtestada taastuvate energiaallikate puhul riigi tasandist madalamate lubade andmise menetluste ühtlustamise ja ühtlustamise põhimõtted. Eelkõige kehtestab </w:t>
      </w:r>
      <w:r>
        <w:rPr>
          <w:i/>
          <w:noProof/>
        </w:rPr>
        <w:t>Testo Unico</w:t>
      </w:r>
      <w:r>
        <w:rPr>
          <w:noProof/>
        </w:rPr>
        <w:t xml:space="preserve"> „ülemmäära eeskirjad“, st piirkonnad ei saa rakendada rangemaid loaeeskirju kui need, mis on sätestatud siseriiklikes õigusaktides.  </w:t>
      </w:r>
    </w:p>
    <w:p w14:paraId="3A964CC3" w14:textId="77777777" w:rsidR="0084326C" w:rsidRPr="005D68A0" w:rsidRDefault="0084326C" w:rsidP="0084326C">
      <w:pPr>
        <w:pStyle w:val="Text1"/>
        <w:numPr>
          <w:ilvl w:val="0"/>
          <w:numId w:val="30"/>
        </w:numPr>
        <w:spacing w:before="0"/>
        <w:rPr>
          <w:noProof/>
        </w:rPr>
      </w:pPr>
      <w:r>
        <w:rPr>
          <w:noProof/>
        </w:rPr>
        <w:t xml:space="preserve">Tagada, et luuakse ja võetakse kasutusele ühtne digiplatvorm kõigi taastuvate energiaallikate paigaldamiseks ja kasutuselevõtuks vajalike lubade saamiseks riiklikul ja piirkondlikul tasandil. Eelkõige tagab </w:t>
      </w:r>
      <w:r>
        <w:rPr>
          <w:i/>
          <w:noProof/>
        </w:rPr>
        <w:t>Testo Unico</w:t>
      </w:r>
      <w:r>
        <w:rPr>
          <w:noProof/>
        </w:rPr>
        <w:t>, et platvorm põhineb ühekordsuse põhimõttel, mille kohaselt nõutakse taotlejatelt sama teabe või sama dokumentide esitamist riigiasutustele ainult üks kord.</w:t>
      </w:r>
    </w:p>
    <w:p w14:paraId="330B980D" w14:textId="77777777" w:rsidR="0084326C" w:rsidRPr="005D68A0" w:rsidRDefault="0084326C" w:rsidP="0084326C">
      <w:pPr>
        <w:pStyle w:val="Heading4"/>
        <w:numPr>
          <w:ilvl w:val="3"/>
          <w:numId w:val="0"/>
        </w:numPr>
        <w:rPr>
          <w:rStyle w:val="normaltextrun"/>
          <w:b/>
          <w:bCs w:val="0"/>
          <w:noProof/>
        </w:rPr>
      </w:pPr>
      <w:r>
        <w:rPr>
          <w:rStyle w:val="normaltextrun"/>
          <w:b/>
          <w:noProof/>
        </w:rPr>
        <w:t>Reform 2. Keskkonnakahjulike toetuste vähendamine</w:t>
      </w:r>
    </w:p>
    <w:p w14:paraId="5ED501F0" w14:textId="77777777" w:rsidR="0084326C" w:rsidRPr="005D68A0" w:rsidRDefault="0084326C" w:rsidP="0084326C">
      <w:pPr>
        <w:spacing w:after="120"/>
        <w:jc w:val="both"/>
        <w:rPr>
          <w:noProof/>
        </w:rPr>
      </w:pPr>
      <w:r>
        <w:rPr>
          <w:noProof/>
        </w:rPr>
        <w:t xml:space="preserve">Reformi eesmärk on vähendada keskkonnakahjulikke toetusi, tuginedes MASE avaldatud iga-aastasele keskkonnakahjulike toetuste kataloogile. </w:t>
      </w:r>
    </w:p>
    <w:p w14:paraId="2CB83E83" w14:textId="77777777" w:rsidR="0084326C" w:rsidRPr="005D68A0" w:rsidRDefault="0084326C" w:rsidP="0084326C">
      <w:pPr>
        <w:pStyle w:val="Heading4"/>
        <w:numPr>
          <w:ilvl w:val="3"/>
          <w:numId w:val="0"/>
        </w:numPr>
        <w:ind w:left="850" w:hanging="850"/>
        <w:rPr>
          <w:rStyle w:val="normaltextrun"/>
          <w:b/>
          <w:noProof/>
        </w:rPr>
      </w:pPr>
      <w:r>
        <w:rPr>
          <w:rStyle w:val="normaltextrun"/>
          <w:b/>
          <w:noProof/>
        </w:rPr>
        <w:t>Reform 3. Biometaani gaasivõrku ühendamise kulude vähendamine</w:t>
      </w:r>
    </w:p>
    <w:p w14:paraId="3342F7C4" w14:textId="77777777" w:rsidR="0084326C" w:rsidRPr="005D68A0" w:rsidRDefault="0084326C" w:rsidP="0084326C">
      <w:pPr>
        <w:pStyle w:val="Text1"/>
        <w:spacing w:before="0"/>
        <w:ind w:left="0"/>
        <w:rPr>
          <w:noProof/>
        </w:rPr>
      </w:pPr>
      <w:r>
        <w:rPr>
          <w:noProof/>
        </w:rPr>
        <w:t>Reformi eesmärk on hõlbustada biometaani lisamist energiasüsteemi ja energiaturule ning luua uus kestlik biometaani tootmisvõimsus kooskõlas direktiiviga (EL) 2018/2001 (taastuvenergia direktiiv) ja selle delegeeritud õigusaktidega. Eesmärk on soodustada maagaasivõrgu paindlikkust ja tõhusust, hõlbustades üleminekut biometaanile. Paindlikkuse ja tõhususe suurendamine aitab eeldatavasti kaasa energiasüsteemi CO</w:t>
      </w:r>
      <w:r>
        <w:rPr>
          <w:noProof/>
          <w:vertAlign w:val="subscript"/>
        </w:rPr>
        <w:t>2</w:t>
      </w:r>
      <w:r>
        <w:rPr>
          <w:noProof/>
        </w:rPr>
        <w:t xml:space="preserve"> heite vähendamisele ja energiasõltumatusele.</w:t>
      </w:r>
    </w:p>
    <w:p w14:paraId="2B27DB51" w14:textId="3CB9D76F" w:rsidR="0084326C" w:rsidRPr="005D68A0" w:rsidRDefault="0084326C" w:rsidP="0084326C">
      <w:pPr>
        <w:pStyle w:val="Text1"/>
        <w:spacing w:before="0"/>
        <w:ind w:left="0"/>
        <w:rPr>
          <w:noProof/>
        </w:rPr>
      </w:pPr>
      <w:r>
        <w:rPr>
          <w:noProof/>
        </w:rPr>
        <w:t>Reformi rakendamine 1) vähendab kestlike biometaani tootmistehaste ühenduskulusid ja 2)</w:t>
      </w:r>
      <w:r w:rsidR="002A3241">
        <w:rPr>
          <w:noProof/>
        </w:rPr>
        <w:t> </w:t>
      </w:r>
      <w:r>
        <w:rPr>
          <w:noProof/>
        </w:rPr>
        <w:t>soodustab investeeringuid, mis on suunatud üksnes säästva biometaani kasutuselevõtule maagaasivõrkudes. Reformiga toetatakse: i) ülekande- ja jaotusvõrkude suurem integreerimine; ii) võrguühendusse tehtavate investeeringute kulude jagamise mehhanismide kasutuselevõtmine. Nende mehhanismidega nihutatakse kulud biometaani tootjalt kogu kogukonnale, kes saab säästvast biometaanist kasu.</w:t>
      </w:r>
    </w:p>
    <w:p w14:paraId="33158659" w14:textId="77777777" w:rsidR="0084326C" w:rsidRPr="005D68A0" w:rsidRDefault="0084326C" w:rsidP="0084326C">
      <w:pPr>
        <w:pStyle w:val="Heading4"/>
        <w:numPr>
          <w:ilvl w:val="0"/>
          <w:numId w:val="0"/>
        </w:numPr>
        <w:rPr>
          <w:b/>
          <w:bCs w:val="0"/>
          <w:noProof/>
        </w:rPr>
      </w:pPr>
      <w:r>
        <w:rPr>
          <w:b/>
          <w:noProof/>
        </w:rPr>
        <w:t>Reform 4. Taastuvenergia ostulepingutega seotud finantsriski maandamine</w:t>
      </w:r>
    </w:p>
    <w:p w14:paraId="5BCFC897" w14:textId="77777777" w:rsidR="0084326C" w:rsidRPr="005D68A0" w:rsidRDefault="0084326C" w:rsidP="0084326C">
      <w:pPr>
        <w:pStyle w:val="Text1"/>
        <w:spacing w:before="0"/>
        <w:ind w:left="0"/>
        <w:rPr>
          <w:noProof/>
        </w:rPr>
      </w:pPr>
      <w:r>
        <w:rPr>
          <w:noProof/>
        </w:rPr>
        <w:t xml:space="preserve">Reformi eesmärk on luua tagatiste süsteem, mis leevendab taastuvelektri ostulepingutega seotud finantsriski ja mille kestus on vähemalt kolm aastat. </w:t>
      </w:r>
    </w:p>
    <w:p w14:paraId="4D4F34E7" w14:textId="77777777" w:rsidR="0084326C" w:rsidRPr="005D68A0" w:rsidRDefault="0084326C" w:rsidP="0084326C">
      <w:pPr>
        <w:pStyle w:val="Text1"/>
        <w:spacing w:before="0"/>
        <w:ind w:left="0"/>
        <w:rPr>
          <w:noProof/>
        </w:rPr>
      </w:pPr>
      <w:r>
        <w:rPr>
          <w:noProof/>
        </w:rPr>
        <w:t xml:space="preserve">Reformiga: </w:t>
      </w:r>
    </w:p>
    <w:p w14:paraId="72AD58E8" w14:textId="77777777" w:rsidR="0084326C" w:rsidRPr="005D68A0" w:rsidRDefault="0084326C" w:rsidP="0084326C">
      <w:pPr>
        <w:pStyle w:val="Text1"/>
        <w:numPr>
          <w:ilvl w:val="0"/>
          <w:numId w:val="36"/>
        </w:numPr>
        <w:spacing w:before="0"/>
        <w:rPr>
          <w:noProof/>
        </w:rPr>
      </w:pPr>
      <w:r>
        <w:rPr>
          <w:noProof/>
        </w:rPr>
        <w:t xml:space="preserve">nõutavad, et iga ettevõtja tagaks elektrienergia ostulepingute väärtuse osalise katmise elektriturul pakutavate tagatisvahenditega; </w:t>
      </w:r>
    </w:p>
    <w:p w14:paraId="7F38B80F" w14:textId="77777777" w:rsidR="0084326C" w:rsidRPr="005D68A0" w:rsidRDefault="0084326C" w:rsidP="0084326C">
      <w:pPr>
        <w:pStyle w:val="Text1"/>
        <w:numPr>
          <w:ilvl w:val="0"/>
          <w:numId w:val="36"/>
        </w:numPr>
        <w:spacing w:before="0"/>
        <w:rPr>
          <w:noProof/>
        </w:rPr>
      </w:pPr>
      <w:r>
        <w:rPr>
          <w:noProof/>
        </w:rPr>
        <w:t>kehtestatakse meetmed kohustuste täitmata jätmise riski maandamiseks, sealhulgas nõuded ja piirangud pakkujale ning regulatiivsed sanktsioonid tootja kohustuste täitmata jätmise korral;</w:t>
      </w:r>
    </w:p>
    <w:p w14:paraId="3DFA1A59" w14:textId="77777777" w:rsidR="0084326C" w:rsidRPr="005D68A0" w:rsidRDefault="0084326C" w:rsidP="0084326C">
      <w:pPr>
        <w:pStyle w:val="Text1"/>
        <w:numPr>
          <w:ilvl w:val="0"/>
          <w:numId w:val="36"/>
        </w:numPr>
        <w:spacing w:before="0"/>
        <w:rPr>
          <w:noProof/>
        </w:rPr>
      </w:pPr>
      <w:r>
        <w:rPr>
          <w:noProof/>
        </w:rPr>
        <w:t xml:space="preserve">määravad kindlaks institutsionaalse üksuse, kes võtaks üle viimase instantsi müüja/ostja, kes võtaks üle maksejõuetult vastaspoolelt ja tagab kohustuste täitmise tehingu sooritava vastaspoole ees.  </w:t>
      </w:r>
    </w:p>
    <w:p w14:paraId="3ED1AEC2" w14:textId="77777777" w:rsidR="0084326C" w:rsidRPr="005D68A0" w:rsidRDefault="0084326C" w:rsidP="0084326C">
      <w:pPr>
        <w:pStyle w:val="Heading4"/>
        <w:numPr>
          <w:ilvl w:val="3"/>
          <w:numId w:val="0"/>
        </w:numPr>
        <w:ind w:left="850" w:hanging="850"/>
        <w:rPr>
          <w:b/>
          <w:bCs w:val="0"/>
          <w:noProof/>
        </w:rPr>
      </w:pPr>
      <w:bookmarkStart w:id="16" w:name="_Hlk160472416"/>
      <w:r>
        <w:rPr>
          <w:b/>
          <w:noProof/>
        </w:rPr>
        <w:t>Reform 5. Uute oskuste kava – üleminekud</w:t>
      </w:r>
    </w:p>
    <w:bookmarkEnd w:id="16"/>
    <w:p w14:paraId="0D2A2DEF" w14:textId="06571A48" w:rsidR="0084326C" w:rsidRPr="005D68A0" w:rsidRDefault="0084326C" w:rsidP="0084326C">
      <w:pPr>
        <w:spacing w:after="120"/>
        <w:jc w:val="both"/>
        <w:rPr>
          <w:noProof/>
        </w:rPr>
      </w:pPr>
      <w:r>
        <w:rPr>
          <w:noProof/>
        </w:rPr>
        <w:t xml:space="preserve">Reformi eesmärk on ajakohastada koolitust käsitlevat õigusraamistikku ja võtta kasutusele vahendid oskuste nõudlusele mittevastavuse vastu võitlemiseks. Reformiga ajakohastatakse 14. detsembri 2021. aasta dekreediga vastu võetud ja 28. detsembri 2021. aasta Gazzetta Ufficiale n.307 avaldatud uut oskuste kava. Eesmärk on tugevdada mehhanisme, mis seovad koolituskursuste kavandamise tööturu vajadustega, konkreetse eesmärgiga paremini toetada rohe- ja digipööret, kaasates asjaomased osalejad spetsiaalsetesse oskuste paktidesse. Reformi eesmärk on tugevdada erasektori rolli koolituses ja parandada oskuste, sealhulgas töökohal ja lühikeste koolitusmoodulite kaudu omandatud oskuste tunnustamist. Reformile eelnevad investeeringu 10 katseprojektid ning nende tulemusi võetakse arvesse reformi kavandamisel ja rakendamisel. </w:t>
      </w:r>
    </w:p>
    <w:p w14:paraId="2630DB0E" w14:textId="77777777" w:rsidR="0084326C" w:rsidRPr="005D68A0" w:rsidRDefault="53DC5198" w:rsidP="0084326C">
      <w:pPr>
        <w:spacing w:after="120"/>
        <w:jc w:val="both"/>
        <w:rPr>
          <w:noProof/>
        </w:rPr>
      </w:pPr>
      <w:r>
        <w:rPr>
          <w:noProof/>
          <w:color w:val="000000" w:themeColor="text1"/>
        </w:rPr>
        <w:t xml:space="preserve">Reformiga toetatav koolitus ei ole seotud järgmisega: </w:t>
      </w:r>
      <w:r>
        <w:rPr>
          <w:noProof/>
        </w:rPr>
        <w:t>i) fossiilkütustega seotud tegevused ja varad, sealhulgas järgnev kasutamine,</w:t>
      </w:r>
      <w:r w:rsidRPr="005D68A0">
        <w:rPr>
          <w:rStyle w:val="FootnoteReference"/>
          <w:noProof/>
          <w:lang w:val="en-GB"/>
        </w:rPr>
        <w:footnoteReference w:id="123"/>
      </w:r>
      <w:r>
        <w:rPr>
          <w:noProof/>
        </w:rPr>
        <w:t xml:space="preserve"> ii) ELi heitkogustega kauplemise süsteemi (HKS) alla kuuluvad tegevused ja varad, millega saavutatakse prognoositud kasvuhoonegaaside heide, mis ei ole väiksem kui asjaomased võrdlusalused,</w:t>
      </w:r>
      <w:r w:rsidRPr="005D68A0">
        <w:rPr>
          <w:noProof/>
          <w:vertAlign w:val="superscript"/>
          <w:lang w:val="en-GB"/>
        </w:rPr>
        <w:footnoteReference w:id="124"/>
      </w:r>
      <w:r>
        <w:rPr>
          <w:noProof/>
        </w:rPr>
        <w:t xml:space="preserve"> iii) prügilate, jäätmepõletustehaste</w:t>
      </w:r>
      <w:r w:rsidRPr="005D68A0">
        <w:rPr>
          <w:rStyle w:val="FootnoteReference"/>
          <w:noProof/>
          <w:lang w:val="en-GB"/>
        </w:rPr>
        <w:footnoteReference w:id="125"/>
      </w:r>
      <w:r>
        <w:rPr>
          <w:noProof/>
        </w:rPr>
        <w:t xml:space="preserve"> ja mehhaaniliste bioloogiliste töötlemistehastega seotud tegevused ja varad</w:t>
      </w:r>
      <w:r w:rsidRPr="005D68A0">
        <w:rPr>
          <w:rStyle w:val="FootnoteReference"/>
          <w:noProof/>
          <w:lang w:val="en-GB"/>
        </w:rPr>
        <w:footnoteReference w:id="126"/>
      </w:r>
      <w:r>
        <w:rPr>
          <w:noProof/>
        </w:rPr>
        <w:t>.</w:t>
      </w:r>
      <w:r>
        <w:rPr>
          <w:noProof/>
          <w:color w:val="000000" w:themeColor="text1"/>
        </w:rPr>
        <w:t> Peale selle peab konkursitingimustes olema sätestatud, et valida võib ainult tegevusi, mis vastavad asjakohastele ELi ja riiklikele keskkonnaalastele õigusaktidele.</w:t>
      </w:r>
    </w:p>
    <w:p w14:paraId="3B506886" w14:textId="77777777" w:rsidR="0084326C" w:rsidRPr="005D68A0" w:rsidRDefault="0084326C" w:rsidP="0084326C">
      <w:pPr>
        <w:pStyle w:val="Heading4"/>
        <w:numPr>
          <w:ilvl w:val="3"/>
          <w:numId w:val="0"/>
        </w:numPr>
        <w:ind w:left="850" w:hanging="850"/>
        <w:rPr>
          <w:rStyle w:val="normaltextrun"/>
          <w:b/>
          <w:bCs w:val="0"/>
          <w:noProof/>
        </w:rPr>
      </w:pPr>
      <w:r>
        <w:rPr>
          <w:rStyle w:val="normaltextrun"/>
          <w:b/>
          <w:noProof/>
        </w:rPr>
        <w:t>Investeering 1. Laiendatud meede: Arukate võrkude tugevdamine</w:t>
      </w:r>
    </w:p>
    <w:p w14:paraId="16C6BE9D" w14:textId="5F57AD5E" w:rsidR="0084326C" w:rsidRPr="005D68A0" w:rsidRDefault="0084326C" w:rsidP="0084326C">
      <w:pPr>
        <w:pStyle w:val="Text1"/>
        <w:spacing w:before="0"/>
        <w:ind w:left="0"/>
        <w:rPr>
          <w:noProof/>
        </w:rPr>
      </w:pPr>
      <w:r>
        <w:rPr>
          <w:noProof/>
        </w:rPr>
        <w:t xml:space="preserve">Selle investeeringu eesmärk on suurendada 2. missiooni 2. komponendi investeeringut 2.1 (arukate võrkude tugevdamine). Kasvuinvesteering koosneb sekkumisest kesk- ja madalpingevõrkude osadesse, millega elektrifitseeritakse vähemalt 230 000 elaniku energiatarbimist, kui on juba ette nähtud olemasolevas meetmes. Olemasolevad investeeringud ja laiendatud osa koos elektrifitseerivad vähemalt 1 730 000 elaniku tarbimist. </w:t>
      </w:r>
    </w:p>
    <w:p w14:paraId="618B5005" w14:textId="77777777" w:rsidR="0084326C" w:rsidRPr="005D68A0" w:rsidRDefault="0084326C" w:rsidP="0084326C">
      <w:pPr>
        <w:pStyle w:val="Heading4"/>
        <w:numPr>
          <w:ilvl w:val="0"/>
          <w:numId w:val="0"/>
        </w:numPr>
        <w:ind w:left="850" w:hanging="850"/>
        <w:rPr>
          <w:rStyle w:val="normaltextrun"/>
          <w:b/>
          <w:bCs w:val="0"/>
          <w:noProof/>
        </w:rPr>
      </w:pPr>
      <w:r>
        <w:rPr>
          <w:rStyle w:val="normaltextrun"/>
          <w:b/>
          <w:noProof/>
        </w:rPr>
        <w:t>Investeering 2. võimendatud meede: Sekkumised elektrivõrgu vastupidavuse suurendamiseks</w:t>
      </w:r>
    </w:p>
    <w:p w14:paraId="3889B87E" w14:textId="77777777" w:rsidR="0084326C" w:rsidRPr="005D68A0" w:rsidRDefault="0084326C" w:rsidP="0084326C">
      <w:pPr>
        <w:pStyle w:val="Text1"/>
        <w:spacing w:before="0"/>
        <w:ind w:left="0"/>
        <w:rPr>
          <w:noProof/>
        </w:rPr>
      </w:pPr>
      <w:r>
        <w:rPr>
          <w:noProof/>
        </w:rPr>
        <w:t>Selle investeeringuga suurendatakse 2. missiooni 2. komponendi investeeringut 2.2. Laiendatud investeering koosneb sekkumistest, mille eesmärk on parandada vähemalt 648 km elektrivõrgu vastupidavust rohkem, kui on juba ette nähtud olemasoleva meetmega. Kehtivad samad tingimused, mis on juba ette nähtud kehtiva meetmega. Olemasolevad investeeringud ja kasvuinvesteeringud koos parandavad vastupanuvõimet vähemalt 4 648 km ulatuses.</w:t>
      </w:r>
    </w:p>
    <w:p w14:paraId="16778A19" w14:textId="77777777" w:rsidR="0084326C" w:rsidRPr="005D68A0" w:rsidRDefault="0084326C" w:rsidP="0084326C">
      <w:pPr>
        <w:pStyle w:val="Heading4"/>
        <w:numPr>
          <w:ilvl w:val="0"/>
          <w:numId w:val="0"/>
        </w:numPr>
        <w:rPr>
          <w:b/>
          <w:bCs w:val="0"/>
          <w:noProof/>
        </w:rPr>
      </w:pPr>
      <w:r>
        <w:rPr>
          <w:b/>
          <w:noProof/>
        </w:rPr>
        <w:t>Investeering 3. võimendatud meede: Vesiniku tootmine mahajäetud tööstusaladel (Hydrogen Valleys)</w:t>
      </w:r>
    </w:p>
    <w:p w14:paraId="02F9B023" w14:textId="77777777" w:rsidR="0084326C" w:rsidRPr="005D68A0" w:rsidRDefault="0084326C" w:rsidP="0084326C">
      <w:pPr>
        <w:pStyle w:val="Text1"/>
        <w:spacing w:before="0"/>
        <w:ind w:left="0"/>
        <w:rPr>
          <w:noProof/>
        </w:rPr>
      </w:pPr>
      <w:r>
        <w:rPr>
          <w:noProof/>
        </w:rPr>
        <w:t xml:space="preserve">See investeering on Itaalia taaste- ja vastupidavuskava 2. missiooni 2. komponendi investeeringu 3.1 laiem versioon. Kasvuinvesteering seisneb selles, et viiakse lõpule veel kaks projekti vesiniku tootmiseks mahajäetud tööstuspiirkondades, kui on juba ette nähtud olemasoleva meetmega. Olemasolevad investeeringud ja kasvuinvesteeringud toetavad koos vähemalt 12 projekti lõpuleviimist. </w:t>
      </w:r>
    </w:p>
    <w:p w14:paraId="3FE6D408" w14:textId="77777777" w:rsidR="0084326C" w:rsidRPr="005D68A0" w:rsidRDefault="0084326C" w:rsidP="0084326C">
      <w:pPr>
        <w:pStyle w:val="Text1"/>
        <w:spacing w:before="0"/>
        <w:ind w:left="0"/>
        <w:rPr>
          <w:noProof/>
        </w:rPr>
      </w:pPr>
      <w:r>
        <w:rPr>
          <w:noProof/>
        </w:rPr>
        <w:t>Meetmega toetatakse üksnes elektrolüüsil põhinevat taastuvallikatest toodetud vesiniku tootmist kooskõlas direktiiviga (EL) 2018/2001 (taastuvenergia direktiiv) ja selle delegeeritud õigusaktidega. Kehtivad kõik muud tingimused, mis on juba kehtiva meetmega ette nähtud.</w:t>
      </w:r>
    </w:p>
    <w:p w14:paraId="1560FBEC" w14:textId="77777777" w:rsidR="0084326C" w:rsidRPr="005D68A0" w:rsidRDefault="0084326C" w:rsidP="0084326C">
      <w:pPr>
        <w:pStyle w:val="Heading4"/>
        <w:numPr>
          <w:ilvl w:val="0"/>
          <w:numId w:val="0"/>
        </w:numPr>
        <w:ind w:left="850" w:hanging="850"/>
        <w:rPr>
          <w:b/>
          <w:bCs w:val="0"/>
          <w:noProof/>
        </w:rPr>
      </w:pPr>
      <w:r>
        <w:rPr>
          <w:b/>
          <w:noProof/>
        </w:rPr>
        <w:t>Investeering 4. Türreenini ühendus</w:t>
      </w:r>
    </w:p>
    <w:p w14:paraId="44AD3C04" w14:textId="77777777" w:rsidR="0084326C" w:rsidRPr="005D68A0" w:rsidRDefault="0084326C" w:rsidP="0084326C">
      <w:pPr>
        <w:pStyle w:val="Text1"/>
        <w:spacing w:before="0"/>
        <w:ind w:left="0"/>
        <w:rPr>
          <w:noProof/>
        </w:rPr>
      </w:pPr>
      <w:r>
        <w:rPr>
          <w:noProof/>
        </w:rPr>
        <w:t>Selle investeeringu eesmärk on laiendada elektrienergia ülekandetaristut, et võimaldada Lõuna-Itaalias taastuvatest energiaallikatest võimsuse kogumist ja selle integreerimist riiklikku põhivõrku.</w:t>
      </w:r>
    </w:p>
    <w:p w14:paraId="44E43088" w14:textId="21AA82DA" w:rsidR="0084326C" w:rsidRPr="005D68A0" w:rsidRDefault="0084326C" w:rsidP="0084326C">
      <w:pPr>
        <w:pStyle w:val="Text1"/>
        <w:spacing w:before="0"/>
        <w:ind w:left="0"/>
        <w:rPr>
          <w:noProof/>
        </w:rPr>
      </w:pPr>
      <w:r>
        <w:rPr>
          <w:noProof/>
        </w:rPr>
        <w:t>Selle investeeringuga toetatakse Türreeni ühenduse ehitamist ja eelkõige idapoolset ühendusliini Sitsiilia ja Campania vahel. Investeeringuga rahastatakse 514 km pikkuste otsevoolukaablite paigaldamist Eboli ja Caracoli vahel. Investeering viiakse lõpule 31.</w:t>
      </w:r>
      <w:r w:rsidR="002A3241">
        <w:rPr>
          <w:noProof/>
        </w:rPr>
        <w:t> </w:t>
      </w:r>
      <w:r>
        <w:rPr>
          <w:noProof/>
        </w:rPr>
        <w:t>augustiks 2026.</w:t>
      </w:r>
    </w:p>
    <w:p w14:paraId="0126AB66" w14:textId="77777777" w:rsidR="0084326C" w:rsidRPr="005D68A0" w:rsidRDefault="0084326C" w:rsidP="0084326C">
      <w:pPr>
        <w:pStyle w:val="Heading4"/>
        <w:numPr>
          <w:ilvl w:val="0"/>
          <w:numId w:val="0"/>
        </w:numPr>
        <w:ind w:left="850" w:hanging="850"/>
        <w:rPr>
          <w:b/>
          <w:bCs w:val="0"/>
          <w:noProof/>
        </w:rPr>
      </w:pPr>
      <w:r>
        <w:rPr>
          <w:b/>
          <w:noProof/>
        </w:rPr>
        <w:t>Investeering 5. SA.CO.I.3</w:t>
      </w:r>
    </w:p>
    <w:p w14:paraId="438A214D" w14:textId="77777777" w:rsidR="0084326C" w:rsidRPr="005D68A0" w:rsidRDefault="0084326C" w:rsidP="0084326C">
      <w:pPr>
        <w:pStyle w:val="Text1"/>
        <w:spacing w:before="0"/>
        <w:ind w:left="0"/>
        <w:rPr>
          <w:noProof/>
        </w:rPr>
      </w:pPr>
      <w:r>
        <w:rPr>
          <w:noProof/>
        </w:rPr>
        <w:t>Investeeringu eesmärk on moderniseerida Sardiiniat Korsika kaudu ülejäänud Itaaliaga ühendavat elektri ülekandetaristut, et võimaldada koguda Sardiinias taastuvatest energiaallikatest võimsust ja integreerida see riiklikku põhivõrku.</w:t>
      </w:r>
    </w:p>
    <w:p w14:paraId="252C5820" w14:textId="5698025D" w:rsidR="0084326C" w:rsidRPr="005D68A0" w:rsidRDefault="0084326C" w:rsidP="0084326C">
      <w:pPr>
        <w:pStyle w:val="Text1"/>
        <w:spacing w:before="0"/>
        <w:ind w:left="0"/>
        <w:rPr>
          <w:noProof/>
        </w:rPr>
      </w:pPr>
      <w:r>
        <w:rPr>
          <w:noProof/>
        </w:rPr>
        <w:t>Investeeringu eesmärk on toetada Sardiinia-Korsika-Itaalia 3 ühendusprojekti ehitamist. See seisneb Sardiinias Codrongianoses ja Toscanas Suveretos asuvate ümberehitusjaamade karpide ehitamise lõpuleviimises. „Šellid“ – ümberehitusjaamade välisinfrastruktuur, mis ei hõlma masinaid ega muid seadmeid, mis paigaldatakse sinna pärast investeeringu lõpuleviimist. Investeering viiakse lõpule 31. augustiks 2026.</w:t>
      </w:r>
    </w:p>
    <w:p w14:paraId="313D77B4" w14:textId="77777777" w:rsidR="0084326C" w:rsidRPr="005D68A0" w:rsidRDefault="0084326C" w:rsidP="0084326C">
      <w:pPr>
        <w:pStyle w:val="Heading4"/>
        <w:numPr>
          <w:ilvl w:val="0"/>
          <w:numId w:val="0"/>
        </w:numPr>
        <w:rPr>
          <w:b/>
          <w:bCs w:val="0"/>
          <w:noProof/>
        </w:rPr>
      </w:pPr>
      <w:r>
        <w:rPr>
          <w:b/>
          <w:noProof/>
        </w:rPr>
        <w:t>Investeering 6. Piiriülesed elektrivõrkude ühendamise projektid Itaalia ja naaberriikide vahel</w:t>
      </w:r>
    </w:p>
    <w:p w14:paraId="1E25F116" w14:textId="77777777" w:rsidR="0084326C" w:rsidRPr="005D68A0" w:rsidRDefault="0084326C" w:rsidP="0084326C">
      <w:pPr>
        <w:pStyle w:val="Text1"/>
        <w:spacing w:before="0"/>
        <w:ind w:left="0"/>
        <w:rPr>
          <w:noProof/>
        </w:rPr>
      </w:pPr>
      <w:r>
        <w:rPr>
          <w:noProof/>
        </w:rPr>
        <w:t xml:space="preserve">Investeeringu eesmärk on laiendada ja moderniseerida Itaalia, Austria ja Sloveenia vahelist elektri ülekandetaristut. Investeering seisneb eelkõige järgmiste piiriüleste võrkudevaheliste ühenduste lõpuleviimises: </w:t>
      </w:r>
    </w:p>
    <w:p w14:paraId="309E916A" w14:textId="77777777" w:rsidR="0084326C" w:rsidRPr="005D68A0" w:rsidRDefault="0084326C" w:rsidP="0084326C">
      <w:pPr>
        <w:pStyle w:val="Text1"/>
        <w:numPr>
          <w:ilvl w:val="0"/>
          <w:numId w:val="28"/>
        </w:numPr>
        <w:spacing w:before="0"/>
        <w:rPr>
          <w:noProof/>
        </w:rPr>
      </w:pPr>
      <w:r>
        <w:rPr>
          <w:noProof/>
        </w:rPr>
        <w:t>„Somplago (Itaalia)-Würmlach (Austria), suurendades olemasolevate võrkudevaheliste ühenduste nimivõimsust 300 MW võrra;</w:t>
      </w:r>
    </w:p>
    <w:p w14:paraId="4E3D60BB" w14:textId="77777777" w:rsidR="0084326C" w:rsidRPr="005D68A0" w:rsidRDefault="0084326C" w:rsidP="0084326C">
      <w:pPr>
        <w:pStyle w:val="Text1"/>
        <w:numPr>
          <w:ilvl w:val="0"/>
          <w:numId w:val="28"/>
        </w:numPr>
        <w:spacing w:before="0"/>
        <w:rPr>
          <w:noProof/>
        </w:rPr>
      </w:pPr>
      <w:r>
        <w:rPr>
          <w:noProof/>
        </w:rPr>
        <w:t>„Zaule (Itaalia)-Dekani (Sloveenia)“</w:t>
      </w:r>
    </w:p>
    <w:p w14:paraId="23B4BBE1" w14:textId="77777777" w:rsidR="0084326C" w:rsidRPr="005D68A0" w:rsidRDefault="0084326C" w:rsidP="0084326C">
      <w:pPr>
        <w:pStyle w:val="Text1"/>
        <w:numPr>
          <w:ilvl w:val="0"/>
          <w:numId w:val="28"/>
        </w:numPr>
        <w:spacing w:before="0"/>
        <w:rPr>
          <w:noProof/>
        </w:rPr>
      </w:pPr>
      <w:r>
        <w:rPr>
          <w:noProof/>
        </w:rPr>
        <w:t>„Redipuglia (Itaalia) – Vrtojba (Sloveenia)“</w:t>
      </w:r>
    </w:p>
    <w:p w14:paraId="67986753" w14:textId="77777777" w:rsidR="0084326C" w:rsidRPr="005D68A0" w:rsidRDefault="0084326C" w:rsidP="0084326C">
      <w:pPr>
        <w:pStyle w:val="Text1"/>
        <w:spacing w:before="0"/>
        <w:ind w:left="0"/>
        <w:rPr>
          <w:noProof/>
        </w:rPr>
      </w:pPr>
      <w:r>
        <w:rPr>
          <w:noProof/>
        </w:rPr>
        <w:t>Zaule-Dekani ja Redipuglia-Vrtojba võrkudevaheliste ühenduste ehitustööde lõpuleviimisel suurendatakse Itaalia ja Sloveenia vaheliste ühenduste kumulatiivset nimivõimsust 250 MW võrra.</w:t>
      </w:r>
    </w:p>
    <w:p w14:paraId="5CC0CB05" w14:textId="0830107A" w:rsidR="0084326C" w:rsidRPr="005D68A0" w:rsidRDefault="0084326C" w:rsidP="0084326C">
      <w:pPr>
        <w:pStyle w:val="Text1"/>
        <w:spacing w:before="0"/>
        <w:ind w:left="0"/>
        <w:rPr>
          <w:noProof/>
        </w:rPr>
      </w:pPr>
      <w:r>
        <w:rPr>
          <w:noProof/>
        </w:rPr>
        <w:t>Investeering hõlmab ainult Itaalia poolel võrkudevahelise ühenduse osa lõpuleviimist 31.</w:t>
      </w:r>
      <w:r w:rsidR="002A3241">
        <w:rPr>
          <w:noProof/>
        </w:rPr>
        <w:t> </w:t>
      </w:r>
      <w:r>
        <w:rPr>
          <w:noProof/>
        </w:rPr>
        <w:t>augustiks 2026. Tööde lõpetamisel peab infrastruktuur olema valmis kasutusse asuma pärast ülejäänud infrastruktuuri valmimist ja kasutuselevõtmist Austria ja Sloveenia poolel.</w:t>
      </w:r>
    </w:p>
    <w:p w14:paraId="6B395FEC" w14:textId="77777777" w:rsidR="0084326C" w:rsidRPr="005D68A0" w:rsidRDefault="0084326C" w:rsidP="0084326C">
      <w:pPr>
        <w:pStyle w:val="Text1"/>
        <w:spacing w:before="0"/>
        <w:ind w:left="0"/>
        <w:rPr>
          <w:noProof/>
        </w:rPr>
      </w:pPr>
      <w:r>
        <w:rPr>
          <w:noProof/>
        </w:rPr>
        <w:t xml:space="preserve">Ülemäärase hüvitamise ohu vältimiseks esitab Itaalia 31. augustiks 2026 komisjonile aruande. Aruandes näidatakse, et kolmele võrkudevahelisele ühendusele antud erandid energiaturu eeskirjadest on endiselt põhjendatud. Lisaks hindab komisjon, kas on kehtestatud asjakohased kaitsemeetmed, millega tagatakse, et elektrienergia määruse (EL) 2019/943 artikli 63 lõike 1 tingimused on endiselt täidetud. Hindamisel võetakse arvesse, mil määral mõjutavad asjaomased ELi ja avaliku sektori vahendid projektide riskantsusega seotud tingimusi. </w:t>
      </w:r>
    </w:p>
    <w:p w14:paraId="1321CA29" w14:textId="77777777" w:rsidR="0084326C" w:rsidRPr="005D68A0" w:rsidRDefault="0084326C" w:rsidP="0084326C">
      <w:pPr>
        <w:pStyle w:val="Heading4"/>
        <w:numPr>
          <w:ilvl w:val="0"/>
          <w:numId w:val="0"/>
        </w:numPr>
        <w:rPr>
          <w:b/>
          <w:bCs w:val="0"/>
          <w:noProof/>
        </w:rPr>
      </w:pPr>
      <w:r>
        <w:rPr>
          <w:b/>
          <w:noProof/>
        </w:rPr>
        <w:t xml:space="preserve">Investeering 7. Arukas riiklik ülekandevõrk </w:t>
      </w:r>
    </w:p>
    <w:p w14:paraId="12555041" w14:textId="77777777" w:rsidR="0084326C" w:rsidRPr="005D68A0" w:rsidRDefault="0084326C" w:rsidP="0084326C">
      <w:pPr>
        <w:pStyle w:val="Text1"/>
        <w:spacing w:before="0"/>
        <w:ind w:left="0"/>
        <w:rPr>
          <w:noProof/>
        </w:rPr>
      </w:pPr>
      <w:r>
        <w:rPr>
          <w:noProof/>
        </w:rPr>
        <w:t>Investeeringu eesmärk on digitaliseerida riiklik ülekandevõrk ning parandada põhivõrguettevõtja hallatavat juhtimis- ja kontrollisüsteemi. Investeering keskendub nii ülekandevõrgule kui ka selle tarkvarakomponentidele ning hõlbustab tarbijate ja tootvate tarbijate integreerimist energiaturule, kiirendab taastuvate energiaallikate kasutuselevõttu ja suurendab võrgu vastupidavust.</w:t>
      </w:r>
    </w:p>
    <w:p w14:paraId="6DF47A6B" w14:textId="77777777" w:rsidR="0084326C" w:rsidRPr="005D68A0" w:rsidRDefault="0084326C" w:rsidP="0084326C">
      <w:pPr>
        <w:pStyle w:val="Text1"/>
        <w:spacing w:before="0"/>
        <w:ind w:left="0"/>
        <w:rPr>
          <w:noProof/>
        </w:rPr>
      </w:pPr>
      <w:r>
        <w:rPr>
          <w:noProof/>
        </w:rPr>
        <w:t>Investeering hõlmab järgmist:</w:t>
      </w:r>
    </w:p>
    <w:p w14:paraId="57094C89" w14:textId="77777777" w:rsidR="0084326C" w:rsidRPr="005D68A0" w:rsidRDefault="0084326C" w:rsidP="0084326C">
      <w:pPr>
        <w:pStyle w:val="Text1"/>
        <w:numPr>
          <w:ilvl w:val="0"/>
          <w:numId w:val="29"/>
        </w:numPr>
        <w:spacing w:before="0"/>
        <w:rPr>
          <w:noProof/>
        </w:rPr>
      </w:pPr>
      <w:r>
        <w:rPr>
          <w:noProof/>
        </w:rPr>
        <w:t>turvalise protokolli nr 104 paigaldamine vähemalt 250 elektrijaama. Paigaldamisel ja koostoimes info- ja kommunikatsioonitehnoloogia (IKT) arhitektuuriga liiguvad kõik andmed läbi keskse juhtimis- ja kontrollisüsteemi.</w:t>
      </w:r>
    </w:p>
    <w:p w14:paraId="1ACA12BE" w14:textId="77777777" w:rsidR="0084326C" w:rsidRPr="005D68A0" w:rsidRDefault="0084326C" w:rsidP="0084326C">
      <w:pPr>
        <w:pStyle w:val="Text1"/>
        <w:numPr>
          <w:ilvl w:val="0"/>
          <w:numId w:val="29"/>
        </w:numPr>
        <w:spacing w:before="0"/>
        <w:rPr>
          <w:noProof/>
        </w:rPr>
      </w:pPr>
      <w:r>
        <w:rPr>
          <w:noProof/>
        </w:rPr>
        <w:t>5G-seadmete või IKT-arhitektuuri paigaldamine vähemalt 40 elektrijaama.</w:t>
      </w:r>
    </w:p>
    <w:p w14:paraId="553DB6DF" w14:textId="214112D4" w:rsidR="0084326C" w:rsidRPr="005D68A0" w:rsidRDefault="0084326C" w:rsidP="0084326C">
      <w:pPr>
        <w:pStyle w:val="Text1"/>
        <w:numPr>
          <w:ilvl w:val="0"/>
          <w:numId w:val="29"/>
        </w:numPr>
        <w:spacing w:before="0"/>
        <w:rPr>
          <w:noProof/>
        </w:rPr>
      </w:pPr>
      <w:r>
        <w:rPr>
          <w:noProof/>
        </w:rPr>
        <w:t>Tööstusliku asjade interneti seiresüsteemi paigaldamine vähemalt 1 500 elektrimastisse, et koguda andmeid, mida saab juhtimissüsteemis töödelda.</w:t>
      </w:r>
    </w:p>
    <w:p w14:paraId="3B9D7D87" w14:textId="77777777" w:rsidR="0084326C" w:rsidRPr="005D68A0" w:rsidRDefault="0084326C" w:rsidP="0084326C">
      <w:pPr>
        <w:spacing w:after="120"/>
        <w:jc w:val="both"/>
        <w:rPr>
          <w:noProof/>
        </w:rPr>
      </w:pPr>
      <w:r>
        <w:rPr>
          <w:noProof/>
        </w:rPr>
        <w:t>Selle investeeringu kaudu paigaldatud seadmed peavad vajaduse korral vastama direktiivi 2009/125/EÜ kohaselt serverite ja andmesalvestuse või arvutite ja serverarvutite või kuvarite jaoks kehtestatud energianõuetele. Investeeringuga tehakse kõik endast oleneva, et rakendada asjakohaseid tavasid, nagu IT-seadmed ja -teenused, mis on loetletud andmekeskuste energiatõhusust käsitleva Euroopa tegevusjuhendi viimases versioonis või CEN-CENELECi dokumendis CLC TR50600–99–1 „Andmekeskuse rajatised ja taristud – Osa 99–1: Energiamajanduse soovituslikud tavad“.</w:t>
      </w:r>
    </w:p>
    <w:p w14:paraId="23E568D4" w14:textId="77777777" w:rsidR="0084326C" w:rsidRPr="005D68A0" w:rsidRDefault="0084326C" w:rsidP="0084326C">
      <w:pPr>
        <w:pStyle w:val="Heading4"/>
        <w:numPr>
          <w:ilvl w:val="3"/>
          <w:numId w:val="0"/>
        </w:numPr>
        <w:ind w:left="850" w:hanging="850"/>
        <w:rPr>
          <w:b/>
          <w:bCs w:val="0"/>
          <w:noProof/>
        </w:rPr>
      </w:pPr>
      <w:r>
        <w:rPr>
          <w:b/>
          <w:noProof/>
        </w:rPr>
        <w:t>Investeering 8. Kriitilise tähtsusega toorainete kestlik, ringluspõhine ja turvaline tarnimine</w:t>
      </w:r>
    </w:p>
    <w:p w14:paraId="32F35D1D" w14:textId="77777777" w:rsidR="0084326C" w:rsidRPr="005D68A0" w:rsidRDefault="0084326C" w:rsidP="0084326C">
      <w:pPr>
        <w:pStyle w:val="Text1"/>
        <w:spacing w:before="0"/>
        <w:ind w:left="0"/>
        <w:rPr>
          <w:noProof/>
        </w:rPr>
      </w:pPr>
      <w:r>
        <w:rPr>
          <w:noProof/>
        </w:rPr>
        <w:t xml:space="preserve">Selle investeeringu eesmärk on toetada kriitilise tähtsusega toorainete taaskasutamist ja ringlussevõttu ning seeläbi rohepöördega seotud kriitilise tähtsusega toorainete ja tehnoloogiate väärtusahelaid. </w:t>
      </w:r>
    </w:p>
    <w:p w14:paraId="3D48020B" w14:textId="77777777" w:rsidR="0084326C" w:rsidRPr="005D68A0" w:rsidRDefault="0084326C" w:rsidP="0084326C">
      <w:pPr>
        <w:pStyle w:val="Text1"/>
        <w:spacing w:before="0"/>
        <w:ind w:left="0"/>
        <w:rPr>
          <w:noProof/>
        </w:rPr>
      </w:pPr>
      <w:r>
        <w:rPr>
          <w:noProof/>
        </w:rPr>
        <w:t xml:space="preserve">Investeeringul on neli peamist tegevussuunda: </w:t>
      </w:r>
    </w:p>
    <w:p w14:paraId="0E83380A" w14:textId="77777777" w:rsidR="0084326C" w:rsidRPr="005D68A0" w:rsidRDefault="0084326C" w:rsidP="0084326C">
      <w:pPr>
        <w:pStyle w:val="Text1"/>
        <w:numPr>
          <w:ilvl w:val="0"/>
          <w:numId w:val="134"/>
        </w:numPr>
        <w:spacing w:before="0"/>
        <w:rPr>
          <w:noProof/>
        </w:rPr>
      </w:pPr>
      <w:r>
        <w:rPr>
          <w:noProof/>
        </w:rPr>
        <w:t xml:space="preserve">Ökodisain: selle sekkumisliini eesmärk on mõista kriitilise tähtsusega tooraine vajadusi ja ökodisaini potentsiaali vähendada nõudlust kriitilise tähtsusega toorainete järele, soodustades energiasüsteemi ümberkujundamisega seotud tööstuslike tarneahelate ringmajandusel põhinevat lähenemisviisi. </w:t>
      </w:r>
    </w:p>
    <w:p w14:paraId="5B099B84" w14:textId="77777777" w:rsidR="0084326C" w:rsidRPr="005D68A0" w:rsidRDefault="0084326C" w:rsidP="0084326C">
      <w:pPr>
        <w:pStyle w:val="Text1"/>
        <w:spacing w:before="0"/>
        <w:ind w:left="720"/>
        <w:rPr>
          <w:noProof/>
        </w:rPr>
      </w:pPr>
      <w:r>
        <w:rPr>
          <w:noProof/>
        </w:rPr>
        <w:t>Selle tegevussuuna eeldatav väljund on aruanne, milles analüüsitakse tulevasi vajadusi kriitilise tähtsusega toorainete järele. Aruandes hinnatakse ökodisaini potentsiaali vähendada nõudlust kriitilise tähtsusega toorainete järele ja soodustada nende ringlussevõetavust.</w:t>
      </w:r>
    </w:p>
    <w:p w14:paraId="1AA00686" w14:textId="77777777" w:rsidR="0084326C" w:rsidRPr="005D68A0" w:rsidRDefault="0084326C" w:rsidP="0084326C">
      <w:pPr>
        <w:pStyle w:val="Text1"/>
        <w:numPr>
          <w:ilvl w:val="0"/>
          <w:numId w:val="27"/>
        </w:numPr>
        <w:spacing w:before="0"/>
        <w:rPr>
          <w:noProof/>
        </w:rPr>
      </w:pPr>
      <w:r>
        <w:rPr>
          <w:noProof/>
        </w:rPr>
        <w:t>Teadus- ja arendustegevuse projektid, mis keskenduvad ökodisainile ning elektri- ja elektroonikaseadmete jäätmete, sealhulgas tuuleturbiinide labade ja päikesepaneelide kogumise, logistika ja ringlussevõtu parandamisele. Projektid keskenduvad järgmisele kolmele teadus- ja arendustegevusele ning innovatsioonile:</w:t>
      </w:r>
    </w:p>
    <w:p w14:paraId="082707EB" w14:textId="77777777" w:rsidR="0084326C" w:rsidRPr="005D68A0" w:rsidRDefault="0084326C" w:rsidP="0084326C">
      <w:pPr>
        <w:pStyle w:val="Text1"/>
        <w:numPr>
          <w:ilvl w:val="1"/>
          <w:numId w:val="27"/>
        </w:numPr>
        <w:spacing w:before="0"/>
        <w:rPr>
          <w:noProof/>
        </w:rPr>
      </w:pPr>
      <w:r>
        <w:rPr>
          <w:noProof/>
        </w:rPr>
        <w:t>Uued või täiustatud tehnoloogiad, infosüsteemid ja ärimeetodid kriitilise tähtsusega ja strateegiliste toorainete jäätmete taaskasutamiseks, ringlussevõtuks ja töötlemiseks;</w:t>
      </w:r>
    </w:p>
    <w:p w14:paraId="5C676F8D" w14:textId="77777777" w:rsidR="0084326C" w:rsidRPr="005D68A0" w:rsidRDefault="0084326C" w:rsidP="0084326C">
      <w:pPr>
        <w:pStyle w:val="ListParagraph"/>
        <w:numPr>
          <w:ilvl w:val="1"/>
          <w:numId w:val="27"/>
        </w:numPr>
        <w:spacing w:before="0"/>
        <w:contextualSpacing w:val="0"/>
        <w:rPr>
          <w:noProof/>
        </w:rPr>
      </w:pPr>
      <w:r>
        <w:rPr>
          <w:noProof/>
        </w:rPr>
        <w:t xml:space="preserve">Ökodisaini integreerimine keerukate toodete ja süsteemide tootmisse ning turu- ja tarbimisprotsessidesse; </w:t>
      </w:r>
    </w:p>
    <w:p w14:paraId="072F625F" w14:textId="77777777" w:rsidR="0084326C" w:rsidRPr="005D68A0" w:rsidRDefault="0084326C" w:rsidP="0084326C">
      <w:pPr>
        <w:pStyle w:val="ListParagraph"/>
        <w:numPr>
          <w:ilvl w:val="1"/>
          <w:numId w:val="27"/>
        </w:numPr>
        <w:spacing w:before="0"/>
        <w:contextualSpacing w:val="0"/>
        <w:rPr>
          <w:noProof/>
        </w:rPr>
      </w:pPr>
      <w:r>
        <w:rPr>
          <w:noProof/>
        </w:rPr>
        <w:t>Olmejäätmete kogumise ja sortimise optimeerimine ning sorteerimine, et tagada kriitilise tähtsusega toorainete järjekindel ja kvaliteetne tarnimine linnakaevandamiseks.</w:t>
      </w:r>
    </w:p>
    <w:p w14:paraId="3FDD8A70" w14:textId="77777777" w:rsidR="0084326C" w:rsidRPr="005D68A0" w:rsidRDefault="0084326C" w:rsidP="0084326C">
      <w:pPr>
        <w:pStyle w:val="Text1"/>
        <w:numPr>
          <w:ilvl w:val="0"/>
          <w:numId w:val="27"/>
        </w:numPr>
        <w:spacing w:before="0"/>
        <w:rPr>
          <w:noProof/>
        </w:rPr>
      </w:pPr>
      <w:r>
        <w:rPr>
          <w:noProof/>
        </w:rPr>
        <w:t>Linnakaevandamine: selle sekkumisliini eesmärk on hinnata linnakaevandamise potentsiaali ja juba olemasolevate jäätmete potentsiaali, mis on tekkinud lõpetatud kaevandamistegevuse käigus.</w:t>
      </w:r>
    </w:p>
    <w:p w14:paraId="3114BFCF" w14:textId="77777777" w:rsidR="0084326C" w:rsidRPr="005D68A0" w:rsidRDefault="0084326C" w:rsidP="0084326C">
      <w:pPr>
        <w:pStyle w:val="Text1"/>
        <w:spacing w:before="0"/>
        <w:ind w:left="720"/>
        <w:rPr>
          <w:noProof/>
        </w:rPr>
      </w:pPr>
      <w:r>
        <w:rPr>
          <w:noProof/>
        </w:rPr>
        <w:t>Selle tegevussuuna eeldatav väljund on avalik andmebaas (geograafilise teabe süsteem), mis võimaldab ringlussevõetavate ressursside või linnakeskkondades (linnakaevandused) hajutatud materjalide ja mahajäetud kaevandustes olemasolevate jäätmete geolokaliseerimist ja visualiseerimist.</w:t>
      </w:r>
    </w:p>
    <w:p w14:paraId="040F28DE" w14:textId="77777777" w:rsidR="0084326C" w:rsidRPr="005D68A0" w:rsidRDefault="0084326C" w:rsidP="0084326C">
      <w:pPr>
        <w:pStyle w:val="Text1"/>
        <w:numPr>
          <w:ilvl w:val="0"/>
          <w:numId w:val="27"/>
        </w:numPr>
        <w:spacing w:before="0"/>
        <w:rPr>
          <w:noProof/>
        </w:rPr>
      </w:pPr>
      <w:r>
        <w:rPr>
          <w:noProof/>
        </w:rPr>
        <w:t>Linnakaevandamise ja ökodisaini tehnoloogiakeskuse loomine või seadmed. Keskus on laboratooriumide võrgustik, mis soodustab eraettevõtjate ja teadusasutuste vahelist suhtlust, et parandada olelusringi lõpu keerukate toodete ja rohepöördega seotud madala ringlussevõtu sisendmääraga toorainete (sealhulgas liitium, neodüüm ja ränimetall) tarneahelast taaskasutamist ja ringlussevõttu.</w:t>
      </w:r>
    </w:p>
    <w:p w14:paraId="549F76C2" w14:textId="77777777" w:rsidR="0084326C" w:rsidRPr="005D68A0" w:rsidRDefault="0084326C" w:rsidP="0084326C">
      <w:pPr>
        <w:pStyle w:val="Text1"/>
        <w:spacing w:before="0"/>
        <w:ind w:left="720"/>
        <w:rPr>
          <w:noProof/>
        </w:rPr>
      </w:pPr>
      <w:r>
        <w:rPr>
          <w:noProof/>
        </w:rPr>
        <w:t>Selle tegevussuuna eeldatav tulemus on nende laborite varustus.</w:t>
      </w:r>
    </w:p>
    <w:p w14:paraId="049BCD77" w14:textId="77777777" w:rsidR="0084326C" w:rsidRPr="005D68A0" w:rsidRDefault="0084326C" w:rsidP="0084326C">
      <w:pPr>
        <w:pStyle w:val="Heading4"/>
        <w:numPr>
          <w:ilvl w:val="3"/>
          <w:numId w:val="0"/>
        </w:numPr>
        <w:rPr>
          <w:b/>
          <w:bCs w:val="0"/>
          <w:noProof/>
        </w:rPr>
      </w:pPr>
      <w:r>
        <w:rPr>
          <w:b/>
          <w:noProof/>
        </w:rPr>
        <w:t>Investeering 9. võimendatud meede: anda tehnilist abi ja tugevdada suutlikkust Itaalia taaste- ja vastupidavuskava rakendamiseks</w:t>
      </w:r>
    </w:p>
    <w:p w14:paraId="682611AA" w14:textId="665558A3" w:rsidR="0084326C" w:rsidRPr="005D68A0" w:rsidRDefault="0084326C" w:rsidP="0084326C">
      <w:pPr>
        <w:spacing w:after="120"/>
        <w:ind w:right="-45"/>
        <w:jc w:val="both"/>
        <w:rPr>
          <w:noProof/>
        </w:rPr>
      </w:pPr>
      <w:r>
        <w:rPr>
          <w:noProof/>
        </w:rPr>
        <w:t>Selle investeeringuga suurendatakse Itaalia taaste- ja vastupidavuskava 1. missiooni 1.</w:t>
      </w:r>
      <w:r w:rsidR="002A3241">
        <w:rPr>
          <w:noProof/>
        </w:rPr>
        <w:t> </w:t>
      </w:r>
      <w:r>
        <w:rPr>
          <w:noProof/>
        </w:rPr>
        <w:t xml:space="preserve">komponendi investeeringut 1.9. </w:t>
      </w:r>
    </w:p>
    <w:p w14:paraId="178092E2" w14:textId="77777777" w:rsidR="0084326C" w:rsidRPr="005D68A0" w:rsidRDefault="0084326C" w:rsidP="0084326C">
      <w:pPr>
        <w:spacing w:after="120"/>
        <w:ind w:right="-45"/>
        <w:jc w:val="both"/>
        <w:rPr>
          <w:noProof/>
        </w:rPr>
      </w:pPr>
      <w:r>
        <w:rPr>
          <w:noProof/>
        </w:rPr>
        <w:t xml:space="preserve">Selle meetmega suurendatakse olemasolevaid investeeringuid, täiendades õppeplatvormil </w:t>
      </w:r>
      <w:hyperlink r:id="rId410">
        <w:r>
          <w:rPr>
            <w:rStyle w:val="Hyperlink"/>
            <w:noProof/>
          </w:rPr>
          <w:t>www.syllabus.gov.it</w:t>
        </w:r>
      </w:hyperlink>
      <w:r>
        <w:rPr>
          <w:noProof/>
        </w:rPr>
        <w:t xml:space="preserve"> pakutavat olemasolevat koolitusprogrammi koolitusmoodulitega, mis valmistavad kohalikke ametnikke ette rohepöördeks.</w:t>
      </w:r>
    </w:p>
    <w:p w14:paraId="3A8F9FB3" w14:textId="77777777" w:rsidR="0084326C" w:rsidRPr="005D68A0" w:rsidRDefault="0084326C" w:rsidP="0084326C">
      <w:pPr>
        <w:spacing w:after="120"/>
        <w:ind w:right="-45"/>
        <w:jc w:val="both"/>
        <w:rPr>
          <w:noProof/>
        </w:rPr>
      </w:pPr>
      <w:r>
        <w:rPr>
          <w:noProof/>
        </w:rPr>
        <w:t xml:space="preserve">Koolitusmoodulites käsitletakse vähemalt järgmisi teemasid: taastuvatest energiaallikatest jaamadele loa andmise menetlused; taastuvenergiakogukondade edendamine; avaliku halduse toetamine ja korraldamine; rohelised e-hanked energia ja väiksema keskkonnamõjuga toodete puhul;  hoonete energiatõhususega seotud hanked; avaliku halduse juhtpositsioon energiatõhususe ja säästva käitumise valdkonnas energiavaldkonnas: parimad tavad ja kestlikkuse kultuuri levitamine; säästva liikuvuse edendamise mudelid energia säästmiseks. </w:t>
      </w:r>
    </w:p>
    <w:p w14:paraId="32EE6753" w14:textId="77777777" w:rsidR="0084326C" w:rsidRPr="005D68A0" w:rsidRDefault="0084326C" w:rsidP="0084326C">
      <w:pPr>
        <w:pStyle w:val="Heading4"/>
        <w:numPr>
          <w:ilvl w:val="0"/>
          <w:numId w:val="0"/>
        </w:numPr>
        <w:ind w:left="850" w:hanging="850"/>
        <w:rPr>
          <w:b/>
          <w:noProof/>
        </w:rPr>
      </w:pPr>
      <w:r>
        <w:rPr>
          <w:b/>
          <w:noProof/>
        </w:rPr>
        <w:t>Investeering 10. Oskuste katseprojektid „Crescere Green“</w:t>
      </w:r>
    </w:p>
    <w:p w14:paraId="7EFEB80F" w14:textId="77777777" w:rsidR="0084326C" w:rsidRPr="005D68A0" w:rsidRDefault="0084326C" w:rsidP="0084326C">
      <w:pPr>
        <w:spacing w:after="120"/>
        <w:jc w:val="both"/>
        <w:rPr>
          <w:noProof/>
          <w:color w:val="000000" w:themeColor="text1"/>
        </w:rPr>
      </w:pPr>
      <w:r>
        <w:rPr>
          <w:noProof/>
          <w:color w:val="000000" w:themeColor="text1"/>
        </w:rPr>
        <w:t xml:space="preserve">Selle investeeringu eesmärk on arendada keskkonnahoidlikke oskusi piirkonnaülesel tasandil, kaasates ettevõtteid ja erasektorit ning keskendudes sektoritele. </w:t>
      </w:r>
    </w:p>
    <w:p w14:paraId="0CE820A5" w14:textId="77777777" w:rsidR="0084326C" w:rsidRPr="005D68A0" w:rsidRDefault="0084326C" w:rsidP="0084326C">
      <w:pPr>
        <w:spacing w:after="120"/>
        <w:jc w:val="both"/>
        <w:rPr>
          <w:noProof/>
          <w:color w:val="000000" w:themeColor="text1"/>
        </w:rPr>
      </w:pPr>
      <w:r>
        <w:rPr>
          <w:noProof/>
          <w:color w:val="000000" w:themeColor="text1"/>
        </w:rPr>
        <w:t xml:space="preserve">Lühiajalised koolitusmeetmed keskenduvad kutseoskustele, mida on kõige rohkem vaja rohepöördeks tööturul. Mõjutatud kutsealad määratakse kindlaks oskuste pakti „Reform 5: „Uute oskuste kava – üleminekud“. Vahendite saajad määratakse kindlaks töötajate garanteeritud tööalase konkurentsivõime riiklikus programmis (GOL) osalejate hulgas (ülesanne 5: Komponent 1– Reform 1“), kes pärast hindamisprotsessi peab läbima spetsiaalse koolituskomponendi. Investeeringu eesmärk on ka suurendada koolitustegevuse kavandamisse kaasatud haldusasutuste, institutsioonide ja partnerite suutlikkust. </w:t>
      </w:r>
    </w:p>
    <w:p w14:paraId="403923E5" w14:textId="77777777" w:rsidR="0084326C" w:rsidRPr="005D68A0" w:rsidRDefault="53DC5198" w:rsidP="0084326C">
      <w:pPr>
        <w:spacing w:after="120"/>
        <w:jc w:val="both"/>
        <w:rPr>
          <w:noProof/>
        </w:rPr>
      </w:pPr>
      <w:r>
        <w:rPr>
          <w:noProof/>
        </w:rPr>
        <w:t>Selle investeeringuga toetatav koolitus ei ole seotud järgmisega: i) fossiilkütustega seotud tegevused ja varad, sealhulgas järgnev kasutamine,</w:t>
      </w:r>
      <w:r w:rsidRPr="005D68A0">
        <w:rPr>
          <w:rStyle w:val="FootnoteReference"/>
          <w:noProof/>
          <w:lang w:val="en-GB"/>
        </w:rPr>
        <w:footnoteReference w:id="127"/>
      </w:r>
      <w:r>
        <w:rPr>
          <w:noProof/>
        </w:rPr>
        <w:t xml:space="preserve"> ii) ELi heitkogustega kauplemise süsteemi (HKS) alla kuuluvad tegevused ja varad, millega saavutatakse prognoositud kasvuhoonegaaside heide, mis ei ole väiksem kui asjaomased võrdlusalused,</w:t>
      </w:r>
      <w:r w:rsidRPr="005D68A0">
        <w:rPr>
          <w:noProof/>
          <w:vertAlign w:val="superscript"/>
          <w:lang w:val="en-GB"/>
        </w:rPr>
        <w:footnoteReference w:id="128"/>
      </w:r>
      <w:r>
        <w:rPr>
          <w:noProof/>
        </w:rPr>
        <w:t xml:space="preserve"> iii) prügilate, jäätmepõletustehaste</w:t>
      </w:r>
      <w:r w:rsidRPr="005D68A0">
        <w:rPr>
          <w:rStyle w:val="FootnoteReference"/>
          <w:noProof/>
          <w:lang w:val="en-GB"/>
        </w:rPr>
        <w:footnoteReference w:id="129"/>
      </w:r>
      <w:r>
        <w:rPr>
          <w:noProof/>
        </w:rPr>
        <w:t xml:space="preserve"> ja mehhaaniliste bioloogiliste töötlemistehastega seotud tegevused ja varad</w:t>
      </w:r>
      <w:r w:rsidRPr="005D68A0">
        <w:rPr>
          <w:rStyle w:val="FootnoteReference"/>
          <w:noProof/>
          <w:lang w:val="en-GB"/>
        </w:rPr>
        <w:footnoteReference w:id="130"/>
      </w:r>
      <w:r>
        <w:rPr>
          <w:noProof/>
        </w:rPr>
        <w:t>. Peale selle peab konkursitingimustes olema sätestatud, et valida võib ainult tegevusi, mis vastavad asjakohastele ELi ja riiklikele keskkonnaalastele õigusaktidele.</w:t>
      </w:r>
    </w:p>
    <w:p w14:paraId="6B22ECBE" w14:textId="209F8B32" w:rsidR="0084326C" w:rsidRPr="005D68A0" w:rsidRDefault="0084326C" w:rsidP="0084326C">
      <w:pPr>
        <w:pStyle w:val="Heading4"/>
        <w:numPr>
          <w:ilvl w:val="3"/>
          <w:numId w:val="0"/>
        </w:numPr>
        <w:rPr>
          <w:b/>
          <w:noProof/>
        </w:rPr>
      </w:pPr>
      <w:r>
        <w:rPr>
          <w:b/>
          <w:noProof/>
        </w:rPr>
        <w:t>Investeering 11. Heitevabade rongide ja universaalteenusega piirkondliku ühistranspordi raudteepargi tugevdamine</w:t>
      </w:r>
    </w:p>
    <w:p w14:paraId="35E12C16" w14:textId="77777777" w:rsidR="0084326C" w:rsidRPr="005D68A0" w:rsidRDefault="0084326C" w:rsidP="0084326C">
      <w:pPr>
        <w:spacing w:before="120" w:after="120"/>
        <w:jc w:val="both"/>
        <w:rPr>
          <w:noProof/>
        </w:rPr>
      </w:pPr>
      <w:r>
        <w:rPr>
          <w:noProof/>
        </w:rPr>
        <w:t xml:space="preserve">See investeering hõlmab vähemalt 69 heitevaba reisirongi (rong koosneb vähemalt ühest vedurist ja hõlmab reisivaguneid) ja 30 täiendava, universaalteenuse osutamiseks kasutatava vaguni hanget ja kasutuselevõtmist. Investeeringuga hangitakse kokku 342 ühikut veeremit, millest vähemalt 69 on vedurid. Toetuskõlblikud on ainult elektri- või vesinikkütuseelemendid. Kaheliigilised rongid ei ole abikõlblikud. </w:t>
      </w:r>
    </w:p>
    <w:p w14:paraId="1A651399" w14:textId="0397EEF7" w:rsidR="0084326C" w:rsidRPr="005D68A0" w:rsidRDefault="0084326C" w:rsidP="0084326C">
      <w:pPr>
        <w:pStyle w:val="Heading4"/>
        <w:numPr>
          <w:ilvl w:val="3"/>
          <w:numId w:val="0"/>
        </w:numPr>
        <w:rPr>
          <w:b/>
          <w:bCs w:val="0"/>
          <w:noProof/>
        </w:rPr>
      </w:pPr>
      <w:r>
        <w:rPr>
          <w:b/>
          <w:noProof/>
        </w:rPr>
        <w:t>Investeering 12. Toetuskava rahvusvahelise, tööstusliku ning teadus- ja arendustegevuse alase juhtpositsiooni arendamiseks heitevabade busside valdkonnas</w:t>
      </w:r>
    </w:p>
    <w:p w14:paraId="32AD92A0" w14:textId="24385AF5" w:rsidR="0084326C" w:rsidRPr="005D68A0" w:rsidRDefault="0084326C" w:rsidP="0084326C">
      <w:pPr>
        <w:spacing w:after="120"/>
        <w:jc w:val="both"/>
        <w:rPr>
          <w:noProof/>
        </w:rPr>
      </w:pPr>
      <w:r>
        <w:rPr>
          <w:noProof/>
        </w:rPr>
        <w:t>See meede hõlmab avaliku sektori investeeringut toetuskavasse „Rahvusvahelise, tööstusliku ning teadus- ja arendustegevuse juhtpositsiooni arendamine heitevabade busside valdkonnas“, et stimuleerida erainvesteeringuid ja parandada juurdepääsu rahastamisele Itaalias, et toetada investeeringuid heiteta bussiparkide (aku, vesinikkütuseelemendi või vesiniku sisepõlemismootoriga) tootmise tarneahelasse. Kava raames antakse toetusi otse erasektorile. Taaste- ja vastupidavusrahastu investeeringute põhjal on kava eesmärk anda esialgu vähemalt 100 000 000 eurot toetusi.</w:t>
      </w:r>
    </w:p>
    <w:p w14:paraId="47DEC6E3" w14:textId="77777777" w:rsidR="0084326C" w:rsidRPr="005D68A0" w:rsidRDefault="0084326C" w:rsidP="0084326C">
      <w:pPr>
        <w:spacing w:after="120"/>
        <w:jc w:val="both"/>
        <w:rPr>
          <w:noProof/>
        </w:rPr>
      </w:pPr>
      <w:r>
        <w:rPr>
          <w:noProof/>
        </w:rPr>
        <w:t>Kava haldab rakenduspartnerina Invitalia S.p.A. Kava hõlmab järgmist tooterida:</w:t>
      </w:r>
    </w:p>
    <w:p w14:paraId="4880C63C" w14:textId="1758DC45" w:rsidR="0084326C" w:rsidRPr="005D68A0" w:rsidRDefault="0084326C" w:rsidP="0084326C">
      <w:pPr>
        <w:pStyle w:val="ListParagraph"/>
        <w:numPr>
          <w:ilvl w:val="0"/>
          <w:numId w:val="136"/>
        </w:numPr>
        <w:spacing w:before="0"/>
        <w:rPr>
          <w:noProof/>
        </w:rPr>
      </w:pPr>
      <w:r>
        <w:rPr>
          <w:noProof/>
        </w:rPr>
        <w:t xml:space="preserve"> Toetused heiteta bussitootmise tarneahelas tegutsevatele ettevõtjatele. Hübriidbussid ei ole toetuskõlblikud.</w:t>
      </w:r>
    </w:p>
    <w:p w14:paraId="0F41C87D" w14:textId="77777777" w:rsidR="0084326C" w:rsidRPr="005D68A0" w:rsidRDefault="0084326C" w:rsidP="0084326C">
      <w:pPr>
        <w:spacing w:after="120"/>
        <w:jc w:val="both"/>
        <w:rPr>
          <w:noProof/>
        </w:rPr>
      </w:pPr>
      <w:r>
        <w:rPr>
          <w:noProof/>
        </w:rPr>
        <w:t>Kavasse investeeringu tegemiseks kirjutavad Itaalia ja Invitalia S.p.A. alla rakenduslepingule, mis sisaldab järgmist sisu:</w:t>
      </w:r>
    </w:p>
    <w:p w14:paraId="69B50AF8" w14:textId="77777777" w:rsidR="0084326C" w:rsidRPr="005D68A0" w:rsidRDefault="0084326C" w:rsidP="0084326C">
      <w:pPr>
        <w:pStyle w:val="ListParagraph"/>
        <w:numPr>
          <w:ilvl w:val="0"/>
          <w:numId w:val="135"/>
        </w:numPr>
        <w:spacing w:before="0"/>
        <w:rPr>
          <w:noProof/>
        </w:rPr>
      </w:pPr>
      <w:r>
        <w:rPr>
          <w:noProof/>
        </w:rPr>
        <w:t>Kava otsustusprotsessi kirjeldus: Skeemi lõpliku toetuse andmise otsuse teeb investeeringute komitee või muu samaväärne juhtorgan ning see kiidetakse heaks valitsusest sõltumatute liikmete häälteenamusega.</w:t>
      </w:r>
    </w:p>
    <w:p w14:paraId="6172C8B3" w14:textId="77777777" w:rsidR="0084326C" w:rsidRPr="005D68A0" w:rsidRDefault="0084326C" w:rsidP="0084326C">
      <w:pPr>
        <w:pStyle w:val="ListParagraph"/>
        <w:numPr>
          <w:ilvl w:val="0"/>
          <w:numId w:val="135"/>
        </w:numPr>
        <w:spacing w:before="0"/>
        <w:rPr>
          <w:noProof/>
        </w:rPr>
      </w:pPr>
      <w:r>
        <w:rPr>
          <w:noProof/>
        </w:rPr>
        <w:t>Seotud toetuspoliitika põhinõuded, mis hõlmavad järgmist:</w:t>
      </w:r>
    </w:p>
    <w:p w14:paraId="0B8A577E" w14:textId="77777777" w:rsidR="0084326C" w:rsidRPr="005D68A0" w:rsidRDefault="0084326C" w:rsidP="0084326C">
      <w:pPr>
        <w:pStyle w:val="ListParagraph"/>
        <w:numPr>
          <w:ilvl w:val="1"/>
          <w:numId w:val="135"/>
        </w:numPr>
        <w:spacing w:before="0"/>
        <w:rPr>
          <w:noProof/>
        </w:rPr>
      </w:pPr>
      <w:r>
        <w:rPr>
          <w:noProof/>
        </w:rPr>
        <w:t xml:space="preserve">Antud toetuste ja rahastamiskõlblike lõplike toetusesaajate kirjeldus. </w:t>
      </w:r>
    </w:p>
    <w:p w14:paraId="554B35CB" w14:textId="77777777" w:rsidR="0084326C" w:rsidRPr="005D68A0" w:rsidRDefault="0084326C" w:rsidP="0084326C">
      <w:pPr>
        <w:pStyle w:val="ListParagraph"/>
        <w:numPr>
          <w:ilvl w:val="1"/>
          <w:numId w:val="135"/>
        </w:numPr>
        <w:spacing w:before="0"/>
        <w:rPr>
          <w:noProof/>
        </w:rPr>
      </w:pPr>
      <w:r>
        <w:rPr>
          <w:noProof/>
        </w:rPr>
        <w:t>Nõue, et kõik toetatavad investeeringud on majanduslikult elujõulised.</w:t>
      </w:r>
    </w:p>
    <w:p w14:paraId="415B8F5A" w14:textId="77777777" w:rsidR="0084326C" w:rsidRPr="005D68A0" w:rsidRDefault="53DC5198" w:rsidP="0084326C">
      <w:pPr>
        <w:pStyle w:val="ListParagraph"/>
        <w:numPr>
          <w:ilvl w:val="1"/>
          <w:numId w:val="135"/>
        </w:numPr>
        <w:spacing w:before="0"/>
        <w:rPr>
          <w:noProof/>
        </w:rPr>
      </w:pPr>
      <w:r>
        <w:rPr>
          <w:noProof/>
        </w:rPr>
        <w:t>Nõue järgida olulise kahju ärahoidmise põhimõtet, nagu on sätestatud põhimõtte „ei kahjusta oluliselt“ tehnilistes suunistes (2021/C58/01). Eelkõige jäetakse toetuspoliitika raames rahastamiskõlblikkuse alt välja järgmised tegevused ja varad: i) fossiilkütustega seotud tegevused ja varad, sealhulgas järgnev kasutamine,</w:t>
      </w:r>
      <w:r w:rsidRPr="005D68A0">
        <w:rPr>
          <w:noProof/>
          <w:vertAlign w:val="superscript"/>
          <w:lang w:val="en-GB"/>
        </w:rPr>
        <w:footnoteReference w:id="131"/>
      </w:r>
      <w:r>
        <w:rPr>
          <w:noProof/>
        </w:rPr>
        <w:t xml:space="preserve"> ii) ELi heitkogustega kauplemise süsteemi (HKS) alla kuuluvad tegevused ja varad, millega saavutatakse prognoositud kasvuhoonegaaside heide, mis ei ole väiksem kui asjaomased võrdlusalused,</w:t>
      </w:r>
      <w:r w:rsidRPr="005D68A0">
        <w:rPr>
          <w:noProof/>
          <w:vertAlign w:val="superscript"/>
          <w:lang w:val="en-GB"/>
        </w:rPr>
        <w:footnoteReference w:id="132"/>
      </w:r>
      <w:r>
        <w:rPr>
          <w:noProof/>
        </w:rPr>
        <w:t xml:space="preserve"> iii) prügilate, jäätmepõletustehaste</w:t>
      </w:r>
      <w:r w:rsidRPr="005D68A0">
        <w:rPr>
          <w:noProof/>
          <w:vertAlign w:val="superscript"/>
          <w:lang w:val="en-GB"/>
        </w:rPr>
        <w:footnoteReference w:id="133"/>
      </w:r>
      <w:r>
        <w:rPr>
          <w:noProof/>
        </w:rPr>
        <w:t xml:space="preserve"> ja mehhaaniliste bioloogiliste töötlemistehastega seotud tegevused ja varad</w:t>
      </w:r>
      <w:r w:rsidRPr="005D68A0">
        <w:rPr>
          <w:noProof/>
          <w:vertAlign w:val="superscript"/>
          <w:lang w:val="en-GB"/>
        </w:rPr>
        <w:footnoteReference w:id="134"/>
      </w:r>
      <w:r>
        <w:rPr>
          <w:noProof/>
        </w:rPr>
        <w:t xml:space="preserve">. </w:t>
      </w:r>
    </w:p>
    <w:p w14:paraId="70974B08" w14:textId="77777777" w:rsidR="0084326C" w:rsidRPr="005D68A0" w:rsidRDefault="0084326C" w:rsidP="0084326C">
      <w:pPr>
        <w:pStyle w:val="ListParagraph"/>
        <w:numPr>
          <w:ilvl w:val="1"/>
          <w:numId w:val="135"/>
        </w:numPr>
        <w:spacing w:before="0"/>
        <w:rPr>
          <w:noProof/>
        </w:rPr>
      </w:pPr>
      <w:r>
        <w:rPr>
          <w:noProof/>
        </w:rPr>
        <w:t>Nõue, et kava lõplikud abisaajad ei saa samade kulude katmiseks toetust muudest liidu vahenditest.</w:t>
      </w:r>
    </w:p>
    <w:p w14:paraId="77265BDA" w14:textId="77777777" w:rsidR="0084326C" w:rsidRPr="005D68A0" w:rsidRDefault="0084326C" w:rsidP="0084326C">
      <w:pPr>
        <w:pStyle w:val="ListParagraph"/>
        <w:numPr>
          <w:ilvl w:val="0"/>
          <w:numId w:val="135"/>
        </w:numPr>
        <w:spacing w:before="0"/>
        <w:rPr>
          <w:noProof/>
        </w:rPr>
      </w:pPr>
      <w:r>
        <w:rPr>
          <w:noProof/>
        </w:rPr>
        <w:t>Rakenduslepinguga hõlmatud summa, rakenduspartneri tasude struktuur ja nõue kasutada kava kasutamata tulu, sealhulgas pärast 2026. aastat, samadel poliitilistel eesmärkidel.</w:t>
      </w:r>
    </w:p>
    <w:p w14:paraId="159EB468" w14:textId="77777777" w:rsidR="0084326C" w:rsidRPr="005D68A0" w:rsidRDefault="0084326C" w:rsidP="0084326C">
      <w:pPr>
        <w:pStyle w:val="ListParagraph"/>
        <w:numPr>
          <w:ilvl w:val="0"/>
          <w:numId w:val="135"/>
        </w:numPr>
        <w:spacing w:before="0"/>
        <w:rPr>
          <w:noProof/>
        </w:rPr>
      </w:pPr>
      <w:r>
        <w:rPr>
          <w:noProof/>
        </w:rPr>
        <w:t>Seire-, auditi- ja kontrollinõuded, sealhulgas:</w:t>
      </w:r>
    </w:p>
    <w:p w14:paraId="047BB727" w14:textId="77777777" w:rsidR="0084326C" w:rsidRPr="005D68A0" w:rsidRDefault="0084326C" w:rsidP="0084326C">
      <w:pPr>
        <w:pStyle w:val="ListParagraph"/>
        <w:numPr>
          <w:ilvl w:val="1"/>
          <w:numId w:val="30"/>
        </w:numPr>
        <w:spacing w:before="0"/>
        <w:rPr>
          <w:noProof/>
        </w:rPr>
      </w:pPr>
      <w:r>
        <w:rPr>
          <w:noProof/>
        </w:rPr>
        <w:t>Rakenduspartneri järelevalvesüsteemi kirjeldus, mille abil antakse aru eraldatud toetustest.</w:t>
      </w:r>
    </w:p>
    <w:p w14:paraId="192DFD95" w14:textId="77777777" w:rsidR="0084326C" w:rsidRPr="005D68A0" w:rsidRDefault="0084326C" w:rsidP="0084326C">
      <w:pPr>
        <w:pStyle w:val="ListParagraph"/>
        <w:numPr>
          <w:ilvl w:val="1"/>
          <w:numId w:val="30"/>
        </w:numPr>
        <w:spacing w:before="0"/>
        <w:rPr>
          <w:noProof/>
        </w:rPr>
      </w:pPr>
      <w:r>
        <w:rPr>
          <w:noProof/>
        </w:rPr>
        <w:t xml:space="preserve">Selliste rakenduspartneri menetluste kirjeldus, millega tagatakse pettuste, korruptsiooni ja huvide konfliktide ennetamine, avastamine ja kõrvaldamine. </w:t>
      </w:r>
    </w:p>
    <w:p w14:paraId="1465E944" w14:textId="77777777" w:rsidR="0084326C" w:rsidRPr="005D68A0" w:rsidRDefault="0084326C" w:rsidP="0084326C">
      <w:pPr>
        <w:pStyle w:val="ListParagraph"/>
        <w:numPr>
          <w:ilvl w:val="1"/>
          <w:numId w:val="30"/>
        </w:numPr>
        <w:spacing w:before="0"/>
        <w:rPr>
          <w:noProof/>
        </w:rPr>
      </w:pPr>
      <w:r>
        <w:rPr>
          <w:noProof/>
        </w:rPr>
        <w:t>Kohustus kontrollida enne tegevusele toetuse andmist iga tegevuse rahastamiskõlblikkust vastavalt rakenduslepingus sätestatud nõuetele.</w:t>
      </w:r>
    </w:p>
    <w:p w14:paraId="24B288A8" w14:textId="2192928D" w:rsidR="0084326C" w:rsidRPr="005D68A0" w:rsidRDefault="0084326C" w:rsidP="0084326C">
      <w:pPr>
        <w:pStyle w:val="ListParagraph"/>
        <w:numPr>
          <w:ilvl w:val="1"/>
          <w:numId w:val="30"/>
        </w:numPr>
        <w:spacing w:before="0"/>
        <w:rPr>
          <w:noProof/>
        </w:rPr>
      </w:pPr>
      <w:r>
        <w:rPr>
          <w:noProof/>
        </w:rPr>
        <w:t xml:space="preserve">Kohustus teha riskipõhiseid järelauditeid kooskõlas Invitalia S.p.A. auditikavaga. Nende audititega kontrollitakse i) kontrollisüsteemide tõhusust, sealhulgas pettuste, korruptsiooni ja huvide konflikti avastamist; ii) põhimõtte „ei kahjusta oluliselt“ järgimine, riigiabi eeskirjad ja kliimaeesmärgi nõuded; ning iii) järgitakse nõuet, et kava lõplikud abisaajad ei ole saanud toetust muudest liidu vahenditest samade kulude katmiseks. Auditite käigus kontrollitakse ka tehingute seaduslikkust ning kohaldatava rakenduslepingu ja toetuslepingu tingimuste täitmist. </w:t>
      </w:r>
    </w:p>
    <w:p w14:paraId="70315C49" w14:textId="663FCF70" w:rsidR="0084326C" w:rsidRPr="005D68A0" w:rsidRDefault="53DC5198" w:rsidP="0084326C">
      <w:pPr>
        <w:pStyle w:val="ListParagraph"/>
        <w:numPr>
          <w:ilvl w:val="0"/>
          <w:numId w:val="135"/>
        </w:numPr>
        <w:spacing w:before="0"/>
        <w:rPr>
          <w:noProof/>
        </w:rPr>
      </w:pPr>
      <w:r>
        <w:rPr>
          <w:noProof/>
        </w:rPr>
        <w:t>Nõuded rakenduspartneri tehtavatele kliimainvesteeringutele: vähemalt 100 000 000 eurot taaste- ja vastupidavusrahastu investeeringutest kavasse toetatakse kliimamuutuste eesmärkide saavutamist kooskõlas taaste- ja vastupidavusrahastu määruse VI lisaga.</w:t>
      </w:r>
      <w:r w:rsidRPr="005D68A0">
        <w:rPr>
          <w:noProof/>
          <w:vertAlign w:val="superscript"/>
          <w:lang w:val="en-GB"/>
        </w:rPr>
        <w:footnoteReference w:id="135"/>
      </w:r>
      <w:r>
        <w:rPr>
          <w:noProof/>
        </w:rPr>
        <w:t xml:space="preserve"> </w:t>
      </w:r>
    </w:p>
    <w:p w14:paraId="30AE52C2" w14:textId="77777777" w:rsidR="0084326C" w:rsidRPr="005D68A0" w:rsidRDefault="0084326C" w:rsidP="0084326C">
      <w:pPr>
        <w:spacing w:after="120"/>
        <w:jc w:val="both"/>
        <w:rPr>
          <w:noProof/>
        </w:rPr>
        <w:sectPr w:rsidR="0084326C" w:rsidRPr="005D68A0">
          <w:headerReference w:type="even" r:id="rId411"/>
          <w:headerReference w:type="default" r:id="rId412"/>
          <w:footerReference w:type="even" r:id="rId413"/>
          <w:footerReference w:type="default" r:id="rId414"/>
          <w:headerReference w:type="first" r:id="rId415"/>
          <w:footerReference w:type="first" r:id="rId416"/>
          <w:pgSz w:w="11907" w:h="16839"/>
          <w:pgMar w:top="1440" w:right="1440" w:bottom="1440" w:left="1440" w:header="567" w:footer="567" w:gutter="0"/>
          <w:cols w:space="720"/>
          <w:docGrid w:linePitch="360"/>
        </w:sectPr>
      </w:pPr>
      <w:r>
        <w:rPr>
          <w:noProof/>
        </w:rPr>
        <w:t xml:space="preserve">Meetme rakendamine viiakse lõpule 31. augustiks 2026. </w:t>
      </w:r>
    </w:p>
    <w:p w14:paraId="2AA9A83B" w14:textId="77777777" w:rsidR="0084326C" w:rsidRPr="005D68A0" w:rsidRDefault="0084326C" w:rsidP="0084326C">
      <w:pPr>
        <w:pStyle w:val="Heading3"/>
        <w:numPr>
          <w:ilvl w:val="2"/>
          <w:numId w:val="0"/>
        </w:numPr>
        <w:rPr>
          <w:b/>
          <w:bCs w:val="0"/>
          <w:i w:val="0"/>
          <w:iCs/>
          <w:noProof/>
          <w:u w:val="single"/>
        </w:rPr>
      </w:pPr>
      <w:r>
        <w:rPr>
          <w:b/>
          <w:i w:val="0"/>
          <w:noProof/>
          <w:u w:val="single"/>
        </w:rPr>
        <w:t xml:space="preserve">2. kv </w:t>
      </w:r>
      <w:r>
        <w:rPr>
          <w:noProof/>
        </w:rPr>
        <w:tab/>
      </w:r>
      <w:r>
        <w:rPr>
          <w:b/>
          <w:i w:val="0"/>
          <w:noProof/>
          <w:u w:val="single"/>
        </w:rPr>
        <w:t>Tagastamatu rahalise toetuse eesmärgid, sihid, näitajad ning seire ja rakendamise ajakava</w:t>
      </w:r>
    </w:p>
    <w:tbl>
      <w:tblPr>
        <w:tblW w:w="5275" w:type="pct"/>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185"/>
        <w:gridCol w:w="1559"/>
        <w:gridCol w:w="1134"/>
        <w:gridCol w:w="1418"/>
        <w:gridCol w:w="1984"/>
        <w:gridCol w:w="1134"/>
        <w:gridCol w:w="993"/>
        <w:gridCol w:w="992"/>
        <w:gridCol w:w="992"/>
        <w:gridCol w:w="709"/>
        <w:gridCol w:w="3261"/>
      </w:tblGrid>
      <w:tr w:rsidR="00D42A0B" w:rsidRPr="00D90835" w14:paraId="51B097E7" w14:textId="77777777" w:rsidTr="72D320C3">
        <w:trPr>
          <w:trHeight w:val="765"/>
          <w:tblHeader/>
        </w:trPr>
        <w:tc>
          <w:tcPr>
            <w:tcW w:w="1185" w:type="dxa"/>
            <w:vMerge w:val="restart"/>
            <w:shd w:val="clear" w:color="auto" w:fill="BDD7EE"/>
            <w:vAlign w:val="center"/>
            <w:hideMark/>
          </w:tcPr>
          <w:p w14:paraId="49A7AB69" w14:textId="77777777" w:rsidR="0084326C" w:rsidRPr="005D68A0" w:rsidRDefault="0084326C">
            <w:pPr>
              <w:spacing w:after="120"/>
              <w:jc w:val="center"/>
              <w:rPr>
                <w:rFonts w:ascii="Arial Narrow" w:hAnsi="Arial Narrow"/>
                <w:b/>
                <w:bCs/>
                <w:noProof/>
                <w:sz w:val="20"/>
                <w:szCs w:val="20"/>
              </w:rPr>
            </w:pPr>
            <w:r>
              <w:rPr>
                <w:rFonts w:ascii="Arial Narrow" w:hAnsi="Arial Narrow"/>
                <w:b/>
                <w:noProof/>
                <w:sz w:val="20"/>
              </w:rPr>
              <w:t>Järjekorranumber</w:t>
            </w:r>
          </w:p>
        </w:tc>
        <w:tc>
          <w:tcPr>
            <w:tcW w:w="1559" w:type="dxa"/>
            <w:vMerge w:val="restart"/>
            <w:shd w:val="clear" w:color="auto" w:fill="BDD7EE"/>
            <w:vAlign w:val="center"/>
            <w:hideMark/>
          </w:tcPr>
          <w:p w14:paraId="4067BC07" w14:textId="77777777" w:rsidR="0084326C" w:rsidRPr="005D68A0" w:rsidRDefault="0084326C">
            <w:pPr>
              <w:spacing w:after="120"/>
              <w:jc w:val="center"/>
              <w:rPr>
                <w:rFonts w:ascii="Arial Narrow" w:hAnsi="Arial Narrow"/>
                <w:b/>
                <w:bCs/>
                <w:noProof/>
                <w:sz w:val="20"/>
                <w:szCs w:val="20"/>
              </w:rPr>
            </w:pPr>
            <w:r>
              <w:rPr>
                <w:rFonts w:ascii="Arial Narrow" w:hAnsi="Arial Narrow"/>
                <w:b/>
                <w:noProof/>
                <w:sz w:val="20"/>
              </w:rPr>
              <w:t>Seotud meede (reform või investeering)</w:t>
            </w:r>
          </w:p>
        </w:tc>
        <w:tc>
          <w:tcPr>
            <w:tcW w:w="1134" w:type="dxa"/>
            <w:vMerge w:val="restart"/>
            <w:shd w:val="clear" w:color="auto" w:fill="BDD7EE"/>
            <w:vAlign w:val="center"/>
            <w:hideMark/>
          </w:tcPr>
          <w:p w14:paraId="66A52D0F" w14:textId="77777777" w:rsidR="0084326C" w:rsidRPr="005D68A0" w:rsidRDefault="0084326C">
            <w:pPr>
              <w:spacing w:after="120"/>
              <w:jc w:val="center"/>
              <w:rPr>
                <w:rFonts w:ascii="Arial Narrow" w:hAnsi="Arial Narrow"/>
                <w:b/>
                <w:bCs/>
                <w:noProof/>
                <w:sz w:val="20"/>
                <w:szCs w:val="20"/>
              </w:rPr>
            </w:pPr>
            <w:r>
              <w:rPr>
                <w:rFonts w:ascii="Arial Narrow" w:hAnsi="Arial Narrow"/>
                <w:b/>
                <w:noProof/>
                <w:sz w:val="20"/>
              </w:rPr>
              <w:t>Eesmärk</w:t>
            </w:r>
          </w:p>
          <w:p w14:paraId="69BE9474" w14:textId="77777777" w:rsidR="0084326C" w:rsidRPr="005D68A0" w:rsidRDefault="0084326C">
            <w:pPr>
              <w:spacing w:after="120"/>
              <w:jc w:val="center"/>
              <w:rPr>
                <w:rFonts w:ascii="Arial Narrow" w:hAnsi="Arial Narrow"/>
                <w:b/>
                <w:bCs/>
                <w:noProof/>
                <w:sz w:val="20"/>
                <w:szCs w:val="20"/>
              </w:rPr>
            </w:pPr>
            <w:r>
              <w:rPr>
                <w:rFonts w:ascii="Arial Narrow" w:hAnsi="Arial Narrow"/>
                <w:b/>
                <w:noProof/>
                <w:sz w:val="20"/>
              </w:rPr>
              <w:t>/ Siht</w:t>
            </w:r>
          </w:p>
        </w:tc>
        <w:tc>
          <w:tcPr>
            <w:tcW w:w="1418" w:type="dxa"/>
            <w:vMerge w:val="restart"/>
            <w:shd w:val="clear" w:color="auto" w:fill="BDD7EE"/>
            <w:vAlign w:val="center"/>
            <w:hideMark/>
          </w:tcPr>
          <w:p w14:paraId="4F521795" w14:textId="77777777" w:rsidR="0084326C" w:rsidRPr="005D68A0" w:rsidRDefault="0084326C">
            <w:pPr>
              <w:spacing w:after="120"/>
              <w:jc w:val="center"/>
              <w:rPr>
                <w:rFonts w:ascii="Arial Narrow" w:hAnsi="Arial Narrow"/>
                <w:b/>
                <w:bCs/>
                <w:noProof/>
                <w:sz w:val="20"/>
                <w:szCs w:val="20"/>
              </w:rPr>
            </w:pPr>
            <w:r>
              <w:rPr>
                <w:rFonts w:ascii="Arial Narrow" w:hAnsi="Arial Narrow"/>
                <w:b/>
                <w:noProof/>
                <w:sz w:val="20"/>
              </w:rPr>
              <w:t>Nimi</w:t>
            </w:r>
          </w:p>
        </w:tc>
        <w:tc>
          <w:tcPr>
            <w:tcW w:w="1984" w:type="dxa"/>
            <w:vMerge w:val="restart"/>
            <w:shd w:val="clear" w:color="auto" w:fill="BDD7EE"/>
            <w:vAlign w:val="center"/>
            <w:hideMark/>
          </w:tcPr>
          <w:p w14:paraId="1B5F891F" w14:textId="77777777" w:rsidR="0084326C" w:rsidRPr="005D68A0" w:rsidRDefault="0084326C">
            <w:pPr>
              <w:spacing w:after="120"/>
              <w:jc w:val="center"/>
              <w:rPr>
                <w:rFonts w:ascii="Arial Narrow" w:hAnsi="Arial Narrow"/>
                <w:b/>
                <w:bCs/>
                <w:noProof/>
                <w:sz w:val="20"/>
                <w:szCs w:val="20"/>
              </w:rPr>
            </w:pPr>
            <w:r>
              <w:rPr>
                <w:rFonts w:ascii="Arial Narrow" w:hAnsi="Arial Narrow"/>
                <w:b/>
                <w:noProof/>
                <w:sz w:val="20"/>
              </w:rPr>
              <w:t>Kvalitatiivsed näitajad</w:t>
            </w:r>
            <w:r>
              <w:rPr>
                <w:noProof/>
              </w:rPr>
              <w:t xml:space="preserve"> </w:t>
            </w:r>
            <w:r>
              <w:rPr>
                <w:noProof/>
              </w:rPr>
              <w:br/>
            </w:r>
            <w:r>
              <w:rPr>
                <w:rFonts w:ascii="Arial Narrow" w:hAnsi="Arial Narrow"/>
                <w:b/>
                <w:noProof/>
                <w:sz w:val="20"/>
              </w:rPr>
              <w:t>(eesmärkide puhul)</w:t>
            </w:r>
          </w:p>
        </w:tc>
        <w:tc>
          <w:tcPr>
            <w:tcW w:w="3119" w:type="dxa"/>
            <w:gridSpan w:val="3"/>
            <w:shd w:val="clear" w:color="auto" w:fill="BDD7EE"/>
            <w:vAlign w:val="center"/>
            <w:hideMark/>
          </w:tcPr>
          <w:p w14:paraId="3B1C2382" w14:textId="77777777" w:rsidR="0084326C" w:rsidRPr="005D68A0" w:rsidRDefault="0084326C">
            <w:pPr>
              <w:spacing w:after="120"/>
              <w:jc w:val="center"/>
              <w:rPr>
                <w:rFonts w:ascii="Arial Narrow" w:hAnsi="Arial Narrow"/>
                <w:b/>
                <w:bCs/>
                <w:noProof/>
                <w:sz w:val="20"/>
                <w:szCs w:val="20"/>
              </w:rPr>
            </w:pPr>
            <w:r>
              <w:rPr>
                <w:rFonts w:ascii="Arial Narrow" w:hAnsi="Arial Narrow"/>
                <w:b/>
                <w:noProof/>
                <w:sz w:val="20"/>
              </w:rPr>
              <w:t xml:space="preserve">Kvantitatiivsed näitajad </w:t>
            </w:r>
            <w:r>
              <w:rPr>
                <w:noProof/>
              </w:rPr>
              <w:br/>
            </w:r>
            <w:r>
              <w:rPr>
                <w:rFonts w:ascii="Arial Narrow" w:hAnsi="Arial Narrow"/>
                <w:b/>
                <w:noProof/>
                <w:sz w:val="20"/>
              </w:rPr>
              <w:t>(sihtide puhul)</w:t>
            </w:r>
          </w:p>
        </w:tc>
        <w:tc>
          <w:tcPr>
            <w:tcW w:w="1701" w:type="dxa"/>
            <w:gridSpan w:val="2"/>
            <w:shd w:val="clear" w:color="auto" w:fill="BDD7EE"/>
            <w:vAlign w:val="center"/>
            <w:hideMark/>
          </w:tcPr>
          <w:p w14:paraId="418B0360" w14:textId="77777777" w:rsidR="0084326C" w:rsidRPr="005D68A0" w:rsidRDefault="0084326C">
            <w:pPr>
              <w:spacing w:after="120"/>
              <w:jc w:val="center"/>
              <w:rPr>
                <w:rFonts w:ascii="Arial Narrow" w:hAnsi="Arial Narrow"/>
                <w:b/>
                <w:bCs/>
                <w:noProof/>
                <w:sz w:val="20"/>
                <w:szCs w:val="20"/>
              </w:rPr>
            </w:pPr>
            <w:r>
              <w:rPr>
                <w:rFonts w:ascii="Arial Narrow" w:hAnsi="Arial Narrow"/>
                <w:b/>
                <w:noProof/>
                <w:sz w:val="20"/>
              </w:rPr>
              <w:t>Lõpuleviimise soovituslik ajakava</w:t>
            </w:r>
          </w:p>
        </w:tc>
        <w:tc>
          <w:tcPr>
            <w:tcW w:w="3261" w:type="dxa"/>
            <w:vMerge w:val="restart"/>
            <w:shd w:val="clear" w:color="auto" w:fill="BDD7EE"/>
            <w:vAlign w:val="center"/>
            <w:hideMark/>
          </w:tcPr>
          <w:p w14:paraId="0D0D48DA" w14:textId="77777777" w:rsidR="0084326C" w:rsidRPr="005D68A0" w:rsidRDefault="0084326C">
            <w:pPr>
              <w:spacing w:after="120"/>
              <w:jc w:val="center"/>
              <w:rPr>
                <w:rFonts w:ascii="Arial Narrow" w:hAnsi="Arial Narrow"/>
                <w:b/>
                <w:bCs/>
                <w:noProof/>
                <w:sz w:val="20"/>
                <w:szCs w:val="20"/>
              </w:rPr>
            </w:pPr>
            <w:r>
              <w:rPr>
                <w:rFonts w:ascii="Arial Narrow" w:hAnsi="Arial Narrow"/>
                <w:b/>
                <w:noProof/>
                <w:sz w:val="20"/>
              </w:rPr>
              <w:t>Iga eesmärgi ja sihi kirjeldus</w:t>
            </w:r>
          </w:p>
        </w:tc>
      </w:tr>
      <w:tr w:rsidR="00E400D5" w:rsidRPr="005D68A0" w14:paraId="631FE88E" w14:textId="77777777" w:rsidTr="72D320C3">
        <w:trPr>
          <w:trHeight w:val="691"/>
          <w:tblHeader/>
        </w:trPr>
        <w:tc>
          <w:tcPr>
            <w:tcW w:w="1185" w:type="dxa"/>
            <w:vMerge/>
            <w:vAlign w:val="center"/>
            <w:hideMark/>
          </w:tcPr>
          <w:p w14:paraId="7EC06868" w14:textId="77777777" w:rsidR="0084326C" w:rsidRPr="00F33804" w:rsidRDefault="0084326C">
            <w:pPr>
              <w:spacing w:after="120"/>
              <w:jc w:val="center"/>
              <w:rPr>
                <w:rFonts w:ascii="Arial Narrow" w:hAnsi="Arial Narrow"/>
                <w:b/>
                <w:bCs/>
                <w:noProof/>
                <w:sz w:val="20"/>
                <w:szCs w:val="20"/>
              </w:rPr>
            </w:pPr>
          </w:p>
        </w:tc>
        <w:tc>
          <w:tcPr>
            <w:tcW w:w="1559" w:type="dxa"/>
            <w:vMerge/>
            <w:vAlign w:val="center"/>
            <w:hideMark/>
          </w:tcPr>
          <w:p w14:paraId="367268C6" w14:textId="77777777" w:rsidR="0084326C" w:rsidRPr="00F33804" w:rsidRDefault="0084326C">
            <w:pPr>
              <w:spacing w:after="120"/>
              <w:jc w:val="center"/>
              <w:rPr>
                <w:rFonts w:ascii="Arial Narrow" w:hAnsi="Arial Narrow"/>
                <w:b/>
                <w:bCs/>
                <w:noProof/>
                <w:sz w:val="20"/>
                <w:szCs w:val="20"/>
              </w:rPr>
            </w:pPr>
          </w:p>
        </w:tc>
        <w:tc>
          <w:tcPr>
            <w:tcW w:w="1134" w:type="dxa"/>
            <w:vMerge/>
            <w:vAlign w:val="center"/>
            <w:hideMark/>
          </w:tcPr>
          <w:p w14:paraId="5E2A4BAB" w14:textId="77777777" w:rsidR="0084326C" w:rsidRPr="00F33804" w:rsidRDefault="0084326C">
            <w:pPr>
              <w:spacing w:after="120"/>
              <w:jc w:val="center"/>
              <w:rPr>
                <w:rFonts w:ascii="Arial Narrow" w:hAnsi="Arial Narrow"/>
                <w:b/>
                <w:bCs/>
                <w:noProof/>
                <w:sz w:val="20"/>
                <w:szCs w:val="20"/>
              </w:rPr>
            </w:pPr>
          </w:p>
        </w:tc>
        <w:tc>
          <w:tcPr>
            <w:tcW w:w="1418" w:type="dxa"/>
            <w:vMerge/>
            <w:vAlign w:val="center"/>
            <w:hideMark/>
          </w:tcPr>
          <w:p w14:paraId="17A5D3DD" w14:textId="77777777" w:rsidR="0084326C" w:rsidRPr="00F33804" w:rsidRDefault="0084326C">
            <w:pPr>
              <w:spacing w:after="120"/>
              <w:jc w:val="center"/>
              <w:rPr>
                <w:rFonts w:ascii="Arial Narrow" w:hAnsi="Arial Narrow"/>
                <w:b/>
                <w:bCs/>
                <w:noProof/>
                <w:sz w:val="20"/>
                <w:szCs w:val="20"/>
              </w:rPr>
            </w:pPr>
          </w:p>
        </w:tc>
        <w:tc>
          <w:tcPr>
            <w:tcW w:w="1984" w:type="dxa"/>
            <w:vMerge/>
            <w:vAlign w:val="center"/>
            <w:hideMark/>
          </w:tcPr>
          <w:p w14:paraId="4FBD789C" w14:textId="77777777" w:rsidR="0084326C" w:rsidRPr="00F33804" w:rsidRDefault="0084326C">
            <w:pPr>
              <w:spacing w:after="120"/>
              <w:jc w:val="center"/>
              <w:rPr>
                <w:rFonts w:ascii="Arial Narrow" w:hAnsi="Arial Narrow"/>
                <w:b/>
                <w:bCs/>
                <w:noProof/>
                <w:sz w:val="20"/>
                <w:szCs w:val="20"/>
              </w:rPr>
            </w:pPr>
          </w:p>
        </w:tc>
        <w:tc>
          <w:tcPr>
            <w:tcW w:w="1134" w:type="dxa"/>
            <w:shd w:val="clear" w:color="auto" w:fill="BDD7EE"/>
            <w:vAlign w:val="center"/>
            <w:hideMark/>
          </w:tcPr>
          <w:p w14:paraId="32C8E2C5" w14:textId="77777777" w:rsidR="0084326C" w:rsidRPr="005D68A0" w:rsidRDefault="0084326C">
            <w:pPr>
              <w:spacing w:after="120"/>
              <w:jc w:val="center"/>
              <w:rPr>
                <w:rFonts w:ascii="Arial Narrow" w:hAnsi="Arial Narrow"/>
                <w:b/>
                <w:bCs/>
                <w:noProof/>
                <w:sz w:val="20"/>
                <w:szCs w:val="20"/>
              </w:rPr>
            </w:pPr>
            <w:r>
              <w:rPr>
                <w:rFonts w:ascii="Arial Narrow" w:hAnsi="Arial Narrow"/>
                <w:b/>
                <w:noProof/>
                <w:sz w:val="20"/>
              </w:rPr>
              <w:t>Mõõtühik</w:t>
            </w:r>
          </w:p>
        </w:tc>
        <w:tc>
          <w:tcPr>
            <w:tcW w:w="993" w:type="dxa"/>
            <w:shd w:val="clear" w:color="auto" w:fill="BDD7EE"/>
            <w:vAlign w:val="center"/>
            <w:hideMark/>
          </w:tcPr>
          <w:p w14:paraId="5FB08132" w14:textId="77777777" w:rsidR="0084326C" w:rsidRPr="005D68A0" w:rsidRDefault="0084326C">
            <w:pPr>
              <w:spacing w:after="120"/>
              <w:jc w:val="center"/>
              <w:rPr>
                <w:rFonts w:ascii="Arial Narrow" w:hAnsi="Arial Narrow"/>
                <w:b/>
                <w:bCs/>
                <w:noProof/>
                <w:sz w:val="20"/>
                <w:szCs w:val="20"/>
              </w:rPr>
            </w:pPr>
            <w:r>
              <w:rPr>
                <w:rFonts w:ascii="Arial Narrow" w:hAnsi="Arial Narrow"/>
                <w:b/>
                <w:noProof/>
                <w:sz w:val="20"/>
              </w:rPr>
              <w:t>Lähtetase</w:t>
            </w:r>
          </w:p>
        </w:tc>
        <w:tc>
          <w:tcPr>
            <w:tcW w:w="992" w:type="dxa"/>
            <w:shd w:val="clear" w:color="auto" w:fill="BDD7EE"/>
            <w:vAlign w:val="center"/>
            <w:hideMark/>
          </w:tcPr>
          <w:p w14:paraId="11594F02" w14:textId="77777777" w:rsidR="0084326C" w:rsidRPr="005D68A0" w:rsidRDefault="0084326C">
            <w:pPr>
              <w:spacing w:after="120"/>
              <w:jc w:val="center"/>
              <w:rPr>
                <w:rFonts w:ascii="Arial Narrow" w:hAnsi="Arial Narrow"/>
                <w:b/>
                <w:bCs/>
                <w:noProof/>
                <w:sz w:val="20"/>
                <w:szCs w:val="20"/>
              </w:rPr>
            </w:pPr>
            <w:r>
              <w:rPr>
                <w:rFonts w:ascii="Arial Narrow" w:hAnsi="Arial Narrow"/>
                <w:b/>
                <w:noProof/>
                <w:sz w:val="20"/>
              </w:rPr>
              <w:t>Eesmärk</w:t>
            </w:r>
          </w:p>
        </w:tc>
        <w:tc>
          <w:tcPr>
            <w:tcW w:w="992" w:type="dxa"/>
            <w:shd w:val="clear" w:color="auto" w:fill="BDD7EE"/>
            <w:vAlign w:val="center"/>
            <w:hideMark/>
          </w:tcPr>
          <w:p w14:paraId="2A38AC29" w14:textId="77777777" w:rsidR="0084326C" w:rsidRPr="005D68A0" w:rsidRDefault="0084326C">
            <w:pPr>
              <w:spacing w:after="120"/>
              <w:jc w:val="center"/>
              <w:rPr>
                <w:rFonts w:ascii="Arial Narrow" w:hAnsi="Arial Narrow"/>
                <w:b/>
                <w:bCs/>
                <w:noProof/>
                <w:sz w:val="20"/>
                <w:szCs w:val="20"/>
              </w:rPr>
            </w:pPr>
            <w:r>
              <w:rPr>
                <w:rFonts w:ascii="Arial Narrow" w:hAnsi="Arial Narrow"/>
                <w:b/>
                <w:noProof/>
                <w:sz w:val="20"/>
              </w:rPr>
              <w:t>Kvartal</w:t>
            </w:r>
          </w:p>
        </w:tc>
        <w:tc>
          <w:tcPr>
            <w:tcW w:w="709" w:type="dxa"/>
            <w:shd w:val="clear" w:color="auto" w:fill="BDD7EE"/>
            <w:vAlign w:val="center"/>
            <w:hideMark/>
          </w:tcPr>
          <w:p w14:paraId="5B316FB8" w14:textId="77777777" w:rsidR="0084326C" w:rsidRPr="005D68A0" w:rsidRDefault="0084326C">
            <w:pPr>
              <w:spacing w:after="120"/>
              <w:jc w:val="center"/>
              <w:rPr>
                <w:rFonts w:ascii="Arial Narrow" w:hAnsi="Arial Narrow"/>
                <w:b/>
                <w:bCs/>
                <w:noProof/>
                <w:sz w:val="20"/>
                <w:szCs w:val="20"/>
              </w:rPr>
            </w:pPr>
            <w:r>
              <w:rPr>
                <w:rFonts w:ascii="Arial Narrow" w:hAnsi="Arial Narrow"/>
                <w:b/>
                <w:noProof/>
                <w:sz w:val="20"/>
              </w:rPr>
              <w:t>Aasta</w:t>
            </w:r>
          </w:p>
        </w:tc>
        <w:tc>
          <w:tcPr>
            <w:tcW w:w="3261" w:type="dxa"/>
            <w:vMerge/>
            <w:vAlign w:val="center"/>
            <w:hideMark/>
          </w:tcPr>
          <w:p w14:paraId="1297C2FC" w14:textId="77777777" w:rsidR="0084326C" w:rsidRPr="005D68A0" w:rsidRDefault="0084326C">
            <w:pPr>
              <w:spacing w:after="120"/>
              <w:jc w:val="center"/>
              <w:rPr>
                <w:rFonts w:ascii="Arial Narrow" w:hAnsi="Arial Narrow"/>
                <w:b/>
                <w:bCs/>
                <w:noProof/>
                <w:sz w:val="20"/>
                <w:szCs w:val="20"/>
                <w:lang w:val="en-GB"/>
              </w:rPr>
            </w:pPr>
          </w:p>
        </w:tc>
      </w:tr>
      <w:tr w:rsidR="00D42A0B" w:rsidRPr="00D90835" w14:paraId="1FDD9B62" w14:textId="77777777" w:rsidTr="72D320C3">
        <w:trPr>
          <w:trHeight w:val="309"/>
        </w:trPr>
        <w:tc>
          <w:tcPr>
            <w:tcW w:w="1185" w:type="dxa"/>
            <w:shd w:val="clear" w:color="auto" w:fill="C6EFCE"/>
            <w:noWrap/>
            <w:vAlign w:val="center"/>
          </w:tcPr>
          <w:p w14:paraId="5A297377"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M7-1</w:t>
            </w:r>
          </w:p>
        </w:tc>
        <w:tc>
          <w:tcPr>
            <w:tcW w:w="1559" w:type="dxa"/>
            <w:shd w:val="clear" w:color="auto" w:fill="C6EFCE"/>
            <w:noWrap/>
          </w:tcPr>
          <w:p w14:paraId="033F7AF2"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Reform 1. Taastuvenergia loamenetluste lihtsustamine</w:t>
            </w:r>
          </w:p>
        </w:tc>
        <w:tc>
          <w:tcPr>
            <w:tcW w:w="1134" w:type="dxa"/>
            <w:shd w:val="clear" w:color="auto" w:fill="C6EFCE"/>
            <w:noWrap/>
          </w:tcPr>
          <w:p w14:paraId="355C39CE"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tcPr>
          <w:p w14:paraId="2E226DE7"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„Taastuvenergia kiirendusalade“ kindlaksmääramine</w:t>
            </w:r>
          </w:p>
        </w:tc>
        <w:tc>
          <w:tcPr>
            <w:tcW w:w="1984" w:type="dxa"/>
            <w:shd w:val="clear" w:color="auto" w:fill="C6EFCE"/>
            <w:noWrap/>
          </w:tcPr>
          <w:p w14:paraId="79DF0E22"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Seadusandliku akti säte, milles osutatakse esmaste õigusaktide jõustumisele taastuvenergia kiirendusalade kindlaksmääramiseks</w:t>
            </w:r>
          </w:p>
        </w:tc>
        <w:tc>
          <w:tcPr>
            <w:tcW w:w="1134" w:type="dxa"/>
            <w:shd w:val="clear" w:color="auto" w:fill="C6EFCE"/>
            <w:noWrap/>
            <w:vAlign w:val="center"/>
          </w:tcPr>
          <w:p w14:paraId="7D2E18AC" w14:textId="77777777" w:rsidR="0084326C" w:rsidRPr="00F33804" w:rsidRDefault="0084326C">
            <w:pPr>
              <w:spacing w:after="120"/>
              <w:jc w:val="center"/>
              <w:rPr>
                <w:rFonts w:ascii="Arial Narrow" w:hAnsi="Arial Narrow"/>
                <w:noProof/>
                <w:color w:val="006100"/>
                <w:sz w:val="20"/>
                <w:szCs w:val="20"/>
              </w:rPr>
            </w:pPr>
          </w:p>
        </w:tc>
        <w:tc>
          <w:tcPr>
            <w:tcW w:w="993" w:type="dxa"/>
            <w:shd w:val="clear" w:color="auto" w:fill="C6EFCE"/>
            <w:noWrap/>
            <w:vAlign w:val="center"/>
          </w:tcPr>
          <w:p w14:paraId="6C757518" w14:textId="77777777" w:rsidR="0084326C" w:rsidRPr="00F33804" w:rsidRDefault="0084326C">
            <w:pPr>
              <w:spacing w:after="120"/>
              <w:jc w:val="center"/>
              <w:rPr>
                <w:rFonts w:ascii="Arial Narrow" w:hAnsi="Arial Narrow"/>
                <w:noProof/>
                <w:color w:val="006100"/>
                <w:sz w:val="20"/>
                <w:szCs w:val="20"/>
              </w:rPr>
            </w:pPr>
          </w:p>
        </w:tc>
        <w:tc>
          <w:tcPr>
            <w:tcW w:w="992" w:type="dxa"/>
            <w:shd w:val="clear" w:color="auto" w:fill="C6EFCE"/>
            <w:noWrap/>
            <w:vAlign w:val="center"/>
          </w:tcPr>
          <w:p w14:paraId="711A083C" w14:textId="77777777" w:rsidR="0084326C" w:rsidRPr="00F33804" w:rsidRDefault="0084326C">
            <w:pPr>
              <w:spacing w:after="120"/>
              <w:jc w:val="center"/>
              <w:rPr>
                <w:rFonts w:ascii="Arial Narrow" w:hAnsi="Arial Narrow"/>
                <w:noProof/>
                <w:color w:val="006100"/>
                <w:sz w:val="20"/>
                <w:szCs w:val="20"/>
              </w:rPr>
            </w:pPr>
          </w:p>
        </w:tc>
        <w:tc>
          <w:tcPr>
            <w:tcW w:w="992" w:type="dxa"/>
            <w:shd w:val="clear" w:color="auto" w:fill="C6EFCE"/>
            <w:noWrap/>
            <w:vAlign w:val="center"/>
          </w:tcPr>
          <w:p w14:paraId="0EBAE301"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4. kv</w:t>
            </w:r>
          </w:p>
        </w:tc>
        <w:tc>
          <w:tcPr>
            <w:tcW w:w="709" w:type="dxa"/>
            <w:shd w:val="clear" w:color="auto" w:fill="C6EFCE"/>
            <w:noWrap/>
            <w:vAlign w:val="center"/>
          </w:tcPr>
          <w:p w14:paraId="32A364EC"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2024</w:t>
            </w:r>
          </w:p>
        </w:tc>
        <w:tc>
          <w:tcPr>
            <w:tcW w:w="3261" w:type="dxa"/>
            <w:shd w:val="clear" w:color="auto" w:fill="C6EFCE"/>
            <w:noWrap/>
          </w:tcPr>
          <w:p w14:paraId="4163771E"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Selliste esmaste õigusaktide jõustumine, millega määratakse kindlaks „taastuvad kiirendusalad“ piirkondlikes haldusüksustes.</w:t>
            </w:r>
          </w:p>
        </w:tc>
      </w:tr>
      <w:tr w:rsidR="00D42A0B" w:rsidRPr="00D90835" w14:paraId="77B85FE4" w14:textId="77777777" w:rsidTr="72D320C3">
        <w:trPr>
          <w:trHeight w:val="309"/>
        </w:trPr>
        <w:tc>
          <w:tcPr>
            <w:tcW w:w="1185" w:type="dxa"/>
            <w:shd w:val="clear" w:color="auto" w:fill="C6EFCE"/>
            <w:noWrap/>
          </w:tcPr>
          <w:p w14:paraId="139EBE25"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M7-2</w:t>
            </w:r>
          </w:p>
        </w:tc>
        <w:tc>
          <w:tcPr>
            <w:tcW w:w="1559" w:type="dxa"/>
            <w:shd w:val="clear" w:color="auto" w:fill="C6EFCE"/>
            <w:noWrap/>
          </w:tcPr>
          <w:p w14:paraId="4BF1461E"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Reform 1. Taastuvenergia loamenetluste lihtsustamine</w:t>
            </w:r>
          </w:p>
        </w:tc>
        <w:tc>
          <w:tcPr>
            <w:tcW w:w="1134" w:type="dxa"/>
            <w:shd w:val="clear" w:color="auto" w:fill="C6EFCE"/>
            <w:noWrap/>
          </w:tcPr>
          <w:p w14:paraId="021BBAFA"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tcPr>
          <w:p w14:paraId="7CE0C6A2"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 xml:space="preserve">Esmaste õigusaktide jõustumine (Testo Unico) </w:t>
            </w:r>
          </w:p>
        </w:tc>
        <w:tc>
          <w:tcPr>
            <w:tcW w:w="1984" w:type="dxa"/>
            <w:shd w:val="clear" w:color="auto" w:fill="C6EFCE"/>
            <w:noWrap/>
          </w:tcPr>
          <w:p w14:paraId="56312F70"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Esmase õiguse jõustumisele viitav õigusnorm</w:t>
            </w:r>
          </w:p>
        </w:tc>
        <w:tc>
          <w:tcPr>
            <w:tcW w:w="1134" w:type="dxa"/>
            <w:shd w:val="clear" w:color="auto" w:fill="C6EFCE"/>
            <w:noWrap/>
          </w:tcPr>
          <w:p w14:paraId="37F5AC89" w14:textId="77777777" w:rsidR="0084326C" w:rsidRPr="00F33804" w:rsidRDefault="0084326C">
            <w:pPr>
              <w:spacing w:after="120"/>
              <w:jc w:val="center"/>
              <w:rPr>
                <w:rFonts w:ascii="Arial Narrow" w:hAnsi="Arial Narrow"/>
                <w:noProof/>
                <w:color w:val="006100"/>
                <w:sz w:val="20"/>
                <w:szCs w:val="20"/>
              </w:rPr>
            </w:pPr>
          </w:p>
        </w:tc>
        <w:tc>
          <w:tcPr>
            <w:tcW w:w="993" w:type="dxa"/>
            <w:shd w:val="clear" w:color="auto" w:fill="C6EFCE"/>
            <w:noWrap/>
          </w:tcPr>
          <w:p w14:paraId="66E8DD3B" w14:textId="77777777" w:rsidR="0084326C" w:rsidRPr="00F33804" w:rsidRDefault="0084326C">
            <w:pPr>
              <w:spacing w:after="120"/>
              <w:jc w:val="center"/>
              <w:rPr>
                <w:rFonts w:ascii="Arial Narrow" w:hAnsi="Arial Narrow"/>
                <w:noProof/>
                <w:color w:val="006100"/>
                <w:sz w:val="20"/>
                <w:szCs w:val="20"/>
              </w:rPr>
            </w:pPr>
          </w:p>
        </w:tc>
        <w:tc>
          <w:tcPr>
            <w:tcW w:w="992" w:type="dxa"/>
            <w:shd w:val="clear" w:color="auto" w:fill="C6EFCE"/>
            <w:noWrap/>
            <w:vAlign w:val="center"/>
          </w:tcPr>
          <w:p w14:paraId="0E7C1BFE" w14:textId="77777777" w:rsidR="0084326C" w:rsidRPr="00F33804" w:rsidRDefault="0084326C">
            <w:pPr>
              <w:spacing w:after="120"/>
              <w:jc w:val="center"/>
              <w:rPr>
                <w:rFonts w:ascii="Arial Narrow" w:hAnsi="Arial Narrow"/>
                <w:noProof/>
                <w:color w:val="006100"/>
                <w:sz w:val="20"/>
                <w:szCs w:val="20"/>
              </w:rPr>
            </w:pPr>
          </w:p>
        </w:tc>
        <w:tc>
          <w:tcPr>
            <w:tcW w:w="992" w:type="dxa"/>
            <w:shd w:val="clear" w:color="auto" w:fill="C6EFCE"/>
            <w:noWrap/>
            <w:vAlign w:val="center"/>
          </w:tcPr>
          <w:p w14:paraId="4A4AA6E8"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 kv</w:t>
            </w:r>
          </w:p>
        </w:tc>
        <w:tc>
          <w:tcPr>
            <w:tcW w:w="709" w:type="dxa"/>
            <w:shd w:val="clear" w:color="auto" w:fill="C6EFCE"/>
            <w:noWrap/>
            <w:vAlign w:val="center"/>
          </w:tcPr>
          <w:p w14:paraId="2CF1DEA2"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2025</w:t>
            </w:r>
          </w:p>
        </w:tc>
        <w:tc>
          <w:tcPr>
            <w:tcW w:w="3261" w:type="dxa"/>
            <w:shd w:val="clear" w:color="auto" w:fill="C6EFCE"/>
            <w:noWrap/>
          </w:tcPr>
          <w:p w14:paraId="55F6CA36"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 xml:space="preserve">Esmase õigusakti (Testo Unico) jõustumine, mis kogub, koondab ja konsolideerib kõiki norme, mis reguleerivad taastuvate energiaallikate kasutuselevõttu, ning asendab kõik varasemad asjakohased õigusaktid. </w:t>
            </w:r>
          </w:p>
        </w:tc>
      </w:tr>
      <w:tr w:rsidR="00D42A0B" w:rsidRPr="005D68A0" w14:paraId="242B97D8" w14:textId="77777777" w:rsidTr="72D320C3">
        <w:trPr>
          <w:trHeight w:val="309"/>
        </w:trPr>
        <w:tc>
          <w:tcPr>
            <w:tcW w:w="1185" w:type="dxa"/>
            <w:shd w:val="clear" w:color="auto" w:fill="C6EFCE"/>
            <w:noWrap/>
          </w:tcPr>
          <w:p w14:paraId="7743ABB4"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M7-3</w:t>
            </w:r>
          </w:p>
        </w:tc>
        <w:tc>
          <w:tcPr>
            <w:tcW w:w="1559" w:type="dxa"/>
            <w:shd w:val="clear" w:color="auto" w:fill="C6EFCE"/>
            <w:noWrap/>
          </w:tcPr>
          <w:p w14:paraId="7A1F1E95"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Reform 1. Taastuvenergia loamenetluste lihtsustamine</w:t>
            </w:r>
          </w:p>
          <w:p w14:paraId="16E5469F" w14:textId="77777777" w:rsidR="0084326C" w:rsidRPr="005D68A0" w:rsidRDefault="0084326C">
            <w:pPr>
              <w:spacing w:after="120"/>
              <w:rPr>
                <w:rFonts w:ascii="Arial Narrow" w:hAnsi="Arial Narrow"/>
                <w:noProof/>
                <w:color w:val="006100"/>
                <w:sz w:val="20"/>
                <w:szCs w:val="20"/>
                <w:lang w:val="en-GB"/>
              </w:rPr>
            </w:pPr>
          </w:p>
        </w:tc>
        <w:tc>
          <w:tcPr>
            <w:tcW w:w="1134" w:type="dxa"/>
            <w:shd w:val="clear" w:color="auto" w:fill="C6EFCE"/>
            <w:noWrap/>
          </w:tcPr>
          <w:p w14:paraId="74D30B6A"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tcPr>
          <w:p w14:paraId="5F69D08D"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Taastuvenergiaga seotud lubade ühtse sisenemise digitaalse platvormi loomine ja kasutuselevõtmine</w:t>
            </w:r>
          </w:p>
        </w:tc>
        <w:tc>
          <w:tcPr>
            <w:tcW w:w="1984" w:type="dxa"/>
            <w:shd w:val="clear" w:color="auto" w:fill="C6EFCE"/>
            <w:noWrap/>
          </w:tcPr>
          <w:p w14:paraId="7972928D"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Taastuvenergiaga seotud lubade andmise ühtse digitaalse platvormi loomine ja kasutuselevõtmine</w:t>
            </w:r>
          </w:p>
        </w:tc>
        <w:tc>
          <w:tcPr>
            <w:tcW w:w="1134" w:type="dxa"/>
            <w:shd w:val="clear" w:color="auto" w:fill="C6EFCE"/>
            <w:noWrap/>
          </w:tcPr>
          <w:p w14:paraId="3B6D298D" w14:textId="77777777" w:rsidR="0084326C" w:rsidRPr="00F33804" w:rsidRDefault="0084326C">
            <w:pPr>
              <w:spacing w:after="120"/>
              <w:jc w:val="center"/>
              <w:rPr>
                <w:rFonts w:ascii="Arial Narrow" w:hAnsi="Arial Narrow"/>
                <w:noProof/>
                <w:color w:val="006100"/>
                <w:sz w:val="20"/>
                <w:szCs w:val="20"/>
              </w:rPr>
            </w:pPr>
          </w:p>
        </w:tc>
        <w:tc>
          <w:tcPr>
            <w:tcW w:w="993" w:type="dxa"/>
            <w:shd w:val="clear" w:color="auto" w:fill="C6EFCE"/>
            <w:noWrap/>
          </w:tcPr>
          <w:p w14:paraId="65DFE9A7" w14:textId="77777777" w:rsidR="0084326C" w:rsidRPr="00F33804" w:rsidRDefault="0084326C">
            <w:pPr>
              <w:spacing w:after="120"/>
              <w:jc w:val="center"/>
              <w:rPr>
                <w:rFonts w:ascii="Arial Narrow" w:hAnsi="Arial Narrow"/>
                <w:noProof/>
                <w:color w:val="006100"/>
                <w:sz w:val="20"/>
                <w:szCs w:val="20"/>
              </w:rPr>
            </w:pPr>
          </w:p>
        </w:tc>
        <w:tc>
          <w:tcPr>
            <w:tcW w:w="992" w:type="dxa"/>
            <w:shd w:val="clear" w:color="auto" w:fill="C6EFCE"/>
            <w:noWrap/>
            <w:vAlign w:val="center"/>
          </w:tcPr>
          <w:p w14:paraId="5A1386EE" w14:textId="77777777" w:rsidR="0084326C" w:rsidRPr="00F33804" w:rsidRDefault="0084326C">
            <w:pPr>
              <w:spacing w:after="120"/>
              <w:jc w:val="center"/>
              <w:rPr>
                <w:rFonts w:ascii="Arial Narrow" w:hAnsi="Arial Narrow"/>
                <w:noProof/>
                <w:color w:val="006100"/>
                <w:sz w:val="20"/>
                <w:szCs w:val="20"/>
              </w:rPr>
            </w:pPr>
          </w:p>
        </w:tc>
        <w:tc>
          <w:tcPr>
            <w:tcW w:w="992" w:type="dxa"/>
            <w:shd w:val="clear" w:color="auto" w:fill="C6EFCE"/>
            <w:noWrap/>
            <w:vAlign w:val="center"/>
          </w:tcPr>
          <w:p w14:paraId="3A2C3B71"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4. kv</w:t>
            </w:r>
          </w:p>
        </w:tc>
        <w:tc>
          <w:tcPr>
            <w:tcW w:w="709" w:type="dxa"/>
            <w:shd w:val="clear" w:color="auto" w:fill="C6EFCE"/>
            <w:noWrap/>
            <w:vAlign w:val="center"/>
          </w:tcPr>
          <w:p w14:paraId="4DF135DE"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2025</w:t>
            </w:r>
          </w:p>
        </w:tc>
        <w:tc>
          <w:tcPr>
            <w:tcW w:w="3261" w:type="dxa"/>
            <w:shd w:val="clear" w:color="auto" w:fill="C6EFCE"/>
            <w:noWrap/>
          </w:tcPr>
          <w:p w14:paraId="39AC5AFE"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Luuakse ja võetakse kasutusele ühtne digiplatvorm kõigi lubade saamiseks, mis on seotud taastuvate energiaallikate paigaldamise ja kasutuselevõtuga riiklikul ja piirkondlikul tasandil. Ühekordsuse põhimõte jõustub.</w:t>
            </w:r>
          </w:p>
        </w:tc>
      </w:tr>
      <w:tr w:rsidR="00D42A0B" w:rsidRPr="00D90835" w14:paraId="15C4D290" w14:textId="77777777" w:rsidTr="72D320C3">
        <w:trPr>
          <w:trHeight w:val="309"/>
        </w:trPr>
        <w:tc>
          <w:tcPr>
            <w:tcW w:w="1185" w:type="dxa"/>
            <w:shd w:val="clear" w:color="auto" w:fill="C6EFCE"/>
            <w:noWrap/>
          </w:tcPr>
          <w:p w14:paraId="376CFD94"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M7-4</w:t>
            </w:r>
          </w:p>
        </w:tc>
        <w:tc>
          <w:tcPr>
            <w:tcW w:w="1559" w:type="dxa"/>
            <w:shd w:val="clear" w:color="auto" w:fill="C6EFCE"/>
            <w:noWrap/>
          </w:tcPr>
          <w:p w14:paraId="6B48F4E0"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Reform 2. Keskkonnakahjulike toetuste vähendamine</w:t>
            </w:r>
          </w:p>
        </w:tc>
        <w:tc>
          <w:tcPr>
            <w:tcW w:w="1134" w:type="dxa"/>
            <w:shd w:val="clear" w:color="auto" w:fill="C6EFCE"/>
            <w:noWrap/>
          </w:tcPr>
          <w:p w14:paraId="68E7149B"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tcPr>
          <w:p w14:paraId="040E796B"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Valitsuse aruande vastuvõtmine, tuginedes valitsuste ja sidusrühmadega peetud konsultatsioonide tulemustele, et määrata kindlaks tegevuskava keskkonnale kahjulike toetuste vähendamiseks 2030. aastaks.</w:t>
            </w:r>
          </w:p>
        </w:tc>
        <w:tc>
          <w:tcPr>
            <w:tcW w:w="1984" w:type="dxa"/>
            <w:shd w:val="clear" w:color="auto" w:fill="C6EFCE"/>
            <w:noWrap/>
          </w:tcPr>
          <w:p w14:paraId="3A54C20E"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Valitsuse aruande vastuvõtmine</w:t>
            </w:r>
          </w:p>
        </w:tc>
        <w:tc>
          <w:tcPr>
            <w:tcW w:w="1134" w:type="dxa"/>
            <w:shd w:val="clear" w:color="auto" w:fill="C6EFCE"/>
            <w:noWrap/>
          </w:tcPr>
          <w:p w14:paraId="60A5782A" w14:textId="77777777" w:rsidR="0084326C" w:rsidRPr="005D68A0" w:rsidRDefault="0084326C">
            <w:pPr>
              <w:spacing w:after="120"/>
              <w:jc w:val="center"/>
              <w:rPr>
                <w:rFonts w:ascii="Arial Narrow" w:hAnsi="Arial Narrow"/>
                <w:noProof/>
                <w:color w:val="006100"/>
                <w:sz w:val="20"/>
                <w:szCs w:val="20"/>
                <w:lang w:val="en-GB"/>
              </w:rPr>
            </w:pPr>
          </w:p>
        </w:tc>
        <w:tc>
          <w:tcPr>
            <w:tcW w:w="993" w:type="dxa"/>
            <w:shd w:val="clear" w:color="auto" w:fill="C6EFCE"/>
            <w:noWrap/>
          </w:tcPr>
          <w:p w14:paraId="46FFBE5F" w14:textId="77777777" w:rsidR="0084326C" w:rsidRPr="005D68A0" w:rsidRDefault="0084326C">
            <w:pPr>
              <w:spacing w:after="120"/>
              <w:jc w:val="center"/>
              <w:rPr>
                <w:rFonts w:ascii="Arial Narrow" w:hAnsi="Arial Narrow"/>
                <w:noProof/>
                <w:color w:val="006100"/>
                <w:sz w:val="20"/>
                <w:szCs w:val="20"/>
                <w:lang w:val="en-GB"/>
              </w:rPr>
            </w:pPr>
          </w:p>
        </w:tc>
        <w:tc>
          <w:tcPr>
            <w:tcW w:w="992" w:type="dxa"/>
            <w:shd w:val="clear" w:color="auto" w:fill="C6EFCE"/>
            <w:noWrap/>
            <w:vAlign w:val="center"/>
          </w:tcPr>
          <w:p w14:paraId="5C37178E" w14:textId="77777777" w:rsidR="0084326C" w:rsidRPr="005D68A0" w:rsidRDefault="0084326C">
            <w:pPr>
              <w:spacing w:after="120"/>
              <w:jc w:val="center"/>
              <w:rPr>
                <w:rFonts w:ascii="Arial Narrow" w:hAnsi="Arial Narrow"/>
                <w:noProof/>
                <w:color w:val="006100"/>
                <w:sz w:val="20"/>
                <w:szCs w:val="20"/>
                <w:lang w:val="en-GB"/>
              </w:rPr>
            </w:pPr>
          </w:p>
        </w:tc>
        <w:tc>
          <w:tcPr>
            <w:tcW w:w="992" w:type="dxa"/>
            <w:shd w:val="clear" w:color="auto" w:fill="C6EFCE"/>
            <w:noWrap/>
            <w:vAlign w:val="center"/>
          </w:tcPr>
          <w:p w14:paraId="488F82A5"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4. kv</w:t>
            </w:r>
          </w:p>
        </w:tc>
        <w:tc>
          <w:tcPr>
            <w:tcW w:w="709" w:type="dxa"/>
            <w:shd w:val="clear" w:color="auto" w:fill="C6EFCE"/>
            <w:noWrap/>
            <w:vAlign w:val="center"/>
          </w:tcPr>
          <w:p w14:paraId="4493C889"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2024</w:t>
            </w:r>
          </w:p>
        </w:tc>
        <w:tc>
          <w:tcPr>
            <w:tcW w:w="3261" w:type="dxa"/>
            <w:shd w:val="clear" w:color="auto" w:fill="C6EFCE"/>
            <w:noWrap/>
          </w:tcPr>
          <w:p w14:paraId="74810C61"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Reformiga nähakse ette keskkonnale kahjulike toetuste vähendamine, mis on sätestatud 2022. aasta keskkonnakahjulike toetuste kataloogis. Aruandes kirjeldatakse meetmeid, mida on võetud asjaomaste sidusrühmadega keskkonnakahjulike toetuste reformi teemal konsulteerimiseks, sealhulgas sidusrühmadelt saadud teave. Konsulteeritud sidusrühmade hulka kuuluvad asjaomased avaliku sektori asutused ja erasektori sidusrühmad.</w:t>
            </w:r>
          </w:p>
        </w:tc>
      </w:tr>
      <w:tr w:rsidR="00D42A0B" w:rsidRPr="00D90835" w14:paraId="1170266E" w14:textId="77777777" w:rsidTr="72D320C3">
        <w:trPr>
          <w:trHeight w:val="309"/>
        </w:trPr>
        <w:tc>
          <w:tcPr>
            <w:tcW w:w="1185" w:type="dxa"/>
            <w:shd w:val="clear" w:color="auto" w:fill="C6EFCE"/>
            <w:noWrap/>
          </w:tcPr>
          <w:p w14:paraId="3ACE9263"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M7-5</w:t>
            </w:r>
          </w:p>
        </w:tc>
        <w:tc>
          <w:tcPr>
            <w:tcW w:w="1559" w:type="dxa"/>
            <w:shd w:val="clear" w:color="auto" w:fill="C6EFCE"/>
            <w:noWrap/>
          </w:tcPr>
          <w:p w14:paraId="21D2C306"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Reform 2. Keskkonnakahjulike toetuste vähendamine</w:t>
            </w:r>
          </w:p>
        </w:tc>
        <w:tc>
          <w:tcPr>
            <w:tcW w:w="1134" w:type="dxa"/>
            <w:shd w:val="clear" w:color="auto" w:fill="C6EFCE"/>
            <w:noWrap/>
          </w:tcPr>
          <w:p w14:paraId="2D90759A"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tcPr>
          <w:p w14:paraId="19FC662C"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Esmaste ja teiseste õigusaktide jõustumine.</w:t>
            </w:r>
          </w:p>
        </w:tc>
        <w:tc>
          <w:tcPr>
            <w:tcW w:w="1984" w:type="dxa"/>
            <w:shd w:val="clear" w:color="auto" w:fill="C6EFCE"/>
            <w:noWrap/>
            <w:vAlign w:val="center"/>
          </w:tcPr>
          <w:p w14:paraId="02E85591"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Seaduse säte, mis viitab esmase ja teisese õiguse jõustumisele.</w:t>
            </w:r>
          </w:p>
        </w:tc>
        <w:tc>
          <w:tcPr>
            <w:tcW w:w="1134" w:type="dxa"/>
            <w:shd w:val="clear" w:color="auto" w:fill="C6EFCE"/>
            <w:noWrap/>
            <w:vAlign w:val="center"/>
          </w:tcPr>
          <w:p w14:paraId="26275C44" w14:textId="77777777" w:rsidR="0084326C" w:rsidRPr="00F33804" w:rsidRDefault="0084326C">
            <w:pPr>
              <w:spacing w:after="120"/>
              <w:jc w:val="center"/>
              <w:rPr>
                <w:rFonts w:ascii="Arial Narrow" w:hAnsi="Arial Narrow"/>
                <w:noProof/>
                <w:color w:val="006100"/>
                <w:sz w:val="20"/>
                <w:szCs w:val="20"/>
              </w:rPr>
            </w:pPr>
          </w:p>
        </w:tc>
        <w:tc>
          <w:tcPr>
            <w:tcW w:w="993" w:type="dxa"/>
            <w:shd w:val="clear" w:color="auto" w:fill="C6EFCE"/>
            <w:noWrap/>
            <w:vAlign w:val="center"/>
          </w:tcPr>
          <w:p w14:paraId="4F0B6636" w14:textId="77777777" w:rsidR="0084326C" w:rsidRPr="00F33804" w:rsidRDefault="0084326C">
            <w:pPr>
              <w:spacing w:after="120"/>
              <w:jc w:val="center"/>
              <w:rPr>
                <w:rFonts w:ascii="Arial Narrow" w:hAnsi="Arial Narrow"/>
                <w:noProof/>
                <w:color w:val="006100"/>
                <w:sz w:val="20"/>
                <w:szCs w:val="20"/>
              </w:rPr>
            </w:pPr>
          </w:p>
        </w:tc>
        <w:tc>
          <w:tcPr>
            <w:tcW w:w="992" w:type="dxa"/>
            <w:shd w:val="clear" w:color="auto" w:fill="C6EFCE"/>
            <w:noWrap/>
            <w:vAlign w:val="center"/>
          </w:tcPr>
          <w:p w14:paraId="035CF75E" w14:textId="77777777" w:rsidR="0084326C" w:rsidRPr="00F33804" w:rsidRDefault="0084326C">
            <w:pPr>
              <w:spacing w:after="120"/>
              <w:jc w:val="center"/>
              <w:rPr>
                <w:rFonts w:ascii="Arial Narrow" w:hAnsi="Arial Narrow"/>
                <w:noProof/>
                <w:color w:val="006100"/>
                <w:sz w:val="20"/>
                <w:szCs w:val="20"/>
              </w:rPr>
            </w:pPr>
          </w:p>
        </w:tc>
        <w:tc>
          <w:tcPr>
            <w:tcW w:w="992" w:type="dxa"/>
            <w:shd w:val="clear" w:color="auto" w:fill="C6EFCE"/>
            <w:noWrap/>
            <w:vAlign w:val="center"/>
          </w:tcPr>
          <w:p w14:paraId="208A8B25"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4. kv</w:t>
            </w:r>
          </w:p>
        </w:tc>
        <w:tc>
          <w:tcPr>
            <w:tcW w:w="709" w:type="dxa"/>
            <w:shd w:val="clear" w:color="auto" w:fill="C6EFCE"/>
            <w:noWrap/>
            <w:vAlign w:val="center"/>
          </w:tcPr>
          <w:p w14:paraId="7E08D48B"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2025</w:t>
            </w:r>
          </w:p>
        </w:tc>
        <w:tc>
          <w:tcPr>
            <w:tcW w:w="3261" w:type="dxa"/>
            <w:shd w:val="clear" w:color="auto" w:fill="C6EFCE"/>
            <w:noWrap/>
            <w:vAlign w:val="center"/>
          </w:tcPr>
          <w:p w14:paraId="33CECAFD"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 xml:space="preserve">Keskkonnale kahjulike toetuste reformi rakendamine algab keskkonnale kahjulike toetuste vähendamisega vähemalt 2 miljardi euro võrra 2026. aastal. </w:t>
            </w:r>
          </w:p>
          <w:p w14:paraId="1F4E145E"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Lisaks määratakse õigusaktides kindlaks ajakava keskkonnale kahjulike toetuste täiendavaks vähendamiseks 2030. aastaks vähemalt 3,5 miljardi euro võrra.</w:t>
            </w:r>
          </w:p>
        </w:tc>
      </w:tr>
      <w:tr w:rsidR="00D42A0B" w:rsidRPr="00D90835" w14:paraId="3374BEE0" w14:textId="77777777" w:rsidTr="72D320C3">
        <w:trPr>
          <w:trHeight w:val="309"/>
        </w:trPr>
        <w:tc>
          <w:tcPr>
            <w:tcW w:w="1185" w:type="dxa"/>
            <w:shd w:val="clear" w:color="auto" w:fill="C6EFCE"/>
            <w:noWrap/>
            <w:vAlign w:val="center"/>
          </w:tcPr>
          <w:p w14:paraId="167EF9FE"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M7-6</w:t>
            </w:r>
          </w:p>
        </w:tc>
        <w:tc>
          <w:tcPr>
            <w:tcW w:w="1559" w:type="dxa"/>
            <w:shd w:val="clear" w:color="auto" w:fill="C6EFCE"/>
            <w:noWrap/>
          </w:tcPr>
          <w:p w14:paraId="20494950"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Reform 3. Biometaani gaasivõrku ühendamise kulude vähendamine</w:t>
            </w:r>
          </w:p>
        </w:tc>
        <w:tc>
          <w:tcPr>
            <w:tcW w:w="1134" w:type="dxa"/>
            <w:shd w:val="clear" w:color="auto" w:fill="C6EFCE"/>
            <w:noWrap/>
          </w:tcPr>
          <w:p w14:paraId="368E32D7"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tcPr>
          <w:p w14:paraId="08414577"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 xml:space="preserve">Biometaani tootmisrajatiste gaasivõrguga liitumise kulude vähendamist käsitlevate õigusaktide jõustumine </w:t>
            </w:r>
          </w:p>
        </w:tc>
        <w:tc>
          <w:tcPr>
            <w:tcW w:w="1984" w:type="dxa"/>
            <w:shd w:val="clear" w:color="auto" w:fill="C6EFCE"/>
            <w:noWrap/>
          </w:tcPr>
          <w:p w14:paraId="4B129429"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Seaduse säte, mis viitab esmase ja teisese õiguse jõustumisele.</w:t>
            </w:r>
          </w:p>
        </w:tc>
        <w:tc>
          <w:tcPr>
            <w:tcW w:w="1134" w:type="dxa"/>
            <w:shd w:val="clear" w:color="auto" w:fill="C6EFCE"/>
            <w:noWrap/>
          </w:tcPr>
          <w:p w14:paraId="22CACFFF" w14:textId="77777777" w:rsidR="0084326C" w:rsidRPr="00F33804" w:rsidRDefault="0084326C">
            <w:pPr>
              <w:spacing w:after="120"/>
              <w:jc w:val="center"/>
              <w:rPr>
                <w:rFonts w:ascii="Arial Narrow" w:hAnsi="Arial Narrow"/>
                <w:noProof/>
                <w:color w:val="006100"/>
                <w:sz w:val="20"/>
                <w:szCs w:val="20"/>
              </w:rPr>
            </w:pPr>
          </w:p>
        </w:tc>
        <w:tc>
          <w:tcPr>
            <w:tcW w:w="993" w:type="dxa"/>
            <w:shd w:val="clear" w:color="auto" w:fill="C6EFCE"/>
            <w:noWrap/>
          </w:tcPr>
          <w:p w14:paraId="599A4114" w14:textId="77777777" w:rsidR="0084326C" w:rsidRPr="00F33804" w:rsidRDefault="0084326C">
            <w:pPr>
              <w:spacing w:after="120"/>
              <w:jc w:val="center"/>
              <w:rPr>
                <w:rFonts w:ascii="Arial Narrow" w:hAnsi="Arial Narrow"/>
                <w:noProof/>
                <w:color w:val="006100"/>
                <w:sz w:val="20"/>
                <w:szCs w:val="20"/>
              </w:rPr>
            </w:pPr>
          </w:p>
        </w:tc>
        <w:tc>
          <w:tcPr>
            <w:tcW w:w="992" w:type="dxa"/>
            <w:shd w:val="clear" w:color="auto" w:fill="C6EFCE"/>
            <w:noWrap/>
          </w:tcPr>
          <w:p w14:paraId="0DBF7522" w14:textId="77777777" w:rsidR="0084326C" w:rsidRPr="00F33804" w:rsidRDefault="0084326C">
            <w:pPr>
              <w:spacing w:after="120"/>
              <w:jc w:val="center"/>
              <w:rPr>
                <w:rFonts w:ascii="Arial Narrow" w:hAnsi="Arial Narrow"/>
                <w:noProof/>
                <w:color w:val="006100"/>
                <w:sz w:val="20"/>
                <w:szCs w:val="20"/>
              </w:rPr>
            </w:pPr>
          </w:p>
        </w:tc>
        <w:tc>
          <w:tcPr>
            <w:tcW w:w="992" w:type="dxa"/>
            <w:shd w:val="clear" w:color="auto" w:fill="C6EFCE"/>
            <w:noWrap/>
          </w:tcPr>
          <w:p w14:paraId="04FD5D2A"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3. kv</w:t>
            </w:r>
          </w:p>
        </w:tc>
        <w:tc>
          <w:tcPr>
            <w:tcW w:w="709" w:type="dxa"/>
            <w:shd w:val="clear" w:color="auto" w:fill="C6EFCE"/>
            <w:noWrap/>
          </w:tcPr>
          <w:p w14:paraId="06EBD680"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2025</w:t>
            </w:r>
          </w:p>
        </w:tc>
        <w:tc>
          <w:tcPr>
            <w:tcW w:w="3261" w:type="dxa"/>
            <w:shd w:val="clear" w:color="auto" w:fill="C6EFCE"/>
            <w:noWrap/>
          </w:tcPr>
          <w:p w14:paraId="20908F7E"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Õigusaktidega:</w:t>
            </w:r>
          </w:p>
          <w:p w14:paraId="64DDA7F1" w14:textId="77777777" w:rsidR="0084326C" w:rsidRPr="005D68A0" w:rsidRDefault="0084326C">
            <w:pPr>
              <w:pStyle w:val="ListParagraph"/>
              <w:numPr>
                <w:ilvl w:val="3"/>
                <w:numId w:val="23"/>
              </w:numPr>
              <w:spacing w:before="0"/>
              <w:ind w:left="382"/>
              <w:contextualSpacing w:val="0"/>
              <w:rPr>
                <w:rFonts w:ascii="Arial Narrow" w:hAnsi="Arial Narrow"/>
                <w:noProof/>
                <w:color w:val="006100"/>
                <w:sz w:val="20"/>
                <w:szCs w:val="20"/>
              </w:rPr>
            </w:pPr>
            <w:r>
              <w:rPr>
                <w:rFonts w:ascii="Arial Narrow" w:hAnsi="Arial Narrow"/>
                <w:noProof/>
                <w:color w:val="006100"/>
                <w:sz w:val="20"/>
              </w:rPr>
              <w:t>Vähendada biometaani tootmisrajatiste gaasivõrku ühendamise kulusid tootja jaoks.</w:t>
            </w:r>
          </w:p>
          <w:p w14:paraId="2680BA38" w14:textId="77777777" w:rsidR="0084326C" w:rsidRPr="005D68A0" w:rsidRDefault="0084326C">
            <w:pPr>
              <w:pStyle w:val="ListParagraph"/>
              <w:numPr>
                <w:ilvl w:val="3"/>
                <w:numId w:val="23"/>
              </w:numPr>
              <w:spacing w:before="0"/>
              <w:ind w:left="382"/>
              <w:contextualSpacing w:val="0"/>
              <w:rPr>
                <w:rFonts w:ascii="Arial Narrow" w:hAnsi="Arial Narrow"/>
                <w:noProof/>
                <w:color w:val="006100"/>
                <w:sz w:val="20"/>
                <w:szCs w:val="20"/>
              </w:rPr>
            </w:pPr>
            <w:r>
              <w:rPr>
                <w:rFonts w:ascii="Arial Narrow" w:hAnsi="Arial Narrow"/>
                <w:noProof/>
                <w:color w:val="006100"/>
                <w:sz w:val="20"/>
              </w:rPr>
              <w:t xml:space="preserve">Pakkuda regulatiivseid stiimuleid gaasivõrku investeerimiseks, et arendada taastuvatest energiaallikatest toodetud gaase. </w:t>
            </w:r>
          </w:p>
        </w:tc>
      </w:tr>
      <w:tr w:rsidR="00D42A0B" w:rsidRPr="00D90835" w14:paraId="460B9B11" w14:textId="77777777" w:rsidTr="72D320C3">
        <w:trPr>
          <w:trHeight w:val="309"/>
        </w:trPr>
        <w:tc>
          <w:tcPr>
            <w:tcW w:w="1185" w:type="dxa"/>
            <w:shd w:val="clear" w:color="auto" w:fill="C6EFCE"/>
            <w:noWrap/>
            <w:vAlign w:val="center"/>
          </w:tcPr>
          <w:p w14:paraId="20CB6A9F"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M7-7</w:t>
            </w:r>
          </w:p>
        </w:tc>
        <w:tc>
          <w:tcPr>
            <w:tcW w:w="1559" w:type="dxa"/>
            <w:shd w:val="clear" w:color="auto" w:fill="C6EFCE"/>
            <w:noWrap/>
            <w:vAlign w:val="center"/>
          </w:tcPr>
          <w:p w14:paraId="36C62809"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Reform 4. Taastuvenergia ostulepingutega seotud finantsriski maandamine</w:t>
            </w:r>
          </w:p>
        </w:tc>
        <w:tc>
          <w:tcPr>
            <w:tcW w:w="1134" w:type="dxa"/>
            <w:shd w:val="clear" w:color="auto" w:fill="C6EFCE"/>
            <w:noWrap/>
            <w:vAlign w:val="center"/>
          </w:tcPr>
          <w:p w14:paraId="6AFAA5AD"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vAlign w:val="center"/>
          </w:tcPr>
          <w:p w14:paraId="2CB2D7D5"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Esmaste õigusaktide jõustumine.</w:t>
            </w:r>
          </w:p>
        </w:tc>
        <w:tc>
          <w:tcPr>
            <w:tcW w:w="1984" w:type="dxa"/>
            <w:shd w:val="clear" w:color="auto" w:fill="C6EFCE"/>
            <w:noWrap/>
            <w:vAlign w:val="center"/>
          </w:tcPr>
          <w:p w14:paraId="640ED520"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Seaduse jõustumisele viitav õigusnorm</w:t>
            </w:r>
          </w:p>
        </w:tc>
        <w:tc>
          <w:tcPr>
            <w:tcW w:w="1134" w:type="dxa"/>
            <w:shd w:val="clear" w:color="auto" w:fill="C6EFCE"/>
            <w:noWrap/>
            <w:vAlign w:val="center"/>
          </w:tcPr>
          <w:p w14:paraId="28132928" w14:textId="77777777" w:rsidR="0084326C" w:rsidRPr="005D68A0" w:rsidRDefault="0084326C">
            <w:pPr>
              <w:spacing w:after="120"/>
              <w:jc w:val="center"/>
              <w:rPr>
                <w:rFonts w:ascii="Arial Narrow" w:hAnsi="Arial Narrow"/>
                <w:noProof/>
                <w:color w:val="006100"/>
                <w:sz w:val="20"/>
                <w:szCs w:val="20"/>
                <w:lang w:val="en-GB"/>
              </w:rPr>
            </w:pPr>
          </w:p>
        </w:tc>
        <w:tc>
          <w:tcPr>
            <w:tcW w:w="993" w:type="dxa"/>
            <w:shd w:val="clear" w:color="auto" w:fill="C6EFCE"/>
            <w:noWrap/>
            <w:vAlign w:val="center"/>
          </w:tcPr>
          <w:p w14:paraId="021EB907" w14:textId="77777777" w:rsidR="0084326C" w:rsidRPr="005D68A0" w:rsidRDefault="0084326C">
            <w:pPr>
              <w:spacing w:after="120"/>
              <w:jc w:val="center"/>
              <w:rPr>
                <w:rFonts w:ascii="Arial Narrow" w:hAnsi="Arial Narrow"/>
                <w:noProof/>
                <w:color w:val="006100"/>
                <w:sz w:val="20"/>
                <w:szCs w:val="20"/>
                <w:lang w:val="en-GB"/>
              </w:rPr>
            </w:pPr>
          </w:p>
        </w:tc>
        <w:tc>
          <w:tcPr>
            <w:tcW w:w="992" w:type="dxa"/>
            <w:shd w:val="clear" w:color="auto" w:fill="C6EFCE"/>
            <w:noWrap/>
            <w:vAlign w:val="center"/>
          </w:tcPr>
          <w:p w14:paraId="6FACFEAF" w14:textId="77777777" w:rsidR="0084326C" w:rsidRPr="005D68A0" w:rsidRDefault="0084326C">
            <w:pPr>
              <w:spacing w:after="120"/>
              <w:jc w:val="center"/>
              <w:rPr>
                <w:rFonts w:ascii="Arial Narrow" w:hAnsi="Arial Narrow"/>
                <w:noProof/>
                <w:color w:val="006100"/>
                <w:sz w:val="20"/>
                <w:szCs w:val="20"/>
                <w:lang w:val="en-GB"/>
              </w:rPr>
            </w:pPr>
          </w:p>
        </w:tc>
        <w:tc>
          <w:tcPr>
            <w:tcW w:w="992" w:type="dxa"/>
            <w:shd w:val="clear" w:color="auto" w:fill="C6EFCE"/>
            <w:noWrap/>
            <w:vAlign w:val="center"/>
          </w:tcPr>
          <w:p w14:paraId="5AB361CE"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3. kv</w:t>
            </w:r>
          </w:p>
        </w:tc>
        <w:tc>
          <w:tcPr>
            <w:tcW w:w="709" w:type="dxa"/>
            <w:shd w:val="clear" w:color="auto" w:fill="C6EFCE"/>
            <w:noWrap/>
            <w:vAlign w:val="center"/>
          </w:tcPr>
          <w:p w14:paraId="2EBC11B3"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2024</w:t>
            </w:r>
          </w:p>
        </w:tc>
        <w:tc>
          <w:tcPr>
            <w:tcW w:w="3261" w:type="dxa"/>
            <w:shd w:val="clear" w:color="auto" w:fill="C6EFCE"/>
            <w:noWrap/>
            <w:vAlign w:val="center"/>
          </w:tcPr>
          <w:p w14:paraId="7FFFCF26"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Esmaste õigusaktide jõustumine. Esmased õigusaktid:</w:t>
            </w:r>
          </w:p>
          <w:p w14:paraId="13BADDD1" w14:textId="77777777" w:rsidR="0084326C" w:rsidRPr="005D68A0" w:rsidRDefault="0084326C">
            <w:pPr>
              <w:pStyle w:val="ListParagraph"/>
              <w:numPr>
                <w:ilvl w:val="0"/>
                <w:numId w:val="37"/>
              </w:numPr>
              <w:spacing w:before="0"/>
              <w:ind w:left="301" w:hanging="284"/>
              <w:contextualSpacing w:val="0"/>
              <w:rPr>
                <w:rFonts w:ascii="Arial Narrow" w:hAnsi="Arial Narrow"/>
                <w:noProof/>
                <w:color w:val="006100"/>
                <w:sz w:val="20"/>
                <w:szCs w:val="20"/>
              </w:rPr>
            </w:pPr>
            <w:r>
              <w:rPr>
                <w:rFonts w:ascii="Arial Narrow" w:hAnsi="Arial Narrow"/>
                <w:noProof/>
                <w:color w:val="006100"/>
                <w:sz w:val="20"/>
              </w:rPr>
              <w:t xml:space="preserve">nõutavad, et iga ettevõtja tagaks elektrienergia ostulepingute väärtuse osalise katmise elektriturul pakutavate tagatisvahenditega; </w:t>
            </w:r>
          </w:p>
          <w:p w14:paraId="02DC5BE5" w14:textId="77777777" w:rsidR="0084326C" w:rsidRPr="005D68A0" w:rsidRDefault="0084326C">
            <w:pPr>
              <w:pStyle w:val="ListParagraph"/>
              <w:numPr>
                <w:ilvl w:val="0"/>
                <w:numId w:val="37"/>
              </w:numPr>
              <w:spacing w:before="0"/>
              <w:ind w:left="301" w:hanging="284"/>
              <w:contextualSpacing w:val="0"/>
              <w:rPr>
                <w:rFonts w:ascii="Arial Narrow" w:hAnsi="Arial Narrow"/>
                <w:noProof/>
                <w:color w:val="006100"/>
                <w:sz w:val="20"/>
                <w:szCs w:val="20"/>
              </w:rPr>
            </w:pPr>
            <w:r>
              <w:rPr>
                <w:rFonts w:ascii="Arial Narrow" w:hAnsi="Arial Narrow"/>
                <w:noProof/>
                <w:color w:val="006100"/>
                <w:sz w:val="20"/>
              </w:rPr>
              <w:t>kehtestavad meetmed kohustuste täitmata jätmise riski vähendamiseks, sealhulgas nõuded ja piirangud pakkujale ning regulatiivsed sanktsioonid tootja kohustuste täitmata jätmise korral</w:t>
            </w:r>
          </w:p>
          <w:p w14:paraId="5ABDFFCF" w14:textId="77777777" w:rsidR="0084326C" w:rsidRPr="005D68A0" w:rsidRDefault="0084326C">
            <w:pPr>
              <w:pStyle w:val="ListParagraph"/>
              <w:numPr>
                <w:ilvl w:val="0"/>
                <w:numId w:val="37"/>
              </w:numPr>
              <w:spacing w:before="0"/>
              <w:ind w:left="301" w:hanging="284"/>
              <w:contextualSpacing w:val="0"/>
              <w:rPr>
                <w:rFonts w:ascii="Arial Narrow" w:hAnsi="Arial Narrow"/>
                <w:noProof/>
                <w:color w:val="006100"/>
                <w:sz w:val="20"/>
                <w:szCs w:val="20"/>
              </w:rPr>
            </w:pPr>
            <w:r>
              <w:rPr>
                <w:rFonts w:ascii="Arial Narrow" w:hAnsi="Arial Narrow"/>
                <w:noProof/>
                <w:color w:val="006100"/>
                <w:sz w:val="20"/>
              </w:rPr>
              <w:t>määravad kindlaks institutsionaalse üksuse, kes võtaks üle viimase instantsi müüja/ostja, kes võtaks üle maksejõuetult vastaspoolelt ja tagab kohustuste täitmise tehingu sooritava vastaspoole ees.</w:t>
            </w:r>
          </w:p>
        </w:tc>
      </w:tr>
      <w:tr w:rsidR="00D42A0B" w:rsidRPr="00D90835" w14:paraId="6E298068" w14:textId="77777777" w:rsidTr="72D320C3">
        <w:trPr>
          <w:trHeight w:val="309"/>
        </w:trPr>
        <w:tc>
          <w:tcPr>
            <w:tcW w:w="1185" w:type="dxa"/>
            <w:shd w:val="clear" w:color="auto" w:fill="C6EFCE"/>
            <w:noWrap/>
            <w:vAlign w:val="center"/>
          </w:tcPr>
          <w:p w14:paraId="4648B71D"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M7-8</w:t>
            </w:r>
          </w:p>
        </w:tc>
        <w:tc>
          <w:tcPr>
            <w:tcW w:w="1559" w:type="dxa"/>
            <w:shd w:val="clear" w:color="auto" w:fill="C6EFCE"/>
            <w:noWrap/>
            <w:vAlign w:val="center"/>
          </w:tcPr>
          <w:p w14:paraId="6EA5A880"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Reform 4. Taastuvenergia ostulepingutega seotud finantsriski maandamine</w:t>
            </w:r>
          </w:p>
        </w:tc>
        <w:tc>
          <w:tcPr>
            <w:tcW w:w="1134" w:type="dxa"/>
            <w:shd w:val="clear" w:color="auto" w:fill="C6EFCE"/>
            <w:noWrap/>
            <w:vAlign w:val="center"/>
          </w:tcPr>
          <w:p w14:paraId="643E35F3"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vAlign w:val="center"/>
          </w:tcPr>
          <w:p w14:paraId="41A8AA6E"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Teisesed õigusaktid on jõustunud</w:t>
            </w:r>
          </w:p>
        </w:tc>
        <w:tc>
          <w:tcPr>
            <w:tcW w:w="1984" w:type="dxa"/>
            <w:shd w:val="clear" w:color="auto" w:fill="C6EFCE"/>
            <w:noWrap/>
            <w:vAlign w:val="center"/>
          </w:tcPr>
          <w:p w14:paraId="7E9F212A"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Teisese õiguse jõustumisele viitav õigusnorm</w:t>
            </w:r>
          </w:p>
        </w:tc>
        <w:tc>
          <w:tcPr>
            <w:tcW w:w="1134" w:type="dxa"/>
            <w:shd w:val="clear" w:color="auto" w:fill="C6EFCE"/>
            <w:noWrap/>
            <w:vAlign w:val="center"/>
          </w:tcPr>
          <w:p w14:paraId="39C834FB" w14:textId="77777777" w:rsidR="0084326C" w:rsidRPr="00F33804" w:rsidRDefault="0084326C">
            <w:pPr>
              <w:spacing w:after="120"/>
              <w:jc w:val="center"/>
              <w:rPr>
                <w:rFonts w:ascii="Arial Narrow" w:hAnsi="Arial Narrow"/>
                <w:noProof/>
                <w:color w:val="006100"/>
                <w:sz w:val="20"/>
                <w:szCs w:val="20"/>
              </w:rPr>
            </w:pPr>
          </w:p>
        </w:tc>
        <w:tc>
          <w:tcPr>
            <w:tcW w:w="993" w:type="dxa"/>
            <w:shd w:val="clear" w:color="auto" w:fill="C6EFCE"/>
            <w:noWrap/>
            <w:vAlign w:val="center"/>
          </w:tcPr>
          <w:p w14:paraId="50A54A3D" w14:textId="77777777" w:rsidR="0084326C" w:rsidRPr="00F33804" w:rsidRDefault="0084326C">
            <w:pPr>
              <w:spacing w:after="120"/>
              <w:jc w:val="center"/>
              <w:rPr>
                <w:rFonts w:ascii="Arial Narrow" w:hAnsi="Arial Narrow"/>
                <w:noProof/>
                <w:color w:val="006100"/>
                <w:sz w:val="20"/>
                <w:szCs w:val="20"/>
              </w:rPr>
            </w:pPr>
          </w:p>
        </w:tc>
        <w:tc>
          <w:tcPr>
            <w:tcW w:w="992" w:type="dxa"/>
            <w:shd w:val="clear" w:color="auto" w:fill="C6EFCE"/>
            <w:noWrap/>
            <w:vAlign w:val="center"/>
          </w:tcPr>
          <w:p w14:paraId="701DE3D1" w14:textId="77777777" w:rsidR="0084326C" w:rsidRPr="00F33804" w:rsidRDefault="0084326C">
            <w:pPr>
              <w:spacing w:after="120"/>
              <w:jc w:val="center"/>
              <w:rPr>
                <w:rFonts w:ascii="Arial Narrow" w:hAnsi="Arial Narrow"/>
                <w:noProof/>
                <w:color w:val="006100"/>
                <w:sz w:val="20"/>
                <w:szCs w:val="20"/>
              </w:rPr>
            </w:pPr>
          </w:p>
        </w:tc>
        <w:tc>
          <w:tcPr>
            <w:tcW w:w="992" w:type="dxa"/>
            <w:shd w:val="clear" w:color="auto" w:fill="C6EFCE"/>
            <w:noWrap/>
            <w:vAlign w:val="center"/>
          </w:tcPr>
          <w:p w14:paraId="45B9CB14"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4. kv</w:t>
            </w:r>
          </w:p>
        </w:tc>
        <w:tc>
          <w:tcPr>
            <w:tcW w:w="709" w:type="dxa"/>
            <w:shd w:val="clear" w:color="auto" w:fill="C6EFCE"/>
            <w:noWrap/>
            <w:vAlign w:val="center"/>
          </w:tcPr>
          <w:p w14:paraId="03B08560"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2024</w:t>
            </w:r>
          </w:p>
        </w:tc>
        <w:tc>
          <w:tcPr>
            <w:tcW w:w="3261" w:type="dxa"/>
            <w:shd w:val="clear" w:color="auto" w:fill="C6EFCE"/>
            <w:noWrap/>
            <w:vAlign w:val="center"/>
          </w:tcPr>
          <w:p w14:paraId="25F975D0"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Kõigi esmaste õigusaktide rakendamist tagavate teiseste õigusaktide jõustumine.</w:t>
            </w:r>
          </w:p>
        </w:tc>
      </w:tr>
      <w:tr w:rsidR="00D42A0B" w:rsidRPr="00D90835" w14:paraId="6EDBE4CC" w14:textId="77777777" w:rsidTr="72D320C3">
        <w:trPr>
          <w:trHeight w:val="309"/>
        </w:trPr>
        <w:tc>
          <w:tcPr>
            <w:tcW w:w="1185" w:type="dxa"/>
            <w:shd w:val="clear" w:color="auto" w:fill="C6EFCE"/>
            <w:noWrap/>
            <w:vAlign w:val="center"/>
          </w:tcPr>
          <w:p w14:paraId="492FF970"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M7-9</w:t>
            </w:r>
          </w:p>
        </w:tc>
        <w:tc>
          <w:tcPr>
            <w:tcW w:w="1559" w:type="dxa"/>
            <w:shd w:val="clear" w:color="auto" w:fill="C6EFCE"/>
            <w:noWrap/>
            <w:vAlign w:val="center"/>
          </w:tcPr>
          <w:p w14:paraId="508107A4"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Reform 5. Uute oskuste kava – üleminekud</w:t>
            </w:r>
          </w:p>
        </w:tc>
        <w:tc>
          <w:tcPr>
            <w:tcW w:w="1134" w:type="dxa"/>
            <w:shd w:val="clear" w:color="auto" w:fill="C6EFCE"/>
            <w:noWrap/>
            <w:vAlign w:val="center"/>
          </w:tcPr>
          <w:p w14:paraId="010F0323"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vAlign w:val="center"/>
          </w:tcPr>
          <w:p w14:paraId="37F8000D"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Uue oskuste kava vastuvõtmine ja avaldamine – üleminekud ja rakendamise tegevuskava</w:t>
            </w:r>
          </w:p>
        </w:tc>
        <w:tc>
          <w:tcPr>
            <w:tcW w:w="1984" w:type="dxa"/>
            <w:shd w:val="clear" w:color="auto" w:fill="C6EFCE"/>
            <w:noWrap/>
            <w:vAlign w:val="center"/>
          </w:tcPr>
          <w:p w14:paraId="4026BE40"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Kava ja tegevuskava vastuvõtmine</w:t>
            </w:r>
          </w:p>
        </w:tc>
        <w:tc>
          <w:tcPr>
            <w:tcW w:w="1134" w:type="dxa"/>
            <w:shd w:val="clear" w:color="auto" w:fill="C6EFCE"/>
            <w:noWrap/>
            <w:vAlign w:val="center"/>
          </w:tcPr>
          <w:p w14:paraId="295D8627" w14:textId="77777777" w:rsidR="0084326C" w:rsidRPr="005D68A0" w:rsidRDefault="0084326C">
            <w:pPr>
              <w:spacing w:after="120"/>
              <w:jc w:val="center"/>
              <w:rPr>
                <w:rFonts w:ascii="Arial Narrow" w:hAnsi="Arial Narrow"/>
                <w:noProof/>
                <w:color w:val="006100"/>
                <w:sz w:val="20"/>
                <w:szCs w:val="20"/>
                <w:lang w:val="en-GB"/>
              </w:rPr>
            </w:pPr>
          </w:p>
        </w:tc>
        <w:tc>
          <w:tcPr>
            <w:tcW w:w="993" w:type="dxa"/>
            <w:shd w:val="clear" w:color="auto" w:fill="C6EFCE"/>
            <w:noWrap/>
            <w:vAlign w:val="center"/>
          </w:tcPr>
          <w:p w14:paraId="03F04509" w14:textId="77777777" w:rsidR="0084326C" w:rsidRPr="005D68A0" w:rsidRDefault="0084326C">
            <w:pPr>
              <w:spacing w:after="120"/>
              <w:jc w:val="center"/>
              <w:rPr>
                <w:rFonts w:ascii="Arial Narrow" w:hAnsi="Arial Narrow"/>
                <w:noProof/>
                <w:color w:val="006100"/>
                <w:sz w:val="20"/>
                <w:szCs w:val="20"/>
                <w:lang w:val="en-GB"/>
              </w:rPr>
            </w:pPr>
          </w:p>
        </w:tc>
        <w:tc>
          <w:tcPr>
            <w:tcW w:w="992" w:type="dxa"/>
            <w:shd w:val="clear" w:color="auto" w:fill="C6EFCE"/>
            <w:noWrap/>
            <w:vAlign w:val="center"/>
          </w:tcPr>
          <w:p w14:paraId="33952CF5" w14:textId="77777777" w:rsidR="0084326C" w:rsidRPr="005D68A0" w:rsidRDefault="0084326C">
            <w:pPr>
              <w:spacing w:after="120"/>
              <w:jc w:val="center"/>
              <w:rPr>
                <w:rFonts w:ascii="Arial Narrow" w:hAnsi="Arial Narrow"/>
                <w:noProof/>
                <w:color w:val="006100"/>
                <w:sz w:val="20"/>
                <w:szCs w:val="20"/>
                <w:lang w:val="en-GB"/>
              </w:rPr>
            </w:pPr>
          </w:p>
        </w:tc>
        <w:tc>
          <w:tcPr>
            <w:tcW w:w="992" w:type="dxa"/>
            <w:shd w:val="clear" w:color="auto" w:fill="C6EFCE"/>
            <w:noWrap/>
            <w:vAlign w:val="center"/>
          </w:tcPr>
          <w:p w14:paraId="7CEA7FCD"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1. kv</w:t>
            </w:r>
          </w:p>
        </w:tc>
        <w:tc>
          <w:tcPr>
            <w:tcW w:w="709" w:type="dxa"/>
            <w:shd w:val="clear" w:color="auto" w:fill="C6EFCE"/>
            <w:noWrap/>
            <w:vAlign w:val="center"/>
          </w:tcPr>
          <w:p w14:paraId="4B35E2A5"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2024</w:t>
            </w:r>
          </w:p>
        </w:tc>
        <w:tc>
          <w:tcPr>
            <w:tcW w:w="3261" w:type="dxa"/>
            <w:shd w:val="clear" w:color="auto" w:fill="C6EFCE"/>
            <w:noWrap/>
            <w:vAlign w:val="center"/>
          </w:tcPr>
          <w:p w14:paraId="6D44A17D"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14. detsembri 2021. aasta dekreediga vastu võetud ja 28. detsembri 2021. aasta Gazzetta ufficiale n.307 avaldatud dokumenti „Piano Nuove Competenze“ muudetakse ja jõustub uus üleminekuoskuste kava. Kava sisaldab üldpõhimõtteid, mida täpsustatakse piirkondlikes seadustes, mis hõlmavad järgmist:</w:t>
            </w:r>
          </w:p>
          <w:p w14:paraId="7CF43889" w14:textId="77777777" w:rsidR="0084326C" w:rsidRPr="005D68A0" w:rsidRDefault="0084326C">
            <w:pPr>
              <w:pStyle w:val="ListParagraph"/>
              <w:numPr>
                <w:ilvl w:val="0"/>
                <w:numId w:val="34"/>
              </w:numPr>
              <w:spacing w:before="0"/>
              <w:ind w:left="382" w:hanging="142"/>
              <w:rPr>
                <w:rFonts w:ascii="Arial Narrow" w:hAnsi="Arial Narrow"/>
                <w:noProof/>
                <w:color w:val="006100"/>
                <w:sz w:val="20"/>
                <w:szCs w:val="20"/>
              </w:rPr>
            </w:pPr>
            <w:r>
              <w:rPr>
                <w:rFonts w:ascii="Arial Narrow" w:hAnsi="Arial Narrow"/>
                <w:noProof/>
                <w:color w:val="006100"/>
                <w:sz w:val="20"/>
              </w:rPr>
              <w:t xml:space="preserve">erasektori suurem kaasamine koolitusse, </w:t>
            </w:r>
          </w:p>
          <w:p w14:paraId="4029D0FD" w14:textId="77777777" w:rsidR="0084326C" w:rsidRPr="005D68A0" w:rsidRDefault="0084326C">
            <w:pPr>
              <w:pStyle w:val="ListParagraph"/>
              <w:numPr>
                <w:ilvl w:val="0"/>
                <w:numId w:val="34"/>
              </w:numPr>
              <w:spacing w:before="0"/>
              <w:ind w:left="382" w:hanging="142"/>
              <w:contextualSpacing w:val="0"/>
              <w:rPr>
                <w:rFonts w:ascii="Arial Narrow" w:hAnsi="Arial Narrow"/>
                <w:noProof/>
                <w:color w:val="006100"/>
                <w:sz w:val="20"/>
                <w:szCs w:val="20"/>
              </w:rPr>
            </w:pPr>
            <w:r>
              <w:rPr>
                <w:rFonts w:ascii="Arial Narrow" w:hAnsi="Arial Narrow"/>
                <w:noProof/>
                <w:color w:val="006100"/>
                <w:sz w:val="20"/>
              </w:rPr>
              <w:t xml:space="preserve">töökohal toimuva koolituse ja mikrokvalifikatsioonitunnistuste parem tunnustamine; </w:t>
            </w:r>
          </w:p>
          <w:p w14:paraId="1F433F12" w14:textId="77777777" w:rsidR="0084326C" w:rsidRPr="005D68A0" w:rsidRDefault="0084326C">
            <w:pPr>
              <w:pStyle w:val="ListParagraph"/>
              <w:numPr>
                <w:ilvl w:val="0"/>
                <w:numId w:val="34"/>
              </w:numPr>
              <w:spacing w:before="0"/>
              <w:ind w:left="382" w:hanging="142"/>
              <w:contextualSpacing w:val="0"/>
              <w:rPr>
                <w:rFonts w:ascii="Arial Narrow" w:hAnsi="Arial Narrow"/>
                <w:noProof/>
                <w:color w:val="006100"/>
                <w:sz w:val="20"/>
                <w:szCs w:val="20"/>
              </w:rPr>
            </w:pPr>
            <w:r>
              <w:rPr>
                <w:rFonts w:ascii="Arial Narrow" w:hAnsi="Arial Narrow"/>
                <w:noProof/>
                <w:color w:val="006100"/>
                <w:sz w:val="20"/>
              </w:rPr>
              <w:t xml:space="preserve">põhjalikum tööturu eelanalüüs ja koolituse tööalase mõju seire. </w:t>
            </w:r>
          </w:p>
          <w:p w14:paraId="71D7621D"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Samuti võetakse vastu rakendamise tegevuskava.</w:t>
            </w:r>
          </w:p>
        </w:tc>
      </w:tr>
      <w:tr w:rsidR="00D42A0B" w:rsidRPr="00D90835" w14:paraId="142ECF6F" w14:textId="77777777" w:rsidTr="72D320C3">
        <w:trPr>
          <w:trHeight w:val="309"/>
        </w:trPr>
        <w:tc>
          <w:tcPr>
            <w:tcW w:w="1185" w:type="dxa"/>
            <w:shd w:val="clear" w:color="auto" w:fill="C6EFCE"/>
            <w:noWrap/>
            <w:vAlign w:val="center"/>
          </w:tcPr>
          <w:p w14:paraId="04E56677"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M7-10</w:t>
            </w:r>
          </w:p>
        </w:tc>
        <w:tc>
          <w:tcPr>
            <w:tcW w:w="1559" w:type="dxa"/>
            <w:shd w:val="clear" w:color="auto" w:fill="C6EFCE"/>
            <w:noWrap/>
            <w:vAlign w:val="center"/>
          </w:tcPr>
          <w:p w14:paraId="6F989C8C"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Reform 5. Uute oskuste kava – üleminekud</w:t>
            </w:r>
          </w:p>
        </w:tc>
        <w:tc>
          <w:tcPr>
            <w:tcW w:w="1134" w:type="dxa"/>
            <w:shd w:val="clear" w:color="auto" w:fill="C6EFCE"/>
            <w:noWrap/>
            <w:vAlign w:val="center"/>
          </w:tcPr>
          <w:p w14:paraId="4CBAA556"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vAlign w:val="center"/>
          </w:tcPr>
          <w:p w14:paraId="2F65C576"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Piirkondlike seaduste jõustumine</w:t>
            </w:r>
          </w:p>
        </w:tc>
        <w:tc>
          <w:tcPr>
            <w:tcW w:w="1984" w:type="dxa"/>
            <w:shd w:val="clear" w:color="auto" w:fill="C6EFCE"/>
            <w:noWrap/>
            <w:vAlign w:val="center"/>
          </w:tcPr>
          <w:p w14:paraId="6E5504F3"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Piirkondlike seaduste jõustumisele viitav säte</w:t>
            </w:r>
          </w:p>
        </w:tc>
        <w:tc>
          <w:tcPr>
            <w:tcW w:w="1134" w:type="dxa"/>
            <w:shd w:val="clear" w:color="auto" w:fill="C6EFCE"/>
            <w:noWrap/>
            <w:vAlign w:val="center"/>
          </w:tcPr>
          <w:p w14:paraId="4EABCA40" w14:textId="77777777" w:rsidR="0084326C" w:rsidRPr="005D68A0" w:rsidRDefault="0084326C">
            <w:pPr>
              <w:spacing w:after="120"/>
              <w:jc w:val="center"/>
              <w:rPr>
                <w:rFonts w:ascii="Arial Narrow" w:hAnsi="Arial Narrow"/>
                <w:noProof/>
                <w:color w:val="006100"/>
                <w:sz w:val="20"/>
                <w:szCs w:val="20"/>
                <w:lang w:val="en-GB"/>
              </w:rPr>
            </w:pPr>
          </w:p>
        </w:tc>
        <w:tc>
          <w:tcPr>
            <w:tcW w:w="993" w:type="dxa"/>
            <w:shd w:val="clear" w:color="auto" w:fill="C6EFCE"/>
            <w:noWrap/>
            <w:vAlign w:val="center"/>
          </w:tcPr>
          <w:p w14:paraId="2F7AC95A" w14:textId="77777777" w:rsidR="0084326C" w:rsidRPr="005D68A0" w:rsidRDefault="0084326C">
            <w:pPr>
              <w:spacing w:after="120"/>
              <w:jc w:val="center"/>
              <w:rPr>
                <w:rFonts w:ascii="Arial Narrow" w:hAnsi="Arial Narrow"/>
                <w:noProof/>
                <w:color w:val="006100"/>
                <w:sz w:val="20"/>
                <w:szCs w:val="20"/>
                <w:lang w:val="en-GB"/>
              </w:rPr>
            </w:pPr>
          </w:p>
        </w:tc>
        <w:tc>
          <w:tcPr>
            <w:tcW w:w="992" w:type="dxa"/>
            <w:shd w:val="clear" w:color="auto" w:fill="C6EFCE"/>
            <w:noWrap/>
            <w:vAlign w:val="center"/>
          </w:tcPr>
          <w:p w14:paraId="148B3BD8" w14:textId="77777777" w:rsidR="0084326C" w:rsidRPr="005D68A0" w:rsidRDefault="0084326C">
            <w:pPr>
              <w:spacing w:after="120"/>
              <w:jc w:val="center"/>
              <w:rPr>
                <w:rFonts w:ascii="Arial Narrow" w:hAnsi="Arial Narrow"/>
                <w:noProof/>
                <w:color w:val="006100"/>
                <w:sz w:val="20"/>
                <w:szCs w:val="20"/>
                <w:lang w:val="en-GB"/>
              </w:rPr>
            </w:pPr>
          </w:p>
        </w:tc>
        <w:tc>
          <w:tcPr>
            <w:tcW w:w="992" w:type="dxa"/>
            <w:shd w:val="clear" w:color="auto" w:fill="C6EFCE"/>
            <w:noWrap/>
            <w:vAlign w:val="center"/>
          </w:tcPr>
          <w:p w14:paraId="3C837F26"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3. kv</w:t>
            </w:r>
          </w:p>
        </w:tc>
        <w:tc>
          <w:tcPr>
            <w:tcW w:w="709" w:type="dxa"/>
            <w:shd w:val="clear" w:color="auto" w:fill="C6EFCE"/>
            <w:noWrap/>
            <w:vAlign w:val="center"/>
          </w:tcPr>
          <w:p w14:paraId="1BB198B1"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2025</w:t>
            </w:r>
          </w:p>
        </w:tc>
        <w:tc>
          <w:tcPr>
            <w:tcW w:w="3261" w:type="dxa"/>
            <w:shd w:val="clear" w:color="auto" w:fill="C6EFCE"/>
            <w:noWrap/>
            <w:vAlign w:val="center"/>
          </w:tcPr>
          <w:p w14:paraId="073B8782"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Piirkondlike seaduste jõustumine</w:t>
            </w:r>
          </w:p>
          <w:p w14:paraId="11CA4B77"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Seadused käsitlevad kõiki piirkondi ja autonoomseid provintse ning nendega kehtestatakse:</w:t>
            </w:r>
          </w:p>
          <w:p w14:paraId="18BDC16A" w14:textId="77777777" w:rsidR="0084326C" w:rsidRPr="005D68A0" w:rsidRDefault="0084326C">
            <w:pPr>
              <w:pStyle w:val="ListParagraph"/>
              <w:numPr>
                <w:ilvl w:val="0"/>
                <w:numId w:val="35"/>
              </w:numPr>
              <w:spacing w:before="0"/>
              <w:ind w:left="382" w:hanging="283"/>
              <w:contextualSpacing w:val="0"/>
              <w:rPr>
                <w:rFonts w:ascii="Arial Narrow" w:hAnsi="Arial Narrow"/>
                <w:noProof/>
                <w:color w:val="006100"/>
                <w:sz w:val="20"/>
                <w:szCs w:val="20"/>
              </w:rPr>
            </w:pPr>
            <w:r>
              <w:rPr>
                <w:rFonts w:ascii="Arial Narrow" w:hAnsi="Arial Narrow"/>
                <w:noProof/>
                <w:color w:val="006100"/>
                <w:sz w:val="20"/>
              </w:rPr>
              <w:t xml:space="preserve">mehhanismid, millega tagatakse, et koolitustegevuse kavandamisel lähtutakse tööturu väljendatud vajadustest, eelistades neid, kus oskuste mittevastavus on suurim, näiteks heakskiidetud oskuste paktide kaudu; </w:t>
            </w:r>
          </w:p>
          <w:p w14:paraId="42B1C74A" w14:textId="77777777" w:rsidR="0084326C" w:rsidRPr="005D68A0" w:rsidRDefault="0084326C">
            <w:pPr>
              <w:pStyle w:val="ListParagraph"/>
              <w:numPr>
                <w:ilvl w:val="0"/>
                <w:numId w:val="35"/>
              </w:numPr>
              <w:spacing w:before="0"/>
              <w:ind w:left="382" w:hanging="283"/>
              <w:contextualSpacing w:val="0"/>
              <w:rPr>
                <w:rFonts w:ascii="Arial Narrow" w:hAnsi="Arial Narrow"/>
                <w:noProof/>
                <w:color w:val="006100"/>
                <w:sz w:val="20"/>
                <w:szCs w:val="20"/>
              </w:rPr>
            </w:pPr>
            <w:r>
              <w:rPr>
                <w:rFonts w:ascii="Arial Narrow" w:hAnsi="Arial Narrow"/>
                <w:noProof/>
                <w:color w:val="006100"/>
                <w:sz w:val="20"/>
              </w:rPr>
              <w:t>kohustus märkida hinnangulised tööhõivetulemused koolitusteadetes ja -teadetes;</w:t>
            </w:r>
          </w:p>
          <w:p w14:paraId="39373C2C" w14:textId="77777777" w:rsidR="0084326C" w:rsidRPr="005D68A0" w:rsidRDefault="0084326C">
            <w:pPr>
              <w:pStyle w:val="ListParagraph"/>
              <w:numPr>
                <w:ilvl w:val="0"/>
                <w:numId w:val="35"/>
              </w:numPr>
              <w:spacing w:before="0"/>
              <w:ind w:left="382" w:hanging="283"/>
              <w:contextualSpacing w:val="0"/>
              <w:rPr>
                <w:rFonts w:ascii="Arial Narrow" w:hAnsi="Arial Narrow"/>
                <w:noProof/>
                <w:color w:val="006100"/>
                <w:sz w:val="20"/>
                <w:szCs w:val="20"/>
              </w:rPr>
            </w:pPr>
            <w:r>
              <w:rPr>
                <w:rFonts w:ascii="Arial Narrow" w:hAnsi="Arial Narrow"/>
                <w:noProof/>
                <w:color w:val="006100"/>
                <w:sz w:val="20"/>
              </w:rPr>
              <w:t>ettevõttesisese koolituse tunnustamine;</w:t>
            </w:r>
          </w:p>
          <w:p w14:paraId="170C391B" w14:textId="77777777" w:rsidR="0084326C" w:rsidRPr="005D68A0" w:rsidRDefault="0084326C">
            <w:pPr>
              <w:pStyle w:val="ListParagraph"/>
              <w:numPr>
                <w:ilvl w:val="0"/>
                <w:numId w:val="35"/>
              </w:numPr>
              <w:spacing w:before="0"/>
              <w:ind w:left="382" w:hanging="283"/>
              <w:contextualSpacing w:val="0"/>
              <w:rPr>
                <w:rFonts w:ascii="Arial Narrow" w:hAnsi="Arial Narrow"/>
                <w:noProof/>
                <w:color w:val="006100"/>
                <w:sz w:val="20"/>
                <w:szCs w:val="20"/>
              </w:rPr>
            </w:pPr>
            <w:r>
              <w:rPr>
                <w:rFonts w:ascii="Arial Narrow" w:hAnsi="Arial Narrow"/>
                <w:noProof/>
                <w:color w:val="006100"/>
                <w:sz w:val="20"/>
              </w:rPr>
              <w:t>omandatud oskuste tunnustamine ja lühikesed koolituskursused (nn mikrokvalifikatsioonitunnistused);</w:t>
            </w:r>
          </w:p>
          <w:p w14:paraId="4AF78179" w14:textId="77777777" w:rsidR="0084326C" w:rsidRPr="005D68A0" w:rsidRDefault="0084326C">
            <w:pPr>
              <w:pStyle w:val="ListParagraph"/>
              <w:numPr>
                <w:ilvl w:val="0"/>
                <w:numId w:val="35"/>
              </w:numPr>
              <w:spacing w:before="0"/>
              <w:ind w:left="382" w:hanging="283"/>
              <w:contextualSpacing w:val="0"/>
              <w:rPr>
                <w:rFonts w:ascii="Arial Narrow" w:hAnsi="Arial Narrow"/>
                <w:noProof/>
                <w:color w:val="006100"/>
                <w:sz w:val="20"/>
                <w:szCs w:val="20"/>
              </w:rPr>
            </w:pPr>
            <w:r>
              <w:rPr>
                <w:rFonts w:ascii="Arial Narrow" w:hAnsi="Arial Narrow"/>
                <w:noProof/>
                <w:color w:val="006100"/>
                <w:sz w:val="20"/>
              </w:rPr>
              <w:t>Mehhanismid erasektori kaasrahastamise soodustamiseks.</w:t>
            </w:r>
          </w:p>
        </w:tc>
      </w:tr>
      <w:tr w:rsidR="00D42A0B" w:rsidRPr="00D90835" w14:paraId="71643126" w14:textId="77777777" w:rsidTr="72D320C3">
        <w:trPr>
          <w:trHeight w:val="309"/>
        </w:trPr>
        <w:tc>
          <w:tcPr>
            <w:tcW w:w="1185" w:type="dxa"/>
            <w:shd w:val="clear" w:color="auto" w:fill="C6EFCE"/>
            <w:noWrap/>
            <w:vAlign w:val="center"/>
          </w:tcPr>
          <w:p w14:paraId="62D88BF2"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M7-11</w:t>
            </w:r>
          </w:p>
        </w:tc>
        <w:tc>
          <w:tcPr>
            <w:tcW w:w="1559" w:type="dxa"/>
            <w:shd w:val="clear" w:color="auto" w:fill="C6EFCE"/>
            <w:noWrap/>
            <w:vAlign w:val="center"/>
          </w:tcPr>
          <w:p w14:paraId="287DACB7"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Investeering 1. võimendatud meede: Arukate võrkude tugevdamine</w:t>
            </w:r>
          </w:p>
        </w:tc>
        <w:tc>
          <w:tcPr>
            <w:tcW w:w="1134" w:type="dxa"/>
            <w:shd w:val="clear" w:color="auto" w:fill="C6EFCE"/>
            <w:noWrap/>
            <w:vAlign w:val="center"/>
          </w:tcPr>
          <w:p w14:paraId="7857AE3C"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Siht</w:t>
            </w:r>
          </w:p>
        </w:tc>
        <w:tc>
          <w:tcPr>
            <w:tcW w:w="1418" w:type="dxa"/>
            <w:shd w:val="clear" w:color="auto" w:fill="C6EFCE"/>
            <w:noWrap/>
            <w:vAlign w:val="center"/>
          </w:tcPr>
          <w:p w14:paraId="56C4381F"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Arukad võrgud – energiatarbimise elektrifitseerimine</w:t>
            </w:r>
          </w:p>
        </w:tc>
        <w:tc>
          <w:tcPr>
            <w:tcW w:w="1984" w:type="dxa"/>
            <w:shd w:val="clear" w:color="auto" w:fill="C6EFCE"/>
            <w:noWrap/>
            <w:vAlign w:val="center"/>
          </w:tcPr>
          <w:p w14:paraId="40A9CEB6" w14:textId="77777777" w:rsidR="0084326C" w:rsidRPr="005D68A0" w:rsidRDefault="0084326C">
            <w:pPr>
              <w:spacing w:after="120"/>
              <w:jc w:val="center"/>
              <w:rPr>
                <w:rFonts w:ascii="Arial Narrow" w:hAnsi="Arial Narrow"/>
                <w:noProof/>
                <w:color w:val="006100"/>
                <w:sz w:val="20"/>
                <w:szCs w:val="20"/>
                <w:lang w:val="en-GB"/>
              </w:rPr>
            </w:pPr>
          </w:p>
        </w:tc>
        <w:tc>
          <w:tcPr>
            <w:tcW w:w="1134" w:type="dxa"/>
            <w:shd w:val="clear" w:color="auto" w:fill="C6EFCE"/>
            <w:noWrap/>
            <w:vAlign w:val="center"/>
          </w:tcPr>
          <w:p w14:paraId="4D6BE09A"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Arv</w:t>
            </w:r>
          </w:p>
        </w:tc>
        <w:tc>
          <w:tcPr>
            <w:tcW w:w="993" w:type="dxa"/>
            <w:shd w:val="clear" w:color="auto" w:fill="C6EFCE"/>
            <w:noWrap/>
            <w:vAlign w:val="center"/>
          </w:tcPr>
          <w:p w14:paraId="3E944E89"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1 500 000</w:t>
            </w:r>
          </w:p>
        </w:tc>
        <w:tc>
          <w:tcPr>
            <w:tcW w:w="992" w:type="dxa"/>
            <w:shd w:val="clear" w:color="auto" w:fill="C6EFCE"/>
            <w:noWrap/>
            <w:vAlign w:val="center"/>
          </w:tcPr>
          <w:p w14:paraId="5A95A866"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1 730 000</w:t>
            </w:r>
          </w:p>
        </w:tc>
        <w:tc>
          <w:tcPr>
            <w:tcW w:w="992" w:type="dxa"/>
            <w:shd w:val="clear" w:color="auto" w:fill="C6EFCE"/>
            <w:noWrap/>
            <w:vAlign w:val="center"/>
          </w:tcPr>
          <w:p w14:paraId="3A6A2799"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 kv</w:t>
            </w:r>
          </w:p>
        </w:tc>
        <w:tc>
          <w:tcPr>
            <w:tcW w:w="709" w:type="dxa"/>
            <w:shd w:val="clear" w:color="auto" w:fill="C6EFCE"/>
            <w:noWrap/>
            <w:vAlign w:val="center"/>
          </w:tcPr>
          <w:p w14:paraId="157DEA8E"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2026</w:t>
            </w:r>
          </w:p>
        </w:tc>
        <w:tc>
          <w:tcPr>
            <w:tcW w:w="3261" w:type="dxa"/>
            <w:shd w:val="clear" w:color="auto" w:fill="C6EFCE"/>
            <w:noWrap/>
            <w:vAlign w:val="center"/>
          </w:tcPr>
          <w:p w14:paraId="1A9C187D" w14:textId="77777777" w:rsidR="0084326C" w:rsidRPr="005D68A0" w:rsidRDefault="0084326C">
            <w:pPr>
              <w:spacing w:after="120"/>
              <w:rPr>
                <w:rFonts w:ascii="Arial Narrow" w:hAnsi="Arial Narrow"/>
                <w:noProof/>
                <w:color w:val="FF0000"/>
                <w:sz w:val="20"/>
                <w:szCs w:val="20"/>
              </w:rPr>
            </w:pPr>
            <w:r>
              <w:rPr>
                <w:rFonts w:ascii="Arial Narrow" w:hAnsi="Arial Narrow"/>
                <w:noProof/>
                <w:color w:val="006100"/>
                <w:sz w:val="20"/>
              </w:rPr>
              <w:t>Vähemalt 1 730 000 elanikuni jõudva energiatarbimise elektrifitseerimine</w:t>
            </w:r>
          </w:p>
        </w:tc>
      </w:tr>
      <w:tr w:rsidR="00D42A0B" w:rsidRPr="00D90835" w14:paraId="5EB03058" w14:textId="77777777" w:rsidTr="72D320C3">
        <w:trPr>
          <w:trHeight w:val="309"/>
        </w:trPr>
        <w:tc>
          <w:tcPr>
            <w:tcW w:w="1185" w:type="dxa"/>
            <w:shd w:val="clear" w:color="auto" w:fill="C6EFCE"/>
            <w:noWrap/>
            <w:vAlign w:val="center"/>
          </w:tcPr>
          <w:p w14:paraId="2BBE726C"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M7-12</w:t>
            </w:r>
          </w:p>
        </w:tc>
        <w:tc>
          <w:tcPr>
            <w:tcW w:w="1559" w:type="dxa"/>
            <w:shd w:val="clear" w:color="auto" w:fill="C6EFCE"/>
            <w:noWrap/>
            <w:vAlign w:val="center"/>
          </w:tcPr>
          <w:p w14:paraId="44385733"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Investeering 2. võimendatud meede: Sekkumised elektrivõrgu vastupidavuse suurendamiseks</w:t>
            </w:r>
          </w:p>
        </w:tc>
        <w:tc>
          <w:tcPr>
            <w:tcW w:w="1134" w:type="dxa"/>
            <w:shd w:val="clear" w:color="auto" w:fill="C6EFCE"/>
            <w:noWrap/>
            <w:vAlign w:val="center"/>
          </w:tcPr>
          <w:p w14:paraId="407621AF"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Siht</w:t>
            </w:r>
          </w:p>
        </w:tc>
        <w:tc>
          <w:tcPr>
            <w:tcW w:w="1418" w:type="dxa"/>
            <w:shd w:val="clear" w:color="auto" w:fill="C6EFCE"/>
            <w:noWrap/>
            <w:vAlign w:val="center"/>
          </w:tcPr>
          <w:p w14:paraId="0EF70E78"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Suurendada elektrisüsteemi võrgu vastupidavust</w:t>
            </w:r>
          </w:p>
        </w:tc>
        <w:tc>
          <w:tcPr>
            <w:tcW w:w="1984" w:type="dxa"/>
            <w:shd w:val="clear" w:color="auto" w:fill="C6EFCE"/>
            <w:noWrap/>
            <w:vAlign w:val="center"/>
          </w:tcPr>
          <w:p w14:paraId="36F2C78B" w14:textId="77777777" w:rsidR="0084326C" w:rsidRPr="005D68A0" w:rsidRDefault="0084326C">
            <w:pPr>
              <w:spacing w:after="120"/>
              <w:jc w:val="center"/>
              <w:rPr>
                <w:rFonts w:ascii="Arial Narrow" w:hAnsi="Arial Narrow"/>
                <w:noProof/>
                <w:color w:val="006100"/>
                <w:sz w:val="20"/>
                <w:szCs w:val="20"/>
                <w:lang w:val="en-GB"/>
              </w:rPr>
            </w:pPr>
          </w:p>
        </w:tc>
        <w:tc>
          <w:tcPr>
            <w:tcW w:w="1134" w:type="dxa"/>
            <w:shd w:val="clear" w:color="auto" w:fill="C6EFCE"/>
            <w:noWrap/>
            <w:vAlign w:val="center"/>
          </w:tcPr>
          <w:p w14:paraId="1ADDF0F2"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Arv</w:t>
            </w:r>
          </w:p>
        </w:tc>
        <w:tc>
          <w:tcPr>
            <w:tcW w:w="993" w:type="dxa"/>
            <w:shd w:val="clear" w:color="auto" w:fill="C6EFCE"/>
            <w:noWrap/>
            <w:vAlign w:val="center"/>
          </w:tcPr>
          <w:p w14:paraId="4F713866"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4 000</w:t>
            </w:r>
          </w:p>
        </w:tc>
        <w:tc>
          <w:tcPr>
            <w:tcW w:w="992" w:type="dxa"/>
            <w:shd w:val="clear" w:color="auto" w:fill="C6EFCE"/>
            <w:noWrap/>
            <w:vAlign w:val="center"/>
          </w:tcPr>
          <w:p w14:paraId="458D7BA5"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4 648</w:t>
            </w:r>
          </w:p>
        </w:tc>
        <w:tc>
          <w:tcPr>
            <w:tcW w:w="992" w:type="dxa"/>
            <w:shd w:val="clear" w:color="auto" w:fill="C6EFCE"/>
            <w:noWrap/>
            <w:vAlign w:val="center"/>
          </w:tcPr>
          <w:p w14:paraId="5FCD3392"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 kv</w:t>
            </w:r>
          </w:p>
        </w:tc>
        <w:tc>
          <w:tcPr>
            <w:tcW w:w="709" w:type="dxa"/>
            <w:shd w:val="clear" w:color="auto" w:fill="C6EFCE"/>
            <w:noWrap/>
            <w:vAlign w:val="center"/>
          </w:tcPr>
          <w:p w14:paraId="5E403E94"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2026</w:t>
            </w:r>
          </w:p>
        </w:tc>
        <w:tc>
          <w:tcPr>
            <w:tcW w:w="3261" w:type="dxa"/>
            <w:shd w:val="clear" w:color="auto" w:fill="C6EFCE"/>
            <w:noWrap/>
            <w:vAlign w:val="center"/>
          </w:tcPr>
          <w:p w14:paraId="61ADAC19" w14:textId="77777777" w:rsidR="0084326C" w:rsidRPr="005D68A0" w:rsidRDefault="0084326C">
            <w:pPr>
              <w:spacing w:after="120"/>
              <w:rPr>
                <w:rFonts w:ascii="Arial Narrow" w:hAnsi="Arial Narrow"/>
                <w:noProof/>
                <w:color w:val="FF0000"/>
                <w:sz w:val="20"/>
                <w:szCs w:val="20"/>
              </w:rPr>
            </w:pPr>
            <w:r>
              <w:rPr>
                <w:rFonts w:ascii="Arial Narrow" w:hAnsi="Arial Narrow"/>
                <w:noProof/>
                <w:color w:val="006100"/>
                <w:sz w:val="20"/>
              </w:rPr>
              <w:t>Suurendada elektrisüsteemi vähemalt 4 648 km vastupidavust.</w:t>
            </w:r>
          </w:p>
        </w:tc>
      </w:tr>
      <w:tr w:rsidR="00D42A0B" w:rsidRPr="00D90835" w14:paraId="2967E2A4" w14:textId="77777777" w:rsidTr="72D320C3">
        <w:trPr>
          <w:trHeight w:val="309"/>
        </w:trPr>
        <w:tc>
          <w:tcPr>
            <w:tcW w:w="1185" w:type="dxa"/>
            <w:shd w:val="clear" w:color="auto" w:fill="C6EFCE"/>
            <w:noWrap/>
            <w:vAlign w:val="center"/>
          </w:tcPr>
          <w:p w14:paraId="283B8413"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M7-13</w:t>
            </w:r>
          </w:p>
        </w:tc>
        <w:tc>
          <w:tcPr>
            <w:tcW w:w="1559" w:type="dxa"/>
            <w:shd w:val="clear" w:color="auto" w:fill="C6EFCE"/>
            <w:noWrap/>
            <w:vAlign w:val="center"/>
          </w:tcPr>
          <w:p w14:paraId="0E469A28"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Investeering 3. võimendatud meede: Vesiniku tootmine mahajäetud tööstusaladel (Hydrogen Valleys)</w:t>
            </w:r>
          </w:p>
        </w:tc>
        <w:tc>
          <w:tcPr>
            <w:tcW w:w="1134" w:type="dxa"/>
            <w:shd w:val="clear" w:color="auto" w:fill="C6EFCE"/>
            <w:noWrap/>
            <w:vAlign w:val="center"/>
          </w:tcPr>
          <w:p w14:paraId="4594AE6C"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Siht</w:t>
            </w:r>
          </w:p>
        </w:tc>
        <w:tc>
          <w:tcPr>
            <w:tcW w:w="1418" w:type="dxa"/>
            <w:shd w:val="clear" w:color="auto" w:fill="C6EFCE"/>
            <w:noWrap/>
            <w:vAlign w:val="center"/>
          </w:tcPr>
          <w:p w14:paraId="73F4406B"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Vesiniku tootmist tööstuspiirkondades käsitleva projekti lõpuleviimine</w:t>
            </w:r>
          </w:p>
        </w:tc>
        <w:tc>
          <w:tcPr>
            <w:tcW w:w="1984" w:type="dxa"/>
            <w:shd w:val="clear" w:color="auto" w:fill="C6EFCE"/>
            <w:noWrap/>
            <w:vAlign w:val="center"/>
          </w:tcPr>
          <w:p w14:paraId="7C584B3E" w14:textId="77777777" w:rsidR="0084326C" w:rsidRPr="00F33804" w:rsidRDefault="0084326C">
            <w:pPr>
              <w:spacing w:after="120"/>
              <w:jc w:val="center"/>
              <w:rPr>
                <w:rFonts w:ascii="Arial Narrow" w:hAnsi="Arial Narrow"/>
                <w:noProof/>
                <w:color w:val="006100"/>
                <w:sz w:val="20"/>
                <w:szCs w:val="20"/>
              </w:rPr>
            </w:pPr>
          </w:p>
        </w:tc>
        <w:tc>
          <w:tcPr>
            <w:tcW w:w="1134" w:type="dxa"/>
            <w:shd w:val="clear" w:color="auto" w:fill="C6EFCE"/>
            <w:noWrap/>
            <w:vAlign w:val="center"/>
          </w:tcPr>
          <w:p w14:paraId="624B8BD2"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Arv</w:t>
            </w:r>
          </w:p>
        </w:tc>
        <w:tc>
          <w:tcPr>
            <w:tcW w:w="993" w:type="dxa"/>
            <w:shd w:val="clear" w:color="auto" w:fill="C6EFCE"/>
            <w:noWrap/>
            <w:vAlign w:val="center"/>
          </w:tcPr>
          <w:p w14:paraId="073FF2B3"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10</w:t>
            </w:r>
          </w:p>
        </w:tc>
        <w:tc>
          <w:tcPr>
            <w:tcW w:w="992" w:type="dxa"/>
            <w:shd w:val="clear" w:color="auto" w:fill="C6EFCE"/>
            <w:noWrap/>
            <w:vAlign w:val="center"/>
          </w:tcPr>
          <w:p w14:paraId="3B4E76B9"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12</w:t>
            </w:r>
          </w:p>
        </w:tc>
        <w:tc>
          <w:tcPr>
            <w:tcW w:w="992" w:type="dxa"/>
            <w:shd w:val="clear" w:color="auto" w:fill="C6EFCE"/>
            <w:noWrap/>
            <w:vAlign w:val="center"/>
          </w:tcPr>
          <w:p w14:paraId="4C2D6BCD"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 kv</w:t>
            </w:r>
          </w:p>
        </w:tc>
        <w:tc>
          <w:tcPr>
            <w:tcW w:w="709" w:type="dxa"/>
            <w:shd w:val="clear" w:color="auto" w:fill="C6EFCE"/>
            <w:noWrap/>
            <w:vAlign w:val="center"/>
          </w:tcPr>
          <w:p w14:paraId="058D7417"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2026</w:t>
            </w:r>
          </w:p>
        </w:tc>
        <w:tc>
          <w:tcPr>
            <w:tcW w:w="3261" w:type="dxa"/>
            <w:shd w:val="clear" w:color="auto" w:fill="C6EFCE"/>
            <w:noWrap/>
            <w:vAlign w:val="center"/>
          </w:tcPr>
          <w:p w14:paraId="1EAB36F4"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 xml:space="preserve">Viia lõpule vähemalt 12 vesiniku tootmise projekti mahajäetud tööstuspiirkondades, mille keskmine võimsus on igaühe puhul vähemalt 1-5 MW. </w:t>
            </w:r>
          </w:p>
        </w:tc>
      </w:tr>
      <w:tr w:rsidR="00D42A0B" w:rsidRPr="00D90835" w14:paraId="7C67AE55" w14:textId="77777777" w:rsidTr="72D320C3">
        <w:trPr>
          <w:trHeight w:val="309"/>
        </w:trPr>
        <w:tc>
          <w:tcPr>
            <w:tcW w:w="1185" w:type="dxa"/>
            <w:shd w:val="clear" w:color="auto" w:fill="C6EFCE"/>
            <w:noWrap/>
            <w:vAlign w:val="center"/>
          </w:tcPr>
          <w:p w14:paraId="116E89AB"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M7-14</w:t>
            </w:r>
          </w:p>
        </w:tc>
        <w:tc>
          <w:tcPr>
            <w:tcW w:w="1559" w:type="dxa"/>
            <w:shd w:val="clear" w:color="auto" w:fill="C6EFCE"/>
            <w:noWrap/>
            <w:vAlign w:val="center"/>
          </w:tcPr>
          <w:p w14:paraId="58A421A9"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Investeering 4. Türreenini ühendus</w:t>
            </w:r>
          </w:p>
        </w:tc>
        <w:tc>
          <w:tcPr>
            <w:tcW w:w="1134" w:type="dxa"/>
            <w:shd w:val="clear" w:color="auto" w:fill="C6EFCE"/>
            <w:noWrap/>
            <w:vAlign w:val="center"/>
          </w:tcPr>
          <w:p w14:paraId="2BAC479B"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vAlign w:val="center"/>
          </w:tcPr>
          <w:p w14:paraId="0B43DEC7"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Hankemenetlus</w:t>
            </w:r>
          </w:p>
        </w:tc>
        <w:tc>
          <w:tcPr>
            <w:tcW w:w="1984" w:type="dxa"/>
            <w:shd w:val="clear" w:color="auto" w:fill="C6EFCE"/>
            <w:noWrap/>
            <w:vAlign w:val="center"/>
          </w:tcPr>
          <w:p w14:paraId="45C62720"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Lepingute sõlmimisest teatamine</w:t>
            </w:r>
          </w:p>
        </w:tc>
        <w:tc>
          <w:tcPr>
            <w:tcW w:w="1134" w:type="dxa"/>
            <w:shd w:val="clear" w:color="auto" w:fill="C6EFCE"/>
            <w:noWrap/>
            <w:vAlign w:val="center"/>
          </w:tcPr>
          <w:p w14:paraId="5DD7BE41" w14:textId="77777777" w:rsidR="0084326C" w:rsidRPr="005D68A0" w:rsidRDefault="0084326C">
            <w:pPr>
              <w:spacing w:after="120"/>
              <w:jc w:val="center"/>
              <w:rPr>
                <w:rFonts w:ascii="Arial Narrow" w:hAnsi="Arial Narrow"/>
                <w:noProof/>
                <w:color w:val="006100"/>
                <w:sz w:val="20"/>
                <w:szCs w:val="20"/>
                <w:lang w:val="en-GB"/>
              </w:rPr>
            </w:pPr>
          </w:p>
        </w:tc>
        <w:tc>
          <w:tcPr>
            <w:tcW w:w="993" w:type="dxa"/>
            <w:shd w:val="clear" w:color="auto" w:fill="C6EFCE"/>
            <w:noWrap/>
            <w:vAlign w:val="center"/>
          </w:tcPr>
          <w:p w14:paraId="38AAB654" w14:textId="77777777" w:rsidR="0084326C" w:rsidRPr="005D68A0" w:rsidRDefault="0084326C">
            <w:pPr>
              <w:spacing w:after="120"/>
              <w:jc w:val="center"/>
              <w:rPr>
                <w:rFonts w:ascii="Arial Narrow" w:hAnsi="Arial Narrow"/>
                <w:noProof/>
                <w:color w:val="006100"/>
                <w:sz w:val="20"/>
                <w:szCs w:val="20"/>
                <w:lang w:val="en-GB"/>
              </w:rPr>
            </w:pPr>
          </w:p>
        </w:tc>
        <w:tc>
          <w:tcPr>
            <w:tcW w:w="992" w:type="dxa"/>
            <w:shd w:val="clear" w:color="auto" w:fill="C6EFCE"/>
            <w:noWrap/>
            <w:vAlign w:val="center"/>
          </w:tcPr>
          <w:p w14:paraId="082191E1" w14:textId="77777777" w:rsidR="0084326C" w:rsidRPr="005D68A0" w:rsidRDefault="0084326C">
            <w:pPr>
              <w:spacing w:after="120"/>
              <w:jc w:val="center"/>
              <w:rPr>
                <w:rFonts w:ascii="Arial Narrow" w:hAnsi="Arial Narrow"/>
                <w:noProof/>
                <w:color w:val="006100"/>
                <w:sz w:val="20"/>
                <w:szCs w:val="20"/>
                <w:lang w:val="en-GB"/>
              </w:rPr>
            </w:pPr>
          </w:p>
        </w:tc>
        <w:tc>
          <w:tcPr>
            <w:tcW w:w="992" w:type="dxa"/>
            <w:shd w:val="clear" w:color="auto" w:fill="C6EFCE"/>
            <w:noWrap/>
            <w:vAlign w:val="center"/>
          </w:tcPr>
          <w:p w14:paraId="0AE624A8"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3. kv</w:t>
            </w:r>
          </w:p>
        </w:tc>
        <w:tc>
          <w:tcPr>
            <w:tcW w:w="709" w:type="dxa"/>
            <w:shd w:val="clear" w:color="auto" w:fill="C6EFCE"/>
            <w:noWrap/>
            <w:vAlign w:val="center"/>
          </w:tcPr>
          <w:p w14:paraId="3A18F22F"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2024</w:t>
            </w:r>
          </w:p>
        </w:tc>
        <w:tc>
          <w:tcPr>
            <w:tcW w:w="3261" w:type="dxa"/>
            <w:shd w:val="clear" w:color="auto" w:fill="C6EFCE"/>
            <w:noWrap/>
            <w:vAlign w:val="center"/>
          </w:tcPr>
          <w:p w14:paraId="6A0FD4E8"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Teade kõigi ehitustööde kohta, mis on vajalikud Caracoli ja Eboli vahelise 514 km pikkuste kaablite paigaldamiseks.</w:t>
            </w:r>
          </w:p>
        </w:tc>
      </w:tr>
      <w:tr w:rsidR="00D42A0B" w:rsidRPr="00D90835" w14:paraId="62C99509" w14:textId="77777777" w:rsidTr="72D320C3">
        <w:trPr>
          <w:trHeight w:val="309"/>
        </w:trPr>
        <w:tc>
          <w:tcPr>
            <w:tcW w:w="1185" w:type="dxa"/>
            <w:shd w:val="clear" w:color="auto" w:fill="C6EFCE"/>
            <w:noWrap/>
            <w:vAlign w:val="center"/>
          </w:tcPr>
          <w:p w14:paraId="3097DBDB"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M7-15</w:t>
            </w:r>
          </w:p>
        </w:tc>
        <w:tc>
          <w:tcPr>
            <w:tcW w:w="1559" w:type="dxa"/>
            <w:shd w:val="clear" w:color="auto" w:fill="C6EFCE"/>
            <w:noWrap/>
            <w:vAlign w:val="center"/>
          </w:tcPr>
          <w:p w14:paraId="4CDA2677"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Investeering 4. Türreenini ühendus</w:t>
            </w:r>
          </w:p>
        </w:tc>
        <w:tc>
          <w:tcPr>
            <w:tcW w:w="1134" w:type="dxa"/>
            <w:shd w:val="clear" w:color="auto" w:fill="C6EFCE"/>
            <w:noWrap/>
            <w:vAlign w:val="center"/>
          </w:tcPr>
          <w:p w14:paraId="68028F20"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Siht</w:t>
            </w:r>
          </w:p>
        </w:tc>
        <w:tc>
          <w:tcPr>
            <w:tcW w:w="1418" w:type="dxa"/>
            <w:shd w:val="clear" w:color="auto" w:fill="C6EFCE"/>
            <w:noWrap/>
            <w:vAlign w:val="center"/>
          </w:tcPr>
          <w:p w14:paraId="4539AE0B"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514 km kaablit on kinnitatud</w:t>
            </w:r>
          </w:p>
        </w:tc>
        <w:tc>
          <w:tcPr>
            <w:tcW w:w="1984" w:type="dxa"/>
            <w:shd w:val="clear" w:color="auto" w:fill="C6EFCE"/>
            <w:noWrap/>
            <w:vAlign w:val="center"/>
          </w:tcPr>
          <w:p w14:paraId="50D6B9A8" w14:textId="77777777" w:rsidR="0084326C" w:rsidRPr="005D68A0" w:rsidRDefault="0084326C">
            <w:pPr>
              <w:spacing w:after="120"/>
              <w:jc w:val="center"/>
              <w:rPr>
                <w:rFonts w:ascii="Arial Narrow" w:hAnsi="Arial Narrow"/>
                <w:noProof/>
                <w:color w:val="006100"/>
                <w:sz w:val="20"/>
                <w:szCs w:val="20"/>
                <w:lang w:val="en-GB"/>
              </w:rPr>
            </w:pPr>
          </w:p>
        </w:tc>
        <w:tc>
          <w:tcPr>
            <w:tcW w:w="1134" w:type="dxa"/>
            <w:shd w:val="clear" w:color="auto" w:fill="C6EFCE"/>
            <w:noWrap/>
            <w:vAlign w:val="center"/>
          </w:tcPr>
          <w:p w14:paraId="589D3DD1"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Km</w:t>
            </w:r>
          </w:p>
        </w:tc>
        <w:tc>
          <w:tcPr>
            <w:tcW w:w="993" w:type="dxa"/>
            <w:shd w:val="clear" w:color="auto" w:fill="C6EFCE"/>
            <w:noWrap/>
            <w:vAlign w:val="center"/>
          </w:tcPr>
          <w:p w14:paraId="23596853"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0</w:t>
            </w:r>
          </w:p>
        </w:tc>
        <w:tc>
          <w:tcPr>
            <w:tcW w:w="992" w:type="dxa"/>
            <w:shd w:val="clear" w:color="auto" w:fill="C6EFCE"/>
            <w:noWrap/>
            <w:vAlign w:val="center"/>
          </w:tcPr>
          <w:p w14:paraId="3803F31F"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514</w:t>
            </w:r>
          </w:p>
        </w:tc>
        <w:tc>
          <w:tcPr>
            <w:tcW w:w="992" w:type="dxa"/>
            <w:shd w:val="clear" w:color="auto" w:fill="C6EFCE"/>
            <w:noWrap/>
            <w:vAlign w:val="center"/>
          </w:tcPr>
          <w:p w14:paraId="0A92C43B"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 kv</w:t>
            </w:r>
          </w:p>
        </w:tc>
        <w:tc>
          <w:tcPr>
            <w:tcW w:w="709" w:type="dxa"/>
            <w:shd w:val="clear" w:color="auto" w:fill="C6EFCE"/>
            <w:noWrap/>
            <w:vAlign w:val="center"/>
          </w:tcPr>
          <w:p w14:paraId="3B7EC85A"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2026</w:t>
            </w:r>
          </w:p>
        </w:tc>
        <w:tc>
          <w:tcPr>
            <w:tcW w:w="3261" w:type="dxa"/>
            <w:shd w:val="clear" w:color="auto" w:fill="C6EFCE"/>
            <w:noWrap/>
            <w:vAlign w:val="center"/>
          </w:tcPr>
          <w:p w14:paraId="09D8F206"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Rajatud 514 km kaablit, mis ühendab Caracolit (Palermo) Eboliga (Salerno) ja tagab võimsuse 500 MW.</w:t>
            </w:r>
          </w:p>
        </w:tc>
      </w:tr>
      <w:tr w:rsidR="00D42A0B" w:rsidRPr="00D90835" w14:paraId="08FAF11B" w14:textId="77777777" w:rsidTr="72D320C3">
        <w:trPr>
          <w:trHeight w:val="309"/>
        </w:trPr>
        <w:tc>
          <w:tcPr>
            <w:tcW w:w="1185" w:type="dxa"/>
            <w:shd w:val="clear" w:color="auto" w:fill="C6EFCE"/>
            <w:noWrap/>
            <w:vAlign w:val="center"/>
          </w:tcPr>
          <w:p w14:paraId="6A6777B2"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M7-16</w:t>
            </w:r>
          </w:p>
        </w:tc>
        <w:tc>
          <w:tcPr>
            <w:tcW w:w="1559" w:type="dxa"/>
            <w:shd w:val="clear" w:color="auto" w:fill="C6EFCE"/>
            <w:noWrap/>
            <w:vAlign w:val="center"/>
          </w:tcPr>
          <w:p w14:paraId="1E67EA6B"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Investeering 5. SA.CO.I.3</w:t>
            </w:r>
          </w:p>
        </w:tc>
        <w:tc>
          <w:tcPr>
            <w:tcW w:w="1134" w:type="dxa"/>
            <w:shd w:val="clear" w:color="auto" w:fill="C6EFCE"/>
            <w:noWrap/>
            <w:vAlign w:val="center"/>
          </w:tcPr>
          <w:p w14:paraId="1398BCED"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vAlign w:val="center"/>
          </w:tcPr>
          <w:p w14:paraId="65949076"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Hankemenetlus</w:t>
            </w:r>
          </w:p>
        </w:tc>
        <w:tc>
          <w:tcPr>
            <w:tcW w:w="1984" w:type="dxa"/>
            <w:shd w:val="clear" w:color="auto" w:fill="C6EFCE"/>
            <w:noWrap/>
            <w:vAlign w:val="center"/>
          </w:tcPr>
          <w:p w14:paraId="0F76D9D5"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Lepingute sõlmimisest teatamine</w:t>
            </w:r>
          </w:p>
        </w:tc>
        <w:tc>
          <w:tcPr>
            <w:tcW w:w="1134" w:type="dxa"/>
            <w:shd w:val="clear" w:color="auto" w:fill="C6EFCE"/>
            <w:noWrap/>
            <w:vAlign w:val="center"/>
          </w:tcPr>
          <w:p w14:paraId="5D8F877C" w14:textId="77777777" w:rsidR="0084326C" w:rsidRPr="005D68A0" w:rsidRDefault="0084326C">
            <w:pPr>
              <w:spacing w:after="120"/>
              <w:jc w:val="center"/>
              <w:rPr>
                <w:rFonts w:ascii="Arial Narrow" w:hAnsi="Arial Narrow"/>
                <w:noProof/>
                <w:color w:val="FF0000"/>
                <w:sz w:val="20"/>
                <w:szCs w:val="20"/>
                <w:lang w:val="en-GB"/>
              </w:rPr>
            </w:pPr>
          </w:p>
        </w:tc>
        <w:tc>
          <w:tcPr>
            <w:tcW w:w="993" w:type="dxa"/>
            <w:shd w:val="clear" w:color="auto" w:fill="C6EFCE"/>
            <w:noWrap/>
            <w:vAlign w:val="center"/>
          </w:tcPr>
          <w:p w14:paraId="664D8858" w14:textId="77777777" w:rsidR="0084326C" w:rsidRPr="005D68A0" w:rsidRDefault="0084326C">
            <w:pPr>
              <w:spacing w:after="120"/>
              <w:jc w:val="center"/>
              <w:rPr>
                <w:rFonts w:ascii="Arial Narrow" w:hAnsi="Arial Narrow"/>
                <w:noProof/>
                <w:color w:val="006100"/>
                <w:sz w:val="20"/>
                <w:szCs w:val="20"/>
                <w:lang w:val="en-GB"/>
              </w:rPr>
            </w:pPr>
          </w:p>
        </w:tc>
        <w:tc>
          <w:tcPr>
            <w:tcW w:w="992" w:type="dxa"/>
            <w:shd w:val="clear" w:color="auto" w:fill="C6EFCE"/>
            <w:noWrap/>
            <w:vAlign w:val="center"/>
          </w:tcPr>
          <w:p w14:paraId="4774922D" w14:textId="77777777" w:rsidR="0084326C" w:rsidRPr="005D68A0" w:rsidRDefault="0084326C">
            <w:pPr>
              <w:spacing w:after="120"/>
              <w:jc w:val="center"/>
              <w:rPr>
                <w:rFonts w:ascii="Arial Narrow" w:hAnsi="Arial Narrow"/>
                <w:noProof/>
                <w:color w:val="006100"/>
                <w:sz w:val="20"/>
                <w:szCs w:val="20"/>
                <w:lang w:val="en-GB"/>
              </w:rPr>
            </w:pPr>
          </w:p>
        </w:tc>
        <w:tc>
          <w:tcPr>
            <w:tcW w:w="992" w:type="dxa"/>
            <w:shd w:val="clear" w:color="auto" w:fill="C6EFCE"/>
            <w:noWrap/>
            <w:vAlign w:val="center"/>
          </w:tcPr>
          <w:p w14:paraId="5E18AC00"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4. kv</w:t>
            </w:r>
          </w:p>
        </w:tc>
        <w:tc>
          <w:tcPr>
            <w:tcW w:w="709" w:type="dxa"/>
            <w:shd w:val="clear" w:color="auto" w:fill="C6EFCE"/>
            <w:noWrap/>
            <w:vAlign w:val="center"/>
          </w:tcPr>
          <w:p w14:paraId="738B6C2A"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2024</w:t>
            </w:r>
          </w:p>
        </w:tc>
        <w:tc>
          <w:tcPr>
            <w:tcW w:w="3261" w:type="dxa"/>
            <w:shd w:val="clear" w:color="auto" w:fill="C6EFCE"/>
            <w:noWrap/>
            <w:vAlign w:val="center"/>
          </w:tcPr>
          <w:p w14:paraId="46C1843D"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Teade kõikide Sardiinia ja Toscana ümberehitusjaamade karpide ehitamiseks vajalike ehitustööde hankelepingute sõlmimise kohta.</w:t>
            </w:r>
          </w:p>
        </w:tc>
      </w:tr>
      <w:tr w:rsidR="00D42A0B" w:rsidRPr="00D90835" w14:paraId="4BA69890" w14:textId="77777777" w:rsidTr="72D320C3">
        <w:trPr>
          <w:trHeight w:val="309"/>
        </w:trPr>
        <w:tc>
          <w:tcPr>
            <w:tcW w:w="1185" w:type="dxa"/>
            <w:shd w:val="clear" w:color="auto" w:fill="C6EFCE"/>
            <w:noWrap/>
            <w:vAlign w:val="center"/>
          </w:tcPr>
          <w:p w14:paraId="1E003D3A"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M7-17</w:t>
            </w:r>
          </w:p>
        </w:tc>
        <w:tc>
          <w:tcPr>
            <w:tcW w:w="1559" w:type="dxa"/>
            <w:shd w:val="clear" w:color="auto" w:fill="C6EFCE"/>
            <w:noWrap/>
            <w:vAlign w:val="center"/>
          </w:tcPr>
          <w:p w14:paraId="0A399831"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Investeering 5. SA.CO.I.3</w:t>
            </w:r>
          </w:p>
        </w:tc>
        <w:tc>
          <w:tcPr>
            <w:tcW w:w="1134" w:type="dxa"/>
            <w:shd w:val="clear" w:color="auto" w:fill="C6EFCE"/>
            <w:noWrap/>
            <w:vAlign w:val="center"/>
          </w:tcPr>
          <w:p w14:paraId="5E90332A"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vAlign w:val="center"/>
          </w:tcPr>
          <w:p w14:paraId="5D07C845"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Sardiinia (Codrongianos) ja Toscana (Suvereto) ümberehitusjaamade karbid</w:t>
            </w:r>
          </w:p>
        </w:tc>
        <w:tc>
          <w:tcPr>
            <w:tcW w:w="1984" w:type="dxa"/>
            <w:shd w:val="clear" w:color="auto" w:fill="C6EFCE"/>
            <w:noWrap/>
            <w:vAlign w:val="center"/>
          </w:tcPr>
          <w:p w14:paraId="0E9ADC21"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Tööde lõpetamisest teatamine</w:t>
            </w:r>
          </w:p>
        </w:tc>
        <w:tc>
          <w:tcPr>
            <w:tcW w:w="1134" w:type="dxa"/>
            <w:shd w:val="clear" w:color="auto" w:fill="C6EFCE"/>
            <w:noWrap/>
            <w:vAlign w:val="center"/>
          </w:tcPr>
          <w:p w14:paraId="65FBA864" w14:textId="77777777" w:rsidR="0084326C" w:rsidRPr="005D68A0" w:rsidRDefault="0084326C">
            <w:pPr>
              <w:spacing w:after="120"/>
              <w:jc w:val="center"/>
              <w:rPr>
                <w:rFonts w:ascii="Arial Narrow" w:hAnsi="Arial Narrow"/>
                <w:noProof/>
                <w:color w:val="006100"/>
                <w:sz w:val="20"/>
                <w:szCs w:val="20"/>
                <w:lang w:val="en-GB"/>
              </w:rPr>
            </w:pPr>
          </w:p>
        </w:tc>
        <w:tc>
          <w:tcPr>
            <w:tcW w:w="993" w:type="dxa"/>
            <w:shd w:val="clear" w:color="auto" w:fill="C6EFCE"/>
            <w:noWrap/>
            <w:vAlign w:val="center"/>
          </w:tcPr>
          <w:p w14:paraId="0277EC55" w14:textId="77777777" w:rsidR="0084326C" w:rsidRPr="005D68A0" w:rsidRDefault="0084326C">
            <w:pPr>
              <w:spacing w:after="120"/>
              <w:jc w:val="center"/>
              <w:rPr>
                <w:rFonts w:ascii="Arial Narrow" w:hAnsi="Arial Narrow"/>
                <w:noProof/>
                <w:color w:val="006100"/>
                <w:sz w:val="20"/>
                <w:szCs w:val="20"/>
                <w:lang w:val="en-GB"/>
              </w:rPr>
            </w:pPr>
          </w:p>
        </w:tc>
        <w:tc>
          <w:tcPr>
            <w:tcW w:w="992" w:type="dxa"/>
            <w:shd w:val="clear" w:color="auto" w:fill="C6EFCE"/>
            <w:noWrap/>
            <w:vAlign w:val="center"/>
          </w:tcPr>
          <w:p w14:paraId="4DB230DA" w14:textId="77777777" w:rsidR="0084326C" w:rsidRPr="005D68A0" w:rsidRDefault="0084326C">
            <w:pPr>
              <w:spacing w:after="120"/>
              <w:jc w:val="center"/>
              <w:rPr>
                <w:rFonts w:ascii="Arial Narrow" w:hAnsi="Arial Narrow"/>
                <w:noProof/>
                <w:color w:val="006100"/>
                <w:sz w:val="20"/>
                <w:szCs w:val="20"/>
                <w:lang w:val="en-GB"/>
              </w:rPr>
            </w:pPr>
          </w:p>
        </w:tc>
        <w:tc>
          <w:tcPr>
            <w:tcW w:w="992" w:type="dxa"/>
            <w:shd w:val="clear" w:color="auto" w:fill="C6EFCE"/>
            <w:noWrap/>
            <w:vAlign w:val="center"/>
          </w:tcPr>
          <w:p w14:paraId="4808E8F9"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 kv</w:t>
            </w:r>
          </w:p>
        </w:tc>
        <w:tc>
          <w:tcPr>
            <w:tcW w:w="709" w:type="dxa"/>
            <w:shd w:val="clear" w:color="auto" w:fill="C6EFCE"/>
            <w:noWrap/>
            <w:vAlign w:val="center"/>
          </w:tcPr>
          <w:p w14:paraId="18DE77C5"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2026</w:t>
            </w:r>
          </w:p>
        </w:tc>
        <w:tc>
          <w:tcPr>
            <w:tcW w:w="3261" w:type="dxa"/>
            <w:shd w:val="clear" w:color="auto" w:fill="C6EFCE"/>
            <w:noWrap/>
            <w:vAlign w:val="center"/>
          </w:tcPr>
          <w:p w14:paraId="29A575D8"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Teade Sardiinia ja Toscana ümberehitamisjaamade kestade valmimise kohta.</w:t>
            </w:r>
          </w:p>
        </w:tc>
      </w:tr>
      <w:tr w:rsidR="00D42A0B" w:rsidRPr="00D90835" w14:paraId="2257809E" w14:textId="77777777" w:rsidTr="72D320C3">
        <w:trPr>
          <w:trHeight w:val="309"/>
        </w:trPr>
        <w:tc>
          <w:tcPr>
            <w:tcW w:w="1185" w:type="dxa"/>
            <w:shd w:val="clear" w:color="auto" w:fill="C6EFCE"/>
            <w:noWrap/>
            <w:vAlign w:val="center"/>
          </w:tcPr>
          <w:p w14:paraId="5137B5E3"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M7-18</w:t>
            </w:r>
          </w:p>
        </w:tc>
        <w:tc>
          <w:tcPr>
            <w:tcW w:w="1559" w:type="dxa"/>
            <w:shd w:val="clear" w:color="auto" w:fill="C6EFCE"/>
            <w:noWrap/>
            <w:vAlign w:val="center"/>
          </w:tcPr>
          <w:p w14:paraId="61499CAE"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Investeering 6. Piiriülesed elektrivõrkude ühendamise projektid Itaalia ja naaberriikide vahel</w:t>
            </w:r>
          </w:p>
        </w:tc>
        <w:tc>
          <w:tcPr>
            <w:tcW w:w="1134" w:type="dxa"/>
            <w:shd w:val="clear" w:color="auto" w:fill="C6EFCE"/>
            <w:noWrap/>
            <w:vAlign w:val="center"/>
          </w:tcPr>
          <w:p w14:paraId="600CA988"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vAlign w:val="center"/>
          </w:tcPr>
          <w:p w14:paraId="60D0BCF1" w14:textId="77777777" w:rsidR="0084326C" w:rsidRPr="005D68A0" w:rsidRDefault="0084326C">
            <w:pPr>
              <w:spacing w:after="120"/>
              <w:jc w:val="center"/>
              <w:rPr>
                <w:rFonts w:ascii="Arial Narrow" w:hAnsi="Arial Narrow"/>
                <w:noProof/>
                <w:color w:val="FF0000"/>
                <w:sz w:val="20"/>
                <w:szCs w:val="20"/>
              </w:rPr>
            </w:pPr>
            <w:r>
              <w:rPr>
                <w:rFonts w:ascii="Arial Narrow" w:hAnsi="Arial Narrow"/>
                <w:noProof/>
                <w:color w:val="006100"/>
                <w:sz w:val="20"/>
              </w:rPr>
              <w:t>Lepingute sõlmimine Itaalia ja Austria „Somplago – Würmlach“ võrkudevahelise ühenduse ehitamiseks</w:t>
            </w:r>
          </w:p>
        </w:tc>
        <w:tc>
          <w:tcPr>
            <w:tcW w:w="1984" w:type="dxa"/>
            <w:shd w:val="clear" w:color="auto" w:fill="C6EFCE"/>
            <w:noWrap/>
            <w:vAlign w:val="center"/>
          </w:tcPr>
          <w:p w14:paraId="42ED5107"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Lepingute sõlmimisest teatamine</w:t>
            </w:r>
          </w:p>
        </w:tc>
        <w:tc>
          <w:tcPr>
            <w:tcW w:w="1134" w:type="dxa"/>
            <w:shd w:val="clear" w:color="auto" w:fill="C6EFCE"/>
            <w:noWrap/>
            <w:vAlign w:val="center"/>
          </w:tcPr>
          <w:p w14:paraId="254A4D77" w14:textId="77777777" w:rsidR="0084326C" w:rsidRPr="005D68A0" w:rsidRDefault="0084326C">
            <w:pPr>
              <w:spacing w:after="120"/>
              <w:jc w:val="center"/>
              <w:rPr>
                <w:rFonts w:ascii="Arial Narrow" w:hAnsi="Arial Narrow"/>
                <w:noProof/>
                <w:color w:val="006100"/>
                <w:sz w:val="20"/>
                <w:szCs w:val="20"/>
                <w:lang w:val="en-GB"/>
              </w:rPr>
            </w:pPr>
          </w:p>
        </w:tc>
        <w:tc>
          <w:tcPr>
            <w:tcW w:w="993" w:type="dxa"/>
            <w:shd w:val="clear" w:color="auto" w:fill="C6EFCE"/>
            <w:noWrap/>
            <w:vAlign w:val="center"/>
          </w:tcPr>
          <w:p w14:paraId="2E8A927E" w14:textId="77777777" w:rsidR="0084326C" w:rsidRPr="005D68A0" w:rsidRDefault="0084326C">
            <w:pPr>
              <w:spacing w:after="120"/>
              <w:jc w:val="center"/>
              <w:rPr>
                <w:rFonts w:ascii="Arial Narrow" w:hAnsi="Arial Narrow"/>
                <w:noProof/>
                <w:color w:val="006100"/>
                <w:sz w:val="20"/>
                <w:szCs w:val="20"/>
                <w:lang w:val="en-GB"/>
              </w:rPr>
            </w:pPr>
          </w:p>
        </w:tc>
        <w:tc>
          <w:tcPr>
            <w:tcW w:w="992" w:type="dxa"/>
            <w:shd w:val="clear" w:color="auto" w:fill="C6EFCE"/>
            <w:noWrap/>
            <w:vAlign w:val="center"/>
          </w:tcPr>
          <w:p w14:paraId="1522B176" w14:textId="77777777" w:rsidR="0084326C" w:rsidRPr="005D68A0" w:rsidRDefault="0084326C">
            <w:pPr>
              <w:spacing w:after="120"/>
              <w:jc w:val="center"/>
              <w:rPr>
                <w:rFonts w:ascii="Arial Narrow" w:hAnsi="Arial Narrow"/>
                <w:noProof/>
                <w:color w:val="006100"/>
                <w:sz w:val="20"/>
                <w:szCs w:val="20"/>
                <w:lang w:val="en-GB"/>
              </w:rPr>
            </w:pPr>
          </w:p>
        </w:tc>
        <w:tc>
          <w:tcPr>
            <w:tcW w:w="992" w:type="dxa"/>
            <w:shd w:val="clear" w:color="auto" w:fill="C6EFCE"/>
            <w:noWrap/>
            <w:vAlign w:val="center"/>
          </w:tcPr>
          <w:p w14:paraId="6EFEAC7E"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3. kv</w:t>
            </w:r>
          </w:p>
        </w:tc>
        <w:tc>
          <w:tcPr>
            <w:tcW w:w="709" w:type="dxa"/>
            <w:shd w:val="clear" w:color="auto" w:fill="C6EFCE"/>
            <w:noWrap/>
            <w:vAlign w:val="center"/>
          </w:tcPr>
          <w:p w14:paraId="3B2C598E"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2025</w:t>
            </w:r>
          </w:p>
        </w:tc>
        <w:tc>
          <w:tcPr>
            <w:tcW w:w="3261" w:type="dxa"/>
            <w:shd w:val="clear" w:color="auto" w:fill="C6EFCE"/>
            <w:noWrap/>
            <w:vAlign w:val="center"/>
          </w:tcPr>
          <w:p w14:paraId="2F747920" w14:textId="77777777" w:rsidR="0084326C" w:rsidRPr="005D68A0" w:rsidRDefault="0084326C">
            <w:pPr>
              <w:spacing w:after="120"/>
              <w:rPr>
                <w:rFonts w:ascii="Arial Narrow" w:hAnsi="Arial Narrow"/>
                <w:noProof/>
                <w:color w:val="FF0000"/>
                <w:sz w:val="20"/>
                <w:szCs w:val="20"/>
              </w:rPr>
            </w:pPr>
            <w:r>
              <w:rPr>
                <w:rFonts w:ascii="Arial Narrow" w:hAnsi="Arial Narrow"/>
                <w:noProof/>
                <w:color w:val="006100"/>
                <w:sz w:val="20"/>
              </w:rPr>
              <w:t>Teade kõigi lepingute sõlmimise kohta, mis on vajalikud Itaalia ja Austria vahelise ühenduse „Somplago – Würmlach“ ehitamise alustamiseks.</w:t>
            </w:r>
          </w:p>
        </w:tc>
      </w:tr>
      <w:tr w:rsidR="00D42A0B" w:rsidRPr="00D90835" w14:paraId="12450B33" w14:textId="77777777" w:rsidTr="72D320C3">
        <w:trPr>
          <w:trHeight w:val="309"/>
        </w:trPr>
        <w:tc>
          <w:tcPr>
            <w:tcW w:w="1185" w:type="dxa"/>
            <w:shd w:val="clear" w:color="auto" w:fill="C6EFCE"/>
            <w:noWrap/>
            <w:vAlign w:val="center"/>
          </w:tcPr>
          <w:p w14:paraId="11EDE586"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M7-19</w:t>
            </w:r>
          </w:p>
        </w:tc>
        <w:tc>
          <w:tcPr>
            <w:tcW w:w="1559" w:type="dxa"/>
            <w:shd w:val="clear" w:color="auto" w:fill="C6EFCE"/>
            <w:noWrap/>
            <w:vAlign w:val="center"/>
          </w:tcPr>
          <w:p w14:paraId="6E8AFB07"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Investeering 6. Piiriülesed elektrivõrkude ühendamise projektid Itaalia ja naaberriikide vahel</w:t>
            </w:r>
          </w:p>
        </w:tc>
        <w:tc>
          <w:tcPr>
            <w:tcW w:w="1134" w:type="dxa"/>
            <w:shd w:val="clear" w:color="auto" w:fill="C6EFCE"/>
            <w:noWrap/>
            <w:vAlign w:val="center"/>
          </w:tcPr>
          <w:p w14:paraId="64CD21F8"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Siht</w:t>
            </w:r>
          </w:p>
        </w:tc>
        <w:tc>
          <w:tcPr>
            <w:tcW w:w="1418" w:type="dxa"/>
            <w:shd w:val="clear" w:color="auto" w:fill="C6EFCE"/>
            <w:noWrap/>
            <w:vAlign w:val="center"/>
          </w:tcPr>
          <w:p w14:paraId="2C9D0CA0"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Itaalia ja Austria võrkudevahelise ühenduse nimivõimsuse suurenemine seoses võrkudevahelise ühenduse lõpuleviimisega</w:t>
            </w:r>
          </w:p>
        </w:tc>
        <w:tc>
          <w:tcPr>
            <w:tcW w:w="1984" w:type="dxa"/>
            <w:shd w:val="clear" w:color="auto" w:fill="C6EFCE"/>
            <w:noWrap/>
            <w:vAlign w:val="center"/>
          </w:tcPr>
          <w:p w14:paraId="1FFA0E53" w14:textId="77777777" w:rsidR="0084326C" w:rsidRPr="00F33804" w:rsidRDefault="0084326C">
            <w:pPr>
              <w:spacing w:after="120"/>
              <w:jc w:val="center"/>
              <w:rPr>
                <w:rFonts w:ascii="Arial Narrow" w:hAnsi="Arial Narrow"/>
                <w:noProof/>
                <w:color w:val="006100"/>
                <w:sz w:val="20"/>
                <w:szCs w:val="20"/>
              </w:rPr>
            </w:pPr>
          </w:p>
        </w:tc>
        <w:tc>
          <w:tcPr>
            <w:tcW w:w="1134" w:type="dxa"/>
            <w:shd w:val="clear" w:color="auto" w:fill="C6EFCE"/>
            <w:noWrap/>
            <w:vAlign w:val="center"/>
          </w:tcPr>
          <w:p w14:paraId="57044278"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MW</w:t>
            </w:r>
          </w:p>
        </w:tc>
        <w:tc>
          <w:tcPr>
            <w:tcW w:w="993" w:type="dxa"/>
            <w:shd w:val="clear" w:color="auto" w:fill="C6EFCE"/>
            <w:noWrap/>
            <w:vAlign w:val="center"/>
          </w:tcPr>
          <w:p w14:paraId="5976D7E6"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0</w:t>
            </w:r>
          </w:p>
        </w:tc>
        <w:tc>
          <w:tcPr>
            <w:tcW w:w="992" w:type="dxa"/>
            <w:shd w:val="clear" w:color="auto" w:fill="C6EFCE"/>
            <w:noWrap/>
            <w:vAlign w:val="center"/>
          </w:tcPr>
          <w:p w14:paraId="3F457862"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300</w:t>
            </w:r>
          </w:p>
        </w:tc>
        <w:tc>
          <w:tcPr>
            <w:tcW w:w="992" w:type="dxa"/>
            <w:shd w:val="clear" w:color="auto" w:fill="C6EFCE"/>
            <w:noWrap/>
            <w:vAlign w:val="center"/>
          </w:tcPr>
          <w:p w14:paraId="67281BAB"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 kv</w:t>
            </w:r>
          </w:p>
        </w:tc>
        <w:tc>
          <w:tcPr>
            <w:tcW w:w="709" w:type="dxa"/>
            <w:shd w:val="clear" w:color="auto" w:fill="C6EFCE"/>
            <w:noWrap/>
            <w:vAlign w:val="center"/>
          </w:tcPr>
          <w:p w14:paraId="08BA67AF"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2026</w:t>
            </w:r>
          </w:p>
        </w:tc>
        <w:tc>
          <w:tcPr>
            <w:tcW w:w="3261" w:type="dxa"/>
            <w:shd w:val="clear" w:color="auto" w:fill="C6EFCE"/>
            <w:noWrap/>
            <w:vAlign w:val="center"/>
          </w:tcPr>
          <w:p w14:paraId="72286203"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Itaalia-Austria võrkudevahelise ühenduse lõpuleviimine: „Somplago – Würmlach“. Pärast tööde lõpetamist Itaalia poolel suurendatakse Itaalia ja Austria vahelise ühenduse nimivõimsust 300 MW võrra.</w:t>
            </w:r>
          </w:p>
        </w:tc>
      </w:tr>
      <w:tr w:rsidR="00D42A0B" w:rsidRPr="00D90835" w14:paraId="0A0FB879" w14:textId="77777777" w:rsidTr="72D320C3">
        <w:trPr>
          <w:trHeight w:val="309"/>
        </w:trPr>
        <w:tc>
          <w:tcPr>
            <w:tcW w:w="1185" w:type="dxa"/>
            <w:shd w:val="clear" w:color="auto" w:fill="C6EFCE"/>
            <w:noWrap/>
            <w:vAlign w:val="center"/>
          </w:tcPr>
          <w:p w14:paraId="7DCB4B9C"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M7-20</w:t>
            </w:r>
          </w:p>
        </w:tc>
        <w:tc>
          <w:tcPr>
            <w:tcW w:w="1559" w:type="dxa"/>
            <w:shd w:val="clear" w:color="auto" w:fill="C6EFCE"/>
            <w:noWrap/>
            <w:vAlign w:val="center"/>
          </w:tcPr>
          <w:p w14:paraId="7B20A6B0"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Investeering 6. Piiriülesed elektrivõrkude ühendamise projektid Itaalia ja naaberriikide vahel</w:t>
            </w:r>
          </w:p>
        </w:tc>
        <w:tc>
          <w:tcPr>
            <w:tcW w:w="1134" w:type="dxa"/>
            <w:shd w:val="clear" w:color="auto" w:fill="C6EFCE"/>
            <w:noWrap/>
            <w:vAlign w:val="center"/>
          </w:tcPr>
          <w:p w14:paraId="2EA7BA6E"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vAlign w:val="center"/>
          </w:tcPr>
          <w:p w14:paraId="73A7D79D"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 xml:space="preserve">Lepingute sõlmimine Itaalia ja Sloveenia vahelise kahe võrkudevahelise ühenduse ehitamiseks: „Zaule – Dekani“ ja „Redipuglia – Vrtojba“  </w:t>
            </w:r>
          </w:p>
        </w:tc>
        <w:tc>
          <w:tcPr>
            <w:tcW w:w="1984" w:type="dxa"/>
            <w:shd w:val="clear" w:color="auto" w:fill="C6EFCE"/>
            <w:noWrap/>
            <w:vAlign w:val="center"/>
          </w:tcPr>
          <w:p w14:paraId="09079115"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Lepingute sõlmimisest teatamine</w:t>
            </w:r>
          </w:p>
        </w:tc>
        <w:tc>
          <w:tcPr>
            <w:tcW w:w="1134" w:type="dxa"/>
            <w:shd w:val="clear" w:color="auto" w:fill="C6EFCE"/>
            <w:noWrap/>
            <w:vAlign w:val="center"/>
          </w:tcPr>
          <w:p w14:paraId="02558D9A" w14:textId="77777777" w:rsidR="0084326C" w:rsidRPr="005D68A0" w:rsidRDefault="0084326C">
            <w:pPr>
              <w:spacing w:after="120"/>
              <w:jc w:val="center"/>
              <w:rPr>
                <w:rFonts w:ascii="Arial Narrow" w:hAnsi="Arial Narrow"/>
                <w:noProof/>
                <w:color w:val="006100"/>
                <w:sz w:val="20"/>
                <w:szCs w:val="20"/>
                <w:lang w:val="en-GB"/>
              </w:rPr>
            </w:pPr>
          </w:p>
        </w:tc>
        <w:tc>
          <w:tcPr>
            <w:tcW w:w="993" w:type="dxa"/>
            <w:shd w:val="clear" w:color="auto" w:fill="C6EFCE"/>
            <w:noWrap/>
            <w:vAlign w:val="center"/>
          </w:tcPr>
          <w:p w14:paraId="2725FE8D" w14:textId="77777777" w:rsidR="0084326C" w:rsidRPr="005D68A0" w:rsidRDefault="0084326C">
            <w:pPr>
              <w:spacing w:after="120"/>
              <w:jc w:val="center"/>
              <w:rPr>
                <w:rFonts w:ascii="Arial Narrow" w:hAnsi="Arial Narrow"/>
                <w:noProof/>
                <w:color w:val="006100"/>
                <w:sz w:val="20"/>
                <w:szCs w:val="20"/>
                <w:lang w:val="en-GB"/>
              </w:rPr>
            </w:pPr>
          </w:p>
        </w:tc>
        <w:tc>
          <w:tcPr>
            <w:tcW w:w="992" w:type="dxa"/>
            <w:shd w:val="clear" w:color="auto" w:fill="C6EFCE"/>
            <w:noWrap/>
            <w:vAlign w:val="center"/>
          </w:tcPr>
          <w:p w14:paraId="77A32423" w14:textId="77777777" w:rsidR="0084326C" w:rsidRPr="005D68A0" w:rsidRDefault="0084326C">
            <w:pPr>
              <w:spacing w:after="120"/>
              <w:jc w:val="center"/>
              <w:rPr>
                <w:rFonts w:ascii="Arial Narrow" w:hAnsi="Arial Narrow"/>
                <w:noProof/>
                <w:color w:val="006100"/>
                <w:sz w:val="20"/>
                <w:szCs w:val="20"/>
                <w:lang w:val="en-GB"/>
              </w:rPr>
            </w:pPr>
          </w:p>
        </w:tc>
        <w:tc>
          <w:tcPr>
            <w:tcW w:w="992" w:type="dxa"/>
            <w:shd w:val="clear" w:color="auto" w:fill="C6EFCE"/>
            <w:noWrap/>
            <w:vAlign w:val="center"/>
          </w:tcPr>
          <w:p w14:paraId="48AE5D68"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 kv</w:t>
            </w:r>
          </w:p>
        </w:tc>
        <w:tc>
          <w:tcPr>
            <w:tcW w:w="709" w:type="dxa"/>
            <w:shd w:val="clear" w:color="auto" w:fill="C6EFCE"/>
            <w:noWrap/>
            <w:vAlign w:val="center"/>
          </w:tcPr>
          <w:p w14:paraId="64424103"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2025</w:t>
            </w:r>
          </w:p>
        </w:tc>
        <w:tc>
          <w:tcPr>
            <w:tcW w:w="3261" w:type="dxa"/>
            <w:shd w:val="clear" w:color="auto" w:fill="C6EFCE"/>
            <w:noWrap/>
            <w:vAlign w:val="center"/>
          </w:tcPr>
          <w:p w14:paraId="5CC4EEF3"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Teade kõigi lepingute sõlmimise kohta, mis on vajalikud kahe Itaalia ja Sloveenia vahelise võrkudevahelise ühenduse ehitamise alustamiseks: „Zaule-Dekani“ ja „Redipuglia-Vrtojba“.</w:t>
            </w:r>
          </w:p>
        </w:tc>
      </w:tr>
      <w:tr w:rsidR="00D42A0B" w:rsidRPr="00D90835" w14:paraId="7BF07362" w14:textId="77777777" w:rsidTr="72D320C3">
        <w:trPr>
          <w:trHeight w:val="309"/>
        </w:trPr>
        <w:tc>
          <w:tcPr>
            <w:tcW w:w="1185" w:type="dxa"/>
            <w:shd w:val="clear" w:color="auto" w:fill="C6EFCE"/>
            <w:noWrap/>
            <w:vAlign w:val="center"/>
          </w:tcPr>
          <w:p w14:paraId="1824A56B"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M7-21</w:t>
            </w:r>
          </w:p>
        </w:tc>
        <w:tc>
          <w:tcPr>
            <w:tcW w:w="1559" w:type="dxa"/>
            <w:shd w:val="clear" w:color="auto" w:fill="C6EFCE"/>
            <w:noWrap/>
            <w:vAlign w:val="center"/>
          </w:tcPr>
          <w:p w14:paraId="50EABAD5"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Investeering 6. Piiriülesed elektrivõrkude ühendamise projektid Itaalia ja naaberriikide vahel</w:t>
            </w:r>
          </w:p>
        </w:tc>
        <w:tc>
          <w:tcPr>
            <w:tcW w:w="1134" w:type="dxa"/>
            <w:shd w:val="clear" w:color="auto" w:fill="C6EFCE"/>
            <w:noWrap/>
            <w:vAlign w:val="center"/>
          </w:tcPr>
          <w:p w14:paraId="580E69B9"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Siht</w:t>
            </w:r>
          </w:p>
        </w:tc>
        <w:tc>
          <w:tcPr>
            <w:tcW w:w="1418" w:type="dxa"/>
            <w:shd w:val="clear" w:color="auto" w:fill="C6EFCE"/>
            <w:noWrap/>
            <w:vAlign w:val="center"/>
          </w:tcPr>
          <w:p w14:paraId="3BFAD113"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Itaalia ja Sloveenia võrkudevahelise ühenduse nimivõimsuse suurendamine pärast tööde lõpetamist</w:t>
            </w:r>
          </w:p>
        </w:tc>
        <w:tc>
          <w:tcPr>
            <w:tcW w:w="1984" w:type="dxa"/>
            <w:shd w:val="clear" w:color="auto" w:fill="C6EFCE"/>
            <w:noWrap/>
            <w:vAlign w:val="center"/>
          </w:tcPr>
          <w:p w14:paraId="20338AD7" w14:textId="77777777" w:rsidR="0084326C" w:rsidRPr="00F33804" w:rsidRDefault="0084326C">
            <w:pPr>
              <w:spacing w:after="120"/>
              <w:jc w:val="center"/>
              <w:rPr>
                <w:rFonts w:ascii="Arial Narrow" w:hAnsi="Arial Narrow"/>
                <w:noProof/>
                <w:color w:val="006100"/>
                <w:sz w:val="20"/>
                <w:szCs w:val="20"/>
              </w:rPr>
            </w:pPr>
          </w:p>
        </w:tc>
        <w:tc>
          <w:tcPr>
            <w:tcW w:w="1134" w:type="dxa"/>
            <w:shd w:val="clear" w:color="auto" w:fill="C6EFCE"/>
            <w:noWrap/>
            <w:vAlign w:val="center"/>
          </w:tcPr>
          <w:p w14:paraId="746211C6"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MW</w:t>
            </w:r>
          </w:p>
        </w:tc>
        <w:tc>
          <w:tcPr>
            <w:tcW w:w="993" w:type="dxa"/>
            <w:shd w:val="clear" w:color="auto" w:fill="C6EFCE"/>
            <w:noWrap/>
            <w:vAlign w:val="center"/>
          </w:tcPr>
          <w:p w14:paraId="7150D78E"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0</w:t>
            </w:r>
          </w:p>
        </w:tc>
        <w:tc>
          <w:tcPr>
            <w:tcW w:w="992" w:type="dxa"/>
            <w:shd w:val="clear" w:color="auto" w:fill="C6EFCE"/>
            <w:noWrap/>
            <w:vAlign w:val="center"/>
          </w:tcPr>
          <w:p w14:paraId="456A61E4"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250</w:t>
            </w:r>
          </w:p>
        </w:tc>
        <w:tc>
          <w:tcPr>
            <w:tcW w:w="992" w:type="dxa"/>
            <w:shd w:val="clear" w:color="auto" w:fill="C6EFCE"/>
            <w:noWrap/>
            <w:vAlign w:val="center"/>
          </w:tcPr>
          <w:p w14:paraId="1D3A32AF"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4. kv</w:t>
            </w:r>
          </w:p>
        </w:tc>
        <w:tc>
          <w:tcPr>
            <w:tcW w:w="709" w:type="dxa"/>
            <w:shd w:val="clear" w:color="auto" w:fill="C6EFCE"/>
            <w:noWrap/>
            <w:vAlign w:val="center"/>
          </w:tcPr>
          <w:p w14:paraId="5CB728A8"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2025</w:t>
            </w:r>
          </w:p>
        </w:tc>
        <w:tc>
          <w:tcPr>
            <w:tcW w:w="3261" w:type="dxa"/>
            <w:shd w:val="clear" w:color="auto" w:fill="C6EFCE"/>
            <w:noWrap/>
            <w:vAlign w:val="center"/>
          </w:tcPr>
          <w:p w14:paraId="799FA100"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Itaalia-Sloveenia võrkudevaheliste ühenduste lõpuleviimine: „Zaule – Dekani“ ja „Redipuglia – Vrtojba“. Pärast tööde lõpetamist Itaalia poolel suurendatakse Itaalia ja Sloveenia vahelise kahe võrkudevahelise ühenduse kumulatiivset nimivõimsust 250 MW võrra.</w:t>
            </w:r>
          </w:p>
        </w:tc>
      </w:tr>
      <w:tr w:rsidR="00D42A0B" w:rsidRPr="00D90835" w14:paraId="2ED2BFC5" w14:textId="77777777" w:rsidTr="72D320C3">
        <w:trPr>
          <w:trHeight w:val="309"/>
        </w:trPr>
        <w:tc>
          <w:tcPr>
            <w:tcW w:w="1185" w:type="dxa"/>
            <w:shd w:val="clear" w:color="auto" w:fill="C6EFCE"/>
            <w:noWrap/>
            <w:vAlign w:val="center"/>
          </w:tcPr>
          <w:p w14:paraId="52877681"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M7-22</w:t>
            </w:r>
          </w:p>
        </w:tc>
        <w:tc>
          <w:tcPr>
            <w:tcW w:w="1559" w:type="dxa"/>
            <w:shd w:val="clear" w:color="auto" w:fill="C6EFCE"/>
            <w:noWrap/>
            <w:vAlign w:val="center"/>
          </w:tcPr>
          <w:p w14:paraId="31DA0F1A"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Investeering 7. Arukas riiklik ülekandevõrk</w:t>
            </w:r>
          </w:p>
        </w:tc>
        <w:tc>
          <w:tcPr>
            <w:tcW w:w="1134" w:type="dxa"/>
            <w:shd w:val="clear" w:color="auto" w:fill="C6EFCE"/>
            <w:noWrap/>
            <w:vAlign w:val="center"/>
          </w:tcPr>
          <w:p w14:paraId="158222ED"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Siht</w:t>
            </w:r>
          </w:p>
        </w:tc>
        <w:tc>
          <w:tcPr>
            <w:tcW w:w="1418" w:type="dxa"/>
            <w:shd w:val="clear" w:color="auto" w:fill="C6EFCE"/>
            <w:noWrap/>
            <w:vAlign w:val="center"/>
          </w:tcPr>
          <w:p w14:paraId="3C82A6B4"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5G-seadmete või IKT-arhitektuuri paigaldamine jaamadesse</w:t>
            </w:r>
          </w:p>
        </w:tc>
        <w:tc>
          <w:tcPr>
            <w:tcW w:w="1984" w:type="dxa"/>
            <w:shd w:val="clear" w:color="auto" w:fill="C6EFCE"/>
            <w:noWrap/>
            <w:vAlign w:val="center"/>
          </w:tcPr>
          <w:p w14:paraId="7B42219A" w14:textId="77777777" w:rsidR="0084326C" w:rsidRPr="00F33804" w:rsidRDefault="0084326C">
            <w:pPr>
              <w:spacing w:after="120"/>
              <w:jc w:val="center"/>
              <w:rPr>
                <w:rFonts w:ascii="Arial Narrow" w:hAnsi="Arial Narrow"/>
                <w:noProof/>
                <w:color w:val="006100"/>
                <w:sz w:val="20"/>
                <w:szCs w:val="20"/>
              </w:rPr>
            </w:pPr>
          </w:p>
        </w:tc>
        <w:tc>
          <w:tcPr>
            <w:tcW w:w="1134" w:type="dxa"/>
            <w:shd w:val="clear" w:color="auto" w:fill="C6EFCE"/>
            <w:noWrap/>
            <w:vAlign w:val="center"/>
          </w:tcPr>
          <w:p w14:paraId="33100576"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Jaamade arv</w:t>
            </w:r>
          </w:p>
        </w:tc>
        <w:tc>
          <w:tcPr>
            <w:tcW w:w="993" w:type="dxa"/>
            <w:shd w:val="clear" w:color="auto" w:fill="C6EFCE"/>
            <w:noWrap/>
            <w:vAlign w:val="center"/>
          </w:tcPr>
          <w:p w14:paraId="08AE44BB"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0</w:t>
            </w:r>
          </w:p>
        </w:tc>
        <w:tc>
          <w:tcPr>
            <w:tcW w:w="992" w:type="dxa"/>
            <w:shd w:val="clear" w:color="auto" w:fill="C6EFCE"/>
            <w:noWrap/>
            <w:vAlign w:val="center"/>
          </w:tcPr>
          <w:p w14:paraId="208F6AA4" w14:textId="77777777" w:rsidR="0084326C" w:rsidRPr="005D68A0" w:rsidRDefault="0084326C">
            <w:pPr>
              <w:spacing w:after="120"/>
              <w:jc w:val="center"/>
              <w:rPr>
                <w:rFonts w:ascii="Arial Narrow" w:hAnsi="Arial Narrow"/>
                <w:strike/>
                <w:noProof/>
                <w:color w:val="006100"/>
                <w:sz w:val="20"/>
                <w:szCs w:val="20"/>
              </w:rPr>
            </w:pPr>
            <w:r>
              <w:rPr>
                <w:rFonts w:ascii="Arial Narrow" w:hAnsi="Arial Narrow"/>
                <w:noProof/>
                <w:color w:val="006100"/>
                <w:sz w:val="20"/>
              </w:rPr>
              <w:t>40</w:t>
            </w:r>
          </w:p>
        </w:tc>
        <w:tc>
          <w:tcPr>
            <w:tcW w:w="992" w:type="dxa"/>
            <w:shd w:val="clear" w:color="auto" w:fill="C6EFCE"/>
            <w:noWrap/>
            <w:vAlign w:val="center"/>
          </w:tcPr>
          <w:p w14:paraId="38FACB9A"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 kv</w:t>
            </w:r>
          </w:p>
        </w:tc>
        <w:tc>
          <w:tcPr>
            <w:tcW w:w="709" w:type="dxa"/>
            <w:shd w:val="clear" w:color="auto" w:fill="C6EFCE"/>
            <w:noWrap/>
            <w:vAlign w:val="center"/>
          </w:tcPr>
          <w:p w14:paraId="0861AB5D"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2026</w:t>
            </w:r>
          </w:p>
        </w:tc>
        <w:tc>
          <w:tcPr>
            <w:tcW w:w="3261" w:type="dxa"/>
            <w:shd w:val="clear" w:color="auto" w:fill="C6EFCE"/>
            <w:noWrap/>
            <w:vAlign w:val="center"/>
          </w:tcPr>
          <w:p w14:paraId="25F7CF27"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Uus 5G-seade või IKT-arhitektuur paigaldatakse ja seda rakendatakse vähemalt 40 jaamas.</w:t>
            </w:r>
          </w:p>
        </w:tc>
      </w:tr>
      <w:tr w:rsidR="00D42A0B" w:rsidRPr="00D90835" w14:paraId="7DAC94E8" w14:textId="77777777" w:rsidTr="72D320C3">
        <w:trPr>
          <w:trHeight w:val="147"/>
        </w:trPr>
        <w:tc>
          <w:tcPr>
            <w:tcW w:w="1185" w:type="dxa"/>
            <w:shd w:val="clear" w:color="auto" w:fill="C6EFCE"/>
            <w:noWrap/>
            <w:vAlign w:val="center"/>
          </w:tcPr>
          <w:p w14:paraId="6613AFAC"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M7-23</w:t>
            </w:r>
          </w:p>
        </w:tc>
        <w:tc>
          <w:tcPr>
            <w:tcW w:w="1559" w:type="dxa"/>
            <w:shd w:val="clear" w:color="auto" w:fill="C6EFCE"/>
            <w:noWrap/>
            <w:vAlign w:val="center"/>
          </w:tcPr>
          <w:p w14:paraId="1C4741C9"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Investeering 7. Arukas riiklik ülekandevõrk</w:t>
            </w:r>
          </w:p>
        </w:tc>
        <w:tc>
          <w:tcPr>
            <w:tcW w:w="1134" w:type="dxa"/>
            <w:shd w:val="clear" w:color="auto" w:fill="C6EFCE"/>
            <w:noWrap/>
            <w:vAlign w:val="center"/>
          </w:tcPr>
          <w:p w14:paraId="74B38FDD"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Siht</w:t>
            </w:r>
          </w:p>
        </w:tc>
        <w:tc>
          <w:tcPr>
            <w:tcW w:w="1418" w:type="dxa"/>
            <w:shd w:val="clear" w:color="auto" w:fill="C6EFCE"/>
            <w:noWrap/>
            <w:vAlign w:val="center"/>
          </w:tcPr>
          <w:p w14:paraId="27A2F4F1"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 xml:space="preserve"> Uus võrguhaldus- ja kontrollisüsteem</w:t>
            </w:r>
          </w:p>
        </w:tc>
        <w:tc>
          <w:tcPr>
            <w:tcW w:w="1984" w:type="dxa"/>
            <w:shd w:val="clear" w:color="auto" w:fill="C6EFCE"/>
            <w:noWrap/>
            <w:vAlign w:val="center"/>
          </w:tcPr>
          <w:p w14:paraId="319B8B82" w14:textId="77777777" w:rsidR="0084326C" w:rsidRPr="005D68A0" w:rsidRDefault="0084326C">
            <w:pPr>
              <w:spacing w:after="120"/>
              <w:jc w:val="center"/>
              <w:rPr>
                <w:rFonts w:ascii="Arial Narrow" w:hAnsi="Arial Narrow"/>
                <w:noProof/>
                <w:color w:val="006100"/>
                <w:sz w:val="20"/>
                <w:szCs w:val="20"/>
                <w:lang w:val="en-GB"/>
              </w:rPr>
            </w:pPr>
          </w:p>
        </w:tc>
        <w:tc>
          <w:tcPr>
            <w:tcW w:w="1134" w:type="dxa"/>
            <w:shd w:val="clear" w:color="auto" w:fill="C6EFCE"/>
            <w:noWrap/>
            <w:vAlign w:val="center"/>
          </w:tcPr>
          <w:p w14:paraId="3743B86B"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 xml:space="preserve">Arv </w:t>
            </w:r>
          </w:p>
        </w:tc>
        <w:tc>
          <w:tcPr>
            <w:tcW w:w="993" w:type="dxa"/>
            <w:shd w:val="clear" w:color="auto" w:fill="C6EFCE"/>
            <w:noWrap/>
            <w:vAlign w:val="center"/>
          </w:tcPr>
          <w:p w14:paraId="3C06B192"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0</w:t>
            </w:r>
          </w:p>
        </w:tc>
        <w:tc>
          <w:tcPr>
            <w:tcW w:w="992" w:type="dxa"/>
            <w:shd w:val="clear" w:color="auto" w:fill="C6EFCE"/>
            <w:noWrap/>
            <w:vAlign w:val="center"/>
          </w:tcPr>
          <w:p w14:paraId="67D6F991"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250</w:t>
            </w:r>
          </w:p>
        </w:tc>
        <w:tc>
          <w:tcPr>
            <w:tcW w:w="992" w:type="dxa"/>
            <w:shd w:val="clear" w:color="auto" w:fill="C6EFCE"/>
            <w:noWrap/>
            <w:vAlign w:val="center"/>
          </w:tcPr>
          <w:p w14:paraId="3D310D1D"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 kv</w:t>
            </w:r>
          </w:p>
        </w:tc>
        <w:tc>
          <w:tcPr>
            <w:tcW w:w="709" w:type="dxa"/>
            <w:shd w:val="clear" w:color="auto" w:fill="C6EFCE"/>
            <w:noWrap/>
            <w:vAlign w:val="center"/>
          </w:tcPr>
          <w:p w14:paraId="1DD0D86B"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2026</w:t>
            </w:r>
          </w:p>
        </w:tc>
        <w:tc>
          <w:tcPr>
            <w:tcW w:w="3261" w:type="dxa"/>
            <w:shd w:val="clear" w:color="auto" w:fill="C6EFCE"/>
            <w:noWrap/>
            <w:vAlign w:val="center"/>
          </w:tcPr>
          <w:p w14:paraId="700B5444"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Turvalise protokolli nr 104 (IEC 62351 protokoll) paigaldamine vähemalt 250 elektrijaama.</w:t>
            </w:r>
          </w:p>
        </w:tc>
      </w:tr>
      <w:tr w:rsidR="00D42A0B" w:rsidRPr="00D90835" w14:paraId="15563316" w14:textId="77777777" w:rsidTr="72D320C3">
        <w:trPr>
          <w:trHeight w:val="147"/>
        </w:trPr>
        <w:tc>
          <w:tcPr>
            <w:tcW w:w="1185" w:type="dxa"/>
            <w:shd w:val="clear" w:color="auto" w:fill="C6EFCE"/>
            <w:noWrap/>
            <w:vAlign w:val="center"/>
          </w:tcPr>
          <w:p w14:paraId="60D9912C"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M7-24</w:t>
            </w:r>
          </w:p>
        </w:tc>
        <w:tc>
          <w:tcPr>
            <w:tcW w:w="1559" w:type="dxa"/>
            <w:shd w:val="clear" w:color="auto" w:fill="C6EFCE"/>
            <w:noWrap/>
            <w:vAlign w:val="center"/>
          </w:tcPr>
          <w:p w14:paraId="15A33FCB"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Investeering 7. Arukas riiklik ülekandevõrk</w:t>
            </w:r>
          </w:p>
        </w:tc>
        <w:tc>
          <w:tcPr>
            <w:tcW w:w="1134" w:type="dxa"/>
            <w:shd w:val="clear" w:color="auto" w:fill="C6EFCE"/>
            <w:noWrap/>
            <w:vAlign w:val="center"/>
          </w:tcPr>
          <w:p w14:paraId="32D31D6C"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 xml:space="preserve">Siht </w:t>
            </w:r>
          </w:p>
        </w:tc>
        <w:tc>
          <w:tcPr>
            <w:tcW w:w="1418" w:type="dxa"/>
            <w:shd w:val="clear" w:color="auto" w:fill="C6EFCE"/>
            <w:noWrap/>
            <w:vAlign w:val="center"/>
          </w:tcPr>
          <w:p w14:paraId="681C876E"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Tööstuslik asjade internet</w:t>
            </w:r>
          </w:p>
        </w:tc>
        <w:tc>
          <w:tcPr>
            <w:tcW w:w="1984" w:type="dxa"/>
            <w:shd w:val="clear" w:color="auto" w:fill="C6EFCE"/>
            <w:noWrap/>
            <w:vAlign w:val="center"/>
          </w:tcPr>
          <w:p w14:paraId="298486F1" w14:textId="77777777" w:rsidR="0084326C" w:rsidRPr="005D68A0" w:rsidRDefault="0084326C">
            <w:pPr>
              <w:spacing w:after="120"/>
              <w:jc w:val="center"/>
              <w:rPr>
                <w:rFonts w:ascii="Arial Narrow" w:hAnsi="Arial Narrow"/>
                <w:noProof/>
                <w:color w:val="006100"/>
                <w:sz w:val="20"/>
                <w:szCs w:val="20"/>
                <w:lang w:val="en-GB"/>
              </w:rPr>
            </w:pPr>
          </w:p>
        </w:tc>
        <w:tc>
          <w:tcPr>
            <w:tcW w:w="1134" w:type="dxa"/>
            <w:shd w:val="clear" w:color="auto" w:fill="C6EFCE"/>
            <w:noWrap/>
            <w:vAlign w:val="center"/>
          </w:tcPr>
          <w:p w14:paraId="5C398851"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Arv</w:t>
            </w:r>
          </w:p>
        </w:tc>
        <w:tc>
          <w:tcPr>
            <w:tcW w:w="993" w:type="dxa"/>
            <w:shd w:val="clear" w:color="auto" w:fill="C6EFCE"/>
            <w:noWrap/>
            <w:vAlign w:val="center"/>
          </w:tcPr>
          <w:p w14:paraId="262F712E"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0</w:t>
            </w:r>
          </w:p>
        </w:tc>
        <w:tc>
          <w:tcPr>
            <w:tcW w:w="992" w:type="dxa"/>
            <w:shd w:val="clear" w:color="auto" w:fill="C6EFCE"/>
            <w:noWrap/>
            <w:vAlign w:val="center"/>
          </w:tcPr>
          <w:p w14:paraId="0515BED1" w14:textId="3D4BB4CA"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1 500</w:t>
            </w:r>
          </w:p>
        </w:tc>
        <w:tc>
          <w:tcPr>
            <w:tcW w:w="992" w:type="dxa"/>
            <w:shd w:val="clear" w:color="auto" w:fill="C6EFCE"/>
            <w:noWrap/>
            <w:vAlign w:val="center"/>
          </w:tcPr>
          <w:p w14:paraId="2E4607E2"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 kv</w:t>
            </w:r>
          </w:p>
        </w:tc>
        <w:tc>
          <w:tcPr>
            <w:tcW w:w="709" w:type="dxa"/>
            <w:shd w:val="clear" w:color="auto" w:fill="C6EFCE"/>
            <w:noWrap/>
            <w:vAlign w:val="center"/>
          </w:tcPr>
          <w:p w14:paraId="4FA9262B"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2026</w:t>
            </w:r>
          </w:p>
        </w:tc>
        <w:tc>
          <w:tcPr>
            <w:tcW w:w="3261" w:type="dxa"/>
            <w:shd w:val="clear" w:color="auto" w:fill="C6EFCE"/>
            <w:noWrap/>
            <w:vAlign w:val="center"/>
          </w:tcPr>
          <w:p w14:paraId="272A1AE3" w14:textId="4CFEB0E5"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Tööstusliku asjade interneti seiresüsteemid, mis on paigaldatud vähemalt 1 500 elektrimastisse, et koguda andmeid, mida saab juhtimissüsteemis töödelda.</w:t>
            </w:r>
          </w:p>
        </w:tc>
      </w:tr>
      <w:tr w:rsidR="002A5450" w:rsidRPr="00D90835" w14:paraId="45CE2327" w14:textId="77777777" w:rsidTr="72D320C3">
        <w:trPr>
          <w:trHeight w:val="2206"/>
        </w:trPr>
        <w:tc>
          <w:tcPr>
            <w:tcW w:w="118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6F28472"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M7-25</w:t>
            </w:r>
          </w:p>
        </w:tc>
        <w:tc>
          <w:tcPr>
            <w:tcW w:w="1559" w:type="dxa"/>
            <w:tcBorders>
              <w:top w:val="single" w:sz="4" w:space="0" w:color="auto"/>
              <w:left w:val="single" w:sz="4" w:space="0" w:color="auto"/>
              <w:bottom w:val="single" w:sz="4" w:space="0" w:color="auto"/>
              <w:right w:val="single" w:sz="4" w:space="0" w:color="auto"/>
            </w:tcBorders>
            <w:shd w:val="clear" w:color="auto" w:fill="C6EFCE"/>
            <w:noWrap/>
          </w:tcPr>
          <w:p w14:paraId="40CFDEC2" w14:textId="0D67CC76"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Investeering 8. Kriitilise tähtsusega toorainete kestlik, ringluspõhine ja turvaline tarnimine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01A18E0C"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14:paraId="2DD32678"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Kriitilise tähtsusega toorainete tulevasi vajadusi ja ökodisaini potentsiaali käsitleva aruande avaldamine, et vähendada nõudlust kriitilise tähtsusega toorainete järele</w:t>
            </w:r>
          </w:p>
        </w:tc>
        <w:tc>
          <w:tcPr>
            <w:tcW w:w="198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877A7B5"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Aruande avaldamine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1698F20"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9A4A1F2"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Ei kohaldata</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BE57E82"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Ei kohaldata</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33008A"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 kv</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5A89AA2"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2025</w:t>
            </w:r>
          </w:p>
        </w:tc>
        <w:tc>
          <w:tcPr>
            <w:tcW w:w="3261" w:type="dxa"/>
            <w:tcBorders>
              <w:top w:val="single" w:sz="4" w:space="0" w:color="auto"/>
              <w:left w:val="single" w:sz="4" w:space="0" w:color="auto"/>
              <w:bottom w:val="single" w:sz="4" w:space="0" w:color="auto"/>
              <w:right w:val="single" w:sz="4" w:space="0" w:color="auto"/>
            </w:tcBorders>
            <w:shd w:val="clear" w:color="auto" w:fill="C6EFCE"/>
            <w:noWrap/>
          </w:tcPr>
          <w:p w14:paraId="3040ECEE"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 xml:space="preserve">Aruandes analüüsitakse kriitilise tähtsusega toorainete tulevasi vajadusi ja ökodisaini potentsiaali vähendada nõudlust kriitilise tähtsusega toorainete järele. </w:t>
            </w:r>
          </w:p>
        </w:tc>
      </w:tr>
      <w:tr w:rsidR="00D42A0B" w:rsidRPr="00D90835" w14:paraId="49D9DDC6" w14:textId="77777777" w:rsidTr="72D320C3">
        <w:trPr>
          <w:trHeight w:val="309"/>
        </w:trPr>
        <w:tc>
          <w:tcPr>
            <w:tcW w:w="1185" w:type="dxa"/>
            <w:shd w:val="clear" w:color="auto" w:fill="C6EFCE"/>
            <w:noWrap/>
            <w:vAlign w:val="center"/>
          </w:tcPr>
          <w:p w14:paraId="10276DF5"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M7-26</w:t>
            </w:r>
          </w:p>
        </w:tc>
        <w:tc>
          <w:tcPr>
            <w:tcW w:w="1559" w:type="dxa"/>
            <w:shd w:val="clear" w:color="auto" w:fill="C6EFCE"/>
            <w:noWrap/>
          </w:tcPr>
          <w:p w14:paraId="53B1FADD" w14:textId="621B7234"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Investeering 8. Kriitilise tähtsusega toorainete kestlik, ringluspõhine ja turvaline tarnimine</w:t>
            </w:r>
          </w:p>
        </w:tc>
        <w:tc>
          <w:tcPr>
            <w:tcW w:w="1134" w:type="dxa"/>
            <w:shd w:val="clear" w:color="auto" w:fill="C6EFCE"/>
            <w:noWrap/>
          </w:tcPr>
          <w:p w14:paraId="6DF1C63A" w14:textId="51F91C9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Eesmärk</w:t>
            </w:r>
          </w:p>
        </w:tc>
        <w:tc>
          <w:tcPr>
            <w:tcW w:w="1418" w:type="dxa"/>
            <w:shd w:val="clear" w:color="auto" w:fill="C6EFCE"/>
            <w:noWrap/>
          </w:tcPr>
          <w:p w14:paraId="6F4E8605"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Kaevandamisjäätmeid käsitlev geograafiline infosüsteem (GIS) kriitilise tähtsusega toorainete kestlikuks, ringluspõhiseks ja turvaliseks tarnimiseks</w:t>
            </w:r>
          </w:p>
        </w:tc>
        <w:tc>
          <w:tcPr>
            <w:tcW w:w="1984" w:type="dxa"/>
            <w:shd w:val="clear" w:color="auto" w:fill="C6EFCE"/>
            <w:noWrap/>
            <w:vAlign w:val="center"/>
          </w:tcPr>
          <w:p w14:paraId="32785DD6"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Andmebaasi avaldamine</w:t>
            </w:r>
          </w:p>
        </w:tc>
        <w:tc>
          <w:tcPr>
            <w:tcW w:w="1134" w:type="dxa"/>
            <w:shd w:val="clear" w:color="auto" w:fill="C6EFCE"/>
            <w:noWrap/>
            <w:vAlign w:val="center"/>
          </w:tcPr>
          <w:p w14:paraId="4EB4A37F"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Ei kohaldata</w:t>
            </w:r>
          </w:p>
        </w:tc>
        <w:tc>
          <w:tcPr>
            <w:tcW w:w="993" w:type="dxa"/>
            <w:shd w:val="clear" w:color="auto" w:fill="C6EFCE"/>
            <w:noWrap/>
            <w:vAlign w:val="center"/>
          </w:tcPr>
          <w:p w14:paraId="02F1274B"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Ei kohaldata</w:t>
            </w:r>
          </w:p>
        </w:tc>
        <w:tc>
          <w:tcPr>
            <w:tcW w:w="992" w:type="dxa"/>
            <w:shd w:val="clear" w:color="auto" w:fill="C6EFCE"/>
            <w:noWrap/>
            <w:vAlign w:val="center"/>
          </w:tcPr>
          <w:p w14:paraId="787D07CA"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Ei kohaldata</w:t>
            </w:r>
          </w:p>
        </w:tc>
        <w:tc>
          <w:tcPr>
            <w:tcW w:w="992" w:type="dxa"/>
            <w:shd w:val="clear" w:color="auto" w:fill="C6EFCE"/>
            <w:noWrap/>
            <w:vAlign w:val="center"/>
          </w:tcPr>
          <w:p w14:paraId="6FA0BC48"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4. kv</w:t>
            </w:r>
          </w:p>
        </w:tc>
        <w:tc>
          <w:tcPr>
            <w:tcW w:w="709" w:type="dxa"/>
            <w:shd w:val="clear" w:color="auto" w:fill="C6EFCE"/>
            <w:noWrap/>
            <w:vAlign w:val="center"/>
          </w:tcPr>
          <w:p w14:paraId="0463F64B"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2025</w:t>
            </w:r>
          </w:p>
        </w:tc>
        <w:tc>
          <w:tcPr>
            <w:tcW w:w="3261" w:type="dxa"/>
            <w:shd w:val="clear" w:color="auto" w:fill="C6EFCE"/>
            <w:noWrap/>
            <w:vAlign w:val="center"/>
          </w:tcPr>
          <w:p w14:paraId="09EC5086"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Avalik andmebaas (geograafiline infosüsteem), mis võimaldab ringlussevõetavate ressursside või materjalide geolokaliseerimist ja visualiseerimist linnakeskkonnas (linnakaevandused) ning mahajäetud kaevandustes olemasolevate jäätmete geolokaliseerimist ja visualiseerimist.</w:t>
            </w:r>
          </w:p>
        </w:tc>
      </w:tr>
      <w:tr w:rsidR="00D42A0B" w:rsidRPr="00D90835" w14:paraId="3ACD45D7" w14:textId="77777777" w:rsidTr="72D320C3">
        <w:trPr>
          <w:trHeight w:val="309"/>
        </w:trPr>
        <w:tc>
          <w:tcPr>
            <w:tcW w:w="1185" w:type="dxa"/>
            <w:shd w:val="clear" w:color="auto" w:fill="C6EFCE"/>
            <w:noWrap/>
            <w:vAlign w:val="center"/>
          </w:tcPr>
          <w:p w14:paraId="461DDE81"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M7-27</w:t>
            </w:r>
          </w:p>
        </w:tc>
        <w:tc>
          <w:tcPr>
            <w:tcW w:w="1559" w:type="dxa"/>
            <w:shd w:val="clear" w:color="auto" w:fill="C6EFCE"/>
            <w:noWrap/>
          </w:tcPr>
          <w:p w14:paraId="02EDD215" w14:textId="5CCAB5AE"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Investeering 8. Kriitilise tähtsusega toorainete kestlik, ringluspõhine ja turvaline tarnimine</w:t>
            </w:r>
          </w:p>
        </w:tc>
        <w:tc>
          <w:tcPr>
            <w:tcW w:w="1134" w:type="dxa"/>
            <w:shd w:val="clear" w:color="auto" w:fill="C6EFCE"/>
            <w:noWrap/>
          </w:tcPr>
          <w:p w14:paraId="78A13396"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 xml:space="preserve">Siht </w:t>
            </w:r>
          </w:p>
        </w:tc>
        <w:tc>
          <w:tcPr>
            <w:tcW w:w="1418" w:type="dxa"/>
            <w:shd w:val="clear" w:color="auto" w:fill="C6EFCE"/>
            <w:noWrap/>
          </w:tcPr>
          <w:p w14:paraId="5B44F808"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Ökodisaini ja linnakaevandamise teadus- ja arendusprojektide lõpuleviimine, et tagada kriitilise tähtsusega toorainete kestlik, ringluspõhine ja turvaline tarnimine</w:t>
            </w:r>
          </w:p>
        </w:tc>
        <w:tc>
          <w:tcPr>
            <w:tcW w:w="1984" w:type="dxa"/>
            <w:shd w:val="clear" w:color="auto" w:fill="C6EFCE"/>
            <w:noWrap/>
            <w:vAlign w:val="center"/>
          </w:tcPr>
          <w:p w14:paraId="7FEC2318" w14:textId="77777777" w:rsidR="0084326C" w:rsidRPr="00F33804" w:rsidRDefault="0084326C">
            <w:pPr>
              <w:spacing w:after="120"/>
              <w:jc w:val="center"/>
              <w:rPr>
                <w:rFonts w:ascii="Arial Narrow" w:hAnsi="Arial Narrow"/>
                <w:noProof/>
                <w:color w:val="006100"/>
                <w:sz w:val="20"/>
                <w:szCs w:val="20"/>
              </w:rPr>
            </w:pPr>
          </w:p>
        </w:tc>
        <w:tc>
          <w:tcPr>
            <w:tcW w:w="1134" w:type="dxa"/>
            <w:shd w:val="clear" w:color="auto" w:fill="C6EFCE"/>
            <w:noWrap/>
            <w:vAlign w:val="center"/>
          </w:tcPr>
          <w:p w14:paraId="210B47E8" w14:textId="77777777" w:rsidR="0084326C" w:rsidRPr="005D68A0" w:rsidRDefault="0084326C">
            <w:pPr>
              <w:spacing w:after="120"/>
              <w:jc w:val="center"/>
              <w:rPr>
                <w:rFonts w:ascii="Arial Narrow" w:hAnsi="Arial Narrow"/>
                <w:noProof/>
              </w:rPr>
            </w:pPr>
            <w:r>
              <w:rPr>
                <w:rFonts w:ascii="Arial Narrow" w:hAnsi="Arial Narrow"/>
                <w:noProof/>
                <w:color w:val="006100"/>
                <w:sz w:val="20"/>
              </w:rPr>
              <w:t>Arv</w:t>
            </w:r>
          </w:p>
        </w:tc>
        <w:tc>
          <w:tcPr>
            <w:tcW w:w="993" w:type="dxa"/>
            <w:shd w:val="clear" w:color="auto" w:fill="C6EFCE"/>
            <w:noWrap/>
            <w:vAlign w:val="center"/>
          </w:tcPr>
          <w:p w14:paraId="48D2503E"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0</w:t>
            </w:r>
          </w:p>
        </w:tc>
        <w:tc>
          <w:tcPr>
            <w:tcW w:w="992" w:type="dxa"/>
            <w:shd w:val="clear" w:color="auto" w:fill="C6EFCE"/>
            <w:noWrap/>
            <w:vAlign w:val="center"/>
          </w:tcPr>
          <w:p w14:paraId="475D46DF"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10</w:t>
            </w:r>
          </w:p>
        </w:tc>
        <w:tc>
          <w:tcPr>
            <w:tcW w:w="992" w:type="dxa"/>
            <w:shd w:val="clear" w:color="auto" w:fill="C6EFCE"/>
            <w:noWrap/>
            <w:vAlign w:val="center"/>
          </w:tcPr>
          <w:p w14:paraId="6074A583"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 kv</w:t>
            </w:r>
          </w:p>
        </w:tc>
        <w:tc>
          <w:tcPr>
            <w:tcW w:w="709" w:type="dxa"/>
            <w:shd w:val="clear" w:color="auto" w:fill="C6EFCE"/>
            <w:noWrap/>
            <w:vAlign w:val="center"/>
          </w:tcPr>
          <w:p w14:paraId="75FE7DE2"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2026</w:t>
            </w:r>
          </w:p>
        </w:tc>
        <w:tc>
          <w:tcPr>
            <w:tcW w:w="3261" w:type="dxa"/>
            <w:shd w:val="clear" w:color="auto" w:fill="C6EFCE"/>
            <w:noWrap/>
          </w:tcPr>
          <w:p w14:paraId="3F304B80"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Vähemalt 10 teadus- ja arendustegevuse projekti lõpuleviimine, mis keskenduvad ökodisainile ning elektri- ja elektroonikaseadmete jäätmete, sealhulgas tuuleturbiinide labade ja päikesepaneelide kogumise, logistika ja ringlussevõtu parandamisele.</w:t>
            </w:r>
          </w:p>
        </w:tc>
      </w:tr>
      <w:tr w:rsidR="00D42A0B" w:rsidRPr="00D90835" w14:paraId="16FC0B65" w14:textId="77777777" w:rsidTr="72D320C3">
        <w:trPr>
          <w:trHeight w:val="309"/>
        </w:trPr>
        <w:tc>
          <w:tcPr>
            <w:tcW w:w="1185" w:type="dxa"/>
            <w:shd w:val="clear" w:color="auto" w:fill="C6EFCE"/>
            <w:noWrap/>
            <w:vAlign w:val="center"/>
          </w:tcPr>
          <w:p w14:paraId="6FFD28DC"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M7-28</w:t>
            </w:r>
          </w:p>
        </w:tc>
        <w:tc>
          <w:tcPr>
            <w:tcW w:w="1559" w:type="dxa"/>
            <w:shd w:val="clear" w:color="auto" w:fill="C6EFCE"/>
            <w:noWrap/>
            <w:vAlign w:val="center"/>
          </w:tcPr>
          <w:p w14:paraId="5E15855E" w14:textId="67A8B278"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Investeering 8. Kriitilise tähtsusega toorainete kestlik, ringluspõhine ja turvaline tarnimine</w:t>
            </w:r>
          </w:p>
        </w:tc>
        <w:tc>
          <w:tcPr>
            <w:tcW w:w="1134" w:type="dxa"/>
            <w:shd w:val="clear" w:color="auto" w:fill="C6EFCE"/>
            <w:noWrap/>
            <w:vAlign w:val="center"/>
          </w:tcPr>
          <w:p w14:paraId="7AAA5451"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Siht</w:t>
            </w:r>
          </w:p>
        </w:tc>
        <w:tc>
          <w:tcPr>
            <w:tcW w:w="1418" w:type="dxa"/>
            <w:shd w:val="clear" w:color="auto" w:fill="C6EFCE"/>
            <w:noWrap/>
            <w:vAlign w:val="center"/>
          </w:tcPr>
          <w:p w14:paraId="73719A37"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Linnakaevandamise ja ökodisaini tehnoloogiakeskusesse kuuluvate laborite seadmed</w:t>
            </w:r>
          </w:p>
        </w:tc>
        <w:tc>
          <w:tcPr>
            <w:tcW w:w="1984" w:type="dxa"/>
            <w:shd w:val="clear" w:color="auto" w:fill="C6EFCE"/>
            <w:noWrap/>
          </w:tcPr>
          <w:p w14:paraId="6836144F" w14:textId="77777777" w:rsidR="0084326C" w:rsidRPr="00F33804" w:rsidRDefault="0084326C">
            <w:pPr>
              <w:spacing w:after="120"/>
              <w:jc w:val="center"/>
              <w:rPr>
                <w:rFonts w:ascii="Arial Narrow" w:hAnsi="Arial Narrow"/>
                <w:noProof/>
                <w:color w:val="006100"/>
                <w:sz w:val="20"/>
                <w:szCs w:val="20"/>
                <w:lang w:val="fr-BE"/>
              </w:rPr>
            </w:pPr>
          </w:p>
        </w:tc>
        <w:tc>
          <w:tcPr>
            <w:tcW w:w="1134" w:type="dxa"/>
            <w:shd w:val="clear" w:color="auto" w:fill="C6EFCE"/>
            <w:noWrap/>
            <w:vAlign w:val="center"/>
          </w:tcPr>
          <w:p w14:paraId="7DB5FCED"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Arv</w:t>
            </w:r>
          </w:p>
        </w:tc>
        <w:tc>
          <w:tcPr>
            <w:tcW w:w="993" w:type="dxa"/>
            <w:shd w:val="clear" w:color="auto" w:fill="C6EFCE"/>
            <w:noWrap/>
            <w:vAlign w:val="center"/>
          </w:tcPr>
          <w:p w14:paraId="49B51552"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0</w:t>
            </w:r>
          </w:p>
        </w:tc>
        <w:tc>
          <w:tcPr>
            <w:tcW w:w="992" w:type="dxa"/>
            <w:shd w:val="clear" w:color="auto" w:fill="C6EFCE"/>
            <w:noWrap/>
            <w:vAlign w:val="center"/>
          </w:tcPr>
          <w:p w14:paraId="42FFC321"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6</w:t>
            </w:r>
          </w:p>
        </w:tc>
        <w:tc>
          <w:tcPr>
            <w:tcW w:w="992" w:type="dxa"/>
            <w:shd w:val="clear" w:color="auto" w:fill="C6EFCE"/>
            <w:noWrap/>
            <w:vAlign w:val="center"/>
          </w:tcPr>
          <w:p w14:paraId="68EDA8BF"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 kv</w:t>
            </w:r>
          </w:p>
        </w:tc>
        <w:tc>
          <w:tcPr>
            <w:tcW w:w="709" w:type="dxa"/>
            <w:shd w:val="clear" w:color="auto" w:fill="C6EFCE"/>
            <w:noWrap/>
            <w:vAlign w:val="center"/>
          </w:tcPr>
          <w:p w14:paraId="006F867A"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2026</w:t>
            </w:r>
          </w:p>
        </w:tc>
        <w:tc>
          <w:tcPr>
            <w:tcW w:w="3261" w:type="dxa"/>
            <w:shd w:val="clear" w:color="auto" w:fill="C6EFCE"/>
            <w:noWrap/>
            <w:vAlign w:val="center"/>
          </w:tcPr>
          <w:p w14:paraId="518696B0"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Linnakaevandamise ja ökodisaini tehnoloogiakeskusesse kuuluva vähemalt kuue labori seadmed.</w:t>
            </w:r>
          </w:p>
          <w:p w14:paraId="334FC9C3"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 xml:space="preserve">Laborid võimaldavad eraettevõtjate ja teadusasutuste vahelist koostööd selliste lahenduste otsimisel, mille eesmärk on suurendada rohepöördega seotud kriitilise tähtsusega toorainete taaskasutamist ja ringlussevõttu. </w:t>
            </w:r>
          </w:p>
        </w:tc>
      </w:tr>
      <w:tr w:rsidR="002A5450" w:rsidRPr="00D90835" w14:paraId="1FF169EF" w14:textId="77777777" w:rsidTr="72D320C3">
        <w:trPr>
          <w:trHeight w:val="309"/>
        </w:trPr>
        <w:tc>
          <w:tcPr>
            <w:tcW w:w="1185" w:type="dxa"/>
            <w:tcBorders>
              <w:bottom w:val="single" w:sz="4" w:space="0" w:color="auto"/>
            </w:tcBorders>
            <w:shd w:val="clear" w:color="auto" w:fill="C6EFCE"/>
            <w:noWrap/>
            <w:vAlign w:val="center"/>
          </w:tcPr>
          <w:p w14:paraId="5E4DD517"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M7-29</w:t>
            </w:r>
          </w:p>
        </w:tc>
        <w:tc>
          <w:tcPr>
            <w:tcW w:w="1559" w:type="dxa"/>
            <w:tcBorders>
              <w:bottom w:val="single" w:sz="4" w:space="0" w:color="auto"/>
            </w:tcBorders>
            <w:shd w:val="clear" w:color="auto" w:fill="C6EFCE"/>
            <w:noWrap/>
            <w:vAlign w:val="center"/>
          </w:tcPr>
          <w:p w14:paraId="6AF4C46C"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Investeering 9. võimendatud meede: Anda tehnilist abi ja tugevdada suutlikkust Itaalia taaste- ja vastupidavuskava rakendamiseks</w:t>
            </w:r>
          </w:p>
        </w:tc>
        <w:tc>
          <w:tcPr>
            <w:tcW w:w="1134" w:type="dxa"/>
            <w:tcBorders>
              <w:bottom w:val="single" w:sz="4" w:space="0" w:color="auto"/>
            </w:tcBorders>
            <w:shd w:val="clear" w:color="auto" w:fill="C6EFCE"/>
            <w:noWrap/>
            <w:vAlign w:val="center"/>
          </w:tcPr>
          <w:p w14:paraId="4B2040BF"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Siht</w:t>
            </w:r>
          </w:p>
        </w:tc>
        <w:tc>
          <w:tcPr>
            <w:tcW w:w="1418" w:type="dxa"/>
            <w:tcBorders>
              <w:bottom w:val="single" w:sz="4" w:space="0" w:color="auto"/>
            </w:tcBorders>
            <w:shd w:val="clear" w:color="auto" w:fill="C6EFCE"/>
            <w:noWrap/>
            <w:vAlign w:val="center"/>
          </w:tcPr>
          <w:p w14:paraId="2F60AD3D"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Haridus ja koolitus</w:t>
            </w:r>
          </w:p>
        </w:tc>
        <w:tc>
          <w:tcPr>
            <w:tcW w:w="1984" w:type="dxa"/>
            <w:tcBorders>
              <w:bottom w:val="single" w:sz="4" w:space="0" w:color="auto"/>
            </w:tcBorders>
            <w:shd w:val="clear" w:color="auto" w:fill="C6EFCE"/>
            <w:noWrap/>
            <w:vAlign w:val="center"/>
          </w:tcPr>
          <w:p w14:paraId="2AE2CC70" w14:textId="77777777" w:rsidR="0084326C" w:rsidRPr="005D68A0" w:rsidRDefault="0084326C">
            <w:pPr>
              <w:spacing w:after="120"/>
              <w:jc w:val="center"/>
              <w:rPr>
                <w:rFonts w:ascii="Arial Narrow" w:hAnsi="Arial Narrow"/>
                <w:noProof/>
                <w:color w:val="006100"/>
                <w:sz w:val="20"/>
                <w:szCs w:val="20"/>
                <w:lang w:val="en-GB"/>
              </w:rPr>
            </w:pPr>
          </w:p>
        </w:tc>
        <w:tc>
          <w:tcPr>
            <w:tcW w:w="1134" w:type="dxa"/>
            <w:tcBorders>
              <w:bottom w:val="single" w:sz="4" w:space="0" w:color="auto"/>
            </w:tcBorders>
            <w:shd w:val="clear" w:color="auto" w:fill="C6EFCE"/>
            <w:noWrap/>
            <w:vAlign w:val="center"/>
          </w:tcPr>
          <w:p w14:paraId="59C99EE8"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Arv</w:t>
            </w:r>
          </w:p>
        </w:tc>
        <w:tc>
          <w:tcPr>
            <w:tcW w:w="993" w:type="dxa"/>
            <w:tcBorders>
              <w:bottom w:val="single" w:sz="4" w:space="0" w:color="auto"/>
            </w:tcBorders>
            <w:shd w:val="clear" w:color="auto" w:fill="C6EFCE"/>
            <w:noWrap/>
            <w:vAlign w:val="center"/>
          </w:tcPr>
          <w:p w14:paraId="26E2094B" w14:textId="458F49B1"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280 000</w:t>
            </w:r>
          </w:p>
        </w:tc>
        <w:tc>
          <w:tcPr>
            <w:tcW w:w="992" w:type="dxa"/>
            <w:tcBorders>
              <w:bottom w:val="single" w:sz="4" w:space="0" w:color="auto"/>
            </w:tcBorders>
            <w:shd w:val="clear" w:color="auto" w:fill="C6EFCE"/>
            <w:noWrap/>
            <w:vAlign w:val="center"/>
          </w:tcPr>
          <w:p w14:paraId="488B4203"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281 750</w:t>
            </w:r>
          </w:p>
        </w:tc>
        <w:tc>
          <w:tcPr>
            <w:tcW w:w="992" w:type="dxa"/>
            <w:tcBorders>
              <w:bottom w:val="single" w:sz="4" w:space="0" w:color="auto"/>
            </w:tcBorders>
            <w:shd w:val="clear" w:color="auto" w:fill="C6EFCE"/>
            <w:noWrap/>
            <w:vAlign w:val="center"/>
          </w:tcPr>
          <w:p w14:paraId="217036AC"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 kv</w:t>
            </w:r>
          </w:p>
        </w:tc>
        <w:tc>
          <w:tcPr>
            <w:tcW w:w="709" w:type="dxa"/>
            <w:tcBorders>
              <w:bottom w:val="single" w:sz="4" w:space="0" w:color="auto"/>
            </w:tcBorders>
            <w:shd w:val="clear" w:color="auto" w:fill="C6EFCE"/>
            <w:noWrap/>
            <w:vAlign w:val="center"/>
          </w:tcPr>
          <w:p w14:paraId="68EE2632"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2026</w:t>
            </w:r>
          </w:p>
        </w:tc>
        <w:tc>
          <w:tcPr>
            <w:tcW w:w="3261" w:type="dxa"/>
            <w:tcBorders>
              <w:bottom w:val="single" w:sz="4" w:space="0" w:color="auto"/>
            </w:tcBorders>
            <w:shd w:val="clear" w:color="auto" w:fill="C6EFCE"/>
            <w:noWrap/>
            <w:vAlign w:val="center"/>
          </w:tcPr>
          <w:p w14:paraId="133C3178"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Vähemalt 281 750 teiste haldusasutuste avaliku sektori töötajat on edukalt läbinud koolitusalgatused (ametlik sertifitseerimine või mõjuhinnang).</w:t>
            </w:r>
          </w:p>
          <w:p w14:paraId="07429241" w14:textId="30137016"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Vähemalt 1 750 neist avaliku sektori töötajatest peavad töötama kohalikus avalikus teenistuses ja olema läbinud rohepöörde teemalised koolitusalgatused, nagu on üksikasjalikult kirjeldatud meetme kirjelduses.</w:t>
            </w:r>
          </w:p>
        </w:tc>
      </w:tr>
      <w:tr w:rsidR="002A5450" w:rsidRPr="00D90835" w14:paraId="0278B904" w14:textId="77777777" w:rsidTr="72D320C3">
        <w:trPr>
          <w:trHeight w:val="309"/>
        </w:trPr>
        <w:tc>
          <w:tcPr>
            <w:tcW w:w="1185" w:type="dxa"/>
            <w:tcBorders>
              <w:top w:val="single" w:sz="4" w:space="0" w:color="auto"/>
            </w:tcBorders>
            <w:shd w:val="clear" w:color="auto" w:fill="C6EFCE"/>
            <w:noWrap/>
            <w:vAlign w:val="center"/>
          </w:tcPr>
          <w:p w14:paraId="0B79B0A5"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M7-30</w:t>
            </w:r>
          </w:p>
        </w:tc>
        <w:tc>
          <w:tcPr>
            <w:tcW w:w="1559" w:type="dxa"/>
            <w:tcBorders>
              <w:top w:val="single" w:sz="4" w:space="0" w:color="auto"/>
            </w:tcBorders>
            <w:shd w:val="clear" w:color="auto" w:fill="C6EFCE"/>
            <w:noWrap/>
            <w:vAlign w:val="center"/>
          </w:tcPr>
          <w:p w14:paraId="567A73F8"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Investeering 10. Oskuste katseprojektid „Crescere Green“</w:t>
            </w:r>
          </w:p>
        </w:tc>
        <w:tc>
          <w:tcPr>
            <w:tcW w:w="1134" w:type="dxa"/>
            <w:tcBorders>
              <w:top w:val="single" w:sz="4" w:space="0" w:color="auto"/>
            </w:tcBorders>
            <w:shd w:val="clear" w:color="auto" w:fill="C6EFCE"/>
            <w:noWrap/>
            <w:vAlign w:val="center"/>
          </w:tcPr>
          <w:p w14:paraId="32BFDC9E"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Siht</w:t>
            </w:r>
          </w:p>
        </w:tc>
        <w:tc>
          <w:tcPr>
            <w:tcW w:w="1418" w:type="dxa"/>
            <w:tcBorders>
              <w:top w:val="single" w:sz="4" w:space="0" w:color="auto"/>
            </w:tcBorders>
            <w:shd w:val="clear" w:color="auto" w:fill="C6EFCE"/>
            <w:noWrap/>
            <w:vAlign w:val="center"/>
          </w:tcPr>
          <w:p w14:paraId="057F65FB"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Koolituse pakkumine 20 000 inimesele</w:t>
            </w:r>
          </w:p>
        </w:tc>
        <w:tc>
          <w:tcPr>
            <w:tcW w:w="1984" w:type="dxa"/>
            <w:tcBorders>
              <w:top w:val="single" w:sz="4" w:space="0" w:color="auto"/>
            </w:tcBorders>
            <w:shd w:val="clear" w:color="auto" w:fill="C6EFCE"/>
            <w:noWrap/>
            <w:vAlign w:val="center"/>
          </w:tcPr>
          <w:p w14:paraId="0377F3BA" w14:textId="77777777" w:rsidR="0084326C" w:rsidRPr="005D68A0" w:rsidRDefault="0084326C">
            <w:pPr>
              <w:spacing w:after="120"/>
              <w:jc w:val="center"/>
              <w:rPr>
                <w:rFonts w:ascii="Arial Narrow" w:hAnsi="Arial Narrow"/>
                <w:noProof/>
                <w:color w:val="006100"/>
                <w:sz w:val="20"/>
                <w:szCs w:val="20"/>
                <w:lang w:val="en-GB"/>
              </w:rPr>
            </w:pPr>
          </w:p>
        </w:tc>
        <w:tc>
          <w:tcPr>
            <w:tcW w:w="1134" w:type="dxa"/>
            <w:tcBorders>
              <w:top w:val="single" w:sz="4" w:space="0" w:color="auto"/>
            </w:tcBorders>
            <w:shd w:val="clear" w:color="auto" w:fill="C6EFCE"/>
            <w:noWrap/>
            <w:vAlign w:val="center"/>
          </w:tcPr>
          <w:p w14:paraId="2BCDDA1F"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Arv</w:t>
            </w:r>
          </w:p>
        </w:tc>
        <w:tc>
          <w:tcPr>
            <w:tcW w:w="993" w:type="dxa"/>
            <w:tcBorders>
              <w:top w:val="single" w:sz="4" w:space="0" w:color="auto"/>
            </w:tcBorders>
            <w:shd w:val="clear" w:color="auto" w:fill="C6EFCE"/>
            <w:noWrap/>
            <w:vAlign w:val="center"/>
          </w:tcPr>
          <w:p w14:paraId="1335AFE8"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0</w:t>
            </w:r>
          </w:p>
        </w:tc>
        <w:tc>
          <w:tcPr>
            <w:tcW w:w="992" w:type="dxa"/>
            <w:tcBorders>
              <w:top w:val="single" w:sz="4" w:space="0" w:color="auto"/>
            </w:tcBorders>
            <w:shd w:val="clear" w:color="auto" w:fill="C6EFCE"/>
            <w:noWrap/>
            <w:vAlign w:val="center"/>
          </w:tcPr>
          <w:p w14:paraId="0DAA0631"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20 000</w:t>
            </w:r>
          </w:p>
        </w:tc>
        <w:tc>
          <w:tcPr>
            <w:tcW w:w="992" w:type="dxa"/>
            <w:tcBorders>
              <w:top w:val="single" w:sz="4" w:space="0" w:color="auto"/>
            </w:tcBorders>
            <w:shd w:val="clear" w:color="auto" w:fill="C6EFCE"/>
            <w:noWrap/>
            <w:vAlign w:val="center"/>
          </w:tcPr>
          <w:p w14:paraId="4EBC2E09"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 kv</w:t>
            </w:r>
          </w:p>
        </w:tc>
        <w:tc>
          <w:tcPr>
            <w:tcW w:w="709" w:type="dxa"/>
            <w:tcBorders>
              <w:top w:val="single" w:sz="4" w:space="0" w:color="auto"/>
            </w:tcBorders>
            <w:shd w:val="clear" w:color="auto" w:fill="C6EFCE"/>
            <w:noWrap/>
            <w:vAlign w:val="center"/>
          </w:tcPr>
          <w:p w14:paraId="243EFDDE"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2025</w:t>
            </w:r>
          </w:p>
        </w:tc>
        <w:tc>
          <w:tcPr>
            <w:tcW w:w="3261" w:type="dxa"/>
            <w:tcBorders>
              <w:top w:val="single" w:sz="4" w:space="0" w:color="auto"/>
            </w:tcBorders>
            <w:shd w:val="clear" w:color="auto" w:fill="C6EFCE"/>
            <w:noWrap/>
            <w:vAlign w:val="center"/>
          </w:tcPr>
          <w:p w14:paraId="1F9DE506"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 xml:space="preserve">Katseprojekt on korraldatud piirkonniti, kaasates erasektori ettevõtjaid. </w:t>
            </w:r>
          </w:p>
          <w:p w14:paraId="0767D393"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Koolituspakkujad peavad olema üleriigiliselt sertifitseeritud (</w:t>
            </w:r>
            <w:r>
              <w:rPr>
                <w:rFonts w:ascii="Arial Narrow" w:hAnsi="Arial Narrow"/>
                <w:i/>
                <w:noProof/>
                <w:color w:val="006100"/>
                <w:sz w:val="20"/>
              </w:rPr>
              <w:t>‘accreditati’</w:t>
            </w:r>
            <w:r>
              <w:rPr>
                <w:rFonts w:ascii="Arial Narrow" w:hAnsi="Arial Narrow"/>
                <w:noProof/>
                <w:color w:val="006100"/>
                <w:sz w:val="20"/>
              </w:rPr>
              <w:t xml:space="preserve">) vastavalt piirkondlikele õigusaktidele. Koolitusmoodulites keskendutakse rohepöördeks vajalikele valdkondlikele oskustele kooskõlas oskuste paktides kindlaks määratud kutsealadega ning neid jälgitakse riiklikul tasandil. </w:t>
            </w:r>
          </w:p>
          <w:p w14:paraId="352C7150"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Töötajate garanteeritud tööalase konkurentsivõime programmi toetusesaajate hulgas on koolitusmoodulid läbinud vähemalt 20 000 toetusesaajat. Haldussuutlikkuse suurendamisega seotud tegevused viiakse lõpule.</w:t>
            </w:r>
          </w:p>
          <w:p w14:paraId="0503EBC6"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Maksimaalselt 4 % vahenditest eraldatakse koolituse kavandamises ja pakkumises osalejate haldussuutlikkuse suurendamiseks.</w:t>
            </w:r>
          </w:p>
        </w:tc>
      </w:tr>
      <w:tr w:rsidR="002A5450" w:rsidRPr="00D90835" w14:paraId="62CD3753" w14:textId="77777777" w:rsidTr="72D320C3">
        <w:trPr>
          <w:trHeight w:val="309"/>
        </w:trPr>
        <w:tc>
          <w:tcPr>
            <w:tcW w:w="1185" w:type="dxa"/>
            <w:tcBorders>
              <w:top w:val="single" w:sz="4" w:space="0" w:color="auto"/>
            </w:tcBorders>
            <w:shd w:val="clear" w:color="auto" w:fill="C6EFCE"/>
            <w:noWrap/>
            <w:vAlign w:val="center"/>
          </w:tcPr>
          <w:p w14:paraId="6C5E76C3"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M7-31</w:t>
            </w:r>
          </w:p>
        </w:tc>
        <w:tc>
          <w:tcPr>
            <w:tcW w:w="1559" w:type="dxa"/>
            <w:tcBorders>
              <w:top w:val="single" w:sz="4" w:space="0" w:color="auto"/>
            </w:tcBorders>
            <w:shd w:val="clear" w:color="auto" w:fill="C6EFCE"/>
            <w:noWrap/>
            <w:vAlign w:val="center"/>
          </w:tcPr>
          <w:p w14:paraId="7EFF0C67" w14:textId="77777777" w:rsidR="0084326C" w:rsidRPr="005D68A0" w:rsidRDefault="0084326C">
            <w:pPr>
              <w:spacing w:after="120"/>
              <w:jc w:val="center"/>
              <w:rPr>
                <w:rFonts w:ascii="Arial Narrow" w:hAnsi="Arial Narrow"/>
                <w:noProof/>
                <w:color w:val="006100"/>
                <w:sz w:val="20"/>
              </w:rPr>
            </w:pPr>
            <w:bookmarkStart w:id="17" w:name="_Hlk160472344"/>
            <w:r>
              <w:rPr>
                <w:rFonts w:ascii="Arial Narrow" w:hAnsi="Arial Narrow"/>
                <w:noProof/>
                <w:color w:val="006100"/>
                <w:sz w:val="20"/>
              </w:rPr>
              <w:t>Investeering 11.  Heitevabade rongide ja universaalteenusega piirkondliku ühistranspordi raudteepargi tugevdamine</w:t>
            </w:r>
            <w:bookmarkEnd w:id="17"/>
          </w:p>
        </w:tc>
        <w:tc>
          <w:tcPr>
            <w:tcW w:w="1134" w:type="dxa"/>
            <w:tcBorders>
              <w:top w:val="single" w:sz="4" w:space="0" w:color="auto"/>
            </w:tcBorders>
            <w:shd w:val="clear" w:color="auto" w:fill="C6EFCE"/>
            <w:noWrap/>
            <w:vAlign w:val="center"/>
          </w:tcPr>
          <w:p w14:paraId="198BBC0A"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Siht</w:t>
            </w:r>
          </w:p>
        </w:tc>
        <w:tc>
          <w:tcPr>
            <w:tcW w:w="1418" w:type="dxa"/>
            <w:tcBorders>
              <w:top w:val="single" w:sz="4" w:space="0" w:color="auto"/>
            </w:tcBorders>
            <w:shd w:val="clear" w:color="auto" w:fill="C6EFCE"/>
            <w:noWrap/>
            <w:vAlign w:val="center"/>
          </w:tcPr>
          <w:p w14:paraId="20B97F69"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 xml:space="preserve">Nullheitmetega rongide arv ja vedude arv universaalteenuse puhul </w:t>
            </w:r>
          </w:p>
        </w:tc>
        <w:tc>
          <w:tcPr>
            <w:tcW w:w="1984" w:type="dxa"/>
            <w:tcBorders>
              <w:top w:val="single" w:sz="4" w:space="0" w:color="auto"/>
            </w:tcBorders>
            <w:shd w:val="clear" w:color="auto" w:fill="C6EFCE"/>
            <w:noWrap/>
            <w:vAlign w:val="center"/>
          </w:tcPr>
          <w:p w14:paraId="0759A655"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Ei kohaldata</w:t>
            </w:r>
          </w:p>
        </w:tc>
        <w:tc>
          <w:tcPr>
            <w:tcW w:w="1134" w:type="dxa"/>
            <w:tcBorders>
              <w:top w:val="single" w:sz="4" w:space="0" w:color="auto"/>
            </w:tcBorders>
            <w:shd w:val="clear" w:color="auto" w:fill="C6EFCE"/>
            <w:noWrap/>
            <w:vAlign w:val="center"/>
          </w:tcPr>
          <w:p w14:paraId="154EAD6C"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Arv</w:t>
            </w:r>
          </w:p>
        </w:tc>
        <w:tc>
          <w:tcPr>
            <w:tcW w:w="993" w:type="dxa"/>
            <w:tcBorders>
              <w:top w:val="single" w:sz="4" w:space="0" w:color="auto"/>
            </w:tcBorders>
            <w:shd w:val="clear" w:color="auto" w:fill="C6EFCE"/>
            <w:noWrap/>
            <w:vAlign w:val="center"/>
          </w:tcPr>
          <w:p w14:paraId="065FD7F6" w14:textId="48B235A1"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0</w:t>
            </w:r>
          </w:p>
        </w:tc>
        <w:tc>
          <w:tcPr>
            <w:tcW w:w="992" w:type="dxa"/>
            <w:tcBorders>
              <w:top w:val="single" w:sz="4" w:space="0" w:color="auto"/>
            </w:tcBorders>
            <w:shd w:val="clear" w:color="auto" w:fill="C6EFCE"/>
            <w:noWrap/>
            <w:vAlign w:val="center"/>
          </w:tcPr>
          <w:p w14:paraId="25ECB609" w14:textId="77C045D0"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69</w:t>
            </w:r>
          </w:p>
        </w:tc>
        <w:tc>
          <w:tcPr>
            <w:tcW w:w="992" w:type="dxa"/>
            <w:tcBorders>
              <w:top w:val="single" w:sz="4" w:space="0" w:color="auto"/>
            </w:tcBorders>
            <w:shd w:val="clear" w:color="auto" w:fill="C6EFCE"/>
            <w:noWrap/>
            <w:vAlign w:val="center"/>
          </w:tcPr>
          <w:p w14:paraId="05103D8E"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2. kv</w:t>
            </w:r>
          </w:p>
        </w:tc>
        <w:tc>
          <w:tcPr>
            <w:tcW w:w="709" w:type="dxa"/>
            <w:tcBorders>
              <w:top w:val="single" w:sz="4" w:space="0" w:color="auto"/>
            </w:tcBorders>
            <w:shd w:val="clear" w:color="auto" w:fill="C6EFCE"/>
            <w:noWrap/>
            <w:vAlign w:val="center"/>
          </w:tcPr>
          <w:p w14:paraId="5B163299"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2026</w:t>
            </w:r>
          </w:p>
        </w:tc>
        <w:tc>
          <w:tcPr>
            <w:tcW w:w="3261" w:type="dxa"/>
            <w:tcBorders>
              <w:top w:val="single" w:sz="4" w:space="0" w:color="auto"/>
            </w:tcBorders>
            <w:shd w:val="clear" w:color="auto" w:fill="C6EFCE"/>
            <w:noWrap/>
            <w:vAlign w:val="center"/>
          </w:tcPr>
          <w:p w14:paraId="7D9FF264" w14:textId="2B8788E5"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Seadusandliku dekreedi nr 57/2019 artikli 15 kohase EÜ vastavustõendamise deklaratsiooni (st Dichiarazione di verifica di conformità CE di cui all’art 15 del D.Lgs 57/2019) kasutuselevõtt ja omandamine vähemalt 69 heiteta (elektri- või vesinikkütuseelemendiga) rongi ja 30 universaalteenuste vedu lisaks ülesande 2 komponendi 2 investeeringus 4.4.2 osutatud veeremile</w:t>
            </w:r>
          </w:p>
          <w:p w14:paraId="7C22EC39" w14:textId="77777777" w:rsidR="0084326C" w:rsidRPr="005D68A0" w:rsidRDefault="0084326C">
            <w:pPr>
              <w:spacing w:after="120"/>
              <w:rPr>
                <w:rFonts w:ascii="Arial Narrow" w:hAnsi="Arial Narrow"/>
                <w:noProof/>
                <w:color w:val="006100"/>
                <w:sz w:val="20"/>
              </w:rPr>
            </w:pPr>
            <w:r>
              <w:rPr>
                <w:rFonts w:ascii="Arial Narrow" w:hAnsi="Arial Narrow"/>
                <w:noProof/>
                <w:color w:val="006100"/>
                <w:sz w:val="20"/>
              </w:rPr>
              <w:t>Universaalteenuse/linnadevahelise linna puhul kuulub taaste- ja vastupidavusrahastu vahenditest ostetud veerem riigile. Seega, kui turgu valitsevate teenuseosutajate teenusleping lõpeb, tehakse see veerem kättesaadavaks uuele teenuseosutajale, kellega sõlmitakse teenusleping, täielikus kooskõlas määrusega (EL) 1370/2007.</w:t>
            </w:r>
          </w:p>
        </w:tc>
      </w:tr>
      <w:tr w:rsidR="002A5450" w:rsidRPr="00D90835" w14:paraId="4AEEBD0A" w14:textId="77777777" w:rsidTr="72D320C3">
        <w:trPr>
          <w:trHeight w:val="309"/>
        </w:trPr>
        <w:tc>
          <w:tcPr>
            <w:tcW w:w="1185" w:type="dxa"/>
            <w:tcBorders>
              <w:top w:val="single" w:sz="4" w:space="0" w:color="auto"/>
            </w:tcBorders>
            <w:shd w:val="clear" w:color="auto" w:fill="C6EFCE"/>
            <w:noWrap/>
            <w:vAlign w:val="center"/>
          </w:tcPr>
          <w:p w14:paraId="75D0454A"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M7-32</w:t>
            </w:r>
          </w:p>
        </w:tc>
        <w:tc>
          <w:tcPr>
            <w:tcW w:w="1559" w:type="dxa"/>
            <w:tcBorders>
              <w:top w:val="single" w:sz="4" w:space="0" w:color="auto"/>
            </w:tcBorders>
            <w:shd w:val="clear" w:color="auto" w:fill="C6EFCE"/>
            <w:noWrap/>
            <w:vAlign w:val="center"/>
          </w:tcPr>
          <w:p w14:paraId="51FF156D" w14:textId="4706F9D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Investeering 12. Toetuskava rahvusvahelise, tööstusliku ning teadus- ja arendustegevuse alase juhtpositsiooni arendamiseks heitevabade busside valdkonnas</w:t>
            </w:r>
          </w:p>
        </w:tc>
        <w:tc>
          <w:tcPr>
            <w:tcW w:w="1134" w:type="dxa"/>
            <w:tcBorders>
              <w:top w:val="single" w:sz="4" w:space="0" w:color="auto"/>
            </w:tcBorders>
            <w:shd w:val="clear" w:color="auto" w:fill="C6EFCE"/>
            <w:noWrap/>
            <w:vAlign w:val="center"/>
          </w:tcPr>
          <w:p w14:paraId="41E5E604"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Eesmärk</w:t>
            </w:r>
          </w:p>
        </w:tc>
        <w:tc>
          <w:tcPr>
            <w:tcW w:w="1418" w:type="dxa"/>
            <w:tcBorders>
              <w:top w:val="single" w:sz="4" w:space="0" w:color="auto"/>
            </w:tcBorders>
            <w:shd w:val="clear" w:color="auto" w:fill="C6EFCE"/>
            <w:noWrap/>
            <w:vAlign w:val="center"/>
          </w:tcPr>
          <w:p w14:paraId="2BB6051D"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Rakendusleping</w:t>
            </w:r>
          </w:p>
        </w:tc>
        <w:tc>
          <w:tcPr>
            <w:tcW w:w="1984" w:type="dxa"/>
            <w:tcBorders>
              <w:top w:val="single" w:sz="4" w:space="0" w:color="auto"/>
            </w:tcBorders>
            <w:shd w:val="clear" w:color="auto" w:fill="C6EFCE"/>
            <w:noWrap/>
            <w:vAlign w:val="center"/>
          </w:tcPr>
          <w:p w14:paraId="00EF0554"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Rakenduskokkuleppe jõustumine</w:t>
            </w:r>
          </w:p>
        </w:tc>
        <w:tc>
          <w:tcPr>
            <w:tcW w:w="1134" w:type="dxa"/>
            <w:tcBorders>
              <w:top w:val="single" w:sz="4" w:space="0" w:color="auto"/>
            </w:tcBorders>
            <w:shd w:val="clear" w:color="auto" w:fill="C6EFCE"/>
            <w:noWrap/>
            <w:vAlign w:val="center"/>
          </w:tcPr>
          <w:p w14:paraId="6CAC082F"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 xml:space="preserve"> </w:t>
            </w:r>
          </w:p>
        </w:tc>
        <w:tc>
          <w:tcPr>
            <w:tcW w:w="993" w:type="dxa"/>
            <w:tcBorders>
              <w:top w:val="single" w:sz="4" w:space="0" w:color="auto"/>
            </w:tcBorders>
            <w:shd w:val="clear" w:color="auto" w:fill="C6EFCE"/>
            <w:noWrap/>
            <w:vAlign w:val="center"/>
          </w:tcPr>
          <w:p w14:paraId="1EC2D469" w14:textId="77777777" w:rsidR="0084326C" w:rsidRPr="005D68A0" w:rsidRDefault="0084326C">
            <w:pPr>
              <w:spacing w:after="120"/>
              <w:jc w:val="center"/>
              <w:rPr>
                <w:rFonts w:ascii="Arial Narrow" w:hAnsi="Arial Narrow"/>
                <w:noProof/>
                <w:color w:val="006100"/>
                <w:sz w:val="20"/>
                <w:lang w:val="en-GB"/>
              </w:rPr>
            </w:pPr>
          </w:p>
        </w:tc>
        <w:tc>
          <w:tcPr>
            <w:tcW w:w="992" w:type="dxa"/>
            <w:tcBorders>
              <w:top w:val="single" w:sz="4" w:space="0" w:color="auto"/>
            </w:tcBorders>
            <w:shd w:val="clear" w:color="auto" w:fill="C6EFCE"/>
            <w:noWrap/>
            <w:vAlign w:val="center"/>
          </w:tcPr>
          <w:p w14:paraId="335B7D5D"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 xml:space="preserve"> </w:t>
            </w:r>
          </w:p>
        </w:tc>
        <w:tc>
          <w:tcPr>
            <w:tcW w:w="992" w:type="dxa"/>
            <w:tcBorders>
              <w:top w:val="single" w:sz="4" w:space="0" w:color="auto"/>
            </w:tcBorders>
            <w:shd w:val="clear" w:color="auto" w:fill="C6EFCE"/>
            <w:noWrap/>
            <w:vAlign w:val="center"/>
          </w:tcPr>
          <w:p w14:paraId="57E51B9F"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1. kv</w:t>
            </w:r>
          </w:p>
        </w:tc>
        <w:tc>
          <w:tcPr>
            <w:tcW w:w="709" w:type="dxa"/>
            <w:tcBorders>
              <w:top w:val="single" w:sz="4" w:space="0" w:color="auto"/>
            </w:tcBorders>
            <w:shd w:val="clear" w:color="auto" w:fill="C6EFCE"/>
            <w:noWrap/>
            <w:vAlign w:val="center"/>
          </w:tcPr>
          <w:p w14:paraId="0B617D81"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2024</w:t>
            </w:r>
          </w:p>
        </w:tc>
        <w:tc>
          <w:tcPr>
            <w:tcW w:w="3261" w:type="dxa"/>
            <w:tcBorders>
              <w:top w:val="single" w:sz="4" w:space="0" w:color="auto"/>
            </w:tcBorders>
            <w:shd w:val="clear" w:color="auto" w:fill="C6EFCE"/>
            <w:noWrap/>
            <w:vAlign w:val="center"/>
          </w:tcPr>
          <w:p w14:paraId="62900A79" w14:textId="49E34ECA" w:rsidR="0084326C" w:rsidRPr="005D68A0" w:rsidRDefault="0084326C" w:rsidP="00392579">
            <w:pPr>
              <w:jc w:val="both"/>
              <w:rPr>
                <w:rFonts w:ascii="Arial Narrow" w:hAnsi="Arial Narrow"/>
                <w:noProof/>
                <w:color w:val="006100"/>
                <w:sz w:val="20"/>
              </w:rPr>
            </w:pPr>
            <w:r>
              <w:rPr>
                <w:rFonts w:ascii="Arial Narrow" w:hAnsi="Arial Narrow"/>
                <w:noProof/>
                <w:color w:val="006100"/>
                <w:sz w:val="20"/>
              </w:rPr>
              <w:t>Rakenduskokkuleppe jõustumine.</w:t>
            </w:r>
          </w:p>
        </w:tc>
      </w:tr>
      <w:tr w:rsidR="002A5450" w:rsidRPr="00D90835" w14:paraId="0387266F" w14:textId="77777777" w:rsidTr="72D320C3">
        <w:trPr>
          <w:trHeight w:val="309"/>
        </w:trPr>
        <w:tc>
          <w:tcPr>
            <w:tcW w:w="1185" w:type="dxa"/>
            <w:tcBorders>
              <w:top w:val="single" w:sz="4" w:space="0" w:color="auto"/>
            </w:tcBorders>
            <w:shd w:val="clear" w:color="auto" w:fill="C6EFCE"/>
            <w:noWrap/>
            <w:vAlign w:val="center"/>
          </w:tcPr>
          <w:p w14:paraId="43D716DA"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M7-33</w:t>
            </w:r>
          </w:p>
        </w:tc>
        <w:tc>
          <w:tcPr>
            <w:tcW w:w="1559" w:type="dxa"/>
            <w:tcBorders>
              <w:top w:val="single" w:sz="4" w:space="0" w:color="auto"/>
            </w:tcBorders>
            <w:shd w:val="clear" w:color="auto" w:fill="C6EFCE"/>
            <w:noWrap/>
            <w:vAlign w:val="center"/>
          </w:tcPr>
          <w:p w14:paraId="2D948A74" w14:textId="71AB7E7A"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Investeering 12. Toetuskava rahvusvahelise, tööstusliku ning teadus- ja arendustegevuse alase juhtpositsiooni arendamiseks heitevabade busside valdkonnas</w:t>
            </w:r>
          </w:p>
        </w:tc>
        <w:tc>
          <w:tcPr>
            <w:tcW w:w="1134" w:type="dxa"/>
            <w:tcBorders>
              <w:top w:val="single" w:sz="4" w:space="0" w:color="auto"/>
            </w:tcBorders>
            <w:shd w:val="clear" w:color="auto" w:fill="C6EFCE"/>
            <w:noWrap/>
            <w:vAlign w:val="center"/>
          </w:tcPr>
          <w:p w14:paraId="36905524"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Siht</w:t>
            </w:r>
          </w:p>
        </w:tc>
        <w:tc>
          <w:tcPr>
            <w:tcW w:w="1418" w:type="dxa"/>
            <w:tcBorders>
              <w:top w:val="single" w:sz="4" w:space="0" w:color="auto"/>
            </w:tcBorders>
            <w:shd w:val="clear" w:color="auto" w:fill="C6EFCE"/>
            <w:noWrap/>
            <w:vAlign w:val="center"/>
          </w:tcPr>
          <w:p w14:paraId="5A1F071D"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Lõplike abisaajatega sõlmitud õiguslikud lepingud</w:t>
            </w:r>
          </w:p>
        </w:tc>
        <w:tc>
          <w:tcPr>
            <w:tcW w:w="1984" w:type="dxa"/>
            <w:tcBorders>
              <w:top w:val="single" w:sz="4" w:space="0" w:color="auto"/>
            </w:tcBorders>
            <w:shd w:val="clear" w:color="auto" w:fill="C6EFCE"/>
            <w:noWrap/>
            <w:vAlign w:val="center"/>
          </w:tcPr>
          <w:p w14:paraId="7360D6D9"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 xml:space="preserve"> </w:t>
            </w:r>
          </w:p>
        </w:tc>
        <w:tc>
          <w:tcPr>
            <w:tcW w:w="1134" w:type="dxa"/>
            <w:tcBorders>
              <w:top w:val="single" w:sz="4" w:space="0" w:color="auto"/>
            </w:tcBorders>
            <w:shd w:val="clear" w:color="auto" w:fill="C6EFCE"/>
            <w:noWrap/>
            <w:vAlign w:val="center"/>
          </w:tcPr>
          <w:p w14:paraId="651F3193"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Protsent (%)</w:t>
            </w:r>
          </w:p>
        </w:tc>
        <w:tc>
          <w:tcPr>
            <w:tcW w:w="993" w:type="dxa"/>
            <w:tcBorders>
              <w:top w:val="single" w:sz="4" w:space="0" w:color="auto"/>
            </w:tcBorders>
            <w:shd w:val="clear" w:color="auto" w:fill="C6EFCE"/>
            <w:noWrap/>
            <w:vAlign w:val="center"/>
          </w:tcPr>
          <w:p w14:paraId="78BDC039"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0 %</w:t>
            </w:r>
          </w:p>
        </w:tc>
        <w:tc>
          <w:tcPr>
            <w:tcW w:w="992" w:type="dxa"/>
            <w:tcBorders>
              <w:top w:val="single" w:sz="4" w:space="0" w:color="auto"/>
            </w:tcBorders>
            <w:shd w:val="clear" w:color="auto" w:fill="C6EFCE"/>
            <w:noWrap/>
            <w:vAlign w:val="center"/>
          </w:tcPr>
          <w:p w14:paraId="22843329"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100 %</w:t>
            </w:r>
          </w:p>
        </w:tc>
        <w:tc>
          <w:tcPr>
            <w:tcW w:w="992" w:type="dxa"/>
            <w:tcBorders>
              <w:top w:val="single" w:sz="4" w:space="0" w:color="auto"/>
            </w:tcBorders>
            <w:shd w:val="clear" w:color="auto" w:fill="C6EFCE"/>
            <w:noWrap/>
            <w:vAlign w:val="center"/>
          </w:tcPr>
          <w:p w14:paraId="44AB6776"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1. kv</w:t>
            </w:r>
          </w:p>
        </w:tc>
        <w:tc>
          <w:tcPr>
            <w:tcW w:w="709" w:type="dxa"/>
            <w:tcBorders>
              <w:top w:val="single" w:sz="4" w:space="0" w:color="auto"/>
            </w:tcBorders>
            <w:shd w:val="clear" w:color="auto" w:fill="C6EFCE"/>
            <w:noWrap/>
            <w:vAlign w:val="center"/>
          </w:tcPr>
          <w:p w14:paraId="7EAD0336"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2026</w:t>
            </w:r>
          </w:p>
        </w:tc>
        <w:tc>
          <w:tcPr>
            <w:tcW w:w="3261" w:type="dxa"/>
            <w:tcBorders>
              <w:top w:val="single" w:sz="4" w:space="0" w:color="auto"/>
            </w:tcBorders>
            <w:shd w:val="clear" w:color="auto" w:fill="C6EFCE"/>
            <w:noWrap/>
            <w:vAlign w:val="center"/>
          </w:tcPr>
          <w:p w14:paraId="4E613DA8" w14:textId="77777777" w:rsidR="0084326C" w:rsidRPr="005D68A0" w:rsidRDefault="0084326C">
            <w:pPr>
              <w:spacing w:after="120"/>
              <w:rPr>
                <w:rFonts w:ascii="Arial Narrow" w:hAnsi="Arial Narrow"/>
                <w:noProof/>
                <w:color w:val="006100"/>
                <w:sz w:val="20"/>
              </w:rPr>
            </w:pPr>
            <w:r>
              <w:rPr>
                <w:rFonts w:ascii="Arial Narrow" w:hAnsi="Arial Narrow"/>
                <w:noProof/>
                <w:color w:val="006100"/>
                <w:sz w:val="20"/>
              </w:rPr>
              <w:t>Invitalia S.p.A. peab olema sõlminud lõplike toetusesaajatega seaduslikud toetuslepingud summas, mis on vajalik taaste- ja vastupidavusrahastu investeeringute 100 % kasutamiseks kavasse (võttes arvesse haldustasusid). Invitalia S.p.A. koostab taaste- ja vastupidavusrahastu määruse VI lisas esitatud metoodikat kasutades aruande, milles kirjeldatakse üksikasjalikult kliimaeesmärkide saavutamist toetava rahastamise osakaalu.</w:t>
            </w:r>
          </w:p>
        </w:tc>
      </w:tr>
      <w:tr w:rsidR="002A5450" w:rsidRPr="00D90835" w14:paraId="58C4006D" w14:textId="77777777" w:rsidTr="72D320C3">
        <w:trPr>
          <w:trHeight w:val="309"/>
        </w:trPr>
        <w:tc>
          <w:tcPr>
            <w:tcW w:w="1185" w:type="dxa"/>
            <w:tcBorders>
              <w:top w:val="single" w:sz="4" w:space="0" w:color="auto"/>
            </w:tcBorders>
            <w:shd w:val="clear" w:color="auto" w:fill="C6EFCE"/>
            <w:noWrap/>
            <w:vAlign w:val="center"/>
          </w:tcPr>
          <w:p w14:paraId="72DA1FFA"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M7-34</w:t>
            </w:r>
          </w:p>
        </w:tc>
        <w:tc>
          <w:tcPr>
            <w:tcW w:w="1559" w:type="dxa"/>
            <w:tcBorders>
              <w:top w:val="single" w:sz="4" w:space="0" w:color="auto"/>
            </w:tcBorders>
            <w:shd w:val="clear" w:color="auto" w:fill="C6EFCE"/>
            <w:noWrap/>
            <w:vAlign w:val="center"/>
          </w:tcPr>
          <w:p w14:paraId="3509A7BE" w14:textId="5B1FF233"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Investeering 12. Toetuskava rahvusvahelise, tööstusliku ning teadus- ja arendustegevuse alase juhtpositsiooni arendamiseks heitevabade busside valdkonnas</w:t>
            </w:r>
          </w:p>
        </w:tc>
        <w:tc>
          <w:tcPr>
            <w:tcW w:w="1134" w:type="dxa"/>
            <w:tcBorders>
              <w:top w:val="single" w:sz="4" w:space="0" w:color="auto"/>
            </w:tcBorders>
            <w:shd w:val="clear" w:color="auto" w:fill="C6EFCE"/>
            <w:noWrap/>
            <w:vAlign w:val="center"/>
          </w:tcPr>
          <w:p w14:paraId="4E74E97B"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Eesmärk</w:t>
            </w:r>
          </w:p>
        </w:tc>
        <w:tc>
          <w:tcPr>
            <w:tcW w:w="1418" w:type="dxa"/>
            <w:tcBorders>
              <w:top w:val="single" w:sz="4" w:space="0" w:color="auto"/>
            </w:tcBorders>
            <w:shd w:val="clear" w:color="auto" w:fill="C6EFCE"/>
            <w:noWrap/>
            <w:vAlign w:val="center"/>
          </w:tcPr>
          <w:p w14:paraId="762DFC21"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Ministeerium on investeeringu lõpule viinud</w:t>
            </w:r>
          </w:p>
        </w:tc>
        <w:tc>
          <w:tcPr>
            <w:tcW w:w="1984" w:type="dxa"/>
            <w:tcBorders>
              <w:top w:val="single" w:sz="4" w:space="0" w:color="auto"/>
            </w:tcBorders>
            <w:shd w:val="clear" w:color="auto" w:fill="C6EFCE"/>
            <w:noWrap/>
            <w:vAlign w:val="center"/>
          </w:tcPr>
          <w:p w14:paraId="5D2E8622"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Üleviimistunnistus</w:t>
            </w:r>
          </w:p>
        </w:tc>
        <w:tc>
          <w:tcPr>
            <w:tcW w:w="1134" w:type="dxa"/>
            <w:tcBorders>
              <w:top w:val="single" w:sz="4" w:space="0" w:color="auto"/>
            </w:tcBorders>
            <w:shd w:val="clear" w:color="auto" w:fill="C6EFCE"/>
            <w:noWrap/>
            <w:vAlign w:val="center"/>
          </w:tcPr>
          <w:p w14:paraId="5CDCA1D6" w14:textId="77777777" w:rsidR="0084326C" w:rsidRPr="005D68A0" w:rsidRDefault="0084326C">
            <w:pPr>
              <w:spacing w:after="120"/>
              <w:jc w:val="center"/>
              <w:rPr>
                <w:rFonts w:ascii="Arial Narrow" w:hAnsi="Arial Narrow"/>
                <w:noProof/>
                <w:color w:val="006100"/>
                <w:sz w:val="20"/>
                <w:lang w:val="en-GB"/>
              </w:rPr>
            </w:pPr>
          </w:p>
        </w:tc>
        <w:tc>
          <w:tcPr>
            <w:tcW w:w="993" w:type="dxa"/>
            <w:tcBorders>
              <w:top w:val="single" w:sz="4" w:space="0" w:color="auto"/>
            </w:tcBorders>
            <w:shd w:val="clear" w:color="auto" w:fill="C6EFCE"/>
            <w:noWrap/>
            <w:vAlign w:val="center"/>
          </w:tcPr>
          <w:p w14:paraId="173986A1" w14:textId="77777777" w:rsidR="0084326C" w:rsidRPr="005D68A0" w:rsidRDefault="0084326C">
            <w:pPr>
              <w:spacing w:after="120"/>
              <w:jc w:val="center"/>
              <w:rPr>
                <w:rFonts w:ascii="Arial Narrow" w:hAnsi="Arial Narrow"/>
                <w:noProof/>
                <w:color w:val="006100"/>
                <w:sz w:val="20"/>
                <w:lang w:val="en-GB"/>
              </w:rPr>
            </w:pPr>
          </w:p>
        </w:tc>
        <w:tc>
          <w:tcPr>
            <w:tcW w:w="992" w:type="dxa"/>
            <w:tcBorders>
              <w:top w:val="single" w:sz="4" w:space="0" w:color="auto"/>
            </w:tcBorders>
            <w:shd w:val="clear" w:color="auto" w:fill="C6EFCE"/>
            <w:noWrap/>
            <w:vAlign w:val="center"/>
          </w:tcPr>
          <w:p w14:paraId="14EE99F2" w14:textId="77777777" w:rsidR="0084326C" w:rsidRPr="005D68A0" w:rsidRDefault="0084326C">
            <w:pPr>
              <w:spacing w:after="120"/>
              <w:jc w:val="center"/>
              <w:rPr>
                <w:rFonts w:ascii="Arial Narrow" w:hAnsi="Arial Narrow"/>
                <w:noProof/>
                <w:color w:val="006100"/>
                <w:sz w:val="20"/>
                <w:lang w:val="en-GB"/>
              </w:rPr>
            </w:pPr>
          </w:p>
        </w:tc>
        <w:tc>
          <w:tcPr>
            <w:tcW w:w="992" w:type="dxa"/>
            <w:tcBorders>
              <w:top w:val="single" w:sz="4" w:space="0" w:color="auto"/>
            </w:tcBorders>
            <w:shd w:val="clear" w:color="auto" w:fill="C6EFCE"/>
            <w:noWrap/>
            <w:vAlign w:val="center"/>
          </w:tcPr>
          <w:p w14:paraId="20948905" w14:textId="1CAC20EC"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2. kv</w:t>
            </w:r>
          </w:p>
        </w:tc>
        <w:tc>
          <w:tcPr>
            <w:tcW w:w="709" w:type="dxa"/>
            <w:tcBorders>
              <w:top w:val="single" w:sz="4" w:space="0" w:color="auto"/>
            </w:tcBorders>
            <w:shd w:val="clear" w:color="auto" w:fill="C6EFCE"/>
            <w:noWrap/>
            <w:vAlign w:val="center"/>
          </w:tcPr>
          <w:p w14:paraId="7D594FD1" w14:textId="739B6D4F" w:rsidR="0084326C" w:rsidRPr="005D68A0" w:rsidRDefault="00D42A0B">
            <w:pPr>
              <w:spacing w:after="120"/>
              <w:jc w:val="center"/>
              <w:rPr>
                <w:rFonts w:ascii="Arial Narrow" w:hAnsi="Arial Narrow"/>
                <w:noProof/>
                <w:color w:val="006100"/>
                <w:sz w:val="20"/>
              </w:rPr>
            </w:pPr>
            <w:r>
              <w:rPr>
                <w:rFonts w:ascii="Arial Narrow" w:hAnsi="Arial Narrow"/>
                <w:noProof/>
                <w:color w:val="006100"/>
                <w:sz w:val="20"/>
              </w:rPr>
              <w:t>2025</w:t>
            </w:r>
          </w:p>
        </w:tc>
        <w:tc>
          <w:tcPr>
            <w:tcW w:w="3261" w:type="dxa"/>
            <w:tcBorders>
              <w:top w:val="single" w:sz="4" w:space="0" w:color="auto"/>
            </w:tcBorders>
            <w:shd w:val="clear" w:color="auto" w:fill="C6EFCE"/>
            <w:noWrap/>
            <w:vAlign w:val="center"/>
          </w:tcPr>
          <w:p w14:paraId="6657FE4F" w14:textId="4C4D3B28" w:rsidR="0084326C" w:rsidRPr="005D68A0" w:rsidRDefault="0084326C">
            <w:pPr>
              <w:spacing w:after="120"/>
              <w:rPr>
                <w:rFonts w:ascii="Arial Narrow" w:hAnsi="Arial Narrow"/>
                <w:noProof/>
                <w:color w:val="006100"/>
                <w:sz w:val="20"/>
              </w:rPr>
            </w:pPr>
            <w:r>
              <w:rPr>
                <w:rFonts w:ascii="Arial Narrow" w:hAnsi="Arial Narrow"/>
                <w:noProof/>
                <w:color w:val="006100"/>
                <w:sz w:val="20"/>
              </w:rPr>
              <w:t>Itaalia kannab kava jaoks üle 100 000 000 eurot Invitalia S.p.A.-le.</w:t>
            </w:r>
          </w:p>
        </w:tc>
      </w:tr>
    </w:tbl>
    <w:p w14:paraId="72514CBB" w14:textId="77777777" w:rsidR="0084326C" w:rsidRPr="005D68A0" w:rsidRDefault="0084326C" w:rsidP="0084326C">
      <w:pPr>
        <w:tabs>
          <w:tab w:val="left" w:pos="4252"/>
        </w:tabs>
        <w:spacing w:after="120"/>
        <w:rPr>
          <w:i/>
          <w:noProof/>
          <w:lang w:val="en-GB"/>
        </w:rPr>
        <w:sectPr w:rsidR="0084326C" w:rsidRPr="005D68A0">
          <w:headerReference w:type="even" r:id="rId417"/>
          <w:headerReference w:type="default" r:id="rId418"/>
          <w:footerReference w:type="even" r:id="rId419"/>
          <w:footerReference w:type="default" r:id="rId420"/>
          <w:headerReference w:type="first" r:id="rId421"/>
          <w:footerReference w:type="first" r:id="rId422"/>
          <w:pgSz w:w="16838" w:h="11906" w:orient="landscape" w:code="9"/>
          <w:pgMar w:top="1134" w:right="1134" w:bottom="1134" w:left="1134" w:header="567" w:footer="567" w:gutter="0"/>
          <w:cols w:space="720"/>
          <w:docGrid w:linePitch="360"/>
        </w:sectPr>
      </w:pPr>
    </w:p>
    <w:p w14:paraId="33F99ACB" w14:textId="77777777" w:rsidR="0084326C" w:rsidRPr="005D68A0" w:rsidRDefault="0084326C" w:rsidP="0084326C">
      <w:pPr>
        <w:pStyle w:val="Heading3"/>
        <w:numPr>
          <w:ilvl w:val="0"/>
          <w:numId w:val="0"/>
        </w:numPr>
        <w:spacing w:before="0"/>
        <w:ind w:left="850" w:hanging="850"/>
        <w:rPr>
          <w:rFonts w:ascii="Segoe UI" w:hAnsi="Segoe UI" w:cs="Segoe UI"/>
          <w:b/>
          <w:bCs w:val="0"/>
          <w:i w:val="0"/>
          <w:iCs/>
          <w:noProof/>
          <w:sz w:val="18"/>
          <w:szCs w:val="18"/>
          <w:u w:val="single"/>
        </w:rPr>
      </w:pPr>
      <w:r>
        <w:rPr>
          <w:rStyle w:val="normaltextrun"/>
          <w:b/>
          <w:i w:val="0"/>
          <w:noProof/>
          <w:u w:val="single"/>
        </w:rPr>
        <w:t xml:space="preserve">3. kv </w:t>
      </w:r>
      <w:r>
        <w:rPr>
          <w:noProof/>
        </w:rPr>
        <w:tab/>
      </w:r>
      <w:r>
        <w:rPr>
          <w:rStyle w:val="normaltextrun"/>
          <w:b/>
          <w:i w:val="0"/>
          <w:noProof/>
          <w:u w:val="single"/>
        </w:rPr>
        <w:t>Laenuga seotud reformide ja investeeringute kirjeldus </w:t>
      </w:r>
      <w:r>
        <w:rPr>
          <w:rStyle w:val="eop"/>
          <w:b/>
          <w:i w:val="0"/>
          <w:noProof/>
          <w:u w:val="single"/>
        </w:rPr>
        <w:t xml:space="preserve"> </w:t>
      </w:r>
    </w:p>
    <w:p w14:paraId="09B43724" w14:textId="77777777" w:rsidR="0084326C" w:rsidRPr="005D68A0" w:rsidRDefault="0084326C" w:rsidP="0084326C">
      <w:pPr>
        <w:pStyle w:val="Heading4"/>
        <w:numPr>
          <w:ilvl w:val="3"/>
          <w:numId w:val="0"/>
        </w:numPr>
        <w:spacing w:before="0"/>
        <w:rPr>
          <w:b/>
          <w:i/>
          <w:noProof/>
        </w:rPr>
      </w:pPr>
      <w:bookmarkStart w:id="18" w:name="_Hlk140650645"/>
      <w:r>
        <w:rPr>
          <w:b/>
          <w:noProof/>
        </w:rPr>
        <w:t>Investeering 13. Aadria mere liini 1. etapp (Sulmona kompressorjaam ja Sestino-Minerbio gaasijuhe)</w:t>
      </w:r>
    </w:p>
    <w:p w14:paraId="61B407F0" w14:textId="77777777" w:rsidR="0084326C" w:rsidRPr="005D68A0" w:rsidRDefault="0084326C" w:rsidP="0084326C">
      <w:pPr>
        <w:pStyle w:val="Text1"/>
        <w:spacing w:before="0"/>
        <w:ind w:left="0"/>
        <w:rPr>
          <w:noProof/>
        </w:rPr>
      </w:pPr>
      <w:r>
        <w:rPr>
          <w:noProof/>
        </w:rPr>
        <w:t xml:space="preserve">Selle investeeringu eesmärk on parandada energiataristut ja -rajatisi, et rahuldada vahetuid gaasi, sealhulgas veeldatud maagaasi varustuskindluse vajadusi, eelkõige selleks, et võimaldada tarneallikate mitmekesistamist liidu kui terviku huvides. </w:t>
      </w:r>
    </w:p>
    <w:p w14:paraId="52A1744D" w14:textId="77777777" w:rsidR="0084326C" w:rsidRPr="005D68A0" w:rsidRDefault="0084326C" w:rsidP="0084326C">
      <w:pPr>
        <w:pStyle w:val="Text1"/>
        <w:spacing w:before="0"/>
        <w:ind w:left="0"/>
        <w:rPr>
          <w:noProof/>
        </w:rPr>
      </w:pPr>
      <w:r>
        <w:rPr>
          <w:noProof/>
        </w:rPr>
        <w:t>Investeeringu eesmärk on toetada Sulmonasse kompressorjaama ning Sestino ja Minerbio sõlmpunkte ühendava gaasijuhtme ehitamist Aadria mere liini osana. Uus taristu peaks suurendama gaasi transportimise võimsust 14 miljoni kuupmeetri võrra päevas.</w:t>
      </w:r>
    </w:p>
    <w:p w14:paraId="16F7A051" w14:textId="77777777" w:rsidR="0084326C" w:rsidRPr="005D68A0" w:rsidRDefault="0084326C" w:rsidP="0084326C">
      <w:pPr>
        <w:pStyle w:val="Text1"/>
        <w:spacing w:before="0"/>
        <w:ind w:left="0"/>
        <w:rPr>
          <w:noProof/>
        </w:rPr>
      </w:pPr>
      <w:r>
        <w:rPr>
          <w:noProof/>
        </w:rPr>
        <w:t xml:space="preserve">Itaalia määrab kindlaks alaspetsiifiliste kaitse-eesmärkide staatuse ja vaatab vajaduse korral läbi keskkonnamõju hindamised (Valutazione Incidenza Ambientale) tööde alustamiseks asjaomastes piirkondades. </w:t>
      </w:r>
    </w:p>
    <w:p w14:paraId="34CDFDF2" w14:textId="77777777" w:rsidR="0084326C" w:rsidRPr="005D68A0" w:rsidRDefault="0084326C" w:rsidP="0084326C">
      <w:pPr>
        <w:pStyle w:val="Text1"/>
        <w:spacing w:before="0"/>
        <w:ind w:left="0"/>
        <w:rPr>
          <w:noProof/>
        </w:rPr>
      </w:pPr>
      <w:r>
        <w:rPr>
          <w:noProof/>
        </w:rPr>
        <w:t>Sulmona kompressorjaam ja Sestino-Minerbio gaasijuhe ehitatakse 31. augustiks 2026.</w:t>
      </w:r>
    </w:p>
    <w:p w14:paraId="5D94016F" w14:textId="77777777" w:rsidR="0084326C" w:rsidRPr="005D68A0" w:rsidRDefault="0084326C" w:rsidP="0084326C">
      <w:pPr>
        <w:pStyle w:val="Heading4"/>
        <w:numPr>
          <w:ilvl w:val="3"/>
          <w:numId w:val="0"/>
        </w:numPr>
        <w:ind w:left="850" w:hanging="850"/>
        <w:rPr>
          <w:b/>
          <w:bCs w:val="0"/>
          <w:noProof/>
        </w:rPr>
      </w:pPr>
      <w:r>
        <w:rPr>
          <w:b/>
          <w:noProof/>
        </w:rPr>
        <w:t>Investeering 14. Piiriülene gaasiekspordi infrastruktuur</w:t>
      </w:r>
    </w:p>
    <w:p w14:paraId="1207D4F8" w14:textId="77777777" w:rsidR="0084326C" w:rsidRPr="005D68A0" w:rsidRDefault="0084326C" w:rsidP="0084326C">
      <w:pPr>
        <w:pStyle w:val="Text1"/>
        <w:spacing w:before="0"/>
        <w:ind w:left="0"/>
        <w:rPr>
          <w:noProof/>
        </w:rPr>
      </w:pPr>
      <w:r>
        <w:rPr>
          <w:noProof/>
        </w:rPr>
        <w:t xml:space="preserve">Selle investeeringu eesmärk on parandada energiataristut ja -rajatisi, et rahuldada vahetuid gaasi, sealhulgas veeldatud maagaasi varustuskindluse vajadusi, eelkõige selleks, et võimaldada tarneallikate mitmekesistamist liidu kui terviku huvides. </w:t>
      </w:r>
    </w:p>
    <w:p w14:paraId="5181F92C" w14:textId="77777777" w:rsidR="0084326C" w:rsidRPr="005D68A0" w:rsidRDefault="0084326C" w:rsidP="0084326C">
      <w:pPr>
        <w:pStyle w:val="Text1"/>
        <w:spacing w:before="0"/>
        <w:ind w:left="0"/>
        <w:rPr>
          <w:noProof/>
        </w:rPr>
      </w:pPr>
      <w:r>
        <w:rPr>
          <w:noProof/>
        </w:rPr>
        <w:t xml:space="preserve">See investeering seisneb olemasoleva gaasitaristu ajakohastamises, mis võimaldab maagaasi eksporti Tarvisio väljumispunkti kaudu. Investeering seisneb eelkõige uue elektrisurveseadme ehitamises Poggio Renatico kompressorjaamas. Uus taristu peaks suurendama Tarvisio väljumispunkti kaudu gaasi eksportimise võimsust 8 miljardi kuupmeetri võrra aastas. </w:t>
      </w:r>
    </w:p>
    <w:p w14:paraId="0240E6FA" w14:textId="77777777" w:rsidR="0084326C" w:rsidRPr="005D68A0" w:rsidRDefault="0084326C" w:rsidP="0084326C">
      <w:pPr>
        <w:pStyle w:val="Text1"/>
        <w:spacing w:before="0"/>
        <w:ind w:left="0"/>
        <w:rPr>
          <w:noProof/>
        </w:rPr>
      </w:pPr>
      <w:r>
        <w:rPr>
          <w:noProof/>
        </w:rPr>
        <w:t xml:space="preserve">Poggio Renatico kompressorjaama surveseade ehitatakse 31. augustiks 2026. </w:t>
      </w:r>
    </w:p>
    <w:p w14:paraId="0EE9BE12" w14:textId="77777777" w:rsidR="0084326C" w:rsidRPr="005D68A0" w:rsidRDefault="0084326C" w:rsidP="0084326C">
      <w:pPr>
        <w:pStyle w:val="Heading4"/>
        <w:numPr>
          <w:ilvl w:val="3"/>
          <w:numId w:val="0"/>
        </w:numPr>
        <w:ind w:left="850" w:hanging="850"/>
        <w:rPr>
          <w:b/>
          <w:noProof/>
        </w:rPr>
      </w:pPr>
      <w:r>
        <w:rPr>
          <w:b/>
          <w:noProof/>
        </w:rPr>
        <w:t xml:space="preserve">Investeering 15. Transizione 5.0 </w:t>
      </w:r>
    </w:p>
    <w:bookmarkEnd w:id="18"/>
    <w:p w14:paraId="382D6354" w14:textId="77777777" w:rsidR="0084326C" w:rsidRPr="005D68A0" w:rsidRDefault="0084326C" w:rsidP="0084326C">
      <w:pPr>
        <w:pStyle w:val="NormalWeb"/>
        <w:spacing w:before="0" w:beforeAutospacing="0" w:after="120" w:afterAutospacing="0"/>
        <w:jc w:val="both"/>
        <w:rPr>
          <w:noProof/>
          <w:color w:val="0000FF"/>
          <w:sz w:val="21"/>
          <w:szCs w:val="21"/>
        </w:rPr>
      </w:pPr>
      <w:r>
        <w:rPr>
          <w:rStyle w:val="normaltextrun"/>
          <w:noProof/>
        </w:rPr>
        <w:t>Selle meetmega toetatakse tootmisprotsesside energiasüsteemi ümberkujundamist energiatõhusale, säästvale ja taastuvenergial põhinevale tootmismudelile. Selle tulemusena peaks meede aitama ajavahemikul 2024–2026 lõppenergia tarbimisel säästa 0,4 miljonit naftaekvivalenttonni.</w:t>
      </w:r>
      <w:r>
        <w:rPr>
          <w:noProof/>
          <w:color w:val="0000FF"/>
          <w:sz w:val="21"/>
        </w:rPr>
        <w:t xml:space="preserve"> </w:t>
      </w:r>
    </w:p>
    <w:p w14:paraId="40484D21" w14:textId="77777777" w:rsidR="0084326C" w:rsidRPr="005D68A0" w:rsidRDefault="0084326C" w:rsidP="0084326C">
      <w:pPr>
        <w:pStyle w:val="NormalWeb"/>
        <w:spacing w:before="0" w:beforeAutospacing="0" w:after="120" w:afterAutospacing="0"/>
        <w:jc w:val="both"/>
        <w:rPr>
          <w:rStyle w:val="normaltextrun"/>
          <w:rFonts w:eastAsiaTheme="majorEastAsia"/>
          <w:noProof/>
        </w:rPr>
      </w:pPr>
      <w:r>
        <w:rPr>
          <w:rStyle w:val="normaltextrun"/>
          <w:noProof/>
        </w:rPr>
        <w:t>Äriühingutele võimaldatakse maksukrediiti, mis vastab ajavahemikul 1. jaanuarist 2024 kuni 31. detsembrini 2025 kantud kuludele, kui nad investeerivad:</w:t>
      </w:r>
    </w:p>
    <w:p w14:paraId="30C3CCFF" w14:textId="77777777" w:rsidR="0084326C" w:rsidRPr="005D68A0" w:rsidRDefault="53DC5198" w:rsidP="0084326C">
      <w:pPr>
        <w:pStyle w:val="ListParagraph"/>
        <w:keepNext/>
        <w:numPr>
          <w:ilvl w:val="0"/>
          <w:numId w:val="42"/>
        </w:numPr>
        <w:spacing w:before="0"/>
        <w:contextualSpacing w:val="0"/>
        <w:rPr>
          <w:rStyle w:val="normaltextrun"/>
          <w:noProof/>
        </w:rPr>
      </w:pPr>
      <w:r>
        <w:rPr>
          <w:rStyle w:val="normaltextrun"/>
          <w:noProof/>
        </w:rPr>
        <w:t>digivara (4.0 materiaalset põhivara, 4,0 immateriaalset kapitalikaupa</w:t>
      </w:r>
      <w:r w:rsidRPr="005D68A0">
        <w:rPr>
          <w:rStyle w:val="FootnoteReference"/>
          <w:rFonts w:eastAsiaTheme="majorEastAsia"/>
          <w:noProof/>
          <w:lang w:val="en-GB"/>
        </w:rPr>
        <w:footnoteReference w:id="136"/>
      </w:r>
      <w:r>
        <w:rPr>
          <w:rStyle w:val="normaltextrun"/>
          <w:noProof/>
        </w:rPr>
        <w:t xml:space="preserve">) </w:t>
      </w:r>
    </w:p>
    <w:p w14:paraId="629C1C97" w14:textId="77777777" w:rsidR="0084326C" w:rsidRPr="005D68A0" w:rsidRDefault="0084326C" w:rsidP="0084326C">
      <w:pPr>
        <w:pStyle w:val="NormalWeb"/>
        <w:numPr>
          <w:ilvl w:val="0"/>
          <w:numId w:val="42"/>
        </w:numPr>
        <w:spacing w:before="0" w:beforeAutospacing="0" w:after="120" w:afterAutospacing="0"/>
        <w:jc w:val="both"/>
        <w:rPr>
          <w:rFonts w:eastAsiaTheme="majorEastAsia"/>
          <w:noProof/>
        </w:rPr>
      </w:pPr>
      <w:r>
        <w:rPr>
          <w:noProof/>
        </w:rPr>
        <w:t>taastuvatest energiaallikatest omatootmiseks ja omatarbimiseks vajalikud varad (välja arvatud biomass)</w:t>
      </w:r>
    </w:p>
    <w:p w14:paraId="1A01B169" w14:textId="77777777" w:rsidR="0084326C" w:rsidRPr="005D68A0" w:rsidRDefault="0084326C" w:rsidP="0084326C">
      <w:pPr>
        <w:pStyle w:val="NormalWeb"/>
        <w:numPr>
          <w:ilvl w:val="0"/>
          <w:numId w:val="42"/>
        </w:numPr>
        <w:spacing w:before="0" w:beforeAutospacing="0" w:after="120" w:afterAutospacing="0"/>
        <w:jc w:val="both"/>
        <w:rPr>
          <w:rFonts w:eastAsiaTheme="majorEastAsia"/>
          <w:noProof/>
        </w:rPr>
      </w:pPr>
      <w:r>
        <w:rPr>
          <w:rStyle w:val="normaltextrun"/>
          <w:noProof/>
        </w:rPr>
        <w:t>töötajate koolitamine rohepöördeks vajalike oskuste alal.</w:t>
      </w:r>
    </w:p>
    <w:p w14:paraId="4DFFD9D7" w14:textId="77777777" w:rsidR="0084326C" w:rsidRPr="005D68A0" w:rsidRDefault="53DC5198" w:rsidP="0084326C">
      <w:pPr>
        <w:pStyle w:val="NormalWeb"/>
        <w:spacing w:before="0" w:beforeAutospacing="0" w:after="120" w:afterAutospacing="0"/>
        <w:jc w:val="both"/>
        <w:rPr>
          <w:rFonts w:eastAsiaTheme="majorEastAsia"/>
          <w:noProof/>
        </w:rPr>
      </w:pPr>
      <w:r>
        <w:rPr>
          <w:noProof/>
        </w:rPr>
        <w:t>Maksusoodustus peab vastama vähemalt kolmele lisanduvale künnisele energia lõpptarbimise vähenemisele (vähemalt 3 %) või sihtprotsessides saavutatud energiasäästule (vähemalt 5 % võrreldes selliste protsesside varasema tarbimisega), mis on seotud punktis a osutatud varadesse tehtud investeeringutega</w:t>
      </w:r>
      <w:r w:rsidRPr="005D68A0">
        <w:rPr>
          <w:rStyle w:val="FootnoteReference"/>
          <w:rFonts w:eastAsiaTheme="majorEastAsia"/>
          <w:noProof/>
          <w:lang w:val="en-GB"/>
        </w:rPr>
        <w:footnoteReference w:id="137"/>
      </w:r>
      <w:r>
        <w:rPr>
          <w:noProof/>
        </w:rPr>
        <w:t>.</w:t>
      </w:r>
    </w:p>
    <w:p w14:paraId="6B54FEFF" w14:textId="77777777" w:rsidR="0084326C" w:rsidRPr="005D68A0" w:rsidRDefault="0084326C" w:rsidP="0084326C">
      <w:pPr>
        <w:pStyle w:val="NormalWeb"/>
        <w:spacing w:before="0" w:beforeAutospacing="0" w:after="120" w:afterAutospacing="0"/>
        <w:jc w:val="both"/>
        <w:rPr>
          <w:rFonts w:eastAsiaTheme="majorEastAsia"/>
          <w:noProof/>
        </w:rPr>
      </w:pPr>
      <w:r>
        <w:rPr>
          <w:noProof/>
        </w:rPr>
        <w:t>Seetõttu peab maksusoodustuse intensiivsus suurenema vastavalt sertifitseeritud energiatõhususe paranemisele ja saavutatud energiasäästule.</w:t>
      </w:r>
    </w:p>
    <w:p w14:paraId="36C75A13" w14:textId="77777777" w:rsidR="0084326C" w:rsidRPr="005D68A0" w:rsidRDefault="0084326C" w:rsidP="0084326C">
      <w:pPr>
        <w:pStyle w:val="NormalWeb"/>
        <w:spacing w:before="0" w:beforeAutospacing="0" w:after="120" w:afterAutospacing="0"/>
        <w:jc w:val="both"/>
        <w:rPr>
          <w:rStyle w:val="normaltextrun"/>
          <w:rFonts w:eastAsiaTheme="majorEastAsia"/>
          <w:noProof/>
        </w:rPr>
      </w:pPr>
      <w:r>
        <w:rPr>
          <w:rStyle w:val="normaltextrun"/>
          <w:noProof/>
        </w:rPr>
        <w:t xml:space="preserve">Selleks et projekt oleks rahastamiskõlblik, peab projekti kinnitama sõltumatu hindaja, kes tõendab, et innovatsiooniprojekt vastab eelnevalt kogu energiatarbimise vähendamisega seotud rahastamiskõlblikkuse kriteeriumidele. </w:t>
      </w:r>
      <w:r>
        <w:rPr>
          <w:noProof/>
        </w:rPr>
        <w:t>Lisaks tõendab järeltõend investeeringute tegelikku realiseerimist kooskõlas eelsertifitseerimise sätetega.</w:t>
      </w:r>
    </w:p>
    <w:p w14:paraId="18D751DD" w14:textId="5FEA86BA" w:rsidR="0084326C" w:rsidRPr="005D68A0" w:rsidRDefault="53DC5198" w:rsidP="0084326C">
      <w:pPr>
        <w:pStyle w:val="NormalWeb"/>
        <w:spacing w:before="0" w:beforeAutospacing="0" w:after="120" w:afterAutospacing="0"/>
        <w:jc w:val="both"/>
        <w:rPr>
          <w:rStyle w:val="normaltextrun"/>
          <w:rFonts w:eastAsiaTheme="majorEastAsia"/>
          <w:noProof/>
        </w:rPr>
      </w:pPr>
      <w:r>
        <w:rPr>
          <w:rStyle w:val="normaltextrun"/>
          <w:noProof/>
        </w:rPr>
        <w:t>Vähemalt 4 032 000 000 eurot investeeringust toetatakse kliimamuutuste eesmärkide saavutamist kooskõlas taaste- ja vastupidavusrahastu määruse VI lisaga.</w:t>
      </w:r>
      <w:r w:rsidRPr="005D68A0">
        <w:rPr>
          <w:rStyle w:val="FootnoteReference"/>
          <w:noProof/>
          <w:lang w:val="en-GB"/>
        </w:rPr>
        <w:footnoteReference w:id="138"/>
      </w:r>
    </w:p>
    <w:p w14:paraId="176C3F4A" w14:textId="77777777" w:rsidR="0084326C" w:rsidRPr="005D68A0" w:rsidRDefault="0084326C" w:rsidP="0084326C">
      <w:pPr>
        <w:pStyle w:val="paragraph"/>
        <w:spacing w:before="0" w:beforeAutospacing="0" w:after="120" w:afterAutospacing="0"/>
        <w:jc w:val="both"/>
        <w:textAlignment w:val="baseline"/>
        <w:rPr>
          <w:rStyle w:val="normaltextrun"/>
          <w:rFonts w:eastAsiaTheme="majorEastAsia"/>
          <w:noProof/>
        </w:rPr>
      </w:pPr>
      <w:r>
        <w:rPr>
          <w:rStyle w:val="normaltextrun"/>
          <w:noProof/>
        </w:rPr>
        <w:t>Meede koosneb maksu ümberarvutuskavast ja katab ajavahemikul 1. jaanuarist 2025 kuni 31. augustini 2026 sissenõutavad kulud.</w:t>
      </w:r>
    </w:p>
    <w:p w14:paraId="2EC4AF9C" w14:textId="099B8B77" w:rsidR="0084326C" w:rsidRPr="005D68A0" w:rsidRDefault="0084326C" w:rsidP="0084326C">
      <w:pPr>
        <w:spacing w:after="120"/>
        <w:jc w:val="both"/>
        <w:rPr>
          <w:noProof/>
        </w:rPr>
      </w:pPr>
      <w:r>
        <w:rPr>
          <w:noProof/>
        </w:rPr>
        <w:t xml:space="preserve">Kuni 1 % eesmärgist eraldatakse IT-platvormi ja sellega seotud tegevuste väljatöötamiseks, et: i) haldab toetusesaajate esitatud sertifikaate; ii) hõlbustada analüüsiks kasutatavate andmete hindamist, vahetamist ja haldamist; ning iii) järelevalve- ja kontrollitegevusele. </w:t>
      </w:r>
    </w:p>
    <w:p w14:paraId="4A91B037" w14:textId="77777777" w:rsidR="0084326C" w:rsidRPr="005D68A0" w:rsidRDefault="0084326C" w:rsidP="0084326C">
      <w:pPr>
        <w:spacing w:after="120"/>
        <w:jc w:val="both"/>
        <w:rPr>
          <w:noProof/>
        </w:rPr>
      </w:pPr>
      <w:r>
        <w:rPr>
          <w:noProof/>
        </w:rPr>
        <w:t>Lisaks laiendatakse meetmega eesmärgiga M1C2–1 (Transizione 4.0) loodud teaduskomitee tegevusulatust, et töötada 31. augustiks 2026 välja aruanne, milles hinnatakse Itaalia Ettevõtlus- ja Made’i ministeeriumi (MIMIT) pädevusse kuuluvate riiklike taaste- ja vastupidavuskavade investeeringute tõhusust ning võimalikku koostoimet muude ELi rahastamisallikatega ELi ja riikide konkurentsivõime ja autonoomia jaoks strateegilistes sektorites.</w:t>
      </w:r>
    </w:p>
    <w:p w14:paraId="5221FED4" w14:textId="77777777" w:rsidR="0084326C" w:rsidRPr="005D68A0" w:rsidRDefault="0084326C" w:rsidP="0084326C">
      <w:pPr>
        <w:pStyle w:val="Heading4"/>
        <w:numPr>
          <w:ilvl w:val="3"/>
          <w:numId w:val="0"/>
        </w:numPr>
        <w:rPr>
          <w:b/>
          <w:noProof/>
        </w:rPr>
      </w:pPr>
      <w:r>
        <w:rPr>
          <w:b/>
          <w:noProof/>
        </w:rPr>
        <w:t>Investeering 16. Toetus VKEdele taastuvatest energiaallikatest isetootmiseks</w:t>
      </w:r>
    </w:p>
    <w:p w14:paraId="7D39E47A" w14:textId="77777777" w:rsidR="0084326C" w:rsidRPr="005D68A0" w:rsidRDefault="0084326C" w:rsidP="0084326C">
      <w:pPr>
        <w:spacing w:after="120"/>
        <w:jc w:val="both"/>
        <w:rPr>
          <w:noProof/>
        </w:rPr>
      </w:pPr>
      <w:r>
        <w:rPr>
          <w:noProof/>
        </w:rPr>
        <w:t>See meede koosneb avaliku sektori investeeringust toetuskavasse „VKEde toetus taastuvatest energiaallikatest isetootmiseks“, et stimuleerida erainvesteeringuid ja parandada juurdepääsu rahastamisele, mis on seotud Itaalia omatootmisega taastuvatest energiaallikatest.</w:t>
      </w:r>
    </w:p>
    <w:p w14:paraId="30FF17E1" w14:textId="77777777" w:rsidR="0084326C" w:rsidRPr="005D68A0" w:rsidRDefault="0084326C" w:rsidP="0084326C">
      <w:pPr>
        <w:spacing w:after="120"/>
        <w:jc w:val="both"/>
        <w:rPr>
          <w:noProof/>
        </w:rPr>
      </w:pPr>
      <w:r>
        <w:rPr>
          <w:noProof/>
        </w:rPr>
        <w:t xml:space="preserve">Kava eesmärk on toetada mikro-, väikeseid ja keskmise suurusega ettevõtjaid (VKEd) selliste investeerimisprogrammide rakendamisel, mille eesmärk on energia isetootmine taastuvatest energiaallikatest. </w:t>
      </w:r>
    </w:p>
    <w:p w14:paraId="4543DA72" w14:textId="433F713A" w:rsidR="0084326C" w:rsidRPr="005D68A0" w:rsidRDefault="0084326C" w:rsidP="0084326C">
      <w:pPr>
        <w:spacing w:after="120"/>
        <w:rPr>
          <w:noProof/>
        </w:rPr>
      </w:pPr>
      <w:r>
        <w:rPr>
          <w:noProof/>
        </w:rPr>
        <w:t>Kava raames antakse toetusi otse erasektorile. Taaste- ja vastupidavusrahastu investeeringute põhjal on kava eesmärk esialgu eraldada vähemalt 320 000</w:t>
      </w:r>
      <w:r>
        <w:rPr>
          <w:rFonts w:ascii="Arial Narrow" w:hAnsi="Arial Narrow"/>
          <w:noProof/>
          <w:color w:val="006100"/>
          <w:sz w:val="20"/>
        </w:rPr>
        <w:t> </w:t>
      </w:r>
      <w:r>
        <w:rPr>
          <w:noProof/>
        </w:rPr>
        <w:t>000 eurot toetusi.</w:t>
      </w:r>
    </w:p>
    <w:p w14:paraId="57201ABC" w14:textId="77777777" w:rsidR="0084326C" w:rsidRPr="005D68A0" w:rsidRDefault="0084326C" w:rsidP="0084326C">
      <w:pPr>
        <w:spacing w:after="120"/>
        <w:jc w:val="both"/>
        <w:rPr>
          <w:noProof/>
        </w:rPr>
      </w:pPr>
      <w:r>
        <w:rPr>
          <w:noProof/>
        </w:rPr>
        <w:t>Kava haldab rakenduspartnerina Invitalia SpA. Kava hõlmab järgmisi tooteliike:</w:t>
      </w:r>
    </w:p>
    <w:p w14:paraId="05AE778A" w14:textId="73364485" w:rsidR="0084326C" w:rsidRPr="005D68A0" w:rsidRDefault="0084326C" w:rsidP="0084326C">
      <w:pPr>
        <w:pStyle w:val="ListParagraph"/>
        <w:numPr>
          <w:ilvl w:val="0"/>
          <w:numId w:val="38"/>
        </w:numPr>
        <w:spacing w:before="0"/>
        <w:contextualSpacing w:val="0"/>
        <w:rPr>
          <w:noProof/>
        </w:rPr>
      </w:pPr>
      <w:r>
        <w:rPr>
          <w:noProof/>
        </w:rPr>
        <w:t>tagastamatu panus – keskmiselt ligikaudu 50 % koguinvesteeringust – selliste süsteemide ja nendega seotud digitehnoloogiate ostmiseks, mis võimaldavad taastuvatest energiaallikatest otse toota energiat koheseks omatarbeks tarbimiseks või akumulatsiooni-/ladustamissüsteemide kaudu.</w:t>
      </w:r>
    </w:p>
    <w:p w14:paraId="112CA96D" w14:textId="77777777" w:rsidR="0084326C" w:rsidRPr="005D68A0" w:rsidRDefault="0084326C" w:rsidP="0084326C">
      <w:pPr>
        <w:spacing w:after="120"/>
        <w:jc w:val="both"/>
        <w:rPr>
          <w:noProof/>
        </w:rPr>
      </w:pPr>
      <w:r>
        <w:rPr>
          <w:noProof/>
        </w:rPr>
        <w:t>Kavasse investeeringu tegemiseks kirjutavad Itaalia ja Invitalia SpA alla rakenduslepingule, mis sisaldab järgmist sisu:</w:t>
      </w:r>
    </w:p>
    <w:p w14:paraId="796C683A" w14:textId="77777777" w:rsidR="0084326C" w:rsidRPr="005D68A0" w:rsidRDefault="0084326C" w:rsidP="0084326C">
      <w:pPr>
        <w:pStyle w:val="LegalNumPar"/>
        <w:numPr>
          <w:ilvl w:val="0"/>
          <w:numId w:val="39"/>
        </w:num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Kava otsustusprotsessi kirjeldus: Skeemi lõpliku investeerimisotsuse teeb investeerimiskomitee või muu samaväärne juhtorgan ning see kiidetakse heaks valitsusest sõltumatute liikmete häälteenamusega.</w:t>
      </w:r>
    </w:p>
    <w:p w14:paraId="4EE76AA9" w14:textId="77777777" w:rsidR="0084326C" w:rsidRPr="005D68A0" w:rsidRDefault="0084326C" w:rsidP="0084326C">
      <w:pPr>
        <w:pStyle w:val="LegalNumPar"/>
        <w:numPr>
          <w:ilvl w:val="0"/>
          <w:numId w:val="31"/>
        </w:numPr>
        <w:spacing w:after="120" w:line="240" w:lineRule="auto"/>
        <w:jc w:val="both"/>
        <w:rPr>
          <w:rFonts w:ascii="Times New Roman" w:hAnsi="Times New Roman" w:cs="Times New Roman"/>
          <w:noProof/>
          <w:sz w:val="24"/>
          <w:szCs w:val="24"/>
        </w:rPr>
      </w:pPr>
      <w:r>
        <w:rPr>
          <w:rFonts w:ascii="Times New Roman" w:hAnsi="Times New Roman"/>
          <w:noProof/>
          <w:sz w:val="24"/>
        </w:rPr>
        <w:t>Seotud investeerimispoliitika põhinõuded, mis hõlmavad järgmist:</w:t>
      </w:r>
    </w:p>
    <w:p w14:paraId="1EF3BD53" w14:textId="77777777" w:rsidR="0084326C" w:rsidRPr="005D68A0" w:rsidRDefault="0084326C" w:rsidP="0084326C">
      <w:pPr>
        <w:pStyle w:val="LegalNumPar2"/>
        <w:numPr>
          <w:ilvl w:val="1"/>
          <w:numId w:val="41"/>
        </w:numPr>
        <w:spacing w:after="120" w:line="240" w:lineRule="auto"/>
        <w:ind w:left="1418"/>
        <w:jc w:val="both"/>
        <w:rPr>
          <w:rFonts w:ascii="Times New Roman" w:hAnsi="Times New Roman" w:cs="Times New Roman"/>
          <w:noProof/>
          <w:sz w:val="24"/>
          <w:szCs w:val="24"/>
        </w:rPr>
      </w:pPr>
      <w:r>
        <w:rPr>
          <w:rFonts w:ascii="Times New Roman" w:hAnsi="Times New Roman"/>
          <w:noProof/>
          <w:sz w:val="24"/>
        </w:rPr>
        <w:t xml:space="preserve">Antud toetuse liigi ja rahastamiskõlblike lõplike toetusesaajate kirjeldus. </w:t>
      </w:r>
    </w:p>
    <w:p w14:paraId="07B2CA29" w14:textId="77777777" w:rsidR="0084326C" w:rsidRPr="005D68A0" w:rsidRDefault="0084326C" w:rsidP="0084326C">
      <w:pPr>
        <w:pStyle w:val="LegalNumPar2"/>
        <w:numPr>
          <w:ilvl w:val="1"/>
          <w:numId w:val="41"/>
        </w:numPr>
        <w:spacing w:after="120" w:line="240" w:lineRule="auto"/>
        <w:ind w:left="1418"/>
        <w:jc w:val="both"/>
        <w:rPr>
          <w:rFonts w:ascii="Times New Roman" w:hAnsi="Times New Roman" w:cs="Times New Roman"/>
          <w:noProof/>
          <w:sz w:val="24"/>
          <w:szCs w:val="24"/>
        </w:rPr>
      </w:pPr>
      <w:r>
        <w:rPr>
          <w:rFonts w:ascii="Times New Roman" w:hAnsi="Times New Roman"/>
          <w:noProof/>
          <w:sz w:val="24"/>
        </w:rPr>
        <w:t>Nõue, et kõik toetatavad investeeringud on majanduslikult elujõulised.</w:t>
      </w:r>
    </w:p>
    <w:p w14:paraId="7102326D" w14:textId="77777777" w:rsidR="0084326C" w:rsidRPr="005D68A0" w:rsidRDefault="53DC5198" w:rsidP="0084326C">
      <w:pPr>
        <w:pStyle w:val="LegalNumPar2"/>
        <w:numPr>
          <w:ilvl w:val="1"/>
          <w:numId w:val="41"/>
        </w:numPr>
        <w:spacing w:after="120" w:line="240" w:lineRule="auto"/>
        <w:ind w:left="1418"/>
        <w:jc w:val="both"/>
        <w:rPr>
          <w:rFonts w:ascii="Times New Roman" w:hAnsi="Times New Roman" w:cs="Times New Roman"/>
          <w:noProof/>
          <w:sz w:val="24"/>
          <w:szCs w:val="24"/>
        </w:rPr>
      </w:pPr>
      <w:r>
        <w:rPr>
          <w:rFonts w:ascii="Times New Roman" w:hAnsi="Times New Roman"/>
          <w:noProof/>
          <w:sz w:val="24"/>
        </w:rPr>
        <w:t>Nõue järgida olulise kahju ärahoidmise põhimõtet, nagu on sätestatud põhimõtte „ei kahjusta oluliselt“ tehnilistes suunistes (2021/C58/01). Eelkõige äriühingute üldise toetamise korral jäetakse investeerimispoliitikast välja äriühingud, mis keskenduvad olulisel määral järgmistele sektoritele</w:t>
      </w:r>
      <w:r w:rsidRPr="005D68A0">
        <w:rPr>
          <w:rFonts w:ascii="Times New Roman" w:hAnsi="Times New Roman" w:cs="Times New Roman"/>
          <w:noProof/>
          <w:sz w:val="24"/>
          <w:szCs w:val="24"/>
          <w:vertAlign w:val="superscript"/>
          <w:lang w:val="en-GB"/>
        </w:rPr>
        <w:footnoteReference w:id="139"/>
      </w:r>
      <w:r>
        <w:rPr>
          <w:rFonts w:ascii="Times New Roman" w:hAnsi="Times New Roman"/>
          <w:noProof/>
          <w:sz w:val="24"/>
        </w:rPr>
        <w:t>: i) fossiilkütustel põhinev energiatootmine ja sellega seotud tegevus</w:t>
      </w:r>
      <w:r w:rsidRPr="005D68A0">
        <w:rPr>
          <w:rFonts w:ascii="Times New Roman" w:hAnsi="Times New Roman" w:cs="Times New Roman"/>
          <w:noProof/>
          <w:sz w:val="24"/>
          <w:szCs w:val="24"/>
          <w:vertAlign w:val="superscript"/>
          <w:lang w:val="en-GB"/>
        </w:rPr>
        <w:footnoteReference w:id="140"/>
      </w:r>
      <w:r>
        <w:rPr>
          <w:rFonts w:ascii="Times New Roman" w:hAnsi="Times New Roman"/>
          <w:noProof/>
          <w:sz w:val="24"/>
        </w:rPr>
        <w:t>; ii) energiamahukad ja/või suure CO</w:t>
      </w:r>
      <w:r>
        <w:rPr>
          <w:rFonts w:ascii="Times New Roman" w:hAnsi="Times New Roman"/>
          <w:noProof/>
          <w:sz w:val="24"/>
          <w:vertAlign w:val="subscript"/>
        </w:rPr>
        <w:t>2</w:t>
      </w:r>
      <w:r>
        <w:rPr>
          <w:rFonts w:ascii="Times New Roman" w:hAnsi="Times New Roman"/>
          <w:noProof/>
          <w:sz w:val="24"/>
        </w:rPr>
        <w:t xml:space="preserve"> heitega tööstusharud</w:t>
      </w:r>
      <w:r w:rsidRPr="005D68A0">
        <w:rPr>
          <w:rFonts w:ascii="Times New Roman" w:hAnsi="Times New Roman" w:cs="Times New Roman"/>
          <w:noProof/>
          <w:sz w:val="24"/>
          <w:szCs w:val="24"/>
          <w:vertAlign w:val="superscript"/>
          <w:lang w:val="en-GB"/>
        </w:rPr>
        <w:footnoteReference w:id="141"/>
      </w:r>
      <w:r>
        <w:rPr>
          <w:rFonts w:ascii="Times New Roman" w:hAnsi="Times New Roman"/>
          <w:noProof/>
          <w:sz w:val="24"/>
        </w:rPr>
        <w:t>; iii) saastavate sõidukite tootmine, rentimine või müük</w:t>
      </w:r>
      <w:r w:rsidRPr="005D68A0">
        <w:rPr>
          <w:rFonts w:ascii="Times New Roman" w:hAnsi="Times New Roman" w:cs="Times New Roman"/>
          <w:noProof/>
          <w:sz w:val="24"/>
          <w:szCs w:val="24"/>
          <w:vertAlign w:val="superscript"/>
          <w:lang w:val="en-GB"/>
        </w:rPr>
        <w:footnoteReference w:id="142"/>
      </w:r>
      <w:r>
        <w:rPr>
          <w:rFonts w:ascii="Times New Roman" w:hAnsi="Times New Roman"/>
          <w:noProof/>
          <w:sz w:val="24"/>
        </w:rPr>
        <w:t>; iv) jäätmete kogumine, töötlemine ja kõrvaldamine,</w:t>
      </w:r>
      <w:r w:rsidRPr="005D68A0">
        <w:rPr>
          <w:rFonts w:ascii="Times New Roman" w:hAnsi="Times New Roman" w:cs="Times New Roman"/>
          <w:noProof/>
          <w:sz w:val="24"/>
          <w:szCs w:val="24"/>
          <w:vertAlign w:val="superscript"/>
          <w:lang w:val="en-GB"/>
        </w:rPr>
        <w:footnoteReference w:id="143"/>
      </w:r>
      <w:r>
        <w:rPr>
          <w:rFonts w:ascii="Times New Roman" w:hAnsi="Times New Roman"/>
          <w:noProof/>
          <w:sz w:val="24"/>
        </w:rPr>
        <w:t xml:space="preserve"> v) tuumkütuse töötlemine, tuumaenergia tootmine. Lisaks nõutakse investeerimispoliitikas kavast lõplike abisaajate vastavust asjakohastele ELi ja riiklikele keskkonnaalastele õigusaktidele. </w:t>
      </w:r>
    </w:p>
    <w:p w14:paraId="7C556DE4" w14:textId="77777777" w:rsidR="0084326C" w:rsidRPr="005D68A0" w:rsidRDefault="0084326C" w:rsidP="0084326C">
      <w:pPr>
        <w:pStyle w:val="LegalNumPar2"/>
        <w:numPr>
          <w:ilvl w:val="1"/>
          <w:numId w:val="41"/>
        </w:numPr>
        <w:spacing w:after="120" w:line="240" w:lineRule="auto"/>
        <w:ind w:left="1418"/>
        <w:jc w:val="both"/>
        <w:rPr>
          <w:rFonts w:ascii="Times New Roman" w:hAnsi="Times New Roman" w:cs="Times New Roman"/>
          <w:bCs/>
          <w:noProof/>
          <w:sz w:val="24"/>
          <w:szCs w:val="24"/>
        </w:rPr>
      </w:pPr>
      <w:r>
        <w:rPr>
          <w:rFonts w:ascii="Times New Roman" w:hAnsi="Times New Roman"/>
          <w:noProof/>
          <w:sz w:val="24"/>
        </w:rPr>
        <w:t>Nõue, et kava lõplikud abisaajad ei saa samade kulude katmiseks toetust muudest liidu vahenditest.</w:t>
      </w:r>
    </w:p>
    <w:p w14:paraId="7465AC0D" w14:textId="77777777" w:rsidR="0084326C" w:rsidRPr="005D68A0" w:rsidRDefault="0084326C" w:rsidP="0084326C">
      <w:pPr>
        <w:pStyle w:val="LegalNumPar"/>
        <w:numPr>
          <w:ilvl w:val="0"/>
          <w:numId w:val="31"/>
        </w:numPr>
        <w:spacing w:after="120" w:line="240" w:lineRule="auto"/>
        <w:jc w:val="both"/>
        <w:rPr>
          <w:rFonts w:ascii="Times New Roman" w:hAnsi="Times New Roman" w:cs="Times New Roman"/>
          <w:noProof/>
          <w:sz w:val="24"/>
          <w:szCs w:val="24"/>
        </w:rPr>
      </w:pPr>
      <w:r>
        <w:rPr>
          <w:rFonts w:ascii="Times New Roman" w:hAnsi="Times New Roman"/>
          <w:noProof/>
          <w:sz w:val="24"/>
        </w:rPr>
        <w:t>Rakenduslepinguga hõlmatud summa, rakenduspartneri tasude struktuur ja nõue investeerida kava kasutamata tulu, sealhulgas pärast 2026. aastat, samadel poliitikaeesmärkidel.</w:t>
      </w:r>
    </w:p>
    <w:p w14:paraId="7B866209" w14:textId="77777777" w:rsidR="0084326C" w:rsidRPr="005D68A0" w:rsidRDefault="0084326C" w:rsidP="0084326C">
      <w:pPr>
        <w:pStyle w:val="LegalNumPar"/>
        <w:numPr>
          <w:ilvl w:val="0"/>
          <w:numId w:val="31"/>
        </w:numPr>
        <w:spacing w:after="120" w:line="240" w:lineRule="auto"/>
        <w:jc w:val="both"/>
        <w:rPr>
          <w:rFonts w:ascii="Times New Roman" w:hAnsi="Times New Roman" w:cs="Times New Roman"/>
          <w:noProof/>
          <w:sz w:val="24"/>
          <w:szCs w:val="24"/>
        </w:rPr>
      </w:pPr>
      <w:r>
        <w:rPr>
          <w:rFonts w:ascii="Times New Roman" w:hAnsi="Times New Roman"/>
          <w:noProof/>
          <w:sz w:val="24"/>
        </w:rPr>
        <w:t>Seire-, auditi- ja kontrollinõuded, sealhulgas:</w:t>
      </w:r>
    </w:p>
    <w:p w14:paraId="6D6BE216" w14:textId="77777777" w:rsidR="0084326C" w:rsidRPr="005D68A0" w:rsidRDefault="0084326C" w:rsidP="0084326C">
      <w:pPr>
        <w:numPr>
          <w:ilvl w:val="0"/>
          <w:numId w:val="40"/>
        </w:numPr>
        <w:spacing w:after="120"/>
        <w:jc w:val="both"/>
        <w:rPr>
          <w:noProof/>
        </w:rPr>
      </w:pPr>
      <w:r>
        <w:rPr>
          <w:noProof/>
        </w:rPr>
        <w:t>Rakenduspartneri järelevalvesüsteemi kirjeldus kaasatud investeeringute kohta aru andmiseks.</w:t>
      </w:r>
    </w:p>
    <w:p w14:paraId="5ECD58B5" w14:textId="77777777" w:rsidR="0084326C" w:rsidRPr="005D68A0" w:rsidRDefault="0084326C" w:rsidP="0084326C">
      <w:pPr>
        <w:numPr>
          <w:ilvl w:val="0"/>
          <w:numId w:val="40"/>
        </w:numPr>
        <w:spacing w:after="120"/>
        <w:jc w:val="both"/>
        <w:rPr>
          <w:noProof/>
        </w:rPr>
      </w:pPr>
      <w:r>
        <w:rPr>
          <w:noProof/>
        </w:rPr>
        <w:t xml:space="preserve">Selliste rakenduspartneri menetluste kirjeldus, millega tagatakse pettuste, korruptsiooni ja huvide konfliktide ennetamine, avastamine ja kõrvaldamine. </w:t>
      </w:r>
    </w:p>
    <w:p w14:paraId="06D0F531" w14:textId="77777777" w:rsidR="0084326C" w:rsidRPr="005D68A0" w:rsidRDefault="0084326C" w:rsidP="0084326C">
      <w:pPr>
        <w:numPr>
          <w:ilvl w:val="0"/>
          <w:numId w:val="40"/>
        </w:numPr>
        <w:spacing w:after="120"/>
        <w:jc w:val="both"/>
        <w:rPr>
          <w:noProof/>
        </w:rPr>
      </w:pPr>
      <w:r>
        <w:rPr>
          <w:noProof/>
        </w:rPr>
        <w:t>Kohustus kontrollida iga toimingu rahastamiskõlblikkust kooskõlas rakenduslepingus sätestatud nõuetega enne toimingu rahastamise kohustuse võtmist.</w:t>
      </w:r>
    </w:p>
    <w:p w14:paraId="195B1FB0" w14:textId="77777777" w:rsidR="0084326C" w:rsidRPr="005D68A0" w:rsidRDefault="0084326C" w:rsidP="0084326C">
      <w:pPr>
        <w:numPr>
          <w:ilvl w:val="0"/>
          <w:numId w:val="40"/>
        </w:numPr>
        <w:spacing w:after="120"/>
        <w:jc w:val="both"/>
        <w:rPr>
          <w:noProof/>
        </w:rPr>
      </w:pPr>
      <w:r>
        <w:rPr>
          <w:noProof/>
        </w:rPr>
        <w:t xml:space="preserve">Kohustus teha riskipõhiseid järelauditeid vastavalt Invitalia SpA auditikavale. Nende audititega kontrollitakse i) kontrollisüsteemide tõhusust, sealhulgas pettuste, korruptsiooni ja huvide konflikti avastamist; ii) põhimõtte „ei kahjusta oluliselt“ järgimine, riigiabi eeskirjad ja kliimaeesmärgi nõuded; ning iii) järgitakse nõuet, et kava lõplikud abisaajad ei ole saanud toetust muudest liidu vahenditest samade kulude katmiseks. Auditite käigus kontrollitakse ka tehingute seaduslikkust ja kohaldatava rakenduskokkuleppe tingimuste täitmist. </w:t>
      </w:r>
    </w:p>
    <w:p w14:paraId="57DB4FF8" w14:textId="708A266E" w:rsidR="0084326C" w:rsidRPr="005D68A0" w:rsidRDefault="53DC5198" w:rsidP="0084326C">
      <w:pPr>
        <w:numPr>
          <w:ilvl w:val="0"/>
          <w:numId w:val="31"/>
        </w:numPr>
        <w:spacing w:after="120"/>
        <w:ind w:left="720" w:hanging="360"/>
        <w:jc w:val="both"/>
        <w:rPr>
          <w:noProof/>
        </w:rPr>
      </w:pPr>
      <w:r>
        <w:rPr>
          <w:noProof/>
        </w:rPr>
        <w:t>Nõuded rakenduspartneri tehtavatele kliimainvesteeringutele: 320 000 000 eurot taaste- ja vastupidavusrahastu investeeringust rahastusse aitab kaasa kliimamuutustega seotud eesmärkide saavutamisele kooskõlas taaste- ja vastupidavusrahastu määruse VI lisaga</w:t>
      </w:r>
      <w:r w:rsidRPr="005D68A0">
        <w:rPr>
          <w:rStyle w:val="FootnoteReference"/>
          <w:noProof/>
          <w:lang w:val="en-GB"/>
        </w:rPr>
        <w:footnoteReference w:id="144"/>
      </w:r>
      <w:r>
        <w:rPr>
          <w:noProof/>
        </w:rPr>
        <w:t>.</w:t>
      </w:r>
    </w:p>
    <w:p w14:paraId="1397BD4E" w14:textId="77777777" w:rsidR="0084326C" w:rsidRPr="005D68A0" w:rsidRDefault="0084326C" w:rsidP="0084326C">
      <w:pPr>
        <w:spacing w:after="120"/>
        <w:jc w:val="both"/>
        <w:rPr>
          <w:noProof/>
        </w:rPr>
      </w:pPr>
      <w:r>
        <w:rPr>
          <w:noProof/>
        </w:rPr>
        <w:t>Meetme rakendamine viiakse lõpule 31. augustiks 2026.</w:t>
      </w:r>
    </w:p>
    <w:p w14:paraId="3F461581" w14:textId="77777777" w:rsidR="0084326C" w:rsidRPr="005D68A0" w:rsidRDefault="0084326C" w:rsidP="0084326C">
      <w:pPr>
        <w:pStyle w:val="Heading4"/>
        <w:numPr>
          <w:ilvl w:val="3"/>
          <w:numId w:val="0"/>
        </w:numPr>
        <w:spacing w:before="0"/>
        <w:rPr>
          <w:b/>
          <w:noProof/>
        </w:rPr>
      </w:pPr>
      <w:r>
        <w:rPr>
          <w:b/>
          <w:noProof/>
        </w:rPr>
        <w:t>Investeering 17. Avaliku sektori ja sotsiaaleluruumide ning väikese sissetulekuga ja vähekaitstud leibkondade energiatõhusaks renoveerimise rahastamisvahend</w:t>
      </w:r>
    </w:p>
    <w:p w14:paraId="7EB3CA3B" w14:textId="77777777" w:rsidR="0084326C" w:rsidRPr="005D68A0" w:rsidRDefault="0084326C" w:rsidP="0084326C">
      <w:pPr>
        <w:spacing w:after="120"/>
        <w:jc w:val="both"/>
        <w:rPr>
          <w:rFonts w:eastAsia="@MS Mincho"/>
          <w:noProof/>
        </w:rPr>
      </w:pPr>
      <w:r>
        <w:rPr>
          <w:noProof/>
        </w:rPr>
        <w:t xml:space="preserve">Meetme eesmärk on toetada väikese sissetulekuga ja vähekaitstud leibkondade renoveerimist ning leevendada energiaostuvõimetust. See meede koosneb avaliku sektori investeeringutest rahastamisvahendisse, mis on energiaostuvõimetuse leevendamise rahastamisvahend, et stimuleerida erainvesteeringuid ja parandada juurdepääsu rahastamisele sotsiaal- ja sotsiaaleluruumide energiatõhusamaks renoveerimiseks, et saavutada vähemalt 30 % energiatõhususe paranemine. </w:t>
      </w:r>
    </w:p>
    <w:p w14:paraId="52622781" w14:textId="77777777" w:rsidR="0084326C" w:rsidRPr="005D68A0" w:rsidRDefault="0084326C" w:rsidP="0084326C">
      <w:pPr>
        <w:keepNext/>
        <w:spacing w:after="120"/>
        <w:jc w:val="both"/>
        <w:rPr>
          <w:noProof/>
        </w:rPr>
      </w:pPr>
      <w:r>
        <w:rPr>
          <w:noProof/>
        </w:rPr>
        <w:t>Rahastut haldab rakenduspartner. Selleks võib olla Cassa Depositi e Prestiti või Euroopa Investeerimispank. Cassa Depositi e Prestiti ja Euroopa Investeerimispank võivad tegutseda koos rakenduspartneritega. Rakenduspartnerit täpsustatakse tegevuskorra edasistes kirjeldustes. Rahastu tegevus seisneb toetuste ja/või subsideeritud laenude andmises energiateenuse ettevõtjatele eluasemete energiatõhusaks renoveerimiseks.</w:t>
      </w:r>
    </w:p>
    <w:p w14:paraId="1A925343" w14:textId="608E13DB" w:rsidR="0084326C" w:rsidRPr="005D68A0" w:rsidRDefault="0084326C" w:rsidP="0084326C">
      <w:pPr>
        <w:keepNext/>
        <w:spacing w:after="120"/>
        <w:jc w:val="both"/>
        <w:rPr>
          <w:noProof/>
        </w:rPr>
      </w:pPr>
      <w:r>
        <w:rPr>
          <w:noProof/>
        </w:rPr>
        <w:t>Taaste- ja vastupidavusrahastu investeeringute põhjal on rahastu eesmärk anda esialgu vähemalt 1 381 000 000 eurot rahalist toetust.</w:t>
      </w:r>
    </w:p>
    <w:p w14:paraId="7A90EB2E" w14:textId="77777777" w:rsidR="0084326C" w:rsidRPr="005D68A0" w:rsidRDefault="0084326C" w:rsidP="0084326C">
      <w:pPr>
        <w:spacing w:after="120"/>
        <w:jc w:val="both"/>
        <w:rPr>
          <w:noProof/>
        </w:rPr>
      </w:pPr>
      <w:r>
        <w:rPr>
          <w:noProof/>
        </w:rPr>
        <w:t>Rahastu hõlmab järgmisi tooteliike:</w:t>
      </w:r>
    </w:p>
    <w:p w14:paraId="249B4C9B" w14:textId="77777777" w:rsidR="0084326C" w:rsidRPr="005D68A0" w:rsidRDefault="0084326C" w:rsidP="0084326C">
      <w:pPr>
        <w:numPr>
          <w:ilvl w:val="0"/>
          <w:numId w:val="24"/>
        </w:numPr>
        <w:shd w:val="clear" w:color="auto" w:fill="FFFFFF"/>
        <w:spacing w:after="120"/>
        <w:jc w:val="both"/>
        <w:rPr>
          <w:noProof/>
          <w:u w:val="single"/>
        </w:rPr>
      </w:pPr>
      <w:r>
        <w:rPr>
          <w:noProof/>
          <w:u w:val="single"/>
        </w:rPr>
        <w:t>Sotsiaaleluasemed:</w:t>
      </w:r>
    </w:p>
    <w:p w14:paraId="74D6AAC0" w14:textId="77777777" w:rsidR="0084326C" w:rsidRPr="005D68A0" w:rsidRDefault="0084326C" w:rsidP="0084326C">
      <w:pPr>
        <w:shd w:val="clear" w:color="auto" w:fill="FFFFFF"/>
        <w:spacing w:after="120"/>
        <w:jc w:val="both"/>
        <w:rPr>
          <w:noProof/>
        </w:rPr>
      </w:pPr>
      <w:r>
        <w:rPr>
          <w:noProof/>
        </w:rPr>
        <w:t>See tooterida annab rahalist toetust toetuste, intressitoetuste, subsideeritud laenude ja energiateenuse ettevõtetele antavate turulaenude vormis, et renoveerida sotsiaaleluasemeid energiatõhusamaks.</w:t>
      </w:r>
    </w:p>
    <w:p w14:paraId="6A617CC9" w14:textId="77777777" w:rsidR="0084326C" w:rsidRPr="005D68A0" w:rsidRDefault="0084326C" w:rsidP="0084326C">
      <w:pPr>
        <w:pStyle w:val="ListParagraph"/>
        <w:numPr>
          <w:ilvl w:val="0"/>
          <w:numId w:val="26"/>
        </w:numPr>
        <w:shd w:val="clear" w:color="auto" w:fill="FFFFFF"/>
        <w:spacing w:before="0"/>
        <w:contextualSpacing w:val="0"/>
        <w:rPr>
          <w:noProof/>
          <w:u w:val="single"/>
        </w:rPr>
      </w:pPr>
      <w:r>
        <w:rPr>
          <w:noProof/>
          <w:u w:val="single"/>
        </w:rPr>
        <w:t>Sotsiaaleluasemed:</w:t>
      </w:r>
    </w:p>
    <w:p w14:paraId="38FD20BC" w14:textId="77777777" w:rsidR="0084326C" w:rsidRPr="005D68A0" w:rsidRDefault="0084326C" w:rsidP="0084326C">
      <w:pPr>
        <w:shd w:val="clear" w:color="auto" w:fill="FFFFFF" w:themeFill="background1"/>
        <w:spacing w:after="120"/>
        <w:jc w:val="both"/>
        <w:rPr>
          <w:b/>
          <w:noProof/>
          <w:color w:val="000000" w:themeColor="text1"/>
        </w:rPr>
      </w:pPr>
      <w:r>
        <w:rPr>
          <w:noProof/>
        </w:rPr>
        <w:t>See tooterida annab rahalist toetust toetuste, intressitoetuste, subsideeritud laenude ja energiateenuse ettevõtetele antavate turulaenude vormis sotsiaaleluruumide energiatõhusaks renoveerimiseks.</w:t>
      </w:r>
    </w:p>
    <w:p w14:paraId="61DD8D7C" w14:textId="77777777" w:rsidR="0084326C" w:rsidRPr="005D68A0" w:rsidRDefault="0084326C" w:rsidP="0084326C">
      <w:pPr>
        <w:pStyle w:val="ListParagraph"/>
        <w:numPr>
          <w:ilvl w:val="0"/>
          <w:numId w:val="32"/>
        </w:numPr>
        <w:shd w:val="clear" w:color="auto" w:fill="FFFFFF" w:themeFill="background1"/>
        <w:spacing w:before="0"/>
        <w:contextualSpacing w:val="0"/>
        <w:rPr>
          <w:noProof/>
          <w:u w:val="single"/>
        </w:rPr>
      </w:pPr>
      <w:r>
        <w:rPr>
          <w:noProof/>
          <w:u w:val="single"/>
        </w:rPr>
        <w:t>Kortermajade energiatõhusaks renoveerimine väikese sissetulekuga leibkondades:</w:t>
      </w:r>
    </w:p>
    <w:p w14:paraId="0B89A8F0" w14:textId="77777777" w:rsidR="0084326C" w:rsidRPr="005D68A0" w:rsidRDefault="0084326C" w:rsidP="0084326C">
      <w:pPr>
        <w:shd w:val="clear" w:color="auto" w:fill="FFFFFF" w:themeFill="background1"/>
        <w:spacing w:after="120"/>
        <w:jc w:val="both"/>
        <w:rPr>
          <w:noProof/>
        </w:rPr>
      </w:pPr>
      <w:r>
        <w:rPr>
          <w:noProof/>
        </w:rPr>
        <w:t>See tooterida annab rahalist toetust toetuste, intressitoetuste, subsideeritud laenude ja energiateenuse ettevõtetele antavate turulaenude vormis, et renoveerida madala sissetulekuga ja vähekaitstud kodumajapidamisi kortermajades.</w:t>
      </w:r>
    </w:p>
    <w:p w14:paraId="3B22BF54" w14:textId="77777777" w:rsidR="0084326C" w:rsidRPr="005D68A0" w:rsidRDefault="0084326C" w:rsidP="0084326C">
      <w:pPr>
        <w:shd w:val="clear" w:color="auto" w:fill="FFFFFF" w:themeFill="background1"/>
        <w:spacing w:after="120"/>
        <w:jc w:val="both"/>
        <w:rPr>
          <w:noProof/>
        </w:rPr>
      </w:pPr>
      <w:r>
        <w:rPr>
          <w:noProof/>
        </w:rPr>
        <w:t>Kaks kolmandikku rahastust on ette nähtud sotsiaal- ja sotsiaaleluruumide energiatõhusaks renoveerimiseks; kolmandik eraldatakse kortermajade madala sissetulekuga leibkondade energiatõhusaks renoveerimiseks.</w:t>
      </w:r>
    </w:p>
    <w:p w14:paraId="3F12BF93" w14:textId="77777777" w:rsidR="0084326C" w:rsidRPr="005D68A0" w:rsidRDefault="0084326C" w:rsidP="0084326C">
      <w:pPr>
        <w:spacing w:after="120"/>
        <w:jc w:val="both"/>
        <w:rPr>
          <w:noProof/>
        </w:rPr>
      </w:pPr>
      <w:r>
        <w:rPr>
          <w:noProof/>
        </w:rPr>
        <w:t>Rahastusse investeeringu tegemiseks kirjutavad Itaalia ja rakenduspartner alla rakenduslepingule, mis sisaldab järgmist sisu:</w:t>
      </w:r>
    </w:p>
    <w:p w14:paraId="4D4C3DDF" w14:textId="77777777" w:rsidR="0084326C" w:rsidRPr="005D68A0" w:rsidRDefault="0084326C" w:rsidP="0084326C">
      <w:pPr>
        <w:pStyle w:val="ListParagraph"/>
        <w:numPr>
          <w:ilvl w:val="0"/>
          <w:numId w:val="33"/>
        </w:numPr>
        <w:spacing w:before="0"/>
        <w:ind w:left="709" w:hanging="425"/>
        <w:contextualSpacing w:val="0"/>
        <w:rPr>
          <w:noProof/>
        </w:rPr>
      </w:pPr>
      <w:r>
        <w:rPr>
          <w:noProof/>
        </w:rPr>
        <w:t>Rahastu otsustusprotsessi kirjeldus: Rahastu lõpliku investeerimisotsuse teeb investeerimiskomitee või muu samaväärne juhtorgan ning see kiidetakse heaks valitsusest sõltumatute liikmete häälteenamusega.</w:t>
      </w:r>
    </w:p>
    <w:p w14:paraId="00EE7B31" w14:textId="77777777" w:rsidR="0084326C" w:rsidRPr="005D68A0" w:rsidRDefault="0084326C" w:rsidP="0084326C">
      <w:pPr>
        <w:pStyle w:val="ListParagraph"/>
        <w:numPr>
          <w:ilvl w:val="0"/>
          <w:numId w:val="33"/>
        </w:numPr>
        <w:spacing w:before="0"/>
        <w:ind w:left="709" w:hanging="425"/>
        <w:contextualSpacing w:val="0"/>
        <w:rPr>
          <w:noProof/>
        </w:rPr>
      </w:pPr>
      <w:r>
        <w:rPr>
          <w:noProof/>
        </w:rPr>
        <w:t>Seotud investeerimispoliitika põhinõuded, mis hõlmavad järgmist:</w:t>
      </w:r>
    </w:p>
    <w:p w14:paraId="57F8BED9" w14:textId="77777777" w:rsidR="0084326C" w:rsidRPr="005D68A0" w:rsidRDefault="53DC5198" w:rsidP="0084326C">
      <w:pPr>
        <w:pStyle w:val="ListParagraph"/>
        <w:numPr>
          <w:ilvl w:val="1"/>
          <w:numId w:val="33"/>
        </w:numPr>
        <w:spacing w:before="0"/>
        <w:ind w:left="1418"/>
        <w:contextualSpacing w:val="0"/>
        <w:rPr>
          <w:noProof/>
        </w:rPr>
      </w:pPr>
      <w:r>
        <w:rPr>
          <w:noProof/>
        </w:rPr>
        <w:t>Finantstoote(te) ja rahastamiskõlblike lõplike abisaajate kirjeldus</w:t>
      </w:r>
      <w:r w:rsidRPr="005D68A0">
        <w:rPr>
          <w:rStyle w:val="FootnoteReference"/>
          <w:noProof/>
          <w:lang w:val="en-GB"/>
        </w:rPr>
        <w:footnoteReference w:id="145"/>
      </w:r>
      <w:r>
        <w:rPr>
          <w:noProof/>
        </w:rPr>
        <w:t>.</w:t>
      </w:r>
    </w:p>
    <w:p w14:paraId="7CBE5F93" w14:textId="77777777" w:rsidR="0084326C" w:rsidRPr="005D68A0" w:rsidRDefault="0084326C" w:rsidP="0084326C">
      <w:pPr>
        <w:pStyle w:val="ListParagraph"/>
        <w:numPr>
          <w:ilvl w:val="1"/>
          <w:numId w:val="33"/>
        </w:numPr>
        <w:spacing w:before="0"/>
        <w:ind w:left="1418"/>
        <w:contextualSpacing w:val="0"/>
        <w:rPr>
          <w:noProof/>
        </w:rPr>
      </w:pPr>
      <w:r>
        <w:rPr>
          <w:noProof/>
        </w:rPr>
        <w:t>Nõue, et kõik toetatavad investeeringud on majanduslikult elujõulised.</w:t>
      </w:r>
    </w:p>
    <w:p w14:paraId="2E65806A" w14:textId="77777777" w:rsidR="0084326C" w:rsidRPr="005D68A0" w:rsidRDefault="53DC5198" w:rsidP="0084326C">
      <w:pPr>
        <w:pStyle w:val="ListParagraph"/>
        <w:numPr>
          <w:ilvl w:val="1"/>
          <w:numId w:val="33"/>
        </w:numPr>
        <w:spacing w:before="0"/>
        <w:ind w:left="1418"/>
        <w:contextualSpacing w:val="0"/>
        <w:rPr>
          <w:noProof/>
        </w:rPr>
      </w:pPr>
      <w:r>
        <w:rPr>
          <w:noProof/>
        </w:rPr>
        <w:t>Nõue järgida olulise kahju ärahoidmise põhimõtet, nagu on sätestatud põhimõtte „ei kahjusta oluliselt“ tehnilistes suunistes (2021/C58/01). Eelkõige jäetakse investeerimispoliitika raames rahastamiskõlblikkuse alt välja järgmised tegevused ja varad: i) fossiilkütustega seotud tegevused ja varad, sealhulgas järgnev kasutamine,</w:t>
      </w:r>
      <w:r w:rsidRPr="005D68A0">
        <w:rPr>
          <w:rStyle w:val="FootnoteReference"/>
          <w:noProof/>
          <w:lang w:val="en-GB"/>
        </w:rPr>
        <w:footnoteReference w:id="146"/>
      </w:r>
      <w:r>
        <w:rPr>
          <w:noProof/>
        </w:rPr>
        <w:t xml:space="preserve"> ii) ELi heitkogustega kauplemise süsteemi (HKS) alla kuuluvad tegevused ja varad, millega saavutatakse prognoositud kasvuhoonegaaside heide, mis ei ole väiksem kui asjaomased võrdlusalused,</w:t>
      </w:r>
      <w:r w:rsidRPr="005D68A0">
        <w:rPr>
          <w:noProof/>
          <w:vertAlign w:val="superscript"/>
          <w:lang w:val="en-GB"/>
        </w:rPr>
        <w:footnoteReference w:id="147"/>
      </w:r>
      <w:r>
        <w:rPr>
          <w:noProof/>
        </w:rPr>
        <w:t xml:space="preserve"> iii) prügilate, jäätmepõletustehaste</w:t>
      </w:r>
      <w:r w:rsidRPr="005D68A0">
        <w:rPr>
          <w:rStyle w:val="FootnoteReference"/>
          <w:noProof/>
          <w:lang w:val="en-GB"/>
        </w:rPr>
        <w:footnoteReference w:id="148"/>
      </w:r>
      <w:r>
        <w:rPr>
          <w:noProof/>
        </w:rPr>
        <w:t xml:space="preserve"> ja mehhaaniliste bioloogiliste töötlemistehastega seotud tegevused ja varad</w:t>
      </w:r>
      <w:r w:rsidRPr="005D68A0">
        <w:rPr>
          <w:rStyle w:val="FootnoteReference"/>
          <w:noProof/>
          <w:lang w:val="en-GB"/>
        </w:rPr>
        <w:footnoteReference w:id="149"/>
      </w:r>
      <w:r>
        <w:rPr>
          <w:noProof/>
        </w:rPr>
        <w:t xml:space="preserve">. </w:t>
      </w:r>
    </w:p>
    <w:p w14:paraId="06FC3FA6" w14:textId="77777777" w:rsidR="0084326C" w:rsidRPr="005D68A0" w:rsidRDefault="0084326C" w:rsidP="0084326C">
      <w:pPr>
        <w:pStyle w:val="ListParagraph"/>
        <w:numPr>
          <w:ilvl w:val="1"/>
          <w:numId w:val="33"/>
        </w:numPr>
        <w:spacing w:before="0"/>
        <w:ind w:left="1418"/>
        <w:contextualSpacing w:val="0"/>
        <w:rPr>
          <w:noProof/>
        </w:rPr>
      </w:pPr>
      <w:r>
        <w:rPr>
          <w:noProof/>
        </w:rPr>
        <w:t>Nõue, et rahastu lõplikud abisaajad ei saa samade kulude katmiseks toetust muudest liidu vahenditest.</w:t>
      </w:r>
    </w:p>
    <w:p w14:paraId="16226E51" w14:textId="77777777" w:rsidR="0084326C" w:rsidRPr="005D68A0" w:rsidRDefault="0084326C" w:rsidP="0084326C">
      <w:pPr>
        <w:pStyle w:val="ListParagraph"/>
        <w:numPr>
          <w:ilvl w:val="0"/>
          <w:numId w:val="33"/>
        </w:numPr>
        <w:spacing w:before="0"/>
        <w:ind w:left="709"/>
        <w:contextualSpacing w:val="0"/>
        <w:rPr>
          <w:noProof/>
        </w:rPr>
      </w:pPr>
      <w:r>
        <w:rPr>
          <w:noProof/>
        </w:rPr>
        <w:t>Rakenduslepinguga hõlmatud summa, rakenduspartneri tasude struktuur ja nõue reinvesteerida kõik tagasimaksed vastavalt rahastu investeerimispoliitikale, välja arvatud juhul, kui neid kasutatakse taaste- ja vastupidavusrahastu laenude tagasimaksmiseks.</w:t>
      </w:r>
    </w:p>
    <w:p w14:paraId="41EED6F1" w14:textId="77777777" w:rsidR="0084326C" w:rsidRPr="005D68A0" w:rsidRDefault="0084326C" w:rsidP="0084326C">
      <w:pPr>
        <w:pStyle w:val="ListParagraph"/>
        <w:numPr>
          <w:ilvl w:val="0"/>
          <w:numId w:val="33"/>
        </w:numPr>
        <w:spacing w:before="0"/>
        <w:ind w:left="709"/>
        <w:contextualSpacing w:val="0"/>
        <w:rPr>
          <w:noProof/>
        </w:rPr>
      </w:pPr>
      <w:r>
        <w:rPr>
          <w:noProof/>
        </w:rPr>
        <w:t>Seire-, auditi- ja kontrollinõuded, sealhulgas:</w:t>
      </w:r>
    </w:p>
    <w:p w14:paraId="02B8BA44" w14:textId="77777777" w:rsidR="0084326C" w:rsidRPr="005D68A0" w:rsidRDefault="0084326C" w:rsidP="0084326C">
      <w:pPr>
        <w:pStyle w:val="ListParagraph"/>
        <w:numPr>
          <w:ilvl w:val="1"/>
          <w:numId w:val="33"/>
        </w:numPr>
        <w:spacing w:before="0"/>
        <w:contextualSpacing w:val="0"/>
        <w:rPr>
          <w:noProof/>
        </w:rPr>
      </w:pPr>
      <w:r>
        <w:rPr>
          <w:noProof/>
        </w:rPr>
        <w:t>Rakenduspartneri järelevalvesüsteemi kirjeldus kaasatud investeeringute kohta aru andmiseks.</w:t>
      </w:r>
    </w:p>
    <w:p w14:paraId="03CE6699" w14:textId="77777777" w:rsidR="0084326C" w:rsidRPr="005D68A0" w:rsidRDefault="0084326C" w:rsidP="0084326C">
      <w:pPr>
        <w:pStyle w:val="ListParagraph"/>
        <w:numPr>
          <w:ilvl w:val="1"/>
          <w:numId w:val="33"/>
        </w:numPr>
        <w:spacing w:before="0"/>
        <w:contextualSpacing w:val="0"/>
        <w:rPr>
          <w:noProof/>
        </w:rPr>
      </w:pPr>
      <w:r>
        <w:rPr>
          <w:noProof/>
        </w:rPr>
        <w:t xml:space="preserve">Selliste rakenduspartneri menetluste kirjeldus, millega tagatakse pettuste, korruptsiooni ja huvide konfliktide ennetamine, avastamine ja kõrvaldamine. </w:t>
      </w:r>
    </w:p>
    <w:p w14:paraId="2042AF4A" w14:textId="77777777" w:rsidR="0084326C" w:rsidRPr="005D68A0" w:rsidRDefault="0084326C" w:rsidP="0084326C">
      <w:pPr>
        <w:pStyle w:val="ListParagraph"/>
        <w:numPr>
          <w:ilvl w:val="1"/>
          <w:numId w:val="33"/>
        </w:numPr>
        <w:spacing w:before="0"/>
        <w:contextualSpacing w:val="0"/>
        <w:rPr>
          <w:noProof/>
        </w:rPr>
      </w:pPr>
      <w:r>
        <w:rPr>
          <w:noProof/>
        </w:rPr>
        <w:t>Kohustus kontrollida iga toimingu rahastamiskõlblikkust kooskõlas rakenduslepingus sätestatud nõuetega enne toimingu rahastamise kohustuse võtmist.</w:t>
      </w:r>
    </w:p>
    <w:p w14:paraId="394B5ABA" w14:textId="2F4218A4" w:rsidR="0084326C" w:rsidRPr="005D68A0" w:rsidRDefault="0084326C" w:rsidP="0084326C">
      <w:pPr>
        <w:pStyle w:val="ListParagraph"/>
        <w:numPr>
          <w:ilvl w:val="1"/>
          <w:numId w:val="33"/>
        </w:numPr>
        <w:spacing w:before="0"/>
        <w:rPr>
          <w:noProof/>
        </w:rPr>
      </w:pPr>
      <w:r>
        <w:rPr>
          <w:noProof/>
        </w:rPr>
        <w:t xml:space="preserve">Kohustus teha riskipõhiseid järelauditeid kooskõlas Cassa Depositi e Prestiti ja/või Euroopa Investeerimispanga auditikavaga. Nende audititega kontrollitakse i) kontrollisüsteemide tõhusust, sealhulgas pettuste, korruptsiooni ja huvide konflikti avastamist; ii) põhimõtte „ei kahjusta oluliselt“ järgimine, riigiabi eeskirjad ja kliimaeesmärgi nõuded; ning iii) järgitakse nõuet, et rahastu lõplikud abisaajad ei ole saanud toetust muudest liidu vahenditest samade kulude katmiseks. Auditite käigus kontrollitakse ka tehingute seaduslikkust ja kohaldatava rakenduskokkuleppe tingimuste täitmist. </w:t>
      </w:r>
    </w:p>
    <w:p w14:paraId="1AE46CA6" w14:textId="77777777" w:rsidR="0084326C" w:rsidRPr="005D68A0" w:rsidRDefault="53DC5198" w:rsidP="0084326C">
      <w:pPr>
        <w:spacing w:after="120"/>
        <w:jc w:val="both"/>
        <w:rPr>
          <w:noProof/>
        </w:rPr>
        <w:sectPr w:rsidR="0084326C" w:rsidRPr="005D68A0">
          <w:headerReference w:type="even" r:id="rId423"/>
          <w:headerReference w:type="default" r:id="rId424"/>
          <w:footerReference w:type="even" r:id="rId425"/>
          <w:footerReference w:type="default" r:id="rId426"/>
          <w:headerReference w:type="first" r:id="rId427"/>
          <w:footerReference w:type="first" r:id="rId428"/>
          <w:pgSz w:w="11906" w:h="16838" w:code="12"/>
          <w:pgMar w:top="1440" w:right="1440" w:bottom="1440" w:left="1440" w:header="567" w:footer="567" w:gutter="0"/>
          <w:cols w:space="720"/>
          <w:docGrid w:linePitch="360"/>
        </w:sectPr>
      </w:pPr>
      <w:r>
        <w:rPr>
          <w:noProof/>
        </w:rPr>
        <w:t>Nõuded rakenduspartneri tehtavatele kliimainvesteeringutele: 1 381 000 000 eurot taaste- ja vastupidavusrahastu investeeringust rahastusse aitab kaasa kliimamuutustega seotud eesmärkide saavutamisele kooskõlas taaste- ja vastupidavusrahastu määruse VI lisaga</w:t>
      </w:r>
      <w:r w:rsidRPr="005D68A0">
        <w:rPr>
          <w:rStyle w:val="FootnoteReference"/>
          <w:noProof/>
          <w:lang w:val="en-GB"/>
        </w:rPr>
        <w:footnoteReference w:id="150"/>
      </w:r>
      <w:r>
        <w:rPr>
          <w:noProof/>
        </w:rPr>
        <w:t>.</w:t>
      </w:r>
    </w:p>
    <w:p w14:paraId="4828DAA5" w14:textId="77777777" w:rsidR="0084326C" w:rsidRPr="005D68A0" w:rsidRDefault="0084326C" w:rsidP="0084326C">
      <w:pPr>
        <w:spacing w:after="160" w:line="259" w:lineRule="auto"/>
        <w:rPr>
          <w:rStyle w:val="eop"/>
          <w:noProof/>
          <w:u w:val="single"/>
        </w:rPr>
      </w:pPr>
      <w:r>
        <w:rPr>
          <w:rStyle w:val="normaltextrun"/>
          <w:b/>
          <w:noProof/>
          <w:u w:val="single"/>
        </w:rPr>
        <w:t xml:space="preserve">4. kv </w:t>
      </w:r>
      <w:r>
        <w:rPr>
          <w:noProof/>
        </w:rPr>
        <w:tab/>
      </w:r>
      <w:r>
        <w:rPr>
          <w:rStyle w:val="normaltextrun"/>
          <w:b/>
          <w:noProof/>
          <w:u w:val="single"/>
        </w:rPr>
        <w:t>Laenu eesmärgid, sihid, näitajad ning seire ja rakendamise ajakava </w:t>
      </w:r>
      <w:r>
        <w:rPr>
          <w:rStyle w:val="eop"/>
          <w:noProof/>
          <w:u w:val="single"/>
        </w:rPr>
        <w:t xml:space="preserve"> </w:t>
      </w:r>
    </w:p>
    <w:tbl>
      <w:tblPr>
        <w:tblW w:w="5507" w:type="pct"/>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187"/>
        <w:gridCol w:w="1559"/>
        <w:gridCol w:w="1134"/>
        <w:gridCol w:w="1417"/>
        <w:gridCol w:w="1701"/>
        <w:gridCol w:w="1276"/>
        <w:gridCol w:w="992"/>
        <w:gridCol w:w="1276"/>
        <w:gridCol w:w="851"/>
        <w:gridCol w:w="708"/>
        <w:gridCol w:w="3261"/>
      </w:tblGrid>
      <w:tr w:rsidR="00C610CB" w:rsidRPr="00D90835" w14:paraId="3D70C5C3" w14:textId="77777777" w:rsidTr="5537777F">
        <w:trPr>
          <w:trHeight w:val="765"/>
          <w:tblHeader/>
        </w:trPr>
        <w:tc>
          <w:tcPr>
            <w:tcW w:w="1187" w:type="dxa"/>
            <w:vMerge w:val="restart"/>
            <w:shd w:val="clear" w:color="auto" w:fill="BDD7EE"/>
            <w:vAlign w:val="center"/>
            <w:hideMark/>
          </w:tcPr>
          <w:p w14:paraId="6258CA93" w14:textId="77777777" w:rsidR="0084326C" w:rsidRPr="005D68A0" w:rsidRDefault="0084326C">
            <w:pPr>
              <w:spacing w:after="120"/>
              <w:jc w:val="center"/>
              <w:rPr>
                <w:rFonts w:ascii="Arial Narrow" w:hAnsi="Arial Narrow"/>
                <w:b/>
                <w:bCs/>
                <w:noProof/>
                <w:sz w:val="20"/>
                <w:szCs w:val="20"/>
              </w:rPr>
            </w:pPr>
            <w:r>
              <w:rPr>
                <w:rFonts w:ascii="Arial Narrow" w:hAnsi="Arial Narrow"/>
                <w:b/>
                <w:noProof/>
                <w:sz w:val="20"/>
              </w:rPr>
              <w:t>Järjekorranumber</w:t>
            </w:r>
          </w:p>
        </w:tc>
        <w:tc>
          <w:tcPr>
            <w:tcW w:w="1559" w:type="dxa"/>
            <w:vMerge w:val="restart"/>
            <w:shd w:val="clear" w:color="auto" w:fill="BDD7EE"/>
            <w:vAlign w:val="center"/>
            <w:hideMark/>
          </w:tcPr>
          <w:p w14:paraId="0360530E" w14:textId="77777777" w:rsidR="0084326C" w:rsidRPr="005D68A0" w:rsidRDefault="0084326C">
            <w:pPr>
              <w:spacing w:after="120"/>
              <w:jc w:val="center"/>
              <w:rPr>
                <w:rFonts w:ascii="Arial Narrow" w:hAnsi="Arial Narrow"/>
                <w:b/>
                <w:bCs/>
                <w:noProof/>
                <w:sz w:val="20"/>
                <w:szCs w:val="20"/>
              </w:rPr>
            </w:pPr>
            <w:r>
              <w:rPr>
                <w:rFonts w:ascii="Arial Narrow" w:hAnsi="Arial Narrow"/>
                <w:b/>
                <w:noProof/>
                <w:sz w:val="20"/>
              </w:rPr>
              <w:t>Seotud meede (reform või investeering)</w:t>
            </w:r>
          </w:p>
        </w:tc>
        <w:tc>
          <w:tcPr>
            <w:tcW w:w="1134" w:type="dxa"/>
            <w:vMerge w:val="restart"/>
            <w:shd w:val="clear" w:color="auto" w:fill="BDD7EE"/>
            <w:vAlign w:val="center"/>
            <w:hideMark/>
          </w:tcPr>
          <w:p w14:paraId="215EF7E9" w14:textId="77777777" w:rsidR="0084326C" w:rsidRPr="005D68A0" w:rsidRDefault="0084326C">
            <w:pPr>
              <w:spacing w:after="120"/>
              <w:jc w:val="center"/>
              <w:rPr>
                <w:rFonts w:ascii="Arial Narrow" w:hAnsi="Arial Narrow"/>
                <w:b/>
                <w:bCs/>
                <w:noProof/>
                <w:sz w:val="20"/>
                <w:szCs w:val="20"/>
              </w:rPr>
            </w:pPr>
            <w:r>
              <w:rPr>
                <w:rFonts w:ascii="Arial Narrow" w:hAnsi="Arial Narrow"/>
                <w:b/>
                <w:noProof/>
                <w:sz w:val="20"/>
              </w:rPr>
              <w:t>Eesmärk</w:t>
            </w:r>
          </w:p>
          <w:p w14:paraId="5359657C" w14:textId="77777777" w:rsidR="0084326C" w:rsidRPr="005D68A0" w:rsidRDefault="0084326C">
            <w:pPr>
              <w:spacing w:after="120"/>
              <w:jc w:val="center"/>
              <w:rPr>
                <w:rFonts w:ascii="Arial Narrow" w:hAnsi="Arial Narrow"/>
                <w:b/>
                <w:bCs/>
                <w:noProof/>
                <w:sz w:val="20"/>
                <w:szCs w:val="20"/>
              </w:rPr>
            </w:pPr>
            <w:r>
              <w:rPr>
                <w:rFonts w:ascii="Arial Narrow" w:hAnsi="Arial Narrow"/>
                <w:b/>
                <w:noProof/>
                <w:sz w:val="20"/>
              </w:rPr>
              <w:t>/ Siht</w:t>
            </w:r>
          </w:p>
        </w:tc>
        <w:tc>
          <w:tcPr>
            <w:tcW w:w="1417" w:type="dxa"/>
            <w:vMerge w:val="restart"/>
            <w:shd w:val="clear" w:color="auto" w:fill="BDD7EE"/>
            <w:vAlign w:val="center"/>
            <w:hideMark/>
          </w:tcPr>
          <w:p w14:paraId="27971699" w14:textId="77777777" w:rsidR="0084326C" w:rsidRPr="005D68A0" w:rsidRDefault="0084326C">
            <w:pPr>
              <w:spacing w:after="120"/>
              <w:jc w:val="center"/>
              <w:rPr>
                <w:rFonts w:ascii="Arial Narrow" w:hAnsi="Arial Narrow"/>
                <w:b/>
                <w:bCs/>
                <w:noProof/>
                <w:sz w:val="20"/>
                <w:szCs w:val="20"/>
              </w:rPr>
            </w:pPr>
            <w:r>
              <w:rPr>
                <w:rFonts w:ascii="Arial Narrow" w:hAnsi="Arial Narrow"/>
                <w:b/>
                <w:noProof/>
                <w:sz w:val="20"/>
              </w:rPr>
              <w:t>Nimi</w:t>
            </w:r>
          </w:p>
        </w:tc>
        <w:tc>
          <w:tcPr>
            <w:tcW w:w="1701" w:type="dxa"/>
            <w:vMerge w:val="restart"/>
            <w:shd w:val="clear" w:color="auto" w:fill="BDD7EE"/>
            <w:vAlign w:val="center"/>
            <w:hideMark/>
          </w:tcPr>
          <w:p w14:paraId="6A4AA92C" w14:textId="77777777" w:rsidR="0084326C" w:rsidRPr="005D68A0" w:rsidRDefault="0084326C">
            <w:pPr>
              <w:spacing w:after="120"/>
              <w:jc w:val="center"/>
              <w:rPr>
                <w:rFonts w:ascii="Arial Narrow" w:hAnsi="Arial Narrow"/>
                <w:b/>
                <w:bCs/>
                <w:noProof/>
                <w:sz w:val="20"/>
                <w:szCs w:val="20"/>
              </w:rPr>
            </w:pPr>
            <w:r>
              <w:rPr>
                <w:rFonts w:ascii="Arial Narrow" w:hAnsi="Arial Narrow"/>
                <w:b/>
                <w:noProof/>
                <w:sz w:val="20"/>
              </w:rPr>
              <w:t>Kvalitatiivsed näitajad</w:t>
            </w:r>
            <w:r>
              <w:rPr>
                <w:noProof/>
              </w:rPr>
              <w:t xml:space="preserve"> </w:t>
            </w:r>
            <w:r>
              <w:rPr>
                <w:noProof/>
              </w:rPr>
              <w:br/>
            </w:r>
            <w:r>
              <w:rPr>
                <w:rFonts w:ascii="Arial Narrow" w:hAnsi="Arial Narrow"/>
                <w:b/>
                <w:noProof/>
                <w:sz w:val="20"/>
              </w:rPr>
              <w:t>(eesmärkide puhul)</w:t>
            </w:r>
          </w:p>
        </w:tc>
        <w:tc>
          <w:tcPr>
            <w:tcW w:w="3544" w:type="dxa"/>
            <w:gridSpan w:val="3"/>
            <w:shd w:val="clear" w:color="auto" w:fill="BDD7EE"/>
            <w:vAlign w:val="center"/>
            <w:hideMark/>
          </w:tcPr>
          <w:p w14:paraId="4D48E2A9" w14:textId="77777777" w:rsidR="0084326C" w:rsidRPr="005D68A0" w:rsidRDefault="0084326C">
            <w:pPr>
              <w:spacing w:after="120"/>
              <w:jc w:val="center"/>
              <w:rPr>
                <w:rFonts w:ascii="Arial Narrow" w:hAnsi="Arial Narrow"/>
                <w:b/>
                <w:bCs/>
                <w:noProof/>
                <w:sz w:val="20"/>
                <w:szCs w:val="20"/>
              </w:rPr>
            </w:pPr>
            <w:r>
              <w:rPr>
                <w:rFonts w:ascii="Arial Narrow" w:hAnsi="Arial Narrow"/>
                <w:b/>
                <w:noProof/>
                <w:sz w:val="20"/>
              </w:rPr>
              <w:t xml:space="preserve">Kvantitatiivsed näitajad </w:t>
            </w:r>
            <w:r>
              <w:rPr>
                <w:noProof/>
              </w:rPr>
              <w:br/>
            </w:r>
            <w:r>
              <w:rPr>
                <w:rFonts w:ascii="Arial Narrow" w:hAnsi="Arial Narrow"/>
                <w:b/>
                <w:noProof/>
                <w:sz w:val="20"/>
              </w:rPr>
              <w:t>(sihtide puhul)</w:t>
            </w:r>
          </w:p>
        </w:tc>
        <w:tc>
          <w:tcPr>
            <w:tcW w:w="1559" w:type="dxa"/>
            <w:gridSpan w:val="2"/>
            <w:shd w:val="clear" w:color="auto" w:fill="BDD7EE"/>
            <w:vAlign w:val="center"/>
            <w:hideMark/>
          </w:tcPr>
          <w:p w14:paraId="002C59E5" w14:textId="77777777" w:rsidR="0084326C" w:rsidRPr="005D68A0" w:rsidRDefault="0084326C">
            <w:pPr>
              <w:spacing w:after="120"/>
              <w:jc w:val="center"/>
              <w:rPr>
                <w:rFonts w:ascii="Arial Narrow" w:hAnsi="Arial Narrow"/>
                <w:b/>
                <w:bCs/>
                <w:noProof/>
                <w:sz w:val="20"/>
                <w:szCs w:val="20"/>
              </w:rPr>
            </w:pPr>
            <w:r>
              <w:rPr>
                <w:rFonts w:ascii="Arial Narrow" w:hAnsi="Arial Narrow"/>
                <w:b/>
                <w:noProof/>
                <w:sz w:val="20"/>
              </w:rPr>
              <w:t>Lõpuleviimise soovituslik ajakava</w:t>
            </w:r>
          </w:p>
        </w:tc>
        <w:tc>
          <w:tcPr>
            <w:tcW w:w="3261" w:type="dxa"/>
            <w:vMerge w:val="restart"/>
            <w:shd w:val="clear" w:color="auto" w:fill="BDD7EE"/>
            <w:vAlign w:val="center"/>
            <w:hideMark/>
          </w:tcPr>
          <w:p w14:paraId="40815A44" w14:textId="77777777" w:rsidR="0084326C" w:rsidRPr="005D68A0" w:rsidRDefault="0084326C">
            <w:pPr>
              <w:spacing w:after="120"/>
              <w:jc w:val="center"/>
              <w:rPr>
                <w:rFonts w:ascii="Arial Narrow" w:hAnsi="Arial Narrow"/>
                <w:b/>
                <w:bCs/>
                <w:noProof/>
                <w:sz w:val="20"/>
                <w:szCs w:val="20"/>
              </w:rPr>
            </w:pPr>
            <w:r>
              <w:rPr>
                <w:rFonts w:ascii="Arial Narrow" w:hAnsi="Arial Narrow"/>
                <w:b/>
                <w:noProof/>
                <w:sz w:val="20"/>
              </w:rPr>
              <w:t>Iga eesmärgi ja sihi kirjeldus</w:t>
            </w:r>
          </w:p>
        </w:tc>
      </w:tr>
      <w:tr w:rsidR="00C610CB" w:rsidRPr="005D68A0" w14:paraId="43FF2E48" w14:textId="77777777" w:rsidTr="5537777F">
        <w:trPr>
          <w:trHeight w:val="691"/>
          <w:tblHeader/>
        </w:trPr>
        <w:tc>
          <w:tcPr>
            <w:tcW w:w="1187" w:type="dxa"/>
            <w:vMerge/>
            <w:vAlign w:val="center"/>
            <w:hideMark/>
          </w:tcPr>
          <w:p w14:paraId="2A5F90A6" w14:textId="77777777" w:rsidR="0084326C" w:rsidRPr="00F33804" w:rsidRDefault="0084326C">
            <w:pPr>
              <w:spacing w:after="120"/>
              <w:jc w:val="center"/>
              <w:rPr>
                <w:rFonts w:ascii="Arial Narrow" w:hAnsi="Arial Narrow"/>
                <w:b/>
                <w:bCs/>
                <w:noProof/>
                <w:sz w:val="20"/>
                <w:szCs w:val="20"/>
              </w:rPr>
            </w:pPr>
          </w:p>
        </w:tc>
        <w:tc>
          <w:tcPr>
            <w:tcW w:w="1559" w:type="dxa"/>
            <w:vMerge/>
            <w:vAlign w:val="center"/>
            <w:hideMark/>
          </w:tcPr>
          <w:p w14:paraId="2F3CFCBC" w14:textId="77777777" w:rsidR="0084326C" w:rsidRPr="00F33804" w:rsidRDefault="0084326C">
            <w:pPr>
              <w:spacing w:after="120"/>
              <w:jc w:val="center"/>
              <w:rPr>
                <w:rFonts w:ascii="Arial Narrow" w:hAnsi="Arial Narrow"/>
                <w:b/>
                <w:bCs/>
                <w:noProof/>
                <w:sz w:val="20"/>
                <w:szCs w:val="20"/>
              </w:rPr>
            </w:pPr>
          </w:p>
        </w:tc>
        <w:tc>
          <w:tcPr>
            <w:tcW w:w="1134" w:type="dxa"/>
            <w:vMerge/>
            <w:vAlign w:val="center"/>
            <w:hideMark/>
          </w:tcPr>
          <w:p w14:paraId="51B87643" w14:textId="77777777" w:rsidR="0084326C" w:rsidRPr="00F33804" w:rsidRDefault="0084326C">
            <w:pPr>
              <w:spacing w:after="120"/>
              <w:jc w:val="center"/>
              <w:rPr>
                <w:rFonts w:ascii="Arial Narrow" w:hAnsi="Arial Narrow"/>
                <w:b/>
                <w:bCs/>
                <w:noProof/>
                <w:sz w:val="20"/>
                <w:szCs w:val="20"/>
              </w:rPr>
            </w:pPr>
          </w:p>
        </w:tc>
        <w:tc>
          <w:tcPr>
            <w:tcW w:w="1417" w:type="dxa"/>
            <w:vMerge/>
            <w:vAlign w:val="center"/>
            <w:hideMark/>
          </w:tcPr>
          <w:p w14:paraId="2C9DCA7F" w14:textId="77777777" w:rsidR="0084326C" w:rsidRPr="00F33804" w:rsidRDefault="0084326C">
            <w:pPr>
              <w:spacing w:after="120"/>
              <w:jc w:val="center"/>
              <w:rPr>
                <w:rFonts w:ascii="Arial Narrow" w:hAnsi="Arial Narrow"/>
                <w:b/>
                <w:bCs/>
                <w:noProof/>
                <w:sz w:val="20"/>
                <w:szCs w:val="20"/>
              </w:rPr>
            </w:pPr>
          </w:p>
        </w:tc>
        <w:tc>
          <w:tcPr>
            <w:tcW w:w="1701" w:type="dxa"/>
            <w:vMerge/>
            <w:vAlign w:val="center"/>
            <w:hideMark/>
          </w:tcPr>
          <w:p w14:paraId="3C6E4207" w14:textId="77777777" w:rsidR="0084326C" w:rsidRPr="00F33804" w:rsidRDefault="0084326C">
            <w:pPr>
              <w:spacing w:after="120"/>
              <w:jc w:val="center"/>
              <w:rPr>
                <w:rFonts w:ascii="Arial Narrow" w:hAnsi="Arial Narrow"/>
                <w:b/>
                <w:bCs/>
                <w:noProof/>
                <w:sz w:val="20"/>
                <w:szCs w:val="20"/>
              </w:rPr>
            </w:pPr>
          </w:p>
        </w:tc>
        <w:tc>
          <w:tcPr>
            <w:tcW w:w="1276" w:type="dxa"/>
            <w:shd w:val="clear" w:color="auto" w:fill="BDD7EE"/>
            <w:vAlign w:val="center"/>
            <w:hideMark/>
          </w:tcPr>
          <w:p w14:paraId="6CE7E2DA" w14:textId="77777777" w:rsidR="0084326C" w:rsidRPr="005D68A0" w:rsidRDefault="0084326C">
            <w:pPr>
              <w:spacing w:after="120"/>
              <w:jc w:val="center"/>
              <w:rPr>
                <w:rFonts w:ascii="Arial Narrow" w:hAnsi="Arial Narrow"/>
                <w:b/>
                <w:bCs/>
                <w:noProof/>
                <w:sz w:val="20"/>
                <w:szCs w:val="20"/>
              </w:rPr>
            </w:pPr>
            <w:r>
              <w:rPr>
                <w:rFonts w:ascii="Arial Narrow" w:hAnsi="Arial Narrow"/>
                <w:b/>
                <w:noProof/>
                <w:sz w:val="20"/>
              </w:rPr>
              <w:t>Mõõtühik</w:t>
            </w:r>
          </w:p>
        </w:tc>
        <w:tc>
          <w:tcPr>
            <w:tcW w:w="992" w:type="dxa"/>
            <w:shd w:val="clear" w:color="auto" w:fill="BDD7EE"/>
            <w:vAlign w:val="center"/>
            <w:hideMark/>
          </w:tcPr>
          <w:p w14:paraId="16F6BD02" w14:textId="77777777" w:rsidR="0084326C" w:rsidRPr="005D68A0" w:rsidRDefault="0084326C">
            <w:pPr>
              <w:spacing w:after="120"/>
              <w:jc w:val="center"/>
              <w:rPr>
                <w:rFonts w:ascii="Arial Narrow" w:hAnsi="Arial Narrow"/>
                <w:b/>
                <w:bCs/>
                <w:noProof/>
                <w:sz w:val="20"/>
                <w:szCs w:val="20"/>
              </w:rPr>
            </w:pPr>
            <w:r>
              <w:rPr>
                <w:rFonts w:ascii="Arial Narrow" w:hAnsi="Arial Narrow"/>
                <w:b/>
                <w:noProof/>
                <w:sz w:val="20"/>
              </w:rPr>
              <w:t>Lähtetase</w:t>
            </w:r>
          </w:p>
        </w:tc>
        <w:tc>
          <w:tcPr>
            <w:tcW w:w="1276" w:type="dxa"/>
            <w:shd w:val="clear" w:color="auto" w:fill="BDD7EE"/>
            <w:vAlign w:val="center"/>
            <w:hideMark/>
          </w:tcPr>
          <w:p w14:paraId="12BDBA4A" w14:textId="77777777" w:rsidR="0084326C" w:rsidRPr="005D68A0" w:rsidRDefault="0084326C">
            <w:pPr>
              <w:spacing w:after="120"/>
              <w:jc w:val="center"/>
              <w:rPr>
                <w:rFonts w:ascii="Arial Narrow" w:hAnsi="Arial Narrow"/>
                <w:b/>
                <w:bCs/>
                <w:noProof/>
                <w:sz w:val="20"/>
                <w:szCs w:val="20"/>
              </w:rPr>
            </w:pPr>
            <w:r>
              <w:rPr>
                <w:rFonts w:ascii="Arial Narrow" w:hAnsi="Arial Narrow"/>
                <w:b/>
                <w:noProof/>
                <w:sz w:val="20"/>
              </w:rPr>
              <w:t>Eesmärk</w:t>
            </w:r>
          </w:p>
        </w:tc>
        <w:tc>
          <w:tcPr>
            <w:tcW w:w="851" w:type="dxa"/>
            <w:shd w:val="clear" w:color="auto" w:fill="BDD7EE"/>
            <w:vAlign w:val="center"/>
            <w:hideMark/>
          </w:tcPr>
          <w:p w14:paraId="13A06414" w14:textId="77777777" w:rsidR="0084326C" w:rsidRPr="005D68A0" w:rsidRDefault="0084326C">
            <w:pPr>
              <w:spacing w:after="120"/>
              <w:jc w:val="center"/>
              <w:rPr>
                <w:rFonts w:ascii="Arial Narrow" w:hAnsi="Arial Narrow"/>
                <w:b/>
                <w:bCs/>
                <w:noProof/>
                <w:sz w:val="20"/>
                <w:szCs w:val="20"/>
              </w:rPr>
            </w:pPr>
            <w:r>
              <w:rPr>
                <w:rFonts w:ascii="Arial Narrow" w:hAnsi="Arial Narrow"/>
                <w:b/>
                <w:noProof/>
                <w:sz w:val="20"/>
              </w:rPr>
              <w:t>Kvartal</w:t>
            </w:r>
          </w:p>
        </w:tc>
        <w:tc>
          <w:tcPr>
            <w:tcW w:w="708" w:type="dxa"/>
            <w:shd w:val="clear" w:color="auto" w:fill="BDD7EE"/>
            <w:vAlign w:val="center"/>
            <w:hideMark/>
          </w:tcPr>
          <w:p w14:paraId="0B2C19C7" w14:textId="77777777" w:rsidR="0084326C" w:rsidRPr="005D68A0" w:rsidRDefault="0084326C">
            <w:pPr>
              <w:spacing w:after="120"/>
              <w:jc w:val="center"/>
              <w:rPr>
                <w:rFonts w:ascii="Arial Narrow" w:hAnsi="Arial Narrow"/>
                <w:b/>
                <w:bCs/>
                <w:noProof/>
                <w:sz w:val="20"/>
                <w:szCs w:val="20"/>
              </w:rPr>
            </w:pPr>
            <w:r>
              <w:rPr>
                <w:rFonts w:ascii="Arial Narrow" w:hAnsi="Arial Narrow"/>
                <w:b/>
                <w:noProof/>
                <w:sz w:val="20"/>
              </w:rPr>
              <w:t>Aasta</w:t>
            </w:r>
          </w:p>
        </w:tc>
        <w:tc>
          <w:tcPr>
            <w:tcW w:w="3261" w:type="dxa"/>
            <w:vMerge/>
            <w:vAlign w:val="center"/>
            <w:hideMark/>
          </w:tcPr>
          <w:p w14:paraId="35E597D9" w14:textId="77777777" w:rsidR="0084326C" w:rsidRPr="005D68A0" w:rsidRDefault="0084326C">
            <w:pPr>
              <w:spacing w:after="120"/>
              <w:jc w:val="center"/>
              <w:rPr>
                <w:rFonts w:ascii="Arial Narrow" w:hAnsi="Arial Narrow"/>
                <w:b/>
                <w:bCs/>
                <w:noProof/>
                <w:sz w:val="20"/>
                <w:szCs w:val="20"/>
                <w:lang w:val="en-GB"/>
              </w:rPr>
            </w:pPr>
          </w:p>
        </w:tc>
      </w:tr>
      <w:tr w:rsidR="00512838" w:rsidRPr="00D90835" w14:paraId="5034020D" w14:textId="77777777" w:rsidTr="5537777F">
        <w:trPr>
          <w:trHeight w:val="309"/>
        </w:trPr>
        <w:tc>
          <w:tcPr>
            <w:tcW w:w="1187" w:type="dxa"/>
            <w:shd w:val="clear" w:color="auto" w:fill="C6EFCE"/>
            <w:noWrap/>
            <w:vAlign w:val="center"/>
          </w:tcPr>
          <w:p w14:paraId="2F9F60D1"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M7-35</w:t>
            </w:r>
          </w:p>
        </w:tc>
        <w:tc>
          <w:tcPr>
            <w:tcW w:w="1559" w:type="dxa"/>
            <w:shd w:val="clear" w:color="auto" w:fill="C6EFCE"/>
            <w:noWrap/>
            <w:vAlign w:val="center"/>
          </w:tcPr>
          <w:p w14:paraId="1051F18B"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Investeering 13. Aadria mere liini 1. etapp (Sulmona kompressorjaam ja Sestino-Minerbio gaasijuhe)</w:t>
            </w:r>
          </w:p>
        </w:tc>
        <w:tc>
          <w:tcPr>
            <w:tcW w:w="1134" w:type="dxa"/>
            <w:shd w:val="clear" w:color="auto" w:fill="C6EFCE"/>
            <w:noWrap/>
            <w:vAlign w:val="center"/>
          </w:tcPr>
          <w:p w14:paraId="32AC1D24"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Eesmärk</w:t>
            </w:r>
          </w:p>
        </w:tc>
        <w:tc>
          <w:tcPr>
            <w:tcW w:w="1417" w:type="dxa"/>
            <w:shd w:val="clear" w:color="auto" w:fill="C6EFCE"/>
            <w:noWrap/>
            <w:vAlign w:val="center"/>
          </w:tcPr>
          <w:p w14:paraId="0FE6B809"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Asjakohaste keskkonnamõju hindamiste vastuvõtmine ja ajakohastamine (VIncA)</w:t>
            </w:r>
          </w:p>
        </w:tc>
        <w:tc>
          <w:tcPr>
            <w:tcW w:w="1701" w:type="dxa"/>
            <w:shd w:val="clear" w:color="auto" w:fill="C6EFCE"/>
            <w:noWrap/>
            <w:vAlign w:val="center"/>
          </w:tcPr>
          <w:p w14:paraId="212EEF76"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SSCOs on kindlaks tehtud ning Vinca on vastavalt läbi vaadatud ja vastu võetud.</w:t>
            </w:r>
          </w:p>
        </w:tc>
        <w:tc>
          <w:tcPr>
            <w:tcW w:w="1276" w:type="dxa"/>
            <w:shd w:val="clear" w:color="auto" w:fill="C6EFCE"/>
            <w:noWrap/>
            <w:vAlign w:val="center"/>
          </w:tcPr>
          <w:p w14:paraId="20A55291" w14:textId="77777777" w:rsidR="0084326C" w:rsidRPr="005D68A0" w:rsidRDefault="0084326C">
            <w:pPr>
              <w:spacing w:after="120"/>
              <w:jc w:val="center"/>
              <w:rPr>
                <w:rFonts w:ascii="Arial Narrow" w:hAnsi="Arial Narrow"/>
                <w:noProof/>
                <w:color w:val="006100"/>
                <w:sz w:val="20"/>
                <w:szCs w:val="20"/>
                <w:lang w:val="en-GB"/>
              </w:rPr>
            </w:pPr>
          </w:p>
        </w:tc>
        <w:tc>
          <w:tcPr>
            <w:tcW w:w="992" w:type="dxa"/>
            <w:shd w:val="clear" w:color="auto" w:fill="C6EFCE"/>
            <w:noWrap/>
            <w:vAlign w:val="center"/>
          </w:tcPr>
          <w:p w14:paraId="015D5035" w14:textId="77777777" w:rsidR="0084326C" w:rsidRPr="005D68A0" w:rsidRDefault="0084326C">
            <w:pPr>
              <w:spacing w:after="120"/>
              <w:jc w:val="center"/>
              <w:rPr>
                <w:rFonts w:ascii="Arial Narrow" w:hAnsi="Arial Narrow"/>
                <w:noProof/>
                <w:color w:val="006100"/>
                <w:sz w:val="20"/>
                <w:szCs w:val="20"/>
                <w:lang w:val="en-GB"/>
              </w:rPr>
            </w:pPr>
          </w:p>
        </w:tc>
        <w:tc>
          <w:tcPr>
            <w:tcW w:w="1276" w:type="dxa"/>
            <w:shd w:val="clear" w:color="auto" w:fill="C6EFCE"/>
            <w:noWrap/>
            <w:vAlign w:val="center"/>
          </w:tcPr>
          <w:p w14:paraId="73DAB853" w14:textId="77777777" w:rsidR="0084326C" w:rsidRPr="005D68A0" w:rsidRDefault="0084326C">
            <w:pPr>
              <w:spacing w:after="120"/>
              <w:jc w:val="center"/>
              <w:rPr>
                <w:rFonts w:ascii="Arial Narrow" w:hAnsi="Arial Narrow"/>
                <w:noProof/>
                <w:color w:val="006100"/>
                <w:sz w:val="20"/>
                <w:szCs w:val="20"/>
                <w:lang w:val="en-GB"/>
              </w:rPr>
            </w:pPr>
          </w:p>
        </w:tc>
        <w:tc>
          <w:tcPr>
            <w:tcW w:w="851" w:type="dxa"/>
            <w:shd w:val="clear" w:color="auto" w:fill="C6EFCE"/>
            <w:noWrap/>
            <w:vAlign w:val="center"/>
          </w:tcPr>
          <w:p w14:paraId="28DE3567"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1. kv</w:t>
            </w:r>
          </w:p>
        </w:tc>
        <w:tc>
          <w:tcPr>
            <w:tcW w:w="708" w:type="dxa"/>
            <w:shd w:val="clear" w:color="auto" w:fill="C6EFCE"/>
            <w:noWrap/>
            <w:vAlign w:val="center"/>
          </w:tcPr>
          <w:p w14:paraId="6FB368FC"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2024</w:t>
            </w:r>
          </w:p>
        </w:tc>
        <w:tc>
          <w:tcPr>
            <w:tcW w:w="3261" w:type="dxa"/>
            <w:shd w:val="clear" w:color="auto" w:fill="C6EFCE"/>
            <w:noWrap/>
            <w:vAlign w:val="center"/>
          </w:tcPr>
          <w:p w14:paraId="50CF9112" w14:textId="77777777" w:rsidR="0084326C" w:rsidRPr="005D68A0" w:rsidRDefault="0084326C">
            <w:pPr>
              <w:spacing w:after="120"/>
              <w:rPr>
                <w:rFonts w:ascii="Arial Narrow" w:hAnsi="Arial Narrow"/>
                <w:noProof/>
                <w:color w:val="006100"/>
                <w:sz w:val="20"/>
                <w:szCs w:val="20"/>
              </w:rPr>
            </w:pPr>
            <w:bookmarkStart w:id="19" w:name="_Hlk147330404"/>
            <w:r>
              <w:rPr>
                <w:rFonts w:ascii="Arial Narrow" w:hAnsi="Arial Narrow"/>
                <w:noProof/>
                <w:color w:val="006100"/>
                <w:sz w:val="20"/>
              </w:rPr>
              <w:t>Itaalia ametiasutused:</w:t>
            </w:r>
          </w:p>
          <w:p w14:paraId="45FD2D64" w14:textId="77777777" w:rsidR="0084326C" w:rsidRPr="005D68A0" w:rsidRDefault="0084326C">
            <w:pPr>
              <w:pStyle w:val="ListParagraph"/>
              <w:numPr>
                <w:ilvl w:val="0"/>
                <w:numId w:val="22"/>
              </w:numPr>
              <w:spacing w:before="0"/>
              <w:contextualSpacing w:val="0"/>
              <w:jc w:val="left"/>
              <w:rPr>
                <w:rFonts w:ascii="Arial Narrow" w:hAnsi="Arial Narrow"/>
                <w:noProof/>
                <w:color w:val="006100"/>
                <w:sz w:val="20"/>
                <w:szCs w:val="20"/>
              </w:rPr>
            </w:pPr>
            <w:r>
              <w:rPr>
                <w:rFonts w:ascii="Arial Narrow" w:hAnsi="Arial Narrow"/>
                <w:noProof/>
                <w:color w:val="006100"/>
                <w:sz w:val="20"/>
              </w:rPr>
              <w:t>Kehtestab projektist mõjutatud Natura 2000 alade jaoks alapõhised kaitse-eesmärgid vastavalt metoodikale, mille keskkonna- ja energiajulgeoleku ministeerium võttis vastu 2022. ja 2023. aastal;</w:t>
            </w:r>
          </w:p>
          <w:p w14:paraId="1CC3249B" w14:textId="77777777" w:rsidR="0084326C" w:rsidRPr="005D68A0" w:rsidRDefault="0084326C">
            <w:pPr>
              <w:pStyle w:val="ListParagraph"/>
              <w:numPr>
                <w:ilvl w:val="0"/>
                <w:numId w:val="22"/>
              </w:numPr>
              <w:spacing w:before="0"/>
              <w:contextualSpacing w:val="0"/>
              <w:jc w:val="left"/>
              <w:rPr>
                <w:rFonts w:ascii="Arial Narrow" w:hAnsi="Arial Narrow"/>
                <w:noProof/>
                <w:color w:val="006100"/>
                <w:sz w:val="20"/>
                <w:szCs w:val="20"/>
              </w:rPr>
            </w:pPr>
            <w:r>
              <w:rPr>
                <w:rFonts w:ascii="Arial Narrow" w:hAnsi="Arial Narrow"/>
                <w:noProof/>
                <w:color w:val="006100"/>
                <w:sz w:val="20"/>
              </w:rPr>
              <w:t>Kontrollida elupaikade direktiivi (Vincas) alusel juba läbi viidud asjakohaseid hindamisi, võttes arvesse hiljuti loodud SSCOsid.</w:t>
            </w:r>
            <w:bookmarkEnd w:id="19"/>
          </w:p>
          <w:p w14:paraId="05600888" w14:textId="77777777" w:rsidR="0084326C" w:rsidRPr="005D68A0" w:rsidRDefault="0084326C">
            <w:pPr>
              <w:pStyle w:val="ListParagraph"/>
              <w:numPr>
                <w:ilvl w:val="0"/>
                <w:numId w:val="22"/>
              </w:numPr>
              <w:spacing w:before="0"/>
              <w:contextualSpacing w:val="0"/>
              <w:jc w:val="left"/>
              <w:rPr>
                <w:rFonts w:ascii="Arial Narrow" w:hAnsi="Arial Narrow"/>
                <w:noProof/>
                <w:color w:val="006100"/>
                <w:sz w:val="20"/>
                <w:szCs w:val="20"/>
              </w:rPr>
            </w:pPr>
            <w:r>
              <w:rPr>
                <w:rFonts w:ascii="Arial Narrow" w:hAnsi="Arial Narrow"/>
                <w:noProof/>
                <w:color w:val="006100"/>
                <w:sz w:val="20"/>
              </w:rPr>
              <w:t>Ajakohastada (vajaduse korral) elupaikade direktiivi alusel juba tehtud asjakohaseid hindamisi (Vincas) kooskõlas 28. detsembri 2019. aasta riiklike suunistega ja tagada nende integreerimine üldisesse keskkonnamõju hindamise menetlusse.</w:t>
            </w:r>
          </w:p>
        </w:tc>
      </w:tr>
      <w:tr w:rsidR="00512838" w:rsidRPr="00D90835" w14:paraId="7F3EBFAD" w14:textId="77777777" w:rsidTr="5537777F">
        <w:trPr>
          <w:trHeight w:val="309"/>
        </w:trPr>
        <w:tc>
          <w:tcPr>
            <w:tcW w:w="1187" w:type="dxa"/>
            <w:shd w:val="clear" w:color="auto" w:fill="C6EFCE"/>
            <w:noWrap/>
            <w:vAlign w:val="center"/>
          </w:tcPr>
          <w:p w14:paraId="763F92D9"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M7-36</w:t>
            </w:r>
          </w:p>
        </w:tc>
        <w:tc>
          <w:tcPr>
            <w:tcW w:w="1559" w:type="dxa"/>
            <w:shd w:val="clear" w:color="auto" w:fill="C6EFCE"/>
            <w:noWrap/>
            <w:vAlign w:val="center"/>
          </w:tcPr>
          <w:p w14:paraId="7FF17EC5"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Investeering 13. Aadria mere liini 1. etapp (Sulmona kompressorjaam ja Sestino-Minerbio gaasijuhe)</w:t>
            </w:r>
          </w:p>
        </w:tc>
        <w:tc>
          <w:tcPr>
            <w:tcW w:w="1134" w:type="dxa"/>
            <w:shd w:val="clear" w:color="auto" w:fill="C6EFCE"/>
            <w:noWrap/>
            <w:vAlign w:val="center"/>
          </w:tcPr>
          <w:p w14:paraId="6E995A27"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Eesmärk</w:t>
            </w:r>
          </w:p>
        </w:tc>
        <w:tc>
          <w:tcPr>
            <w:tcW w:w="1417" w:type="dxa"/>
            <w:shd w:val="clear" w:color="auto" w:fill="C6EFCE"/>
            <w:noWrap/>
            <w:vAlign w:val="center"/>
          </w:tcPr>
          <w:p w14:paraId="0C247D7C"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Hankemenetlus</w:t>
            </w:r>
          </w:p>
        </w:tc>
        <w:tc>
          <w:tcPr>
            <w:tcW w:w="1701" w:type="dxa"/>
            <w:shd w:val="clear" w:color="auto" w:fill="C6EFCE"/>
            <w:noWrap/>
            <w:vAlign w:val="center"/>
          </w:tcPr>
          <w:p w14:paraId="6EEEC680"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Lepingute sõlmimisest teatamine</w:t>
            </w:r>
          </w:p>
        </w:tc>
        <w:tc>
          <w:tcPr>
            <w:tcW w:w="1276" w:type="dxa"/>
            <w:shd w:val="clear" w:color="auto" w:fill="C6EFCE"/>
            <w:noWrap/>
            <w:vAlign w:val="center"/>
          </w:tcPr>
          <w:p w14:paraId="59420F24" w14:textId="77777777" w:rsidR="0084326C" w:rsidRPr="005D68A0" w:rsidRDefault="0084326C">
            <w:pPr>
              <w:spacing w:after="120"/>
              <w:jc w:val="center"/>
              <w:rPr>
                <w:rFonts w:ascii="Arial Narrow" w:hAnsi="Arial Narrow"/>
                <w:noProof/>
                <w:color w:val="006100"/>
                <w:sz w:val="20"/>
                <w:szCs w:val="20"/>
                <w:lang w:val="en-GB"/>
              </w:rPr>
            </w:pPr>
          </w:p>
        </w:tc>
        <w:tc>
          <w:tcPr>
            <w:tcW w:w="992" w:type="dxa"/>
            <w:shd w:val="clear" w:color="auto" w:fill="C6EFCE"/>
            <w:noWrap/>
            <w:vAlign w:val="center"/>
          </w:tcPr>
          <w:p w14:paraId="564BAE9F" w14:textId="77777777" w:rsidR="0084326C" w:rsidRPr="005D68A0" w:rsidRDefault="0084326C">
            <w:pPr>
              <w:spacing w:after="120"/>
              <w:jc w:val="center"/>
              <w:rPr>
                <w:rFonts w:ascii="Arial Narrow" w:hAnsi="Arial Narrow"/>
                <w:noProof/>
                <w:color w:val="006100"/>
                <w:sz w:val="20"/>
                <w:szCs w:val="20"/>
                <w:lang w:val="en-GB"/>
              </w:rPr>
            </w:pPr>
          </w:p>
        </w:tc>
        <w:tc>
          <w:tcPr>
            <w:tcW w:w="1276" w:type="dxa"/>
            <w:shd w:val="clear" w:color="auto" w:fill="C6EFCE"/>
            <w:noWrap/>
            <w:vAlign w:val="center"/>
          </w:tcPr>
          <w:p w14:paraId="3076DBBC" w14:textId="77777777" w:rsidR="0084326C" w:rsidRPr="005D68A0" w:rsidRDefault="0084326C">
            <w:pPr>
              <w:spacing w:after="120"/>
              <w:jc w:val="center"/>
              <w:rPr>
                <w:rFonts w:ascii="Arial Narrow" w:hAnsi="Arial Narrow"/>
                <w:noProof/>
                <w:color w:val="006100"/>
                <w:sz w:val="20"/>
                <w:szCs w:val="20"/>
                <w:lang w:val="en-GB"/>
              </w:rPr>
            </w:pPr>
          </w:p>
        </w:tc>
        <w:tc>
          <w:tcPr>
            <w:tcW w:w="851" w:type="dxa"/>
            <w:shd w:val="clear" w:color="auto" w:fill="C6EFCE"/>
            <w:noWrap/>
            <w:vAlign w:val="center"/>
          </w:tcPr>
          <w:p w14:paraId="5AD88A32"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 kv</w:t>
            </w:r>
          </w:p>
        </w:tc>
        <w:tc>
          <w:tcPr>
            <w:tcW w:w="708" w:type="dxa"/>
            <w:shd w:val="clear" w:color="auto" w:fill="C6EFCE"/>
            <w:noWrap/>
            <w:vAlign w:val="center"/>
          </w:tcPr>
          <w:p w14:paraId="403A8445"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2024</w:t>
            </w:r>
          </w:p>
        </w:tc>
        <w:tc>
          <w:tcPr>
            <w:tcW w:w="3261" w:type="dxa"/>
            <w:shd w:val="clear" w:color="auto" w:fill="C6EFCE"/>
            <w:noWrap/>
            <w:vAlign w:val="center"/>
          </w:tcPr>
          <w:p w14:paraId="1FF11852" w14:textId="77777777" w:rsidR="0084326C" w:rsidRPr="005D68A0" w:rsidRDefault="0084326C">
            <w:pPr>
              <w:pStyle w:val="ListParagraph"/>
              <w:spacing w:before="0"/>
              <w:ind w:left="0"/>
              <w:contextualSpacing w:val="0"/>
              <w:jc w:val="left"/>
              <w:rPr>
                <w:rFonts w:ascii="Arial Narrow" w:hAnsi="Arial Narrow"/>
                <w:noProof/>
                <w:color w:val="006100"/>
                <w:sz w:val="20"/>
                <w:szCs w:val="20"/>
              </w:rPr>
            </w:pPr>
            <w:r>
              <w:rPr>
                <w:rFonts w:ascii="Arial Narrow" w:hAnsi="Arial Narrow"/>
                <w:noProof/>
                <w:color w:val="006100"/>
                <w:sz w:val="20"/>
              </w:rPr>
              <w:t>Sulmona kompressorjaama ja Sestino-Minerbio gaasijuhtme lõpuleviimiseks vajalike ehitustööde hankelepingute sõlmimisest teatamine.</w:t>
            </w:r>
          </w:p>
        </w:tc>
      </w:tr>
      <w:tr w:rsidR="00512838" w:rsidRPr="00D90835" w14:paraId="374FE39D" w14:textId="77777777" w:rsidTr="5537777F">
        <w:trPr>
          <w:trHeight w:val="309"/>
        </w:trPr>
        <w:tc>
          <w:tcPr>
            <w:tcW w:w="1187" w:type="dxa"/>
            <w:shd w:val="clear" w:color="auto" w:fill="C6EFCE"/>
            <w:noWrap/>
            <w:vAlign w:val="center"/>
          </w:tcPr>
          <w:p w14:paraId="254C516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M7-37</w:t>
            </w:r>
          </w:p>
        </w:tc>
        <w:tc>
          <w:tcPr>
            <w:tcW w:w="1559" w:type="dxa"/>
            <w:shd w:val="clear" w:color="auto" w:fill="C6EFCE"/>
            <w:noWrap/>
            <w:vAlign w:val="center"/>
          </w:tcPr>
          <w:p w14:paraId="7BDB922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13. Aadria mere liini 1. etapp (Sulmona kompressorjaam ja Sestino-Minerbio gaasijuhe)</w:t>
            </w:r>
          </w:p>
        </w:tc>
        <w:tc>
          <w:tcPr>
            <w:tcW w:w="1134" w:type="dxa"/>
            <w:shd w:val="clear" w:color="auto" w:fill="C6EFCE"/>
            <w:noWrap/>
            <w:vAlign w:val="center"/>
          </w:tcPr>
          <w:p w14:paraId="318251F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1417" w:type="dxa"/>
            <w:shd w:val="clear" w:color="auto" w:fill="C6EFCE"/>
            <w:noWrap/>
            <w:vAlign w:val="center"/>
          </w:tcPr>
          <w:p w14:paraId="6F900164" w14:textId="77777777" w:rsidR="0084326C" w:rsidRPr="005D68A0" w:rsidRDefault="0084326C">
            <w:pPr>
              <w:jc w:val="center"/>
              <w:rPr>
                <w:rFonts w:ascii="Arial Narrow" w:eastAsia="Calibri" w:hAnsi="Arial Narrow" w:cstheme="minorHAnsi"/>
                <w:noProof/>
                <w:sz w:val="20"/>
                <w:szCs w:val="20"/>
              </w:rPr>
            </w:pPr>
            <w:r>
              <w:rPr>
                <w:rFonts w:ascii="Arial Narrow" w:hAnsi="Arial Narrow"/>
                <w:noProof/>
                <w:color w:val="006100"/>
                <w:sz w:val="20"/>
              </w:rPr>
              <w:t>Tööde lõpetamine</w:t>
            </w:r>
          </w:p>
        </w:tc>
        <w:tc>
          <w:tcPr>
            <w:tcW w:w="1701" w:type="dxa"/>
            <w:shd w:val="clear" w:color="auto" w:fill="C6EFCE"/>
            <w:noWrap/>
            <w:vAlign w:val="center"/>
          </w:tcPr>
          <w:p w14:paraId="02925929"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Tööde lõpetamisest teatamine</w:t>
            </w:r>
          </w:p>
        </w:tc>
        <w:tc>
          <w:tcPr>
            <w:tcW w:w="1276" w:type="dxa"/>
            <w:shd w:val="clear" w:color="auto" w:fill="C6EFCE"/>
            <w:noWrap/>
            <w:vAlign w:val="center"/>
          </w:tcPr>
          <w:p w14:paraId="437328E0" w14:textId="77777777" w:rsidR="0084326C" w:rsidRPr="005D68A0" w:rsidRDefault="0084326C">
            <w:pPr>
              <w:jc w:val="center"/>
              <w:rPr>
                <w:rFonts w:ascii="Arial Narrow" w:hAnsi="Arial Narrow"/>
                <w:noProof/>
                <w:color w:val="006100"/>
                <w:sz w:val="20"/>
                <w:szCs w:val="20"/>
                <w:lang w:val="en-GB"/>
              </w:rPr>
            </w:pPr>
          </w:p>
        </w:tc>
        <w:tc>
          <w:tcPr>
            <w:tcW w:w="992" w:type="dxa"/>
            <w:shd w:val="clear" w:color="auto" w:fill="C6EFCE"/>
            <w:noWrap/>
            <w:vAlign w:val="center"/>
          </w:tcPr>
          <w:p w14:paraId="33F3EEF2" w14:textId="77777777" w:rsidR="0084326C" w:rsidRPr="005D68A0" w:rsidRDefault="0084326C">
            <w:pPr>
              <w:jc w:val="center"/>
              <w:rPr>
                <w:rFonts w:ascii="Arial Narrow" w:hAnsi="Arial Narrow"/>
                <w:noProof/>
                <w:color w:val="006100"/>
                <w:sz w:val="20"/>
                <w:szCs w:val="20"/>
                <w:lang w:val="en-GB"/>
              </w:rPr>
            </w:pPr>
          </w:p>
        </w:tc>
        <w:tc>
          <w:tcPr>
            <w:tcW w:w="1276" w:type="dxa"/>
            <w:shd w:val="clear" w:color="auto" w:fill="C6EFCE"/>
            <w:noWrap/>
            <w:vAlign w:val="center"/>
          </w:tcPr>
          <w:p w14:paraId="30229507" w14:textId="77777777" w:rsidR="0084326C" w:rsidRPr="005D68A0" w:rsidRDefault="0084326C">
            <w:pPr>
              <w:jc w:val="center"/>
              <w:rPr>
                <w:rFonts w:ascii="Arial Narrow" w:hAnsi="Arial Narrow"/>
                <w:noProof/>
                <w:color w:val="006100"/>
                <w:sz w:val="20"/>
                <w:szCs w:val="20"/>
                <w:lang w:val="en-GB"/>
              </w:rPr>
            </w:pPr>
          </w:p>
        </w:tc>
        <w:tc>
          <w:tcPr>
            <w:tcW w:w="851" w:type="dxa"/>
            <w:shd w:val="clear" w:color="auto" w:fill="C6EFCE"/>
            <w:noWrap/>
            <w:vAlign w:val="center"/>
          </w:tcPr>
          <w:p w14:paraId="39BC0296"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708" w:type="dxa"/>
            <w:shd w:val="clear" w:color="auto" w:fill="C6EFCE"/>
            <w:noWrap/>
            <w:vAlign w:val="center"/>
          </w:tcPr>
          <w:p w14:paraId="7CBC148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3261" w:type="dxa"/>
            <w:shd w:val="clear" w:color="auto" w:fill="C6EFCE"/>
            <w:noWrap/>
            <w:vAlign w:val="center"/>
          </w:tcPr>
          <w:p w14:paraId="566D39D1"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Sulmona kompressorjaam ja Sestino-Minerbio gaasijuhe viiakse lõpule.</w:t>
            </w:r>
          </w:p>
        </w:tc>
      </w:tr>
      <w:tr w:rsidR="00512838" w:rsidRPr="00D90835" w14:paraId="6837B57B" w14:textId="77777777" w:rsidTr="5537777F">
        <w:trPr>
          <w:trHeight w:val="309"/>
        </w:trPr>
        <w:tc>
          <w:tcPr>
            <w:tcW w:w="1187" w:type="dxa"/>
            <w:shd w:val="clear" w:color="auto" w:fill="C6EFCE"/>
            <w:noWrap/>
            <w:vAlign w:val="center"/>
          </w:tcPr>
          <w:p w14:paraId="0EDBCBF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M7-38</w:t>
            </w:r>
          </w:p>
        </w:tc>
        <w:tc>
          <w:tcPr>
            <w:tcW w:w="1559" w:type="dxa"/>
            <w:shd w:val="clear" w:color="auto" w:fill="C6EFCE"/>
            <w:noWrap/>
            <w:vAlign w:val="center"/>
          </w:tcPr>
          <w:p w14:paraId="212C729D"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14. Piiriülene gaasiekspordi infrastruktuur</w:t>
            </w:r>
          </w:p>
        </w:tc>
        <w:tc>
          <w:tcPr>
            <w:tcW w:w="1134" w:type="dxa"/>
            <w:shd w:val="clear" w:color="auto" w:fill="C6EFCE"/>
            <w:noWrap/>
            <w:vAlign w:val="center"/>
          </w:tcPr>
          <w:p w14:paraId="4135A72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1417" w:type="dxa"/>
            <w:shd w:val="clear" w:color="auto" w:fill="C6EFCE"/>
            <w:noWrap/>
            <w:vAlign w:val="center"/>
          </w:tcPr>
          <w:p w14:paraId="4259A2B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Hankemenetlus</w:t>
            </w:r>
          </w:p>
        </w:tc>
        <w:tc>
          <w:tcPr>
            <w:tcW w:w="1701" w:type="dxa"/>
            <w:shd w:val="clear" w:color="auto" w:fill="C6EFCE"/>
            <w:noWrap/>
            <w:vAlign w:val="center"/>
          </w:tcPr>
          <w:p w14:paraId="03C4E8E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Lepingute sõlmimisest teatamine</w:t>
            </w:r>
          </w:p>
        </w:tc>
        <w:tc>
          <w:tcPr>
            <w:tcW w:w="1276" w:type="dxa"/>
            <w:shd w:val="clear" w:color="auto" w:fill="C6EFCE"/>
            <w:noWrap/>
            <w:vAlign w:val="center"/>
          </w:tcPr>
          <w:p w14:paraId="3427C142" w14:textId="77777777" w:rsidR="0084326C" w:rsidRPr="005D68A0" w:rsidRDefault="0084326C">
            <w:pPr>
              <w:jc w:val="center"/>
              <w:rPr>
                <w:rFonts w:ascii="Arial Narrow" w:hAnsi="Arial Narrow"/>
                <w:noProof/>
                <w:color w:val="FF0000"/>
                <w:sz w:val="20"/>
                <w:szCs w:val="20"/>
                <w:lang w:val="en-GB"/>
              </w:rPr>
            </w:pPr>
          </w:p>
        </w:tc>
        <w:tc>
          <w:tcPr>
            <w:tcW w:w="992" w:type="dxa"/>
            <w:shd w:val="clear" w:color="auto" w:fill="C6EFCE"/>
            <w:noWrap/>
            <w:vAlign w:val="center"/>
          </w:tcPr>
          <w:p w14:paraId="742DC48F" w14:textId="77777777" w:rsidR="0084326C" w:rsidRPr="005D68A0" w:rsidRDefault="0084326C">
            <w:pPr>
              <w:jc w:val="center"/>
              <w:rPr>
                <w:rFonts w:ascii="Arial Narrow" w:hAnsi="Arial Narrow"/>
                <w:noProof/>
                <w:color w:val="006100"/>
                <w:sz w:val="20"/>
                <w:szCs w:val="20"/>
                <w:lang w:val="en-GB"/>
              </w:rPr>
            </w:pPr>
          </w:p>
        </w:tc>
        <w:tc>
          <w:tcPr>
            <w:tcW w:w="1276" w:type="dxa"/>
            <w:shd w:val="clear" w:color="auto" w:fill="C6EFCE"/>
            <w:noWrap/>
            <w:vAlign w:val="center"/>
          </w:tcPr>
          <w:p w14:paraId="1ADA9C03" w14:textId="77777777" w:rsidR="0084326C" w:rsidRPr="005D68A0" w:rsidRDefault="0084326C">
            <w:pPr>
              <w:jc w:val="center"/>
              <w:rPr>
                <w:rFonts w:ascii="Arial Narrow" w:hAnsi="Arial Narrow"/>
                <w:noProof/>
                <w:color w:val="006100"/>
                <w:sz w:val="20"/>
                <w:szCs w:val="20"/>
                <w:lang w:val="en-GB"/>
              </w:rPr>
            </w:pPr>
          </w:p>
        </w:tc>
        <w:tc>
          <w:tcPr>
            <w:tcW w:w="851" w:type="dxa"/>
            <w:shd w:val="clear" w:color="auto" w:fill="C6EFCE"/>
            <w:noWrap/>
            <w:vAlign w:val="center"/>
          </w:tcPr>
          <w:p w14:paraId="4F9FCE8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708" w:type="dxa"/>
            <w:shd w:val="clear" w:color="auto" w:fill="C6EFCE"/>
            <w:noWrap/>
            <w:vAlign w:val="center"/>
          </w:tcPr>
          <w:p w14:paraId="40C29D5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2024</w:t>
            </w:r>
          </w:p>
        </w:tc>
        <w:tc>
          <w:tcPr>
            <w:tcW w:w="3261" w:type="dxa"/>
            <w:shd w:val="clear" w:color="auto" w:fill="C6EFCE"/>
            <w:noWrap/>
            <w:vAlign w:val="center"/>
          </w:tcPr>
          <w:p w14:paraId="051A97A1"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Teade kõigi Poggio Renatico kompressorjaama lõpuleviimiseks vajalike ehitustööde hankelepingute sõlmimise kohta</w:t>
            </w:r>
          </w:p>
        </w:tc>
      </w:tr>
      <w:tr w:rsidR="00512838" w:rsidRPr="00D90835" w14:paraId="60CE9D6C" w14:textId="77777777" w:rsidTr="5537777F">
        <w:trPr>
          <w:trHeight w:val="309"/>
        </w:trPr>
        <w:tc>
          <w:tcPr>
            <w:tcW w:w="1187" w:type="dxa"/>
            <w:shd w:val="clear" w:color="auto" w:fill="C6EFCE"/>
            <w:noWrap/>
            <w:vAlign w:val="center"/>
          </w:tcPr>
          <w:p w14:paraId="3C3A202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M7-39</w:t>
            </w:r>
          </w:p>
        </w:tc>
        <w:tc>
          <w:tcPr>
            <w:tcW w:w="1559" w:type="dxa"/>
            <w:shd w:val="clear" w:color="auto" w:fill="C6EFCE"/>
            <w:noWrap/>
            <w:vAlign w:val="center"/>
          </w:tcPr>
          <w:p w14:paraId="1CF0444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14. Piiriülene gaasiekspordi infrastruktuur</w:t>
            </w:r>
          </w:p>
        </w:tc>
        <w:tc>
          <w:tcPr>
            <w:tcW w:w="1134" w:type="dxa"/>
            <w:shd w:val="clear" w:color="auto" w:fill="C6EFCE"/>
            <w:noWrap/>
            <w:vAlign w:val="center"/>
          </w:tcPr>
          <w:p w14:paraId="4878E01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1417" w:type="dxa"/>
            <w:shd w:val="clear" w:color="auto" w:fill="C6EFCE"/>
            <w:noWrap/>
            <w:vAlign w:val="center"/>
          </w:tcPr>
          <w:p w14:paraId="6038B87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Tööde lõpetamine</w:t>
            </w:r>
          </w:p>
        </w:tc>
        <w:tc>
          <w:tcPr>
            <w:tcW w:w="1701" w:type="dxa"/>
            <w:shd w:val="clear" w:color="auto" w:fill="C6EFCE"/>
            <w:noWrap/>
            <w:vAlign w:val="center"/>
          </w:tcPr>
          <w:p w14:paraId="7B09108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Tööde lõpetamisest teatamine</w:t>
            </w:r>
          </w:p>
        </w:tc>
        <w:tc>
          <w:tcPr>
            <w:tcW w:w="1276" w:type="dxa"/>
            <w:shd w:val="clear" w:color="auto" w:fill="C6EFCE"/>
            <w:noWrap/>
            <w:vAlign w:val="center"/>
          </w:tcPr>
          <w:p w14:paraId="25CC1BCE" w14:textId="77777777" w:rsidR="0084326C" w:rsidRPr="005D68A0" w:rsidRDefault="0084326C">
            <w:pPr>
              <w:jc w:val="center"/>
              <w:rPr>
                <w:rFonts w:ascii="Arial Narrow" w:hAnsi="Arial Narrow"/>
                <w:noProof/>
                <w:color w:val="006100"/>
                <w:sz w:val="20"/>
                <w:szCs w:val="20"/>
                <w:lang w:val="en-GB"/>
              </w:rPr>
            </w:pPr>
          </w:p>
        </w:tc>
        <w:tc>
          <w:tcPr>
            <w:tcW w:w="992" w:type="dxa"/>
            <w:shd w:val="clear" w:color="auto" w:fill="C6EFCE"/>
            <w:noWrap/>
            <w:vAlign w:val="center"/>
          </w:tcPr>
          <w:p w14:paraId="225384FB" w14:textId="77777777" w:rsidR="0084326C" w:rsidRPr="005D68A0" w:rsidRDefault="0084326C">
            <w:pPr>
              <w:jc w:val="center"/>
              <w:rPr>
                <w:rFonts w:ascii="Arial Narrow" w:hAnsi="Arial Narrow"/>
                <w:noProof/>
                <w:color w:val="006100"/>
                <w:sz w:val="20"/>
                <w:szCs w:val="20"/>
                <w:lang w:val="en-GB"/>
              </w:rPr>
            </w:pPr>
          </w:p>
        </w:tc>
        <w:tc>
          <w:tcPr>
            <w:tcW w:w="1276" w:type="dxa"/>
            <w:shd w:val="clear" w:color="auto" w:fill="C6EFCE"/>
            <w:noWrap/>
            <w:vAlign w:val="center"/>
          </w:tcPr>
          <w:p w14:paraId="79214E2C" w14:textId="77777777" w:rsidR="0084326C" w:rsidRPr="005D68A0" w:rsidRDefault="0084326C">
            <w:pPr>
              <w:jc w:val="center"/>
              <w:rPr>
                <w:rFonts w:ascii="Arial Narrow" w:hAnsi="Arial Narrow"/>
                <w:noProof/>
                <w:color w:val="006100"/>
                <w:sz w:val="20"/>
                <w:szCs w:val="20"/>
                <w:lang w:val="en-GB"/>
              </w:rPr>
            </w:pPr>
          </w:p>
        </w:tc>
        <w:tc>
          <w:tcPr>
            <w:tcW w:w="851" w:type="dxa"/>
            <w:shd w:val="clear" w:color="auto" w:fill="C6EFCE"/>
            <w:noWrap/>
            <w:vAlign w:val="center"/>
          </w:tcPr>
          <w:p w14:paraId="0DC0E8A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708" w:type="dxa"/>
            <w:shd w:val="clear" w:color="auto" w:fill="C6EFCE"/>
            <w:noWrap/>
            <w:vAlign w:val="center"/>
          </w:tcPr>
          <w:p w14:paraId="3CA9C2C1"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3261" w:type="dxa"/>
            <w:shd w:val="clear" w:color="auto" w:fill="C6EFCE"/>
            <w:noWrap/>
            <w:vAlign w:val="center"/>
          </w:tcPr>
          <w:p w14:paraId="57A14486"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Poggio Renatico kompressorjaama surveseade tuleb täita.</w:t>
            </w:r>
          </w:p>
        </w:tc>
      </w:tr>
      <w:tr w:rsidR="00512838" w:rsidRPr="00D90835" w14:paraId="6AEC15E2" w14:textId="77777777" w:rsidTr="5537777F">
        <w:trPr>
          <w:trHeight w:val="309"/>
        </w:trPr>
        <w:tc>
          <w:tcPr>
            <w:tcW w:w="1187" w:type="dxa"/>
            <w:shd w:val="clear" w:color="auto" w:fill="C6EFCE"/>
            <w:noWrap/>
            <w:vAlign w:val="center"/>
          </w:tcPr>
          <w:p w14:paraId="717A22C8"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M7-40</w:t>
            </w:r>
          </w:p>
        </w:tc>
        <w:tc>
          <w:tcPr>
            <w:tcW w:w="1559" w:type="dxa"/>
            <w:shd w:val="clear" w:color="auto" w:fill="C6EFCE"/>
            <w:noWrap/>
            <w:vAlign w:val="center"/>
          </w:tcPr>
          <w:p w14:paraId="759537B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15. Transizione 5.0 Roheline</w:t>
            </w:r>
          </w:p>
        </w:tc>
        <w:tc>
          <w:tcPr>
            <w:tcW w:w="1134" w:type="dxa"/>
            <w:shd w:val="clear" w:color="auto" w:fill="C6EFCE"/>
            <w:noWrap/>
            <w:vAlign w:val="center"/>
          </w:tcPr>
          <w:p w14:paraId="7888027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Eesmärk</w:t>
            </w:r>
          </w:p>
        </w:tc>
        <w:tc>
          <w:tcPr>
            <w:tcW w:w="1417" w:type="dxa"/>
            <w:shd w:val="clear" w:color="auto" w:fill="C6EFCE"/>
            <w:noWrap/>
            <w:vAlign w:val="center"/>
          </w:tcPr>
          <w:p w14:paraId="14D42B2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Sellise õigusakti jõustumine, millega kehtestatakse rahastamiskõlblike sekkumiste kriteeriumid</w:t>
            </w:r>
          </w:p>
        </w:tc>
        <w:tc>
          <w:tcPr>
            <w:tcW w:w="1701" w:type="dxa"/>
            <w:shd w:val="clear" w:color="auto" w:fill="C6EFCE"/>
            <w:noWrap/>
            <w:vAlign w:val="center"/>
          </w:tcPr>
          <w:p w14:paraId="2A879A55"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Seaduse jõustumisele viitav õigusnorm</w:t>
            </w:r>
          </w:p>
          <w:p w14:paraId="2F3886B2" w14:textId="77777777" w:rsidR="0084326C" w:rsidRPr="005D68A0" w:rsidRDefault="0084326C">
            <w:pPr>
              <w:jc w:val="center"/>
              <w:rPr>
                <w:rFonts w:ascii="Arial Narrow" w:hAnsi="Arial Narrow"/>
                <w:noProof/>
                <w:color w:val="006100"/>
                <w:sz w:val="20"/>
                <w:szCs w:val="20"/>
              </w:rPr>
            </w:pPr>
          </w:p>
          <w:p w14:paraId="26943002" w14:textId="77777777" w:rsidR="0084326C" w:rsidRPr="005D68A0" w:rsidRDefault="0084326C">
            <w:pPr>
              <w:jc w:val="center"/>
              <w:rPr>
                <w:rFonts w:ascii="Arial Narrow" w:hAnsi="Arial Narrow"/>
                <w:noProof/>
                <w:color w:val="006100"/>
                <w:sz w:val="20"/>
                <w:szCs w:val="20"/>
              </w:rPr>
            </w:pPr>
          </w:p>
          <w:p w14:paraId="1E02924C" w14:textId="77777777" w:rsidR="0084326C" w:rsidRPr="005D68A0" w:rsidRDefault="0084326C">
            <w:pPr>
              <w:jc w:val="center"/>
              <w:rPr>
                <w:rFonts w:ascii="Arial Narrow" w:hAnsi="Arial Narrow"/>
                <w:noProof/>
                <w:color w:val="FF0000"/>
                <w:sz w:val="20"/>
                <w:szCs w:val="20"/>
              </w:rPr>
            </w:pPr>
          </w:p>
        </w:tc>
        <w:tc>
          <w:tcPr>
            <w:tcW w:w="1276" w:type="dxa"/>
            <w:shd w:val="clear" w:color="auto" w:fill="C6EFCE"/>
            <w:noWrap/>
            <w:vAlign w:val="center"/>
          </w:tcPr>
          <w:p w14:paraId="63B331B8" w14:textId="77777777" w:rsidR="0084326C" w:rsidRPr="005D68A0" w:rsidRDefault="0084326C">
            <w:pPr>
              <w:jc w:val="center"/>
              <w:rPr>
                <w:rFonts w:ascii="Arial Narrow" w:hAnsi="Arial Narrow"/>
                <w:noProof/>
                <w:color w:val="006100"/>
                <w:sz w:val="20"/>
                <w:szCs w:val="20"/>
                <w:lang w:val="en-GB"/>
              </w:rPr>
            </w:pPr>
          </w:p>
        </w:tc>
        <w:tc>
          <w:tcPr>
            <w:tcW w:w="992" w:type="dxa"/>
            <w:shd w:val="clear" w:color="auto" w:fill="C6EFCE"/>
            <w:noWrap/>
            <w:vAlign w:val="center"/>
          </w:tcPr>
          <w:p w14:paraId="6C873DF4" w14:textId="77777777" w:rsidR="0084326C" w:rsidRPr="005D68A0" w:rsidRDefault="0084326C">
            <w:pPr>
              <w:jc w:val="center"/>
              <w:rPr>
                <w:rFonts w:ascii="Arial Narrow" w:hAnsi="Arial Narrow"/>
                <w:noProof/>
                <w:color w:val="006100"/>
                <w:sz w:val="20"/>
                <w:szCs w:val="20"/>
                <w:lang w:val="en-GB"/>
              </w:rPr>
            </w:pPr>
          </w:p>
        </w:tc>
        <w:tc>
          <w:tcPr>
            <w:tcW w:w="1276" w:type="dxa"/>
            <w:shd w:val="clear" w:color="auto" w:fill="C6EFCE"/>
            <w:noWrap/>
            <w:vAlign w:val="center"/>
          </w:tcPr>
          <w:p w14:paraId="1B6098E1" w14:textId="77777777" w:rsidR="0084326C" w:rsidRPr="005D68A0" w:rsidRDefault="0084326C">
            <w:pPr>
              <w:jc w:val="center"/>
              <w:rPr>
                <w:rFonts w:ascii="Arial Narrow" w:hAnsi="Arial Narrow"/>
                <w:noProof/>
                <w:color w:val="006100"/>
                <w:sz w:val="20"/>
                <w:szCs w:val="20"/>
                <w:lang w:val="en-GB"/>
              </w:rPr>
            </w:pPr>
          </w:p>
        </w:tc>
        <w:tc>
          <w:tcPr>
            <w:tcW w:w="851" w:type="dxa"/>
            <w:shd w:val="clear" w:color="auto" w:fill="C6EFCE"/>
            <w:noWrap/>
            <w:vAlign w:val="center"/>
          </w:tcPr>
          <w:p w14:paraId="63D59E1E"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1. kv</w:t>
            </w:r>
          </w:p>
        </w:tc>
        <w:tc>
          <w:tcPr>
            <w:tcW w:w="708" w:type="dxa"/>
            <w:shd w:val="clear" w:color="auto" w:fill="C6EFCE"/>
            <w:noWrap/>
            <w:vAlign w:val="center"/>
          </w:tcPr>
          <w:p w14:paraId="151FCF73"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2024</w:t>
            </w:r>
          </w:p>
        </w:tc>
        <w:tc>
          <w:tcPr>
            <w:tcW w:w="3261" w:type="dxa"/>
            <w:shd w:val="clear" w:color="auto" w:fill="C6EFCE"/>
            <w:noWrap/>
            <w:vAlign w:val="center"/>
          </w:tcPr>
          <w:p w14:paraId="00662D7F"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Õigusaktiga tehakse ülemineku 5.0 maksusoodustused potentsiaalsetele saajatele kättesaadavaks, määrates kindlaks rahastamiskõlblikkuse kriteeriumid, sealhulgas minimaalse energiasäästu ja meetme kulude ülemmäära.</w:t>
            </w:r>
          </w:p>
        </w:tc>
      </w:tr>
      <w:tr w:rsidR="00512838" w:rsidRPr="00D90835" w14:paraId="2DC73626" w14:textId="77777777" w:rsidTr="5537777F">
        <w:trPr>
          <w:trHeight w:val="64"/>
        </w:trPr>
        <w:tc>
          <w:tcPr>
            <w:tcW w:w="1187" w:type="dxa"/>
            <w:shd w:val="clear" w:color="auto" w:fill="C6EFCE"/>
            <w:noWrap/>
            <w:vAlign w:val="center"/>
          </w:tcPr>
          <w:p w14:paraId="7E107A8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M7-41</w:t>
            </w:r>
          </w:p>
        </w:tc>
        <w:tc>
          <w:tcPr>
            <w:tcW w:w="1559" w:type="dxa"/>
            <w:shd w:val="clear" w:color="auto" w:fill="C6EFCE"/>
            <w:noWrap/>
            <w:vAlign w:val="center"/>
          </w:tcPr>
          <w:p w14:paraId="5938BBBF"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Investeering 15. Transizione 5.0 Roheline</w:t>
            </w:r>
          </w:p>
        </w:tc>
        <w:tc>
          <w:tcPr>
            <w:tcW w:w="1134" w:type="dxa"/>
            <w:shd w:val="clear" w:color="auto" w:fill="C6EFCE"/>
            <w:noWrap/>
            <w:vAlign w:val="center"/>
          </w:tcPr>
          <w:p w14:paraId="7087653A"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Siht</w:t>
            </w:r>
          </w:p>
        </w:tc>
        <w:tc>
          <w:tcPr>
            <w:tcW w:w="1417" w:type="dxa"/>
            <w:shd w:val="clear" w:color="auto" w:fill="C6EFCE"/>
            <w:noWrap/>
            <w:vAlign w:val="center"/>
          </w:tcPr>
          <w:p w14:paraId="15434FEB"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Taaste- ja vastupidavusrahastu vahendite eraldamine</w:t>
            </w:r>
          </w:p>
        </w:tc>
        <w:tc>
          <w:tcPr>
            <w:tcW w:w="1701" w:type="dxa"/>
            <w:shd w:val="clear" w:color="auto" w:fill="C6EFCE"/>
            <w:noWrap/>
            <w:vAlign w:val="center"/>
          </w:tcPr>
          <w:p w14:paraId="525DA8EF" w14:textId="77777777" w:rsidR="0084326C" w:rsidRPr="005D68A0" w:rsidRDefault="0084326C">
            <w:pPr>
              <w:jc w:val="center"/>
              <w:rPr>
                <w:rFonts w:ascii="Arial Narrow" w:hAnsi="Arial Narrow"/>
                <w:noProof/>
                <w:color w:val="006100"/>
                <w:sz w:val="20"/>
                <w:szCs w:val="20"/>
                <w:lang w:val="en-GB"/>
              </w:rPr>
            </w:pPr>
          </w:p>
        </w:tc>
        <w:tc>
          <w:tcPr>
            <w:tcW w:w="1276" w:type="dxa"/>
            <w:shd w:val="clear" w:color="auto" w:fill="C6EFCE"/>
            <w:noWrap/>
            <w:vAlign w:val="center"/>
          </w:tcPr>
          <w:p w14:paraId="6E26CC5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Eraldatud vahendite summa (eurodes)</w:t>
            </w:r>
          </w:p>
        </w:tc>
        <w:tc>
          <w:tcPr>
            <w:tcW w:w="992" w:type="dxa"/>
            <w:shd w:val="clear" w:color="auto" w:fill="C6EFCE"/>
            <w:noWrap/>
            <w:vAlign w:val="center"/>
          </w:tcPr>
          <w:p w14:paraId="617AE91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0</w:t>
            </w:r>
          </w:p>
        </w:tc>
        <w:tc>
          <w:tcPr>
            <w:tcW w:w="1276" w:type="dxa"/>
            <w:shd w:val="clear" w:color="auto" w:fill="C6EFCE"/>
            <w:noWrap/>
            <w:vAlign w:val="center"/>
          </w:tcPr>
          <w:p w14:paraId="434C36EC"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6 300 000 000</w:t>
            </w:r>
          </w:p>
        </w:tc>
        <w:tc>
          <w:tcPr>
            <w:tcW w:w="851" w:type="dxa"/>
            <w:shd w:val="clear" w:color="auto" w:fill="C6EFCE"/>
            <w:noWrap/>
            <w:vAlign w:val="center"/>
          </w:tcPr>
          <w:p w14:paraId="5DE3DE57"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 kv</w:t>
            </w:r>
          </w:p>
        </w:tc>
        <w:tc>
          <w:tcPr>
            <w:tcW w:w="708" w:type="dxa"/>
            <w:shd w:val="clear" w:color="auto" w:fill="C6EFCE"/>
            <w:noWrap/>
            <w:vAlign w:val="center"/>
          </w:tcPr>
          <w:p w14:paraId="09D58AF2" w14:textId="77777777" w:rsidR="0084326C" w:rsidRPr="005D68A0" w:rsidRDefault="0084326C">
            <w:pPr>
              <w:jc w:val="center"/>
              <w:rPr>
                <w:rFonts w:ascii="Arial Narrow" w:hAnsi="Arial Narrow"/>
                <w:noProof/>
                <w:color w:val="006100"/>
                <w:sz w:val="20"/>
                <w:szCs w:val="20"/>
              </w:rPr>
            </w:pPr>
            <w:r>
              <w:rPr>
                <w:rFonts w:ascii="Arial Narrow" w:hAnsi="Arial Narrow"/>
                <w:noProof/>
                <w:color w:val="006100"/>
                <w:sz w:val="20"/>
              </w:rPr>
              <w:t>2026</w:t>
            </w:r>
          </w:p>
        </w:tc>
        <w:tc>
          <w:tcPr>
            <w:tcW w:w="3261" w:type="dxa"/>
            <w:shd w:val="clear" w:color="auto" w:fill="C6EFCE"/>
            <w:noWrap/>
            <w:vAlign w:val="center"/>
          </w:tcPr>
          <w:p w14:paraId="6040297F"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 xml:space="preserve">Teade kõigi selle investeeringu jaoks ette nähtud taaste- ja vastupidavusrahastu vahendite eraldamise kohta. </w:t>
            </w:r>
          </w:p>
          <w:p w14:paraId="1884E733" w14:textId="77777777" w:rsidR="0084326C" w:rsidRPr="00F33804" w:rsidRDefault="0084326C">
            <w:pPr>
              <w:rPr>
                <w:rFonts w:ascii="Arial Narrow" w:hAnsi="Arial Narrow"/>
                <w:noProof/>
                <w:color w:val="006100"/>
                <w:sz w:val="20"/>
                <w:szCs w:val="20"/>
              </w:rPr>
            </w:pPr>
          </w:p>
          <w:p w14:paraId="3DA63EE2" w14:textId="77777777" w:rsidR="0084326C" w:rsidRPr="005D68A0" w:rsidRDefault="0084326C">
            <w:pPr>
              <w:rPr>
                <w:rFonts w:ascii="Arial Narrow" w:hAnsi="Arial Narrow"/>
                <w:noProof/>
                <w:color w:val="006100"/>
                <w:sz w:val="20"/>
                <w:szCs w:val="20"/>
              </w:rPr>
            </w:pPr>
            <w:r>
              <w:rPr>
                <w:rFonts w:ascii="Arial Narrow" w:hAnsi="Arial Narrow"/>
                <w:noProof/>
                <w:color w:val="006100"/>
                <w:sz w:val="20"/>
              </w:rPr>
              <w:t>Eesmärgi rahuldav täitmine sõltub ka aruande avaldamisest, milles hinnatakse taaste- ja vastupidavusrahastu investeeringuid, mille eest vastutab Itaalia ettevõtlusministeerium ja Made.</w:t>
            </w:r>
          </w:p>
        </w:tc>
      </w:tr>
      <w:tr w:rsidR="00512838" w:rsidRPr="00D90835" w14:paraId="772DB407" w14:textId="77777777" w:rsidTr="5537777F">
        <w:trPr>
          <w:trHeight w:val="309"/>
        </w:trPr>
        <w:tc>
          <w:tcPr>
            <w:tcW w:w="1187" w:type="dxa"/>
            <w:shd w:val="clear" w:color="auto" w:fill="C6EFCE"/>
            <w:noWrap/>
            <w:vAlign w:val="center"/>
          </w:tcPr>
          <w:p w14:paraId="4E7525AC"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M7-42</w:t>
            </w:r>
          </w:p>
        </w:tc>
        <w:tc>
          <w:tcPr>
            <w:tcW w:w="1559" w:type="dxa"/>
            <w:shd w:val="clear" w:color="auto" w:fill="C6EFCE"/>
            <w:noWrap/>
            <w:vAlign w:val="center"/>
          </w:tcPr>
          <w:p w14:paraId="7F331777"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Investeering 15. Transizione 5.0 Roheline</w:t>
            </w:r>
          </w:p>
        </w:tc>
        <w:tc>
          <w:tcPr>
            <w:tcW w:w="1134" w:type="dxa"/>
            <w:shd w:val="clear" w:color="auto" w:fill="C6EFCE"/>
            <w:noWrap/>
            <w:vAlign w:val="center"/>
          </w:tcPr>
          <w:p w14:paraId="66182438"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Siht</w:t>
            </w:r>
          </w:p>
        </w:tc>
        <w:tc>
          <w:tcPr>
            <w:tcW w:w="1417" w:type="dxa"/>
            <w:shd w:val="clear" w:color="auto" w:fill="C6EFCE"/>
            <w:noWrap/>
            <w:vAlign w:val="center"/>
          </w:tcPr>
          <w:p w14:paraId="47325913"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0,4 miljonit naftaekvivalenttonni energia lõpptarbimises ajavahemikul 2024–2026</w:t>
            </w:r>
          </w:p>
        </w:tc>
        <w:tc>
          <w:tcPr>
            <w:tcW w:w="1701" w:type="dxa"/>
            <w:shd w:val="clear" w:color="auto" w:fill="C6EFCE"/>
            <w:noWrap/>
            <w:vAlign w:val="center"/>
          </w:tcPr>
          <w:p w14:paraId="71901AD8" w14:textId="77777777" w:rsidR="0084326C" w:rsidRPr="00F33804" w:rsidRDefault="0084326C">
            <w:pPr>
              <w:spacing w:after="120"/>
              <w:jc w:val="center"/>
              <w:rPr>
                <w:rFonts w:ascii="Arial Narrow" w:hAnsi="Arial Narrow"/>
                <w:noProof/>
                <w:color w:val="006100"/>
                <w:sz w:val="20"/>
                <w:szCs w:val="20"/>
                <w:lang w:val="fr-BE"/>
              </w:rPr>
            </w:pPr>
          </w:p>
        </w:tc>
        <w:tc>
          <w:tcPr>
            <w:tcW w:w="1276" w:type="dxa"/>
            <w:shd w:val="clear" w:color="auto" w:fill="C6EFCE"/>
            <w:noWrap/>
            <w:vAlign w:val="center"/>
          </w:tcPr>
          <w:p w14:paraId="4062D4B8"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Miljonit naftaekvivalenttonni</w:t>
            </w:r>
          </w:p>
        </w:tc>
        <w:tc>
          <w:tcPr>
            <w:tcW w:w="992" w:type="dxa"/>
            <w:shd w:val="clear" w:color="auto" w:fill="C6EFCE"/>
            <w:noWrap/>
            <w:vAlign w:val="center"/>
          </w:tcPr>
          <w:p w14:paraId="2A876140"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0</w:t>
            </w:r>
          </w:p>
        </w:tc>
        <w:tc>
          <w:tcPr>
            <w:tcW w:w="1276" w:type="dxa"/>
            <w:shd w:val="clear" w:color="auto" w:fill="C6EFCE"/>
            <w:noWrap/>
            <w:vAlign w:val="center"/>
          </w:tcPr>
          <w:p w14:paraId="26AA95E4"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0,4</w:t>
            </w:r>
          </w:p>
        </w:tc>
        <w:tc>
          <w:tcPr>
            <w:tcW w:w="851" w:type="dxa"/>
            <w:shd w:val="clear" w:color="auto" w:fill="C6EFCE"/>
            <w:noWrap/>
            <w:vAlign w:val="center"/>
          </w:tcPr>
          <w:p w14:paraId="794503CC"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 kv</w:t>
            </w:r>
          </w:p>
        </w:tc>
        <w:tc>
          <w:tcPr>
            <w:tcW w:w="708" w:type="dxa"/>
            <w:shd w:val="clear" w:color="auto" w:fill="C6EFCE"/>
            <w:noWrap/>
            <w:vAlign w:val="center"/>
          </w:tcPr>
          <w:p w14:paraId="67AF9D3F"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2026</w:t>
            </w:r>
          </w:p>
        </w:tc>
        <w:tc>
          <w:tcPr>
            <w:tcW w:w="3261" w:type="dxa"/>
            <w:shd w:val="clear" w:color="auto" w:fill="C6EFCE"/>
            <w:noWrap/>
            <w:vAlign w:val="center"/>
          </w:tcPr>
          <w:p w14:paraId="573068B4"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Investeeringuga saavutatakse 0,4 MTOE energiasäästu lõppenergia tarbimises ajavahemikul 2024–2026.</w:t>
            </w:r>
          </w:p>
        </w:tc>
      </w:tr>
      <w:tr w:rsidR="00512838" w:rsidRPr="00D90835" w14:paraId="4C7B6C26" w14:textId="77777777" w:rsidTr="5537777F">
        <w:trPr>
          <w:trHeight w:val="309"/>
        </w:trPr>
        <w:tc>
          <w:tcPr>
            <w:tcW w:w="1187" w:type="dxa"/>
            <w:shd w:val="clear" w:color="auto" w:fill="C6EFCE"/>
            <w:noWrap/>
            <w:vAlign w:val="center"/>
          </w:tcPr>
          <w:p w14:paraId="2F606D4D"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M7-43</w:t>
            </w:r>
          </w:p>
        </w:tc>
        <w:tc>
          <w:tcPr>
            <w:tcW w:w="1559" w:type="dxa"/>
            <w:shd w:val="clear" w:color="auto" w:fill="C6EFCE"/>
            <w:noWrap/>
            <w:vAlign w:val="center"/>
          </w:tcPr>
          <w:p w14:paraId="214DE716"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Investeering 16. Toetus VKEdele taastuvatest energiaallikatest isetootmiseks</w:t>
            </w:r>
          </w:p>
        </w:tc>
        <w:tc>
          <w:tcPr>
            <w:tcW w:w="1134" w:type="dxa"/>
            <w:shd w:val="clear" w:color="auto" w:fill="C6EFCE"/>
            <w:noWrap/>
            <w:vAlign w:val="center"/>
          </w:tcPr>
          <w:p w14:paraId="44A6EEBD"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Eesmärk</w:t>
            </w:r>
          </w:p>
        </w:tc>
        <w:tc>
          <w:tcPr>
            <w:tcW w:w="1417" w:type="dxa"/>
            <w:shd w:val="clear" w:color="auto" w:fill="C6EFCE"/>
            <w:noWrap/>
            <w:vAlign w:val="center"/>
          </w:tcPr>
          <w:p w14:paraId="5321A7E5"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Rakendusleping</w:t>
            </w:r>
          </w:p>
        </w:tc>
        <w:tc>
          <w:tcPr>
            <w:tcW w:w="1701" w:type="dxa"/>
            <w:shd w:val="clear" w:color="auto" w:fill="C6EFCE"/>
            <w:noWrap/>
            <w:vAlign w:val="center"/>
          </w:tcPr>
          <w:p w14:paraId="4D32D0DC"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Rakenduskokkuleppe jõustumine</w:t>
            </w:r>
          </w:p>
        </w:tc>
        <w:tc>
          <w:tcPr>
            <w:tcW w:w="1276" w:type="dxa"/>
            <w:shd w:val="clear" w:color="auto" w:fill="C6EFCE"/>
            <w:noWrap/>
            <w:vAlign w:val="center"/>
          </w:tcPr>
          <w:p w14:paraId="31836B81" w14:textId="77777777" w:rsidR="0084326C" w:rsidRPr="005D68A0" w:rsidRDefault="0084326C">
            <w:pPr>
              <w:spacing w:after="120"/>
              <w:jc w:val="center"/>
              <w:rPr>
                <w:rFonts w:ascii="Arial Narrow" w:hAnsi="Arial Narrow"/>
                <w:noProof/>
                <w:color w:val="006100"/>
                <w:sz w:val="20"/>
                <w:szCs w:val="20"/>
                <w:lang w:val="en-GB"/>
              </w:rPr>
            </w:pPr>
          </w:p>
        </w:tc>
        <w:tc>
          <w:tcPr>
            <w:tcW w:w="992" w:type="dxa"/>
            <w:shd w:val="clear" w:color="auto" w:fill="C6EFCE"/>
            <w:noWrap/>
            <w:vAlign w:val="center"/>
          </w:tcPr>
          <w:p w14:paraId="19BFF6B4" w14:textId="77777777" w:rsidR="0084326C" w:rsidRPr="005D68A0" w:rsidRDefault="0084326C">
            <w:pPr>
              <w:spacing w:after="120"/>
              <w:jc w:val="center"/>
              <w:rPr>
                <w:rFonts w:ascii="Arial Narrow" w:hAnsi="Arial Narrow"/>
                <w:noProof/>
                <w:color w:val="006100"/>
                <w:sz w:val="20"/>
                <w:szCs w:val="20"/>
                <w:lang w:val="en-GB"/>
              </w:rPr>
            </w:pPr>
          </w:p>
        </w:tc>
        <w:tc>
          <w:tcPr>
            <w:tcW w:w="1276" w:type="dxa"/>
            <w:shd w:val="clear" w:color="auto" w:fill="C6EFCE"/>
            <w:noWrap/>
            <w:vAlign w:val="center"/>
          </w:tcPr>
          <w:p w14:paraId="74680BC3" w14:textId="77777777" w:rsidR="0084326C" w:rsidRPr="005D68A0" w:rsidRDefault="0084326C">
            <w:pPr>
              <w:spacing w:after="120"/>
              <w:jc w:val="center"/>
              <w:rPr>
                <w:rFonts w:ascii="Arial Narrow" w:hAnsi="Arial Narrow"/>
                <w:noProof/>
                <w:color w:val="006100"/>
                <w:sz w:val="20"/>
                <w:szCs w:val="20"/>
                <w:lang w:val="en-GB"/>
              </w:rPr>
            </w:pPr>
          </w:p>
        </w:tc>
        <w:tc>
          <w:tcPr>
            <w:tcW w:w="851" w:type="dxa"/>
            <w:shd w:val="clear" w:color="auto" w:fill="C6EFCE"/>
            <w:noWrap/>
            <w:vAlign w:val="center"/>
          </w:tcPr>
          <w:p w14:paraId="569836C4"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4. kv</w:t>
            </w:r>
          </w:p>
        </w:tc>
        <w:tc>
          <w:tcPr>
            <w:tcW w:w="708" w:type="dxa"/>
            <w:shd w:val="clear" w:color="auto" w:fill="C6EFCE"/>
            <w:noWrap/>
            <w:vAlign w:val="center"/>
          </w:tcPr>
          <w:p w14:paraId="2879F205"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2024</w:t>
            </w:r>
          </w:p>
        </w:tc>
        <w:tc>
          <w:tcPr>
            <w:tcW w:w="3261" w:type="dxa"/>
            <w:shd w:val="clear" w:color="auto" w:fill="C6EFCE"/>
            <w:noWrap/>
            <w:vAlign w:val="center"/>
          </w:tcPr>
          <w:p w14:paraId="6946641C"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Rakenduskokkuleppe jõustumine.</w:t>
            </w:r>
          </w:p>
        </w:tc>
      </w:tr>
      <w:tr w:rsidR="00512838" w:rsidRPr="00D90835" w14:paraId="67694860" w14:textId="77777777" w:rsidTr="5537777F">
        <w:trPr>
          <w:trHeight w:val="309"/>
        </w:trPr>
        <w:tc>
          <w:tcPr>
            <w:tcW w:w="1187" w:type="dxa"/>
            <w:shd w:val="clear" w:color="auto" w:fill="C6EFCE"/>
            <w:noWrap/>
            <w:vAlign w:val="center"/>
          </w:tcPr>
          <w:p w14:paraId="35F0CFD0" w14:textId="77777777" w:rsidR="0084326C" w:rsidRPr="005D68A0" w:rsidRDefault="0084326C">
            <w:pPr>
              <w:spacing w:after="120"/>
              <w:jc w:val="center"/>
              <w:rPr>
                <w:rFonts w:ascii="Arial Narrow" w:hAnsi="Arial Narrow"/>
                <w:noProof/>
                <w:color w:val="000000" w:themeColor="text1"/>
                <w:sz w:val="20"/>
                <w:szCs w:val="20"/>
              </w:rPr>
            </w:pPr>
            <w:r>
              <w:rPr>
                <w:rFonts w:ascii="Arial Narrow" w:hAnsi="Arial Narrow"/>
                <w:noProof/>
                <w:color w:val="006100"/>
                <w:sz w:val="20"/>
              </w:rPr>
              <w:t>M7-44</w:t>
            </w:r>
          </w:p>
        </w:tc>
        <w:tc>
          <w:tcPr>
            <w:tcW w:w="1559" w:type="dxa"/>
            <w:shd w:val="clear" w:color="auto" w:fill="C6EFCE"/>
            <w:noWrap/>
            <w:vAlign w:val="center"/>
          </w:tcPr>
          <w:p w14:paraId="72612884"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Investeering 16. Toetus VKEdele taastuvatest energiaallikatest isetootmiseks</w:t>
            </w:r>
          </w:p>
        </w:tc>
        <w:tc>
          <w:tcPr>
            <w:tcW w:w="1134" w:type="dxa"/>
            <w:shd w:val="clear" w:color="auto" w:fill="C6EFCE"/>
            <w:noWrap/>
            <w:vAlign w:val="center"/>
          </w:tcPr>
          <w:p w14:paraId="145C3483"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Eesmärk</w:t>
            </w:r>
          </w:p>
        </w:tc>
        <w:tc>
          <w:tcPr>
            <w:tcW w:w="1417" w:type="dxa"/>
            <w:shd w:val="clear" w:color="auto" w:fill="C6EFCE"/>
            <w:noWrap/>
            <w:vAlign w:val="center"/>
          </w:tcPr>
          <w:p w14:paraId="30573013"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Itaalia Ettevõtlus- ja Made’i ministeerium on viinud lõpule rahaliste vahendite ülekandmise Invitaliale</w:t>
            </w:r>
          </w:p>
        </w:tc>
        <w:tc>
          <w:tcPr>
            <w:tcW w:w="1701" w:type="dxa"/>
            <w:shd w:val="clear" w:color="auto" w:fill="C6EFCE"/>
            <w:noWrap/>
            <w:vAlign w:val="center"/>
          </w:tcPr>
          <w:p w14:paraId="1BDC225F"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Üleviimistunnistus</w:t>
            </w:r>
          </w:p>
        </w:tc>
        <w:tc>
          <w:tcPr>
            <w:tcW w:w="1276" w:type="dxa"/>
            <w:shd w:val="clear" w:color="auto" w:fill="C6EFCE"/>
            <w:noWrap/>
            <w:vAlign w:val="center"/>
          </w:tcPr>
          <w:p w14:paraId="671F4557" w14:textId="77777777" w:rsidR="0084326C" w:rsidRPr="005D68A0" w:rsidRDefault="0084326C">
            <w:pPr>
              <w:spacing w:after="120"/>
              <w:jc w:val="center"/>
              <w:rPr>
                <w:rFonts w:ascii="Arial Narrow" w:hAnsi="Arial Narrow"/>
                <w:noProof/>
                <w:color w:val="006100"/>
                <w:sz w:val="20"/>
                <w:szCs w:val="20"/>
                <w:lang w:val="en-GB"/>
              </w:rPr>
            </w:pPr>
          </w:p>
        </w:tc>
        <w:tc>
          <w:tcPr>
            <w:tcW w:w="992" w:type="dxa"/>
            <w:shd w:val="clear" w:color="auto" w:fill="C6EFCE"/>
            <w:noWrap/>
            <w:vAlign w:val="center"/>
          </w:tcPr>
          <w:p w14:paraId="35B4089A" w14:textId="77777777" w:rsidR="0084326C" w:rsidRPr="005D68A0" w:rsidRDefault="0084326C">
            <w:pPr>
              <w:spacing w:after="120"/>
              <w:jc w:val="center"/>
              <w:rPr>
                <w:rFonts w:ascii="Arial Narrow" w:hAnsi="Arial Narrow"/>
                <w:noProof/>
                <w:color w:val="006100"/>
                <w:sz w:val="20"/>
                <w:szCs w:val="20"/>
                <w:lang w:val="en-GB"/>
              </w:rPr>
            </w:pPr>
          </w:p>
        </w:tc>
        <w:tc>
          <w:tcPr>
            <w:tcW w:w="1276" w:type="dxa"/>
            <w:shd w:val="clear" w:color="auto" w:fill="C6EFCE"/>
            <w:noWrap/>
            <w:vAlign w:val="center"/>
          </w:tcPr>
          <w:p w14:paraId="56BAC84C" w14:textId="77777777" w:rsidR="0084326C" w:rsidRPr="005D68A0" w:rsidRDefault="0084326C">
            <w:pPr>
              <w:spacing w:after="120"/>
              <w:jc w:val="center"/>
              <w:rPr>
                <w:rFonts w:ascii="Arial Narrow" w:hAnsi="Arial Narrow"/>
                <w:noProof/>
                <w:color w:val="006100"/>
                <w:sz w:val="20"/>
                <w:szCs w:val="20"/>
                <w:lang w:val="en-GB"/>
              </w:rPr>
            </w:pPr>
          </w:p>
        </w:tc>
        <w:tc>
          <w:tcPr>
            <w:tcW w:w="851" w:type="dxa"/>
            <w:shd w:val="clear" w:color="auto" w:fill="C6EFCE"/>
            <w:noWrap/>
            <w:vAlign w:val="center"/>
          </w:tcPr>
          <w:p w14:paraId="56A2E8F8"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4. kv</w:t>
            </w:r>
          </w:p>
        </w:tc>
        <w:tc>
          <w:tcPr>
            <w:tcW w:w="708" w:type="dxa"/>
            <w:shd w:val="clear" w:color="auto" w:fill="C6EFCE"/>
            <w:noWrap/>
            <w:vAlign w:val="center"/>
          </w:tcPr>
          <w:p w14:paraId="42D0585F"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2024</w:t>
            </w:r>
          </w:p>
        </w:tc>
        <w:tc>
          <w:tcPr>
            <w:tcW w:w="3261" w:type="dxa"/>
            <w:shd w:val="clear" w:color="auto" w:fill="C6EFCE"/>
            <w:noWrap/>
            <w:vAlign w:val="center"/>
          </w:tcPr>
          <w:p w14:paraId="4DDB0C07" w14:textId="03928D4F"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Itaalia kannab rahastu jaoks Invitaliale üle 320 000 000 eurot.</w:t>
            </w:r>
          </w:p>
        </w:tc>
      </w:tr>
      <w:tr w:rsidR="00512838" w:rsidRPr="00D90835" w14:paraId="77A2B25E" w14:textId="77777777" w:rsidTr="5537777F">
        <w:trPr>
          <w:trHeight w:val="309"/>
        </w:trPr>
        <w:tc>
          <w:tcPr>
            <w:tcW w:w="1187" w:type="dxa"/>
            <w:shd w:val="clear" w:color="auto" w:fill="C6EFCE"/>
            <w:noWrap/>
            <w:vAlign w:val="center"/>
          </w:tcPr>
          <w:p w14:paraId="4D0A70ED"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M7-45</w:t>
            </w:r>
          </w:p>
        </w:tc>
        <w:tc>
          <w:tcPr>
            <w:tcW w:w="1559" w:type="dxa"/>
            <w:shd w:val="clear" w:color="auto" w:fill="C6EFCE"/>
            <w:noWrap/>
            <w:vAlign w:val="center"/>
          </w:tcPr>
          <w:p w14:paraId="249B1D13"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Investeering 16. Toetus VKEdele taastuvatest energiaallikatest isetootmiseks</w:t>
            </w:r>
          </w:p>
        </w:tc>
        <w:tc>
          <w:tcPr>
            <w:tcW w:w="1134" w:type="dxa"/>
            <w:shd w:val="clear" w:color="auto" w:fill="C6EFCE"/>
            <w:noWrap/>
            <w:vAlign w:val="center"/>
          </w:tcPr>
          <w:p w14:paraId="6DB727BC"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Siht</w:t>
            </w:r>
          </w:p>
        </w:tc>
        <w:tc>
          <w:tcPr>
            <w:tcW w:w="1417" w:type="dxa"/>
            <w:shd w:val="clear" w:color="auto" w:fill="C6EFCE"/>
            <w:noWrap/>
            <w:vAlign w:val="center"/>
          </w:tcPr>
          <w:p w14:paraId="267C3C3A" w14:textId="5391B64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Õiguslikud kokkulepped lõplike abisaajatega</w:t>
            </w:r>
          </w:p>
        </w:tc>
        <w:tc>
          <w:tcPr>
            <w:tcW w:w="1701" w:type="dxa"/>
            <w:shd w:val="clear" w:color="auto" w:fill="C6EFCE"/>
            <w:noWrap/>
            <w:vAlign w:val="center"/>
          </w:tcPr>
          <w:p w14:paraId="071F4A53" w14:textId="180A97F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Ei kohaldata</w:t>
            </w:r>
          </w:p>
        </w:tc>
        <w:tc>
          <w:tcPr>
            <w:tcW w:w="1276" w:type="dxa"/>
            <w:shd w:val="clear" w:color="auto" w:fill="C6EFCE"/>
            <w:noWrap/>
            <w:vAlign w:val="center"/>
          </w:tcPr>
          <w:p w14:paraId="173B5130" w14:textId="69748DDC" w:rsidR="0084326C" w:rsidRPr="005D68A0" w:rsidRDefault="0084326C" w:rsidP="00D83F17">
            <w:pPr>
              <w:jc w:val="center"/>
              <w:rPr>
                <w:rFonts w:ascii="Arial Narrow" w:hAnsi="Arial Narrow"/>
                <w:noProof/>
                <w:color w:val="006100"/>
                <w:sz w:val="20"/>
                <w:szCs w:val="20"/>
              </w:rPr>
            </w:pPr>
            <w:r>
              <w:rPr>
                <w:rFonts w:ascii="Arial Narrow" w:hAnsi="Arial Narrow"/>
                <w:noProof/>
                <w:color w:val="006100"/>
                <w:sz w:val="20"/>
              </w:rPr>
              <w:t>Protsent (%)</w:t>
            </w:r>
          </w:p>
        </w:tc>
        <w:tc>
          <w:tcPr>
            <w:tcW w:w="992" w:type="dxa"/>
            <w:shd w:val="clear" w:color="auto" w:fill="C6EFCE"/>
            <w:noWrap/>
            <w:vAlign w:val="center"/>
          </w:tcPr>
          <w:p w14:paraId="59A65416"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0</w:t>
            </w:r>
          </w:p>
        </w:tc>
        <w:tc>
          <w:tcPr>
            <w:tcW w:w="1276" w:type="dxa"/>
            <w:shd w:val="clear" w:color="auto" w:fill="C6EFCE"/>
            <w:noWrap/>
            <w:vAlign w:val="center"/>
          </w:tcPr>
          <w:p w14:paraId="5CF4ABEE"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100 %</w:t>
            </w:r>
          </w:p>
        </w:tc>
        <w:tc>
          <w:tcPr>
            <w:tcW w:w="851" w:type="dxa"/>
            <w:shd w:val="clear" w:color="auto" w:fill="C6EFCE"/>
            <w:noWrap/>
            <w:vAlign w:val="center"/>
          </w:tcPr>
          <w:p w14:paraId="31749E6E"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 kv</w:t>
            </w:r>
          </w:p>
        </w:tc>
        <w:tc>
          <w:tcPr>
            <w:tcW w:w="708" w:type="dxa"/>
            <w:shd w:val="clear" w:color="auto" w:fill="C6EFCE"/>
            <w:noWrap/>
            <w:vAlign w:val="center"/>
          </w:tcPr>
          <w:p w14:paraId="61EEBB0D"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2026</w:t>
            </w:r>
          </w:p>
        </w:tc>
        <w:tc>
          <w:tcPr>
            <w:tcW w:w="3261" w:type="dxa"/>
            <w:shd w:val="clear" w:color="auto" w:fill="C6EFCE"/>
            <w:noWrap/>
            <w:vAlign w:val="center"/>
          </w:tcPr>
          <w:p w14:paraId="1E8ABA71" w14:textId="3773146D" w:rsidR="0084326C" w:rsidRPr="005D68A0" w:rsidRDefault="0084326C" w:rsidP="72D320C3">
            <w:pPr>
              <w:spacing w:after="120"/>
              <w:rPr>
                <w:rFonts w:ascii="Arial Narrow" w:hAnsi="Arial Narrow"/>
                <w:noProof/>
                <w:color w:val="006100"/>
                <w:sz w:val="20"/>
                <w:szCs w:val="20"/>
              </w:rPr>
            </w:pPr>
            <w:r>
              <w:rPr>
                <w:rFonts w:ascii="Arial Narrow" w:hAnsi="Arial Narrow"/>
                <w:noProof/>
                <w:color w:val="006100"/>
                <w:sz w:val="20"/>
              </w:rPr>
              <w:t xml:space="preserve">Invitalia S.p.A. on sõlminud lõplike toetusesaajatega õiguslikud kokkulepped summas, mis on vajalik taaste- ja vastupidavusrahastu investeeringute 100 % kasutamiseks kavas (võttes arvesse haldustasusid). </w:t>
            </w:r>
          </w:p>
          <w:p w14:paraId="078AEC95"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Invitalia S.p.A. koostab taaste- ja vastupidavusrahastu määruse VI lisas esitatud metoodikat kasutades aruande, milles kirjeldatakse üksikasjalikult kliimaeesmärkide saavutamist toetava rahastamise osakaalu.</w:t>
            </w:r>
          </w:p>
        </w:tc>
      </w:tr>
      <w:tr w:rsidR="00512838" w:rsidRPr="00D90835" w14:paraId="7A6D0D08" w14:textId="77777777" w:rsidTr="5537777F">
        <w:trPr>
          <w:trHeight w:val="309"/>
        </w:trPr>
        <w:tc>
          <w:tcPr>
            <w:tcW w:w="118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7A1C0BA"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M7-46</w:t>
            </w:r>
          </w:p>
        </w:tc>
        <w:tc>
          <w:tcPr>
            <w:tcW w:w="155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6B6DB8"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Investeering 17. Avaliku sektori ja sotsiaaleluruumide energiatõhusaks renoveerimise rahastamisvahend</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5D16FD"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Eesmärk</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D47DE60"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Volituste eesmärgi määratlemine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2AC304"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Õigusakti jõustumine koos rahastamisvahendi pädevuse määratlusega</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886EDC" w14:textId="77777777" w:rsidR="0084326C" w:rsidRPr="00F33804" w:rsidRDefault="0084326C">
            <w:pPr>
              <w:spacing w:after="120"/>
              <w:jc w:val="center"/>
              <w:rPr>
                <w:rFonts w:ascii="Arial Narrow" w:hAnsi="Arial Narrow"/>
                <w:noProof/>
                <w:color w:val="006100"/>
                <w:sz w:val="20"/>
              </w:rPr>
            </w:pP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511B1CF" w14:textId="77777777" w:rsidR="0084326C" w:rsidRPr="00F33804" w:rsidRDefault="0084326C">
            <w:pPr>
              <w:spacing w:after="120"/>
              <w:jc w:val="center"/>
              <w:rPr>
                <w:rFonts w:ascii="Arial Narrow" w:hAnsi="Arial Narrow"/>
                <w:noProof/>
                <w:color w:val="00610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2DF1B67" w14:textId="77777777" w:rsidR="0084326C" w:rsidRPr="00F33804" w:rsidRDefault="0084326C">
            <w:pPr>
              <w:spacing w:after="120"/>
              <w:jc w:val="center"/>
              <w:rPr>
                <w:rFonts w:ascii="Arial Narrow" w:hAnsi="Arial Narrow"/>
                <w:noProof/>
                <w:color w:val="0061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42B2A04"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3. kv</w:t>
            </w:r>
          </w:p>
        </w:tc>
        <w:tc>
          <w:tcPr>
            <w:tcW w:w="70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6F7AF00"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2024</w:t>
            </w:r>
          </w:p>
        </w:tc>
        <w:tc>
          <w:tcPr>
            <w:tcW w:w="3261" w:type="dxa"/>
            <w:tcBorders>
              <w:top w:val="single" w:sz="4" w:space="0" w:color="auto"/>
              <w:left w:val="single" w:sz="4" w:space="0" w:color="auto"/>
              <w:bottom w:val="single" w:sz="4" w:space="0" w:color="auto"/>
              <w:right w:val="single" w:sz="4" w:space="0" w:color="auto"/>
            </w:tcBorders>
            <w:shd w:val="clear" w:color="auto" w:fill="C6EFCE"/>
            <w:noWrap/>
          </w:tcPr>
          <w:p w14:paraId="07015AC9" w14:textId="77777777" w:rsidR="0084326C" w:rsidRPr="005D68A0" w:rsidRDefault="0084326C">
            <w:pPr>
              <w:spacing w:after="120"/>
              <w:rPr>
                <w:rFonts w:ascii="Arial Narrow" w:hAnsi="Arial Narrow"/>
                <w:noProof/>
                <w:color w:val="006100"/>
                <w:sz w:val="20"/>
                <w:szCs w:val="20"/>
              </w:rPr>
            </w:pPr>
            <w:r>
              <w:rPr>
                <w:rFonts w:ascii="Arial Narrow" w:hAnsi="Arial Narrow"/>
                <w:noProof/>
                <w:color w:val="006100"/>
                <w:sz w:val="20"/>
              </w:rPr>
              <w:t xml:space="preserve">Määratakse kindlaks rahastamisvahendi tingimused, mis on suunatud kortermajade avaliku ja sotsiaaleluruumide ning energiatõhusaks renoveerimiseks madala sissetulekuga ja vähekaitstud leibkondades. </w:t>
            </w:r>
          </w:p>
          <w:p w14:paraId="5A0484F2" w14:textId="77777777" w:rsidR="0084326C" w:rsidRPr="00F33804" w:rsidRDefault="0084326C">
            <w:pPr>
              <w:spacing w:after="120"/>
              <w:rPr>
                <w:rFonts w:ascii="Arial Narrow" w:hAnsi="Arial Narrow"/>
                <w:noProof/>
                <w:color w:val="006100"/>
                <w:sz w:val="20"/>
              </w:rPr>
            </w:pPr>
          </w:p>
        </w:tc>
      </w:tr>
      <w:tr w:rsidR="00512838" w:rsidRPr="00D90835" w14:paraId="284615D3" w14:textId="77777777" w:rsidTr="5537777F">
        <w:trPr>
          <w:trHeight w:val="309"/>
        </w:trPr>
        <w:tc>
          <w:tcPr>
            <w:tcW w:w="118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99D2EF"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M7-47</w:t>
            </w:r>
          </w:p>
        </w:tc>
        <w:tc>
          <w:tcPr>
            <w:tcW w:w="155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3DEB5F"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Investeering 17. Avaliku sektori ja sotsiaaleluruumide energiatõhusaks renoveerimise rahastamisvahend</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E7B7F77"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Eesmärk</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2D5DDE8"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Rakendusleping</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AEF9C8"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Rakenduskokkuleppe jõustumine</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B121BC" w14:textId="77777777" w:rsidR="0084326C" w:rsidRPr="005D68A0" w:rsidRDefault="0084326C">
            <w:pPr>
              <w:spacing w:after="120"/>
              <w:jc w:val="center"/>
              <w:rPr>
                <w:rFonts w:ascii="Arial Narrow" w:hAnsi="Arial Narrow"/>
                <w:noProof/>
                <w:color w:val="006100"/>
                <w:sz w:val="20"/>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667E5FE" w14:textId="77777777" w:rsidR="0084326C" w:rsidRPr="005D68A0" w:rsidRDefault="0084326C">
            <w:pPr>
              <w:spacing w:after="120"/>
              <w:jc w:val="center"/>
              <w:rPr>
                <w:rFonts w:ascii="Arial Narrow" w:hAnsi="Arial Narrow"/>
                <w:noProof/>
                <w:color w:val="006100"/>
                <w:sz w:val="20"/>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AEEF9B1" w14:textId="77777777" w:rsidR="0084326C" w:rsidRPr="005D68A0" w:rsidRDefault="0084326C">
            <w:pPr>
              <w:spacing w:after="120"/>
              <w:jc w:val="center"/>
              <w:rPr>
                <w:rFonts w:ascii="Arial Narrow" w:hAnsi="Arial Narrow"/>
                <w:noProof/>
                <w:color w:val="006100"/>
                <w:sz w:val="20"/>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CEDFE63" w14:textId="07811380"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 kv</w:t>
            </w:r>
          </w:p>
        </w:tc>
        <w:tc>
          <w:tcPr>
            <w:tcW w:w="70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450099" w14:textId="474C3C18"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2025</w:t>
            </w:r>
          </w:p>
        </w:tc>
        <w:tc>
          <w:tcPr>
            <w:tcW w:w="3261" w:type="dxa"/>
            <w:tcBorders>
              <w:top w:val="single" w:sz="4" w:space="0" w:color="auto"/>
              <w:left w:val="single" w:sz="4" w:space="0" w:color="auto"/>
              <w:bottom w:val="single" w:sz="4" w:space="0" w:color="auto"/>
              <w:right w:val="single" w:sz="4" w:space="0" w:color="auto"/>
            </w:tcBorders>
            <w:shd w:val="clear" w:color="auto" w:fill="C6EFCE"/>
            <w:noWrap/>
          </w:tcPr>
          <w:p w14:paraId="1F349EE3" w14:textId="77777777" w:rsidR="0084326C" w:rsidRPr="005D68A0" w:rsidRDefault="0084326C">
            <w:pPr>
              <w:spacing w:after="120"/>
              <w:jc w:val="both"/>
              <w:rPr>
                <w:rFonts w:ascii="Arial Narrow" w:hAnsi="Arial Narrow"/>
                <w:noProof/>
                <w:color w:val="006100"/>
                <w:sz w:val="20"/>
              </w:rPr>
            </w:pPr>
            <w:r>
              <w:rPr>
                <w:rFonts w:ascii="Arial Narrow" w:hAnsi="Arial Narrow"/>
                <w:noProof/>
                <w:color w:val="006100"/>
                <w:sz w:val="20"/>
              </w:rPr>
              <w:t>Rakenduskokkuleppe jõustumine kooskõlas meetme kirjelduses esitatud nõuetega.</w:t>
            </w:r>
          </w:p>
          <w:p w14:paraId="40C031DF" w14:textId="77777777" w:rsidR="0084326C" w:rsidRPr="005D68A0" w:rsidRDefault="0084326C">
            <w:pPr>
              <w:spacing w:after="120"/>
              <w:jc w:val="both"/>
              <w:rPr>
                <w:rFonts w:ascii="Arial Narrow" w:hAnsi="Arial Narrow"/>
                <w:noProof/>
                <w:color w:val="006100"/>
                <w:sz w:val="20"/>
                <w:szCs w:val="20"/>
              </w:rPr>
            </w:pPr>
            <w:r>
              <w:rPr>
                <w:rFonts w:ascii="Arial Narrow" w:hAnsi="Arial Narrow"/>
                <w:noProof/>
                <w:color w:val="006100"/>
                <w:sz w:val="20"/>
              </w:rPr>
              <w:t>Eelkõige sisaldab rakenduskokkulepe rahastamiskõlblikkuse kriteeriume, mis käsitlevad vahendiga saavutatavat energiatõhususe minimaalset parandamist (vähemalt 30 % primaarenergia nõudluse vähendamine) ja tingimustele vastavaid kodumajapidamisi (kui abikõlblikkus määratakse kindlaks nende haavatavuse alusel).</w:t>
            </w:r>
          </w:p>
        </w:tc>
      </w:tr>
      <w:tr w:rsidR="00512838" w:rsidRPr="00D90835" w14:paraId="7904DFA1" w14:textId="77777777" w:rsidTr="5537777F">
        <w:trPr>
          <w:trHeight w:val="309"/>
        </w:trPr>
        <w:tc>
          <w:tcPr>
            <w:tcW w:w="118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3C00304"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M7-48</w:t>
            </w:r>
          </w:p>
        </w:tc>
        <w:tc>
          <w:tcPr>
            <w:tcW w:w="155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8406F3F"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Investeering 17. Avaliku sektori ja sotsiaaleluruumide energiatõhusaks renoveerimise rahastamisvahend</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AF87F9A"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Eesmärk</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A442E3C"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Ministeerium on investeeringu lõpule viinud</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4AE6DDF"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Üleviimistunnistus</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2B9AEBA" w14:textId="2CBD6749" w:rsidR="0084326C" w:rsidRPr="005D68A0" w:rsidRDefault="0084326C">
            <w:pPr>
              <w:spacing w:after="120"/>
              <w:jc w:val="center"/>
              <w:rPr>
                <w:rFonts w:ascii="Arial Narrow" w:hAnsi="Arial Narrow"/>
                <w:noProof/>
                <w:color w:val="006100"/>
                <w:sz w:val="20"/>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70B737" w14:textId="79303176" w:rsidR="0084326C" w:rsidRPr="005D68A0" w:rsidRDefault="54DB4224">
            <w:pPr>
              <w:spacing w:after="120"/>
              <w:jc w:val="center"/>
              <w:rPr>
                <w:rFonts w:ascii="Arial Narrow" w:eastAsia="Arial Narrow" w:hAnsi="Arial Narrow" w:cs="Arial Narrow"/>
                <w:noProof/>
                <w:sz w:val="20"/>
                <w:szCs w:val="20"/>
              </w:rPr>
            </w:pPr>
            <w:r>
              <w:rPr>
                <w:rFonts w:ascii="Arial Narrow" w:hAnsi="Arial Narrow"/>
                <w:noProof/>
                <w:color w:val="006100"/>
                <w:sz w:val="20"/>
              </w:rPr>
              <w:t>Ei kohaldata</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73181D1" w14:textId="48E662D2" w:rsidR="0084326C" w:rsidRPr="005D68A0" w:rsidRDefault="67A96E63">
            <w:pPr>
              <w:spacing w:after="120"/>
              <w:jc w:val="center"/>
              <w:rPr>
                <w:rFonts w:ascii="Arial Narrow" w:eastAsia="Arial Narrow" w:hAnsi="Arial Narrow" w:cs="Arial Narrow"/>
                <w:noProof/>
                <w:sz w:val="20"/>
                <w:szCs w:val="20"/>
              </w:rPr>
            </w:pPr>
            <w:r>
              <w:rPr>
                <w:rFonts w:ascii="Arial Narrow" w:hAnsi="Arial Narrow"/>
                <w:noProof/>
                <w:color w:val="006100"/>
                <w:sz w:val="20"/>
              </w:rPr>
              <w:t xml:space="preserve"> Ei kohaldata</w:t>
            </w:r>
          </w:p>
        </w:tc>
        <w:tc>
          <w:tcPr>
            <w:tcW w:w="85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4DE853" w14:textId="7DD5D676"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2. kv</w:t>
            </w:r>
          </w:p>
        </w:tc>
        <w:tc>
          <w:tcPr>
            <w:tcW w:w="70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D670DF" w14:textId="0F91593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2025</w:t>
            </w:r>
          </w:p>
        </w:tc>
        <w:tc>
          <w:tcPr>
            <w:tcW w:w="3261" w:type="dxa"/>
            <w:tcBorders>
              <w:top w:val="single" w:sz="4" w:space="0" w:color="auto"/>
              <w:left w:val="single" w:sz="4" w:space="0" w:color="auto"/>
              <w:bottom w:val="single" w:sz="4" w:space="0" w:color="auto"/>
              <w:right w:val="single" w:sz="4" w:space="0" w:color="auto"/>
            </w:tcBorders>
            <w:shd w:val="clear" w:color="auto" w:fill="C6EFCE"/>
            <w:noWrap/>
          </w:tcPr>
          <w:p w14:paraId="61B5081B" w14:textId="77777777" w:rsidR="0084326C" w:rsidRPr="005D68A0" w:rsidRDefault="0084326C">
            <w:pPr>
              <w:spacing w:after="120"/>
              <w:jc w:val="both"/>
              <w:rPr>
                <w:rFonts w:ascii="Arial Narrow" w:hAnsi="Arial Narrow"/>
                <w:noProof/>
                <w:color w:val="006100"/>
                <w:sz w:val="20"/>
              </w:rPr>
            </w:pPr>
            <w:r>
              <w:rPr>
                <w:rFonts w:ascii="Arial Narrow" w:hAnsi="Arial Narrow"/>
                <w:noProof/>
                <w:color w:val="006100"/>
                <w:sz w:val="20"/>
              </w:rPr>
              <w:t>Itaalia kannab rahastu rakenduspartnerile üle 1 381 000 000 eurot.</w:t>
            </w:r>
          </w:p>
        </w:tc>
      </w:tr>
      <w:tr w:rsidR="00512838" w:rsidRPr="00D90835" w14:paraId="5A05B88E" w14:textId="77777777" w:rsidTr="5537777F">
        <w:trPr>
          <w:trHeight w:val="309"/>
        </w:trPr>
        <w:tc>
          <w:tcPr>
            <w:tcW w:w="118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B040BF0" w14:textId="77777777" w:rsidR="0084326C" w:rsidRPr="005D68A0" w:rsidRDefault="0084326C">
            <w:pPr>
              <w:spacing w:after="120"/>
              <w:jc w:val="center"/>
              <w:rPr>
                <w:rFonts w:ascii="Arial Narrow" w:hAnsi="Arial Narrow"/>
                <w:noProof/>
                <w:color w:val="006100"/>
                <w:sz w:val="20"/>
                <w:szCs w:val="20"/>
              </w:rPr>
            </w:pPr>
            <w:r>
              <w:rPr>
                <w:rFonts w:ascii="Arial Narrow" w:hAnsi="Arial Narrow"/>
                <w:noProof/>
                <w:color w:val="006100"/>
                <w:sz w:val="20"/>
              </w:rPr>
              <w:t>M7-49</w:t>
            </w:r>
          </w:p>
        </w:tc>
        <w:tc>
          <w:tcPr>
            <w:tcW w:w="155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54AD81E"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Investeering 17. Avaliku sektori ja sotsiaaleluruumide energiatõhusaks renoveerimise rahastamisvahend</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51E03F"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Siht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714B9B7"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Lõplike abisaajatega sõlmitud õiguslikud lepingud</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1255961" w14:textId="77777777" w:rsidR="0084326C" w:rsidRPr="005D68A0" w:rsidRDefault="0084326C">
            <w:pPr>
              <w:spacing w:after="120"/>
              <w:jc w:val="center"/>
              <w:rPr>
                <w:rFonts w:ascii="Arial Narrow" w:hAnsi="Arial Narrow"/>
                <w:noProof/>
                <w:color w:val="006100"/>
                <w:sz w:val="20"/>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0E2A50B"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Protsent (%)</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E289CA"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0 %</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ACCC85A"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100 %</w:t>
            </w:r>
          </w:p>
        </w:tc>
        <w:tc>
          <w:tcPr>
            <w:tcW w:w="85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D2EE07C"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2. kv</w:t>
            </w:r>
          </w:p>
        </w:tc>
        <w:tc>
          <w:tcPr>
            <w:tcW w:w="70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A66F34D" w14:textId="77777777" w:rsidR="0084326C" w:rsidRPr="005D68A0" w:rsidRDefault="0084326C">
            <w:pPr>
              <w:spacing w:after="120"/>
              <w:jc w:val="center"/>
              <w:rPr>
                <w:rFonts w:ascii="Arial Narrow" w:hAnsi="Arial Narrow"/>
                <w:noProof/>
                <w:color w:val="006100"/>
                <w:sz w:val="20"/>
              </w:rPr>
            </w:pPr>
            <w:r>
              <w:rPr>
                <w:rFonts w:ascii="Arial Narrow" w:hAnsi="Arial Narrow"/>
                <w:noProof/>
                <w:color w:val="006100"/>
                <w:sz w:val="20"/>
              </w:rPr>
              <w:t>2026</w:t>
            </w:r>
          </w:p>
        </w:tc>
        <w:tc>
          <w:tcPr>
            <w:tcW w:w="3261" w:type="dxa"/>
            <w:tcBorders>
              <w:top w:val="single" w:sz="4" w:space="0" w:color="auto"/>
              <w:left w:val="single" w:sz="4" w:space="0" w:color="auto"/>
              <w:bottom w:val="single" w:sz="4" w:space="0" w:color="auto"/>
              <w:right w:val="single" w:sz="4" w:space="0" w:color="auto"/>
            </w:tcBorders>
            <w:shd w:val="clear" w:color="auto" w:fill="C6EFCE"/>
            <w:noWrap/>
          </w:tcPr>
          <w:p w14:paraId="1A90AD5D" w14:textId="77777777" w:rsidR="0084326C" w:rsidRPr="005D68A0" w:rsidRDefault="0084326C">
            <w:pPr>
              <w:spacing w:after="120"/>
              <w:jc w:val="both"/>
              <w:rPr>
                <w:rFonts w:ascii="Arial Narrow" w:hAnsi="Arial Narrow"/>
                <w:noProof/>
                <w:color w:val="006100"/>
                <w:sz w:val="20"/>
              </w:rPr>
            </w:pPr>
            <w:r>
              <w:rPr>
                <w:rFonts w:ascii="Arial Narrow" w:hAnsi="Arial Narrow"/>
                <w:noProof/>
                <w:color w:val="006100"/>
                <w:sz w:val="20"/>
              </w:rPr>
              <w:t>Rakenduspartner peab olema sõlminud energiateenuse ettevõtetega õiguslikud rahastamislepingud summa kohta, mis on vajalik rahastusse tehtavate taaste- ja vastupidavusrahastu investeeringute 100 % kasutamiseks (võttes arvesse haldustasusid).</w:t>
            </w:r>
          </w:p>
          <w:p w14:paraId="3B577AD6" w14:textId="77777777" w:rsidR="0084326C" w:rsidRPr="005D68A0" w:rsidRDefault="0084326C">
            <w:pPr>
              <w:spacing w:after="120"/>
              <w:jc w:val="both"/>
              <w:rPr>
                <w:rFonts w:ascii="Arial Narrow" w:hAnsi="Arial Narrow"/>
                <w:noProof/>
                <w:color w:val="006100"/>
                <w:sz w:val="20"/>
              </w:rPr>
            </w:pPr>
            <w:r>
              <w:rPr>
                <w:rFonts w:ascii="Arial Narrow" w:hAnsi="Arial Narrow"/>
                <w:noProof/>
                <w:color w:val="006100"/>
                <w:sz w:val="20"/>
              </w:rPr>
              <w:t>Energiateenuste ettevõtetega sõlmitavas rahastamislepingus täpsustatakse, millist vara energiatõhusalt renoveeritakse.</w:t>
            </w:r>
          </w:p>
          <w:p w14:paraId="26104A79" w14:textId="77777777" w:rsidR="0084326C" w:rsidRPr="005D68A0" w:rsidRDefault="0084326C">
            <w:pPr>
              <w:spacing w:after="120"/>
              <w:jc w:val="both"/>
              <w:rPr>
                <w:rFonts w:ascii="Arial Narrow" w:hAnsi="Arial Narrow"/>
                <w:noProof/>
                <w:color w:val="006100"/>
                <w:sz w:val="20"/>
              </w:rPr>
            </w:pPr>
            <w:r>
              <w:rPr>
                <w:rFonts w:ascii="Arial Narrow" w:hAnsi="Arial Narrow"/>
                <w:noProof/>
                <w:color w:val="006100"/>
                <w:sz w:val="20"/>
              </w:rPr>
              <w:t>100 % sellest rahastamisest aitab kaasa kliimaeesmärkide saavutamisele, kasutades taaste- ja vastupidavusrahastu määruse VI lisas esitatud metoodikat.</w:t>
            </w:r>
          </w:p>
        </w:tc>
      </w:tr>
    </w:tbl>
    <w:p w14:paraId="28860D0F" w14:textId="77777777" w:rsidR="0084326C" w:rsidRPr="00F33804" w:rsidRDefault="0084326C" w:rsidP="0084326C">
      <w:pPr>
        <w:spacing w:after="120"/>
        <w:jc w:val="both"/>
        <w:rPr>
          <w:rFonts w:ascii="Calibri" w:eastAsia="Calibri" w:hAnsi="Calibri" w:cs="Calibri"/>
          <w:noProof/>
          <w:color w:val="000000" w:themeColor="text1"/>
        </w:rPr>
        <w:sectPr w:rsidR="0084326C" w:rsidRPr="00F33804">
          <w:headerReference w:type="even" r:id="rId429"/>
          <w:headerReference w:type="default" r:id="rId430"/>
          <w:footerReference w:type="even" r:id="rId431"/>
          <w:footerReference w:type="default" r:id="rId432"/>
          <w:headerReference w:type="first" r:id="rId433"/>
          <w:footerReference w:type="first" r:id="rId434"/>
          <w:pgSz w:w="16838" w:h="11906" w:orient="landscape" w:code="12"/>
          <w:pgMar w:top="1440" w:right="1440" w:bottom="1440" w:left="1440" w:header="567" w:footer="567" w:gutter="0"/>
          <w:cols w:space="720"/>
          <w:docGrid w:linePitch="360"/>
        </w:sectPr>
      </w:pPr>
    </w:p>
    <w:p w14:paraId="76963F96" w14:textId="77777777" w:rsidR="00A612E2" w:rsidRPr="006960E9" w:rsidRDefault="00A612E2" w:rsidP="00A612E2">
      <w:pPr>
        <w:pStyle w:val="Heading1"/>
        <w:rPr>
          <w:noProof/>
        </w:rPr>
      </w:pPr>
      <w:r>
        <w:rPr>
          <w:noProof/>
        </w:rPr>
        <w:t xml:space="preserve">Taaste- ja vastupidavuskava hinnanguline kogukulu </w:t>
      </w:r>
    </w:p>
    <w:p w14:paraId="7D124BA2" w14:textId="492A076C" w:rsidR="00A612E2" w:rsidRDefault="00A612E2" w:rsidP="00A612E2">
      <w:pPr>
        <w:spacing w:before="120" w:after="120"/>
        <w:jc w:val="both"/>
        <w:rPr>
          <w:noProof/>
          <w:sz w:val="23"/>
          <w:szCs w:val="23"/>
        </w:rPr>
      </w:pPr>
      <w:r>
        <w:rPr>
          <w:noProof/>
          <w:sz w:val="23"/>
        </w:rPr>
        <w:t>Itaalia taaste- ja vastupidavuskava hinnanguline kogukulu on 194 415 951 466 eurot.</w:t>
      </w:r>
    </w:p>
    <w:p w14:paraId="603406DD" w14:textId="77777777" w:rsidR="00A612E2" w:rsidRDefault="00A612E2" w:rsidP="00A612E2">
      <w:pPr>
        <w:spacing w:before="120" w:after="120"/>
        <w:jc w:val="both"/>
        <w:rPr>
          <w:noProof/>
          <w:sz w:val="23"/>
          <w:szCs w:val="23"/>
          <w:lang w:val="en-IE"/>
        </w:rPr>
      </w:pPr>
    </w:p>
    <w:p w14:paraId="41EC86A7" w14:textId="77777777" w:rsidR="00A612E2" w:rsidRPr="00246CC4" w:rsidRDefault="00A612E2" w:rsidP="00A612E2">
      <w:pPr>
        <w:spacing w:before="120" w:after="120"/>
        <w:jc w:val="both"/>
        <w:rPr>
          <w:rFonts w:eastAsia="Calibri"/>
          <w:b/>
          <w:bCs/>
          <w:noProof/>
        </w:rPr>
      </w:pPr>
      <w:r>
        <w:rPr>
          <w:b/>
          <w:noProof/>
        </w:rPr>
        <w:t>2. JAGU: RAHALINE TOETUS</w:t>
      </w:r>
    </w:p>
    <w:p w14:paraId="29F697CD" w14:textId="77777777" w:rsidR="00A612E2" w:rsidRPr="00246CC4" w:rsidRDefault="00A612E2" w:rsidP="00A612E2">
      <w:pPr>
        <w:pStyle w:val="NumPar1"/>
        <w:numPr>
          <w:ilvl w:val="0"/>
          <w:numId w:val="143"/>
        </w:numPr>
        <w:rPr>
          <w:b/>
          <w:noProof/>
        </w:rPr>
      </w:pPr>
      <w:r>
        <w:rPr>
          <w:b/>
          <w:noProof/>
        </w:rPr>
        <w:t>Rahaline toetus</w:t>
      </w:r>
    </w:p>
    <w:p w14:paraId="742A52DC" w14:textId="77777777" w:rsidR="00A612E2" w:rsidRDefault="00A612E2" w:rsidP="00A612E2">
      <w:pPr>
        <w:spacing w:before="120" w:after="120"/>
        <w:ind w:left="850"/>
        <w:jc w:val="both"/>
        <w:rPr>
          <w:rFonts w:eastAsia="Calibri"/>
          <w:noProof/>
        </w:rPr>
      </w:pPr>
      <w:r>
        <w:rPr>
          <w:noProof/>
        </w:rPr>
        <w:t>Artikli 2 lõikes 2 osutatud osamaksed korraldatakse järgmiselt.</w:t>
      </w:r>
    </w:p>
    <w:p w14:paraId="3CE91C9C" w14:textId="77777777" w:rsidR="00A612E2" w:rsidRPr="00F33804" w:rsidRDefault="00A612E2" w:rsidP="00A612E2">
      <w:pPr>
        <w:spacing w:before="120" w:after="120"/>
        <w:ind w:left="850"/>
        <w:jc w:val="both"/>
        <w:rPr>
          <w:rFonts w:eastAsia="Calibri"/>
          <w:noProof/>
        </w:rPr>
      </w:pPr>
    </w:p>
    <w:p w14:paraId="16B9B564" w14:textId="77777777" w:rsidR="00A612E2" w:rsidRPr="00246CC4" w:rsidRDefault="00A612E2" w:rsidP="00A612E2">
      <w:pPr>
        <w:numPr>
          <w:ilvl w:val="1"/>
          <w:numId w:val="6"/>
        </w:numPr>
        <w:spacing w:before="120" w:after="120"/>
        <w:jc w:val="both"/>
        <w:rPr>
          <w:rFonts w:eastAsia="Calibri"/>
          <w:noProof/>
        </w:rPr>
      </w:pPr>
      <w:r>
        <w:rPr>
          <w:noProof/>
        </w:rPr>
        <w:t>Esimene osamakse (tagastamatu toetus):</w:t>
      </w:r>
    </w:p>
    <w:tbl>
      <w:tblPr>
        <w:tblW w:w="9663" w:type="dxa"/>
        <w:tblInd w:w="113" w:type="dxa"/>
        <w:tblLook w:val="04A0" w:firstRow="1" w:lastRow="0" w:firstColumn="1" w:lastColumn="0" w:noHBand="0" w:noVBand="1"/>
      </w:tblPr>
      <w:tblGrid>
        <w:gridCol w:w="1827"/>
        <w:gridCol w:w="3118"/>
        <w:gridCol w:w="1418"/>
        <w:gridCol w:w="3714"/>
      </w:tblGrid>
      <w:tr w:rsidR="00A612E2" w:rsidRPr="00246CC4" w14:paraId="565C95E7" w14:textId="77777777" w:rsidTr="00742B81">
        <w:trPr>
          <w:trHeight w:val="906"/>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D706D5B" w14:textId="77777777" w:rsidR="00A612E2" w:rsidRPr="00246CC4" w:rsidRDefault="00A612E2" w:rsidP="00742B81">
            <w:pPr>
              <w:jc w:val="center"/>
              <w:rPr>
                <w:b/>
                <w:bCs/>
                <w:noProof/>
                <w:sz w:val="20"/>
                <w:szCs w:val="20"/>
              </w:rPr>
            </w:pPr>
            <w:r>
              <w:rPr>
                <w:b/>
                <w:noProof/>
                <w:sz w:val="20"/>
              </w:rPr>
              <w:t>Järjekorranumber</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D202676" w14:textId="77777777" w:rsidR="00A612E2" w:rsidRPr="003B127D" w:rsidRDefault="00A612E2" w:rsidP="00742B81">
            <w:pPr>
              <w:jc w:val="center"/>
              <w:rPr>
                <w:b/>
                <w:bCs/>
                <w:noProof/>
                <w:sz w:val="20"/>
                <w:szCs w:val="20"/>
              </w:rPr>
            </w:pPr>
            <w:r>
              <w:rPr>
                <w:b/>
                <w:noProof/>
                <w:sz w:val="20"/>
              </w:rPr>
              <w:t>Seotud meede (reform või investeering)</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5702DA6" w14:textId="77777777" w:rsidR="00A612E2" w:rsidRPr="00246CC4" w:rsidRDefault="00A612E2" w:rsidP="00742B81">
            <w:pPr>
              <w:jc w:val="center"/>
              <w:rPr>
                <w:b/>
                <w:bCs/>
                <w:noProof/>
                <w:sz w:val="20"/>
                <w:szCs w:val="20"/>
              </w:rPr>
            </w:pPr>
            <w:r>
              <w:rPr>
                <w:b/>
                <w:noProof/>
                <w:sz w:val="20"/>
              </w:rPr>
              <w:t>Eesmärk / siht</w:t>
            </w:r>
          </w:p>
        </w:tc>
        <w:tc>
          <w:tcPr>
            <w:tcW w:w="371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B93F64C" w14:textId="77777777" w:rsidR="00A612E2" w:rsidRPr="00246CC4" w:rsidRDefault="00A612E2" w:rsidP="00742B81">
            <w:pPr>
              <w:jc w:val="center"/>
              <w:rPr>
                <w:b/>
                <w:bCs/>
                <w:noProof/>
                <w:sz w:val="20"/>
                <w:szCs w:val="20"/>
              </w:rPr>
            </w:pPr>
            <w:r>
              <w:rPr>
                <w:b/>
                <w:noProof/>
                <w:sz w:val="20"/>
              </w:rPr>
              <w:t>Nimi</w:t>
            </w:r>
          </w:p>
        </w:tc>
      </w:tr>
      <w:tr w:rsidR="00A612E2" w:rsidRPr="00246CC4" w14:paraId="40DAFB78" w14:textId="77777777" w:rsidTr="00742B81">
        <w:trPr>
          <w:trHeight w:val="517"/>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8EFA605" w14:textId="77777777" w:rsidR="00A612E2" w:rsidRPr="00246CC4" w:rsidRDefault="00A612E2" w:rsidP="00742B81">
            <w:pPr>
              <w:rPr>
                <w:b/>
                <w:bCs/>
                <w:noProof/>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5CC0E542" w14:textId="77777777" w:rsidR="00A612E2" w:rsidRPr="00246CC4" w:rsidRDefault="00A612E2" w:rsidP="00742B81">
            <w:pPr>
              <w:rPr>
                <w:b/>
                <w:bCs/>
                <w:noProof/>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F27EDD7" w14:textId="77777777" w:rsidR="00A612E2" w:rsidRPr="00246CC4" w:rsidRDefault="00A612E2" w:rsidP="00742B81">
            <w:pPr>
              <w:rPr>
                <w:b/>
                <w:bCs/>
                <w:noProof/>
              </w:rPr>
            </w:pPr>
          </w:p>
        </w:tc>
        <w:tc>
          <w:tcPr>
            <w:tcW w:w="3714" w:type="dxa"/>
            <w:vMerge/>
            <w:tcBorders>
              <w:top w:val="single" w:sz="4" w:space="0" w:color="auto"/>
              <w:left w:val="single" w:sz="4" w:space="0" w:color="auto"/>
              <w:bottom w:val="single" w:sz="4" w:space="0" w:color="auto"/>
              <w:right w:val="single" w:sz="4" w:space="0" w:color="auto"/>
            </w:tcBorders>
            <w:vAlign w:val="center"/>
            <w:hideMark/>
          </w:tcPr>
          <w:p w14:paraId="69DC3B47" w14:textId="77777777" w:rsidR="00A612E2" w:rsidRPr="00246CC4" w:rsidRDefault="00A612E2" w:rsidP="00742B81">
            <w:pPr>
              <w:rPr>
                <w:b/>
                <w:bCs/>
                <w:noProof/>
              </w:rPr>
            </w:pPr>
          </w:p>
        </w:tc>
      </w:tr>
      <w:tr w:rsidR="00A612E2" w:rsidRPr="00D90835" w14:paraId="2503BE75" w14:textId="77777777" w:rsidTr="00742B81">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BEDFAEB" w14:textId="77777777" w:rsidR="00A612E2" w:rsidRPr="00246CC4" w:rsidRDefault="00A612E2" w:rsidP="00742B81">
            <w:pPr>
              <w:jc w:val="center"/>
              <w:rPr>
                <w:noProof/>
                <w:color w:val="006100"/>
                <w:sz w:val="20"/>
                <w:szCs w:val="20"/>
              </w:rPr>
            </w:pPr>
            <w:r>
              <w:rPr>
                <w:noProof/>
                <w:color w:val="006100"/>
                <w:sz w:val="20"/>
              </w:rPr>
              <w:t>M1C1-51</w:t>
            </w:r>
          </w:p>
        </w:tc>
        <w:tc>
          <w:tcPr>
            <w:tcW w:w="3118" w:type="dxa"/>
            <w:tcBorders>
              <w:top w:val="single" w:sz="4" w:space="0" w:color="auto"/>
              <w:left w:val="nil"/>
              <w:bottom w:val="single" w:sz="4" w:space="0" w:color="auto"/>
              <w:right w:val="single" w:sz="4" w:space="0" w:color="auto"/>
            </w:tcBorders>
            <w:shd w:val="clear" w:color="auto" w:fill="C6EFCE"/>
            <w:noWrap/>
            <w:vAlign w:val="center"/>
            <w:hideMark/>
          </w:tcPr>
          <w:p w14:paraId="63BFD86B" w14:textId="77777777" w:rsidR="00A612E2" w:rsidRPr="003B127D" w:rsidRDefault="00A612E2" w:rsidP="00742B81">
            <w:pPr>
              <w:rPr>
                <w:noProof/>
                <w:color w:val="006100"/>
                <w:sz w:val="20"/>
                <w:szCs w:val="20"/>
              </w:rPr>
            </w:pPr>
            <w:r>
              <w:rPr>
                <w:noProof/>
                <w:color w:val="006100"/>
                <w:sz w:val="20"/>
              </w:rPr>
              <w:t>Reform 1.9. Avaliku halduse reform</w:t>
            </w:r>
          </w:p>
        </w:tc>
        <w:tc>
          <w:tcPr>
            <w:tcW w:w="1418" w:type="dxa"/>
            <w:tcBorders>
              <w:top w:val="single" w:sz="4" w:space="0" w:color="auto"/>
              <w:left w:val="nil"/>
              <w:bottom w:val="single" w:sz="4" w:space="0" w:color="auto"/>
              <w:right w:val="single" w:sz="4" w:space="0" w:color="auto"/>
            </w:tcBorders>
            <w:shd w:val="clear" w:color="auto" w:fill="C6EFCE"/>
            <w:noWrap/>
            <w:vAlign w:val="center"/>
            <w:hideMark/>
          </w:tcPr>
          <w:p w14:paraId="51DE72E9" w14:textId="77777777" w:rsidR="00A612E2" w:rsidRPr="00246CC4" w:rsidRDefault="00A612E2" w:rsidP="00742B81">
            <w:pPr>
              <w:rPr>
                <w:noProof/>
                <w:color w:val="006100"/>
                <w:sz w:val="20"/>
                <w:szCs w:val="20"/>
              </w:rPr>
            </w:pPr>
            <w:r>
              <w:rPr>
                <w:noProof/>
                <w:color w:val="006100"/>
                <w:sz w:val="20"/>
              </w:rPr>
              <w:t>Eesmärk</w:t>
            </w:r>
          </w:p>
        </w:tc>
        <w:tc>
          <w:tcPr>
            <w:tcW w:w="3714" w:type="dxa"/>
            <w:tcBorders>
              <w:top w:val="single" w:sz="4" w:space="0" w:color="auto"/>
              <w:left w:val="nil"/>
              <w:bottom w:val="single" w:sz="4" w:space="0" w:color="auto"/>
              <w:right w:val="single" w:sz="4" w:space="0" w:color="auto"/>
            </w:tcBorders>
            <w:shd w:val="clear" w:color="auto" w:fill="C6EFCE"/>
            <w:noWrap/>
            <w:vAlign w:val="center"/>
            <w:hideMark/>
          </w:tcPr>
          <w:p w14:paraId="5DEB4004" w14:textId="77777777" w:rsidR="00A612E2" w:rsidRPr="003B127D" w:rsidRDefault="00A612E2" w:rsidP="00742B81">
            <w:pPr>
              <w:rPr>
                <w:noProof/>
                <w:color w:val="006100"/>
                <w:sz w:val="20"/>
                <w:szCs w:val="20"/>
              </w:rPr>
            </w:pPr>
            <w:r>
              <w:rPr>
                <w:noProof/>
                <w:color w:val="006100"/>
                <w:sz w:val="20"/>
              </w:rPr>
              <w:t>Itaalia taaste- ja vastupidavuskava juhtimist käsitlevate esmaste õigusaktide jõustumine</w:t>
            </w:r>
          </w:p>
        </w:tc>
      </w:tr>
      <w:tr w:rsidR="00A612E2" w:rsidRPr="00D90835" w14:paraId="64F2F67F"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hideMark/>
          </w:tcPr>
          <w:p w14:paraId="1BAE62A7" w14:textId="77777777" w:rsidR="00A612E2" w:rsidRPr="00246CC4" w:rsidRDefault="00A612E2" w:rsidP="00742B81">
            <w:pPr>
              <w:jc w:val="center"/>
              <w:rPr>
                <w:noProof/>
                <w:color w:val="006100"/>
                <w:sz w:val="20"/>
                <w:szCs w:val="20"/>
              </w:rPr>
            </w:pPr>
            <w:r>
              <w:rPr>
                <w:noProof/>
                <w:color w:val="006100"/>
                <w:sz w:val="20"/>
              </w:rPr>
              <w:t>M1C1-52</w:t>
            </w:r>
          </w:p>
        </w:tc>
        <w:tc>
          <w:tcPr>
            <w:tcW w:w="3118" w:type="dxa"/>
            <w:tcBorders>
              <w:top w:val="nil"/>
              <w:left w:val="nil"/>
              <w:bottom w:val="single" w:sz="4" w:space="0" w:color="auto"/>
              <w:right w:val="single" w:sz="4" w:space="0" w:color="auto"/>
            </w:tcBorders>
            <w:shd w:val="clear" w:color="auto" w:fill="C6EFCE"/>
            <w:noWrap/>
            <w:vAlign w:val="center"/>
            <w:hideMark/>
          </w:tcPr>
          <w:p w14:paraId="0C0B5379" w14:textId="77777777" w:rsidR="00A612E2" w:rsidRPr="003B127D" w:rsidRDefault="00A612E2" w:rsidP="00742B81">
            <w:pPr>
              <w:rPr>
                <w:noProof/>
                <w:color w:val="006100"/>
                <w:sz w:val="20"/>
                <w:szCs w:val="20"/>
              </w:rPr>
            </w:pPr>
            <w:r>
              <w:rPr>
                <w:noProof/>
                <w:color w:val="006100"/>
                <w:sz w:val="20"/>
              </w:rPr>
              <w:t>Reform 1.9. Avaliku halduse reform</w:t>
            </w:r>
          </w:p>
        </w:tc>
        <w:tc>
          <w:tcPr>
            <w:tcW w:w="1418" w:type="dxa"/>
            <w:tcBorders>
              <w:top w:val="nil"/>
              <w:left w:val="nil"/>
              <w:bottom w:val="single" w:sz="4" w:space="0" w:color="auto"/>
              <w:right w:val="single" w:sz="4" w:space="0" w:color="auto"/>
            </w:tcBorders>
            <w:shd w:val="clear" w:color="auto" w:fill="C6EFCE"/>
            <w:noWrap/>
            <w:vAlign w:val="center"/>
            <w:hideMark/>
          </w:tcPr>
          <w:p w14:paraId="298E0247" w14:textId="77777777" w:rsidR="00A612E2" w:rsidRPr="00246CC4" w:rsidRDefault="00A612E2" w:rsidP="00742B81">
            <w:pPr>
              <w:rPr>
                <w:noProof/>
                <w:color w:val="006100"/>
                <w:sz w:val="20"/>
                <w:szCs w:val="20"/>
              </w:rPr>
            </w:pPr>
            <w:r>
              <w:rPr>
                <w:noProof/>
                <w:color w:val="006100"/>
                <w:sz w:val="20"/>
              </w:rPr>
              <w:t>Eesmärk</w:t>
            </w:r>
          </w:p>
        </w:tc>
        <w:tc>
          <w:tcPr>
            <w:tcW w:w="3714" w:type="dxa"/>
            <w:tcBorders>
              <w:top w:val="nil"/>
              <w:left w:val="nil"/>
              <w:bottom w:val="single" w:sz="4" w:space="0" w:color="auto"/>
              <w:right w:val="single" w:sz="4" w:space="0" w:color="auto"/>
            </w:tcBorders>
            <w:shd w:val="clear" w:color="auto" w:fill="C6EFCE"/>
            <w:noWrap/>
            <w:vAlign w:val="center"/>
            <w:hideMark/>
          </w:tcPr>
          <w:p w14:paraId="47FA35E9" w14:textId="77777777" w:rsidR="00A612E2" w:rsidRPr="003B127D" w:rsidRDefault="00A612E2" w:rsidP="00742B81">
            <w:pPr>
              <w:rPr>
                <w:noProof/>
                <w:color w:val="006100"/>
                <w:sz w:val="20"/>
                <w:szCs w:val="20"/>
              </w:rPr>
            </w:pPr>
            <w:r>
              <w:rPr>
                <w:noProof/>
                <w:color w:val="006100"/>
                <w:sz w:val="20"/>
              </w:rPr>
              <w:t>Itaalia taaste- ja vastupidavuskava rakendamise haldusmenetluste lihtsustamist käsitlevate esmaste õigusaktide jõustumine.</w:t>
            </w:r>
          </w:p>
        </w:tc>
      </w:tr>
      <w:tr w:rsidR="00A612E2" w:rsidRPr="00D90835" w14:paraId="70C2D39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hideMark/>
          </w:tcPr>
          <w:p w14:paraId="57E75195" w14:textId="77777777" w:rsidR="00A612E2" w:rsidRPr="00246CC4" w:rsidRDefault="00A612E2" w:rsidP="00742B81">
            <w:pPr>
              <w:jc w:val="center"/>
              <w:rPr>
                <w:noProof/>
                <w:color w:val="006100"/>
                <w:sz w:val="20"/>
                <w:szCs w:val="20"/>
              </w:rPr>
            </w:pPr>
            <w:r>
              <w:rPr>
                <w:noProof/>
                <w:color w:val="006100"/>
                <w:sz w:val="20"/>
              </w:rPr>
              <w:t>M1C1-53</w:t>
            </w:r>
          </w:p>
        </w:tc>
        <w:tc>
          <w:tcPr>
            <w:tcW w:w="3118" w:type="dxa"/>
            <w:tcBorders>
              <w:top w:val="nil"/>
              <w:left w:val="nil"/>
              <w:bottom w:val="single" w:sz="4" w:space="0" w:color="auto"/>
              <w:right w:val="single" w:sz="4" w:space="0" w:color="auto"/>
            </w:tcBorders>
            <w:shd w:val="clear" w:color="auto" w:fill="C6EFCE"/>
            <w:noWrap/>
            <w:vAlign w:val="center"/>
            <w:hideMark/>
          </w:tcPr>
          <w:p w14:paraId="6031AD19" w14:textId="77777777" w:rsidR="00A612E2" w:rsidRPr="003B127D" w:rsidRDefault="00A612E2" w:rsidP="00742B81">
            <w:pPr>
              <w:rPr>
                <w:noProof/>
                <w:color w:val="006100"/>
                <w:sz w:val="20"/>
                <w:szCs w:val="20"/>
              </w:rPr>
            </w:pPr>
            <w:r>
              <w:rPr>
                <w:noProof/>
                <w:color w:val="006100"/>
                <w:sz w:val="20"/>
              </w:rPr>
              <w:t>Investeering 1.9. Anda tehnilist abi ja tugevdada suutlikkust Itaalia taaste- ja vastupidavuskava rakendamiseks</w:t>
            </w:r>
          </w:p>
        </w:tc>
        <w:tc>
          <w:tcPr>
            <w:tcW w:w="1418" w:type="dxa"/>
            <w:tcBorders>
              <w:top w:val="nil"/>
              <w:left w:val="nil"/>
              <w:bottom w:val="single" w:sz="4" w:space="0" w:color="auto"/>
              <w:right w:val="single" w:sz="4" w:space="0" w:color="auto"/>
            </w:tcBorders>
            <w:shd w:val="clear" w:color="auto" w:fill="C6EFCE"/>
            <w:noWrap/>
            <w:vAlign w:val="center"/>
            <w:hideMark/>
          </w:tcPr>
          <w:p w14:paraId="6CCA8E77" w14:textId="77777777" w:rsidR="00A612E2" w:rsidRPr="00246CC4" w:rsidRDefault="00A612E2" w:rsidP="00742B81">
            <w:pPr>
              <w:rPr>
                <w:noProof/>
                <w:color w:val="006100"/>
                <w:sz w:val="20"/>
                <w:szCs w:val="20"/>
              </w:rPr>
            </w:pPr>
            <w:r>
              <w:rPr>
                <w:noProof/>
                <w:color w:val="006100"/>
                <w:sz w:val="20"/>
              </w:rPr>
              <w:t>Eesmärk</w:t>
            </w:r>
          </w:p>
        </w:tc>
        <w:tc>
          <w:tcPr>
            <w:tcW w:w="3714" w:type="dxa"/>
            <w:tcBorders>
              <w:top w:val="nil"/>
              <w:left w:val="nil"/>
              <w:bottom w:val="single" w:sz="4" w:space="0" w:color="auto"/>
              <w:right w:val="single" w:sz="4" w:space="0" w:color="auto"/>
            </w:tcBorders>
            <w:shd w:val="clear" w:color="auto" w:fill="C6EFCE"/>
            <w:noWrap/>
            <w:vAlign w:val="center"/>
            <w:hideMark/>
          </w:tcPr>
          <w:p w14:paraId="31C86B22" w14:textId="77777777" w:rsidR="00A612E2" w:rsidRPr="003B127D" w:rsidRDefault="00A612E2" w:rsidP="00742B81">
            <w:pPr>
              <w:rPr>
                <w:noProof/>
                <w:color w:val="006100"/>
                <w:sz w:val="20"/>
                <w:szCs w:val="20"/>
              </w:rPr>
            </w:pPr>
            <w:r>
              <w:rPr>
                <w:noProof/>
                <w:color w:val="006100"/>
                <w:sz w:val="20"/>
              </w:rPr>
              <w:t>Esmase õigusakti jõustumine, et anda tehnilist abi ja tugevdada suutlikkust Itaalia taaste- ja vastupidavuskava rakendamiseks</w:t>
            </w:r>
          </w:p>
        </w:tc>
      </w:tr>
      <w:tr w:rsidR="00A612E2" w:rsidRPr="00D90835" w14:paraId="754D02AB"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D3C1255" w14:textId="77777777" w:rsidR="00A612E2" w:rsidRPr="00246CC4" w:rsidRDefault="00A612E2" w:rsidP="00742B81">
            <w:pPr>
              <w:jc w:val="center"/>
              <w:rPr>
                <w:noProof/>
                <w:color w:val="006100"/>
                <w:sz w:val="20"/>
                <w:szCs w:val="20"/>
              </w:rPr>
            </w:pPr>
            <w:r>
              <w:rPr>
                <w:noProof/>
                <w:color w:val="006100"/>
                <w:sz w:val="20"/>
              </w:rPr>
              <w:t>M1C1-69</w:t>
            </w:r>
          </w:p>
        </w:tc>
        <w:tc>
          <w:tcPr>
            <w:tcW w:w="3118" w:type="dxa"/>
            <w:tcBorders>
              <w:top w:val="nil"/>
              <w:left w:val="nil"/>
              <w:bottom w:val="single" w:sz="4" w:space="0" w:color="auto"/>
              <w:right w:val="single" w:sz="4" w:space="0" w:color="auto"/>
            </w:tcBorders>
            <w:shd w:val="clear" w:color="auto" w:fill="C6EFCE"/>
            <w:noWrap/>
            <w:vAlign w:val="center"/>
          </w:tcPr>
          <w:p w14:paraId="04983600" w14:textId="77777777" w:rsidR="00A612E2" w:rsidRPr="003B127D" w:rsidRDefault="00A612E2" w:rsidP="00742B81">
            <w:pPr>
              <w:rPr>
                <w:noProof/>
                <w:color w:val="006100"/>
                <w:sz w:val="20"/>
                <w:szCs w:val="20"/>
              </w:rPr>
            </w:pPr>
            <w:r>
              <w:rPr>
                <w:noProof/>
                <w:color w:val="006100"/>
                <w:sz w:val="20"/>
              </w:rPr>
              <w:t>Reform 1.10. Riigihangete õigusraamistiku reform</w:t>
            </w:r>
          </w:p>
        </w:tc>
        <w:tc>
          <w:tcPr>
            <w:tcW w:w="1418" w:type="dxa"/>
            <w:tcBorders>
              <w:top w:val="nil"/>
              <w:left w:val="nil"/>
              <w:bottom w:val="single" w:sz="4" w:space="0" w:color="auto"/>
              <w:right w:val="single" w:sz="4" w:space="0" w:color="auto"/>
            </w:tcBorders>
            <w:shd w:val="clear" w:color="auto" w:fill="C6EFCE"/>
            <w:noWrap/>
            <w:vAlign w:val="center"/>
          </w:tcPr>
          <w:p w14:paraId="5E5C5FDC" w14:textId="77777777" w:rsidR="00A612E2" w:rsidRPr="00246CC4" w:rsidRDefault="00A612E2" w:rsidP="00742B81">
            <w:pPr>
              <w:rPr>
                <w:noProof/>
                <w:color w:val="006100"/>
                <w:sz w:val="20"/>
                <w:szCs w:val="20"/>
              </w:rPr>
            </w:pPr>
            <w:r>
              <w:rPr>
                <w:noProof/>
                <w:color w:val="006100"/>
                <w:sz w:val="20"/>
              </w:rPr>
              <w:t>Eesmärk</w:t>
            </w:r>
          </w:p>
        </w:tc>
        <w:tc>
          <w:tcPr>
            <w:tcW w:w="3714" w:type="dxa"/>
            <w:tcBorders>
              <w:top w:val="nil"/>
              <w:left w:val="nil"/>
              <w:bottom w:val="single" w:sz="4" w:space="0" w:color="auto"/>
              <w:right w:val="single" w:sz="4" w:space="0" w:color="auto"/>
            </w:tcBorders>
            <w:shd w:val="clear" w:color="auto" w:fill="C6EFCE"/>
            <w:noWrap/>
            <w:vAlign w:val="center"/>
          </w:tcPr>
          <w:p w14:paraId="18D66E2A" w14:textId="77777777" w:rsidR="00A612E2" w:rsidRPr="003B127D" w:rsidRDefault="00A612E2" w:rsidP="00742B81">
            <w:pPr>
              <w:rPr>
                <w:noProof/>
                <w:color w:val="006100"/>
                <w:sz w:val="20"/>
                <w:szCs w:val="20"/>
              </w:rPr>
            </w:pPr>
            <w:r>
              <w:rPr>
                <w:noProof/>
                <w:color w:val="006100"/>
                <w:sz w:val="20"/>
              </w:rPr>
              <w:t>Riigihankesüsteemi lihtsustamist käsitleva määruse jõustumine</w:t>
            </w:r>
          </w:p>
        </w:tc>
      </w:tr>
      <w:tr w:rsidR="00A612E2" w:rsidRPr="00D90835" w14:paraId="276933A7"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66C49EA" w14:textId="77777777" w:rsidR="00A612E2" w:rsidRPr="00246CC4" w:rsidRDefault="00A612E2" w:rsidP="00742B81">
            <w:pPr>
              <w:jc w:val="center"/>
              <w:rPr>
                <w:noProof/>
                <w:color w:val="006100"/>
                <w:sz w:val="20"/>
                <w:szCs w:val="20"/>
              </w:rPr>
            </w:pPr>
            <w:r>
              <w:rPr>
                <w:noProof/>
                <w:color w:val="006100"/>
                <w:sz w:val="20"/>
              </w:rPr>
              <w:t>M1C1-1</w:t>
            </w:r>
          </w:p>
        </w:tc>
        <w:tc>
          <w:tcPr>
            <w:tcW w:w="3118" w:type="dxa"/>
            <w:tcBorders>
              <w:top w:val="nil"/>
              <w:left w:val="nil"/>
              <w:bottom w:val="single" w:sz="4" w:space="0" w:color="auto"/>
              <w:right w:val="single" w:sz="4" w:space="0" w:color="auto"/>
            </w:tcBorders>
            <w:shd w:val="clear" w:color="auto" w:fill="C6EFCE"/>
            <w:noWrap/>
            <w:vAlign w:val="center"/>
          </w:tcPr>
          <w:p w14:paraId="235C7026" w14:textId="77777777" w:rsidR="00A612E2" w:rsidRPr="00246CC4" w:rsidRDefault="00A612E2" w:rsidP="00742B81">
            <w:pPr>
              <w:rPr>
                <w:noProof/>
                <w:color w:val="006100"/>
                <w:sz w:val="20"/>
                <w:szCs w:val="20"/>
              </w:rPr>
            </w:pPr>
            <w:r>
              <w:rPr>
                <w:noProof/>
                <w:color w:val="006100"/>
                <w:sz w:val="20"/>
              </w:rPr>
              <w:t>Reform 1.1. IKT hanked</w:t>
            </w:r>
          </w:p>
        </w:tc>
        <w:tc>
          <w:tcPr>
            <w:tcW w:w="1418" w:type="dxa"/>
            <w:tcBorders>
              <w:top w:val="nil"/>
              <w:left w:val="nil"/>
              <w:bottom w:val="single" w:sz="4" w:space="0" w:color="auto"/>
              <w:right w:val="single" w:sz="4" w:space="0" w:color="auto"/>
            </w:tcBorders>
            <w:shd w:val="clear" w:color="auto" w:fill="C6EFCE"/>
            <w:noWrap/>
            <w:vAlign w:val="center"/>
          </w:tcPr>
          <w:p w14:paraId="2C4728FD" w14:textId="77777777" w:rsidR="00A612E2" w:rsidRPr="00246CC4" w:rsidRDefault="00A612E2" w:rsidP="00742B81">
            <w:pPr>
              <w:rPr>
                <w:noProof/>
                <w:color w:val="006100"/>
                <w:sz w:val="20"/>
                <w:szCs w:val="20"/>
              </w:rPr>
            </w:pPr>
            <w:r>
              <w:rPr>
                <w:noProof/>
                <w:color w:val="006100"/>
                <w:sz w:val="20"/>
              </w:rPr>
              <w:t>Eesmärk</w:t>
            </w:r>
          </w:p>
        </w:tc>
        <w:tc>
          <w:tcPr>
            <w:tcW w:w="3714" w:type="dxa"/>
            <w:tcBorders>
              <w:top w:val="nil"/>
              <w:left w:val="nil"/>
              <w:bottom w:val="single" w:sz="4" w:space="0" w:color="auto"/>
              <w:right w:val="single" w:sz="4" w:space="0" w:color="auto"/>
            </w:tcBorders>
            <w:shd w:val="clear" w:color="auto" w:fill="C6EFCE"/>
            <w:noWrap/>
            <w:vAlign w:val="center"/>
          </w:tcPr>
          <w:p w14:paraId="40FC3AD1" w14:textId="77777777" w:rsidR="00A612E2" w:rsidRPr="003B127D" w:rsidRDefault="00A612E2" w:rsidP="00742B81">
            <w:pPr>
              <w:rPr>
                <w:noProof/>
                <w:color w:val="006100"/>
                <w:sz w:val="20"/>
                <w:szCs w:val="20"/>
              </w:rPr>
            </w:pPr>
            <w:r>
              <w:rPr>
                <w:noProof/>
                <w:color w:val="006100"/>
                <w:sz w:val="20"/>
              </w:rPr>
              <w:t>Reformi käsitlevate dekreetide 1.1 „IKT hanked“ jõustumine</w:t>
            </w:r>
          </w:p>
        </w:tc>
      </w:tr>
      <w:tr w:rsidR="00A612E2" w:rsidRPr="00D90835" w14:paraId="3470CB17"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9EF4B56" w14:textId="77777777" w:rsidR="00A612E2" w:rsidRPr="00246CC4" w:rsidRDefault="00A612E2" w:rsidP="00742B81">
            <w:pPr>
              <w:jc w:val="center"/>
              <w:rPr>
                <w:noProof/>
                <w:color w:val="006100"/>
                <w:sz w:val="20"/>
                <w:szCs w:val="20"/>
              </w:rPr>
            </w:pPr>
            <w:r>
              <w:rPr>
                <w:noProof/>
                <w:color w:val="006100"/>
                <w:sz w:val="20"/>
              </w:rPr>
              <w:t>M1C1-2</w:t>
            </w:r>
          </w:p>
        </w:tc>
        <w:tc>
          <w:tcPr>
            <w:tcW w:w="3118" w:type="dxa"/>
            <w:tcBorders>
              <w:top w:val="nil"/>
              <w:left w:val="nil"/>
              <w:bottom w:val="single" w:sz="4" w:space="0" w:color="auto"/>
              <w:right w:val="single" w:sz="4" w:space="0" w:color="auto"/>
            </w:tcBorders>
            <w:shd w:val="clear" w:color="auto" w:fill="C6EFCE"/>
            <w:noWrap/>
            <w:vAlign w:val="center"/>
          </w:tcPr>
          <w:p w14:paraId="3C29E887" w14:textId="77777777" w:rsidR="00A612E2" w:rsidRPr="003B127D" w:rsidRDefault="00A612E2" w:rsidP="00742B81">
            <w:pPr>
              <w:rPr>
                <w:noProof/>
                <w:color w:val="006100"/>
                <w:sz w:val="20"/>
                <w:szCs w:val="20"/>
              </w:rPr>
            </w:pPr>
            <w:r>
              <w:rPr>
                <w:noProof/>
                <w:color w:val="006100"/>
                <w:sz w:val="20"/>
              </w:rPr>
              <w:t>Reform 1.3. Pilvandmetöötlus kõigepealt ja koostalitlusvõime</w:t>
            </w:r>
          </w:p>
        </w:tc>
        <w:tc>
          <w:tcPr>
            <w:tcW w:w="1418" w:type="dxa"/>
            <w:tcBorders>
              <w:top w:val="nil"/>
              <w:left w:val="nil"/>
              <w:bottom w:val="single" w:sz="4" w:space="0" w:color="auto"/>
              <w:right w:val="single" w:sz="4" w:space="0" w:color="auto"/>
            </w:tcBorders>
            <w:shd w:val="clear" w:color="auto" w:fill="C6EFCE"/>
            <w:noWrap/>
            <w:vAlign w:val="center"/>
          </w:tcPr>
          <w:p w14:paraId="2ECA450E" w14:textId="77777777" w:rsidR="00A612E2" w:rsidRPr="00246CC4" w:rsidRDefault="00A612E2" w:rsidP="00742B81">
            <w:pPr>
              <w:rPr>
                <w:noProof/>
                <w:color w:val="006100"/>
                <w:sz w:val="20"/>
                <w:szCs w:val="20"/>
              </w:rPr>
            </w:pPr>
            <w:r>
              <w:rPr>
                <w:noProof/>
                <w:color w:val="006100"/>
                <w:sz w:val="20"/>
              </w:rPr>
              <w:t>Eesmärk</w:t>
            </w:r>
          </w:p>
        </w:tc>
        <w:tc>
          <w:tcPr>
            <w:tcW w:w="3714" w:type="dxa"/>
            <w:tcBorders>
              <w:top w:val="nil"/>
              <w:left w:val="nil"/>
              <w:bottom w:val="single" w:sz="4" w:space="0" w:color="auto"/>
              <w:right w:val="single" w:sz="4" w:space="0" w:color="auto"/>
            </w:tcBorders>
            <w:shd w:val="clear" w:color="auto" w:fill="C6EFCE"/>
            <w:noWrap/>
            <w:vAlign w:val="center"/>
          </w:tcPr>
          <w:p w14:paraId="20C804E7" w14:textId="77777777" w:rsidR="00A612E2" w:rsidRPr="003B127D" w:rsidRDefault="00A612E2" w:rsidP="00742B81">
            <w:pPr>
              <w:rPr>
                <w:noProof/>
                <w:color w:val="006100"/>
                <w:sz w:val="20"/>
                <w:szCs w:val="20"/>
              </w:rPr>
            </w:pPr>
            <w:r>
              <w:rPr>
                <w:noProof/>
                <w:color w:val="006100"/>
                <w:sz w:val="20"/>
              </w:rPr>
              <w:t>Reformi käsitlevate dekreetide 1.3 „Pilvandmetöötluse ja koostalitlusvõime“ jõustumine</w:t>
            </w:r>
          </w:p>
        </w:tc>
      </w:tr>
      <w:tr w:rsidR="00A612E2" w:rsidRPr="00D90835" w14:paraId="08BABC67"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62BFB88" w14:textId="77777777" w:rsidR="00A612E2" w:rsidRPr="00246CC4" w:rsidRDefault="00A612E2" w:rsidP="00742B81">
            <w:pPr>
              <w:jc w:val="center"/>
              <w:rPr>
                <w:noProof/>
                <w:color w:val="006100"/>
                <w:sz w:val="20"/>
                <w:szCs w:val="20"/>
              </w:rPr>
            </w:pPr>
            <w:r>
              <w:rPr>
                <w:noProof/>
                <w:color w:val="006100"/>
                <w:sz w:val="20"/>
              </w:rPr>
              <w:t>M1C1-29</w:t>
            </w:r>
          </w:p>
        </w:tc>
        <w:tc>
          <w:tcPr>
            <w:tcW w:w="3118" w:type="dxa"/>
            <w:tcBorders>
              <w:top w:val="nil"/>
              <w:left w:val="nil"/>
              <w:bottom w:val="single" w:sz="4" w:space="0" w:color="auto"/>
              <w:right w:val="single" w:sz="4" w:space="0" w:color="auto"/>
            </w:tcBorders>
            <w:shd w:val="clear" w:color="auto" w:fill="C6EFCE"/>
            <w:noWrap/>
            <w:vAlign w:val="center"/>
          </w:tcPr>
          <w:p w14:paraId="405D89DE" w14:textId="77777777" w:rsidR="00A612E2" w:rsidRPr="003B127D" w:rsidRDefault="00A612E2" w:rsidP="00742B81">
            <w:pPr>
              <w:rPr>
                <w:noProof/>
                <w:color w:val="006100"/>
                <w:sz w:val="20"/>
                <w:szCs w:val="20"/>
              </w:rPr>
            </w:pPr>
            <w:r>
              <w:rPr>
                <w:noProof/>
                <w:color w:val="006100"/>
                <w:sz w:val="20"/>
              </w:rPr>
              <w:t>Reform 1.4. Tsiviilõiguse reform</w:t>
            </w:r>
          </w:p>
        </w:tc>
        <w:tc>
          <w:tcPr>
            <w:tcW w:w="1418" w:type="dxa"/>
            <w:tcBorders>
              <w:top w:val="nil"/>
              <w:left w:val="nil"/>
              <w:bottom w:val="single" w:sz="4" w:space="0" w:color="auto"/>
              <w:right w:val="single" w:sz="4" w:space="0" w:color="auto"/>
            </w:tcBorders>
            <w:shd w:val="clear" w:color="auto" w:fill="C6EFCE"/>
            <w:noWrap/>
            <w:vAlign w:val="center"/>
          </w:tcPr>
          <w:p w14:paraId="5F7ECDFB" w14:textId="77777777" w:rsidR="00A612E2" w:rsidRPr="00246CC4" w:rsidRDefault="00A612E2" w:rsidP="00742B81">
            <w:pPr>
              <w:rPr>
                <w:noProof/>
                <w:color w:val="006100"/>
                <w:sz w:val="20"/>
                <w:szCs w:val="20"/>
              </w:rPr>
            </w:pPr>
            <w:r>
              <w:rPr>
                <w:noProof/>
                <w:color w:val="006100"/>
                <w:sz w:val="20"/>
              </w:rPr>
              <w:t>Eesmärk</w:t>
            </w:r>
          </w:p>
        </w:tc>
        <w:tc>
          <w:tcPr>
            <w:tcW w:w="3714" w:type="dxa"/>
            <w:tcBorders>
              <w:top w:val="nil"/>
              <w:left w:val="nil"/>
              <w:bottom w:val="single" w:sz="4" w:space="0" w:color="auto"/>
              <w:right w:val="single" w:sz="4" w:space="0" w:color="auto"/>
            </w:tcBorders>
            <w:shd w:val="clear" w:color="auto" w:fill="C6EFCE"/>
            <w:noWrap/>
            <w:vAlign w:val="center"/>
          </w:tcPr>
          <w:p w14:paraId="1EB10933" w14:textId="77777777" w:rsidR="00A612E2" w:rsidRPr="003B127D" w:rsidRDefault="00A612E2" w:rsidP="00742B81">
            <w:pPr>
              <w:rPr>
                <w:noProof/>
                <w:color w:val="006100"/>
                <w:sz w:val="20"/>
                <w:szCs w:val="20"/>
              </w:rPr>
            </w:pPr>
            <w:r>
              <w:rPr>
                <w:noProof/>
                <w:color w:val="006100"/>
                <w:sz w:val="20"/>
              </w:rPr>
              <w:t>Tsiviilõiguse reformi võimaldavate õigusaktide jõustumine</w:t>
            </w:r>
          </w:p>
        </w:tc>
      </w:tr>
      <w:tr w:rsidR="00A612E2" w:rsidRPr="00D90835" w14:paraId="74798CBA"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EDA6AD8" w14:textId="77777777" w:rsidR="00A612E2" w:rsidRPr="00246CC4" w:rsidRDefault="00A612E2" w:rsidP="00742B81">
            <w:pPr>
              <w:jc w:val="center"/>
              <w:rPr>
                <w:noProof/>
                <w:color w:val="006100"/>
                <w:sz w:val="20"/>
                <w:szCs w:val="20"/>
              </w:rPr>
            </w:pPr>
            <w:r>
              <w:rPr>
                <w:noProof/>
                <w:color w:val="006100"/>
                <w:sz w:val="20"/>
              </w:rPr>
              <w:t>M1C1-30</w:t>
            </w:r>
          </w:p>
        </w:tc>
        <w:tc>
          <w:tcPr>
            <w:tcW w:w="3118" w:type="dxa"/>
            <w:tcBorders>
              <w:top w:val="nil"/>
              <w:left w:val="nil"/>
              <w:bottom w:val="single" w:sz="4" w:space="0" w:color="auto"/>
              <w:right w:val="single" w:sz="4" w:space="0" w:color="auto"/>
            </w:tcBorders>
            <w:shd w:val="clear" w:color="auto" w:fill="C6EFCE"/>
            <w:noWrap/>
            <w:vAlign w:val="center"/>
          </w:tcPr>
          <w:p w14:paraId="1C41DFD9" w14:textId="77777777" w:rsidR="00A612E2" w:rsidRPr="003B127D" w:rsidRDefault="00A612E2" w:rsidP="00742B81">
            <w:pPr>
              <w:rPr>
                <w:noProof/>
                <w:color w:val="006100"/>
                <w:sz w:val="20"/>
                <w:szCs w:val="20"/>
              </w:rPr>
            </w:pPr>
            <w:r>
              <w:rPr>
                <w:noProof/>
                <w:color w:val="006100"/>
                <w:sz w:val="20"/>
              </w:rPr>
              <w:t>Reform 1.5. Kriminaalõiguse reform</w:t>
            </w:r>
          </w:p>
        </w:tc>
        <w:tc>
          <w:tcPr>
            <w:tcW w:w="1418" w:type="dxa"/>
            <w:tcBorders>
              <w:top w:val="nil"/>
              <w:left w:val="nil"/>
              <w:bottom w:val="single" w:sz="4" w:space="0" w:color="auto"/>
              <w:right w:val="single" w:sz="4" w:space="0" w:color="auto"/>
            </w:tcBorders>
            <w:shd w:val="clear" w:color="auto" w:fill="C6EFCE"/>
            <w:noWrap/>
            <w:vAlign w:val="center"/>
          </w:tcPr>
          <w:p w14:paraId="26355995" w14:textId="77777777" w:rsidR="00A612E2" w:rsidRPr="00246CC4" w:rsidRDefault="00A612E2" w:rsidP="00742B81">
            <w:pPr>
              <w:rPr>
                <w:noProof/>
                <w:color w:val="006100"/>
                <w:sz w:val="20"/>
                <w:szCs w:val="20"/>
              </w:rPr>
            </w:pPr>
            <w:r>
              <w:rPr>
                <w:noProof/>
                <w:color w:val="006100"/>
                <w:sz w:val="20"/>
              </w:rPr>
              <w:t>Eesmärk</w:t>
            </w:r>
          </w:p>
        </w:tc>
        <w:tc>
          <w:tcPr>
            <w:tcW w:w="3714" w:type="dxa"/>
            <w:tcBorders>
              <w:top w:val="nil"/>
              <w:left w:val="nil"/>
              <w:bottom w:val="single" w:sz="4" w:space="0" w:color="auto"/>
              <w:right w:val="single" w:sz="4" w:space="0" w:color="auto"/>
            </w:tcBorders>
            <w:shd w:val="clear" w:color="auto" w:fill="C6EFCE"/>
            <w:noWrap/>
            <w:vAlign w:val="center"/>
          </w:tcPr>
          <w:p w14:paraId="67BA631F" w14:textId="77777777" w:rsidR="00A612E2" w:rsidRPr="003B127D" w:rsidRDefault="00A612E2" w:rsidP="00742B81">
            <w:pPr>
              <w:rPr>
                <w:noProof/>
                <w:color w:val="006100"/>
                <w:sz w:val="20"/>
                <w:szCs w:val="20"/>
              </w:rPr>
            </w:pPr>
            <w:r>
              <w:rPr>
                <w:noProof/>
                <w:color w:val="006100"/>
                <w:sz w:val="20"/>
              </w:rPr>
              <w:t>Kriminaalõigusreformi võimaldavate õigusaktide jõustumine</w:t>
            </w:r>
          </w:p>
        </w:tc>
      </w:tr>
      <w:tr w:rsidR="00A612E2" w:rsidRPr="00D90835" w14:paraId="1B1EBADD"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618AE0F" w14:textId="77777777" w:rsidR="00A612E2" w:rsidRPr="00246CC4" w:rsidRDefault="00A612E2" w:rsidP="00742B81">
            <w:pPr>
              <w:jc w:val="center"/>
              <w:rPr>
                <w:noProof/>
                <w:color w:val="006100"/>
                <w:sz w:val="20"/>
                <w:szCs w:val="20"/>
              </w:rPr>
            </w:pPr>
            <w:r>
              <w:rPr>
                <w:noProof/>
                <w:color w:val="006100"/>
                <w:sz w:val="20"/>
              </w:rPr>
              <w:t>M1C1-31</w:t>
            </w:r>
          </w:p>
        </w:tc>
        <w:tc>
          <w:tcPr>
            <w:tcW w:w="3118" w:type="dxa"/>
            <w:tcBorders>
              <w:top w:val="nil"/>
              <w:left w:val="nil"/>
              <w:bottom w:val="single" w:sz="4" w:space="0" w:color="auto"/>
              <w:right w:val="single" w:sz="4" w:space="0" w:color="auto"/>
            </w:tcBorders>
            <w:shd w:val="clear" w:color="auto" w:fill="C6EFCE"/>
            <w:noWrap/>
            <w:vAlign w:val="center"/>
          </w:tcPr>
          <w:p w14:paraId="2BDA6445" w14:textId="77777777" w:rsidR="00A612E2" w:rsidRPr="003B127D" w:rsidRDefault="00A612E2" w:rsidP="00742B81">
            <w:pPr>
              <w:rPr>
                <w:noProof/>
                <w:color w:val="006100"/>
                <w:sz w:val="20"/>
                <w:szCs w:val="20"/>
              </w:rPr>
            </w:pPr>
            <w:r>
              <w:rPr>
                <w:noProof/>
                <w:color w:val="006100"/>
                <w:sz w:val="20"/>
              </w:rPr>
              <w:t>Reform 1.6. Maksejõuetusraamistiku reform</w:t>
            </w:r>
          </w:p>
        </w:tc>
        <w:tc>
          <w:tcPr>
            <w:tcW w:w="1418" w:type="dxa"/>
            <w:tcBorders>
              <w:top w:val="nil"/>
              <w:left w:val="nil"/>
              <w:bottom w:val="single" w:sz="4" w:space="0" w:color="auto"/>
              <w:right w:val="single" w:sz="4" w:space="0" w:color="auto"/>
            </w:tcBorders>
            <w:shd w:val="clear" w:color="auto" w:fill="C6EFCE"/>
            <w:noWrap/>
            <w:vAlign w:val="center"/>
          </w:tcPr>
          <w:p w14:paraId="7445776A" w14:textId="77777777" w:rsidR="00A612E2" w:rsidRPr="00246CC4" w:rsidRDefault="00A612E2" w:rsidP="00742B81">
            <w:pPr>
              <w:rPr>
                <w:noProof/>
                <w:color w:val="006100"/>
                <w:sz w:val="20"/>
                <w:szCs w:val="20"/>
              </w:rPr>
            </w:pPr>
            <w:r>
              <w:rPr>
                <w:noProof/>
                <w:color w:val="006100"/>
                <w:sz w:val="20"/>
              </w:rPr>
              <w:t>Eesmärk</w:t>
            </w:r>
          </w:p>
        </w:tc>
        <w:tc>
          <w:tcPr>
            <w:tcW w:w="3714" w:type="dxa"/>
            <w:tcBorders>
              <w:top w:val="nil"/>
              <w:left w:val="nil"/>
              <w:bottom w:val="single" w:sz="4" w:space="0" w:color="auto"/>
              <w:right w:val="single" w:sz="4" w:space="0" w:color="auto"/>
            </w:tcBorders>
            <w:shd w:val="clear" w:color="auto" w:fill="C6EFCE"/>
            <w:noWrap/>
            <w:vAlign w:val="center"/>
          </w:tcPr>
          <w:p w14:paraId="2803213C" w14:textId="77777777" w:rsidR="00A612E2" w:rsidRPr="003B127D" w:rsidRDefault="00A612E2" w:rsidP="00742B81">
            <w:pPr>
              <w:rPr>
                <w:noProof/>
                <w:color w:val="006100"/>
                <w:sz w:val="20"/>
                <w:szCs w:val="20"/>
              </w:rPr>
            </w:pPr>
            <w:r>
              <w:rPr>
                <w:noProof/>
                <w:color w:val="006100"/>
                <w:sz w:val="20"/>
              </w:rPr>
              <w:t>Maksejõuetusreformi raamistikku võimaldavate õigusaktide jõustumine</w:t>
            </w:r>
          </w:p>
        </w:tc>
      </w:tr>
      <w:tr w:rsidR="00A612E2" w:rsidRPr="00D90835" w14:paraId="3D6E9C2B"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4F36F61" w14:textId="77777777" w:rsidR="00A612E2" w:rsidRPr="00246CC4" w:rsidRDefault="00A612E2" w:rsidP="00742B81">
            <w:pPr>
              <w:jc w:val="center"/>
              <w:rPr>
                <w:noProof/>
                <w:color w:val="006100"/>
                <w:sz w:val="20"/>
                <w:szCs w:val="20"/>
              </w:rPr>
            </w:pPr>
            <w:r>
              <w:rPr>
                <w:noProof/>
                <w:color w:val="006100"/>
                <w:sz w:val="20"/>
              </w:rPr>
              <w:t>M1C1-32</w:t>
            </w:r>
          </w:p>
        </w:tc>
        <w:tc>
          <w:tcPr>
            <w:tcW w:w="3118" w:type="dxa"/>
            <w:tcBorders>
              <w:top w:val="nil"/>
              <w:left w:val="nil"/>
              <w:bottom w:val="single" w:sz="4" w:space="0" w:color="auto"/>
              <w:right w:val="single" w:sz="4" w:space="0" w:color="auto"/>
            </w:tcBorders>
            <w:shd w:val="clear" w:color="auto" w:fill="C6EFCE"/>
            <w:noWrap/>
            <w:vAlign w:val="center"/>
          </w:tcPr>
          <w:p w14:paraId="0A048D78" w14:textId="77777777" w:rsidR="00A612E2" w:rsidRPr="003B127D" w:rsidRDefault="00A612E2" w:rsidP="00742B81">
            <w:pPr>
              <w:rPr>
                <w:noProof/>
                <w:color w:val="006100"/>
                <w:sz w:val="20"/>
                <w:szCs w:val="20"/>
              </w:rPr>
            </w:pPr>
            <w:r>
              <w:rPr>
                <w:noProof/>
                <w:color w:val="006100"/>
                <w:sz w:val="20"/>
              </w:rPr>
              <w:t>Investeering 1.8. Tsiviil-, kriminaal- ja halduskohtute värbamismenetlused</w:t>
            </w:r>
          </w:p>
        </w:tc>
        <w:tc>
          <w:tcPr>
            <w:tcW w:w="1418" w:type="dxa"/>
            <w:tcBorders>
              <w:top w:val="nil"/>
              <w:left w:val="nil"/>
              <w:bottom w:val="single" w:sz="4" w:space="0" w:color="auto"/>
              <w:right w:val="single" w:sz="4" w:space="0" w:color="auto"/>
            </w:tcBorders>
            <w:shd w:val="clear" w:color="auto" w:fill="C6EFCE"/>
            <w:noWrap/>
            <w:vAlign w:val="center"/>
          </w:tcPr>
          <w:p w14:paraId="6BB3F508" w14:textId="77777777" w:rsidR="00A612E2" w:rsidRPr="00246CC4" w:rsidRDefault="00A612E2" w:rsidP="00742B81">
            <w:pPr>
              <w:rPr>
                <w:noProof/>
                <w:color w:val="006100"/>
                <w:sz w:val="20"/>
                <w:szCs w:val="20"/>
              </w:rPr>
            </w:pPr>
            <w:r>
              <w:rPr>
                <w:noProof/>
                <w:color w:val="006100"/>
                <w:sz w:val="20"/>
              </w:rPr>
              <w:t>Eesmärk</w:t>
            </w:r>
          </w:p>
        </w:tc>
        <w:tc>
          <w:tcPr>
            <w:tcW w:w="3714" w:type="dxa"/>
            <w:tcBorders>
              <w:top w:val="nil"/>
              <w:left w:val="nil"/>
              <w:bottom w:val="single" w:sz="4" w:space="0" w:color="auto"/>
              <w:right w:val="single" w:sz="4" w:space="0" w:color="auto"/>
            </w:tcBorders>
            <w:shd w:val="clear" w:color="auto" w:fill="C6EFCE"/>
            <w:noWrap/>
            <w:vAlign w:val="center"/>
          </w:tcPr>
          <w:p w14:paraId="71CC15D6" w14:textId="77777777" w:rsidR="00A612E2" w:rsidRPr="003B127D" w:rsidRDefault="00A612E2" w:rsidP="00742B81">
            <w:pPr>
              <w:rPr>
                <w:noProof/>
                <w:color w:val="006100"/>
                <w:sz w:val="20"/>
                <w:szCs w:val="20"/>
              </w:rPr>
            </w:pPr>
            <w:r>
              <w:rPr>
                <w:noProof/>
                <w:color w:val="006100"/>
                <w:sz w:val="20"/>
              </w:rPr>
              <w:t>Riikliku taaste- ja vastupidavuskava värbamist reguleerivate eriõigusaktide jõustumine</w:t>
            </w:r>
          </w:p>
        </w:tc>
      </w:tr>
      <w:tr w:rsidR="00A612E2" w:rsidRPr="00D90835" w14:paraId="27EEBADB"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769E6FA" w14:textId="77777777" w:rsidR="00A612E2" w:rsidRPr="00246CC4" w:rsidRDefault="00A612E2" w:rsidP="00742B81">
            <w:pPr>
              <w:jc w:val="center"/>
              <w:rPr>
                <w:noProof/>
                <w:color w:val="006100"/>
                <w:sz w:val="20"/>
                <w:szCs w:val="20"/>
              </w:rPr>
            </w:pPr>
            <w:r>
              <w:rPr>
                <w:noProof/>
                <w:color w:val="006100"/>
                <w:sz w:val="20"/>
              </w:rPr>
              <w:t>M1C1-54</w:t>
            </w:r>
          </w:p>
        </w:tc>
        <w:tc>
          <w:tcPr>
            <w:tcW w:w="3118" w:type="dxa"/>
            <w:tcBorders>
              <w:top w:val="nil"/>
              <w:left w:val="nil"/>
              <w:bottom w:val="single" w:sz="4" w:space="0" w:color="auto"/>
              <w:right w:val="single" w:sz="4" w:space="0" w:color="auto"/>
            </w:tcBorders>
            <w:shd w:val="clear" w:color="auto" w:fill="C6EFCE"/>
            <w:noWrap/>
            <w:vAlign w:val="center"/>
          </w:tcPr>
          <w:p w14:paraId="14CED7FE" w14:textId="77777777" w:rsidR="00A612E2" w:rsidRPr="003B127D" w:rsidRDefault="00A612E2" w:rsidP="00742B81">
            <w:pPr>
              <w:rPr>
                <w:noProof/>
                <w:color w:val="006100"/>
                <w:sz w:val="20"/>
                <w:szCs w:val="20"/>
              </w:rPr>
            </w:pPr>
            <w:r>
              <w:rPr>
                <w:noProof/>
                <w:color w:val="006100"/>
                <w:sz w:val="20"/>
              </w:rPr>
              <w:t>Investeering 1.9. Anda tehnilist abi ja tugevdada suutlikkust Itaalia taaste- ja vastupidavuskava rakendamiseks</w:t>
            </w:r>
          </w:p>
        </w:tc>
        <w:tc>
          <w:tcPr>
            <w:tcW w:w="1418" w:type="dxa"/>
            <w:tcBorders>
              <w:top w:val="nil"/>
              <w:left w:val="nil"/>
              <w:bottom w:val="single" w:sz="4" w:space="0" w:color="auto"/>
              <w:right w:val="single" w:sz="4" w:space="0" w:color="auto"/>
            </w:tcBorders>
            <w:shd w:val="clear" w:color="auto" w:fill="C6EFCE"/>
            <w:noWrap/>
            <w:vAlign w:val="center"/>
          </w:tcPr>
          <w:p w14:paraId="5E40F693" w14:textId="77777777" w:rsidR="00A612E2" w:rsidRPr="00246CC4" w:rsidRDefault="00A612E2" w:rsidP="00742B81">
            <w:pPr>
              <w:rPr>
                <w:noProof/>
                <w:color w:val="006100"/>
                <w:sz w:val="20"/>
                <w:szCs w:val="20"/>
              </w:rPr>
            </w:pPr>
            <w:r>
              <w:rPr>
                <w:noProof/>
                <w:color w:val="006100"/>
                <w:sz w:val="20"/>
              </w:rPr>
              <w:t>Siht</w:t>
            </w:r>
          </w:p>
        </w:tc>
        <w:tc>
          <w:tcPr>
            <w:tcW w:w="3714" w:type="dxa"/>
            <w:tcBorders>
              <w:top w:val="nil"/>
              <w:left w:val="nil"/>
              <w:bottom w:val="single" w:sz="4" w:space="0" w:color="auto"/>
              <w:right w:val="single" w:sz="4" w:space="0" w:color="auto"/>
            </w:tcBorders>
            <w:shd w:val="clear" w:color="auto" w:fill="C6EFCE"/>
            <w:noWrap/>
            <w:vAlign w:val="center"/>
          </w:tcPr>
          <w:p w14:paraId="7D40544B" w14:textId="77777777" w:rsidR="00A612E2" w:rsidRPr="003B127D" w:rsidRDefault="00A612E2" w:rsidP="00742B81">
            <w:pPr>
              <w:rPr>
                <w:noProof/>
                <w:color w:val="006100"/>
                <w:sz w:val="20"/>
                <w:szCs w:val="20"/>
              </w:rPr>
            </w:pPr>
            <w:r>
              <w:rPr>
                <w:noProof/>
                <w:color w:val="006100"/>
                <w:sz w:val="20"/>
              </w:rPr>
              <w:t>Lõpule viidud ekspertide värbamine Itaalia taaste- ja vastupidavuskava rakendamiseks</w:t>
            </w:r>
          </w:p>
        </w:tc>
      </w:tr>
      <w:tr w:rsidR="00A612E2" w:rsidRPr="00D90835" w14:paraId="7E195811"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C8335E9" w14:textId="77777777" w:rsidR="00A612E2" w:rsidRPr="00246CC4" w:rsidRDefault="00A612E2" w:rsidP="00742B81">
            <w:pPr>
              <w:jc w:val="center"/>
              <w:rPr>
                <w:noProof/>
                <w:color w:val="006100"/>
                <w:sz w:val="20"/>
                <w:szCs w:val="20"/>
              </w:rPr>
            </w:pPr>
            <w:r>
              <w:rPr>
                <w:noProof/>
                <w:color w:val="006100"/>
                <w:sz w:val="20"/>
              </w:rPr>
              <w:t>M1C1-55</w:t>
            </w:r>
          </w:p>
        </w:tc>
        <w:tc>
          <w:tcPr>
            <w:tcW w:w="3118" w:type="dxa"/>
            <w:tcBorders>
              <w:top w:val="nil"/>
              <w:left w:val="nil"/>
              <w:bottom w:val="single" w:sz="4" w:space="0" w:color="auto"/>
              <w:right w:val="single" w:sz="4" w:space="0" w:color="auto"/>
            </w:tcBorders>
            <w:shd w:val="clear" w:color="auto" w:fill="C6EFCE"/>
            <w:noWrap/>
            <w:vAlign w:val="center"/>
          </w:tcPr>
          <w:p w14:paraId="20B7D0A9" w14:textId="77777777" w:rsidR="00A612E2" w:rsidRPr="003B127D" w:rsidRDefault="00A612E2" w:rsidP="00742B81">
            <w:pPr>
              <w:rPr>
                <w:noProof/>
                <w:color w:val="006100"/>
                <w:sz w:val="20"/>
                <w:szCs w:val="20"/>
              </w:rPr>
            </w:pPr>
            <w:r>
              <w:rPr>
                <w:noProof/>
                <w:color w:val="006100"/>
                <w:sz w:val="20"/>
              </w:rPr>
              <w:t>Reform 1.9. Avaliku halduse reform</w:t>
            </w:r>
          </w:p>
        </w:tc>
        <w:tc>
          <w:tcPr>
            <w:tcW w:w="1418" w:type="dxa"/>
            <w:tcBorders>
              <w:top w:val="nil"/>
              <w:left w:val="nil"/>
              <w:bottom w:val="single" w:sz="4" w:space="0" w:color="auto"/>
              <w:right w:val="single" w:sz="4" w:space="0" w:color="auto"/>
            </w:tcBorders>
            <w:shd w:val="clear" w:color="auto" w:fill="C6EFCE"/>
            <w:noWrap/>
            <w:vAlign w:val="center"/>
          </w:tcPr>
          <w:p w14:paraId="46CCB2E5" w14:textId="77777777" w:rsidR="00A612E2" w:rsidRPr="00246CC4" w:rsidRDefault="00A612E2" w:rsidP="00742B81">
            <w:pPr>
              <w:rPr>
                <w:noProof/>
                <w:color w:val="006100"/>
                <w:sz w:val="20"/>
                <w:szCs w:val="20"/>
              </w:rPr>
            </w:pPr>
            <w:r>
              <w:rPr>
                <w:noProof/>
                <w:color w:val="006100"/>
                <w:sz w:val="20"/>
              </w:rPr>
              <w:t>Eesmärk</w:t>
            </w:r>
          </w:p>
        </w:tc>
        <w:tc>
          <w:tcPr>
            <w:tcW w:w="3714" w:type="dxa"/>
            <w:tcBorders>
              <w:top w:val="nil"/>
              <w:left w:val="nil"/>
              <w:bottom w:val="single" w:sz="4" w:space="0" w:color="auto"/>
              <w:right w:val="single" w:sz="4" w:space="0" w:color="auto"/>
            </w:tcBorders>
            <w:shd w:val="clear" w:color="auto" w:fill="C6EFCE"/>
            <w:noWrap/>
            <w:vAlign w:val="center"/>
          </w:tcPr>
          <w:p w14:paraId="35F7CA51" w14:textId="77777777" w:rsidR="00A612E2" w:rsidRPr="003B127D" w:rsidRDefault="00A612E2" w:rsidP="00742B81">
            <w:pPr>
              <w:rPr>
                <w:noProof/>
                <w:color w:val="006100"/>
                <w:sz w:val="20"/>
                <w:szCs w:val="20"/>
              </w:rPr>
            </w:pPr>
            <w:r>
              <w:rPr>
                <w:noProof/>
                <w:color w:val="006100"/>
                <w:sz w:val="20"/>
              </w:rPr>
              <w:t>Itaalia taaste- ja vastupidavuskava suhtes kohaldatava metoodika laiendamine riigieelarvele, et suurendada investeeringute kasutamist</w:t>
            </w:r>
          </w:p>
        </w:tc>
      </w:tr>
      <w:tr w:rsidR="00A612E2" w:rsidRPr="00D90835" w14:paraId="2146A059"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D5491CB" w14:textId="77777777" w:rsidR="00A612E2" w:rsidRPr="00246CC4" w:rsidRDefault="00A612E2" w:rsidP="00742B81">
            <w:pPr>
              <w:jc w:val="center"/>
              <w:rPr>
                <w:noProof/>
                <w:color w:val="006100"/>
                <w:sz w:val="20"/>
                <w:szCs w:val="20"/>
              </w:rPr>
            </w:pPr>
            <w:r>
              <w:rPr>
                <w:noProof/>
                <w:color w:val="006100"/>
                <w:sz w:val="20"/>
              </w:rPr>
              <w:t>M1C1-68</w:t>
            </w:r>
          </w:p>
        </w:tc>
        <w:tc>
          <w:tcPr>
            <w:tcW w:w="3118" w:type="dxa"/>
            <w:tcBorders>
              <w:top w:val="nil"/>
              <w:left w:val="nil"/>
              <w:bottom w:val="single" w:sz="4" w:space="0" w:color="auto"/>
              <w:right w:val="single" w:sz="4" w:space="0" w:color="auto"/>
            </w:tcBorders>
            <w:shd w:val="clear" w:color="auto" w:fill="C6EFCE"/>
            <w:noWrap/>
            <w:vAlign w:val="center"/>
          </w:tcPr>
          <w:p w14:paraId="2069D7EA" w14:textId="77777777" w:rsidR="00A612E2" w:rsidRPr="003B127D" w:rsidRDefault="00A612E2" w:rsidP="00742B81">
            <w:pPr>
              <w:rPr>
                <w:noProof/>
                <w:color w:val="006100"/>
                <w:sz w:val="20"/>
                <w:szCs w:val="20"/>
              </w:rPr>
            </w:pPr>
            <w:r>
              <w:rPr>
                <w:noProof/>
                <w:color w:val="006100"/>
                <w:sz w:val="20"/>
              </w:rPr>
              <w:t>Reform 1.9. Avaliku halduse reform</w:t>
            </w:r>
          </w:p>
        </w:tc>
        <w:tc>
          <w:tcPr>
            <w:tcW w:w="1418" w:type="dxa"/>
            <w:tcBorders>
              <w:top w:val="nil"/>
              <w:left w:val="nil"/>
              <w:bottom w:val="single" w:sz="4" w:space="0" w:color="auto"/>
              <w:right w:val="single" w:sz="4" w:space="0" w:color="auto"/>
            </w:tcBorders>
            <w:shd w:val="clear" w:color="auto" w:fill="C6EFCE"/>
            <w:noWrap/>
            <w:vAlign w:val="center"/>
          </w:tcPr>
          <w:p w14:paraId="178CE435" w14:textId="77777777" w:rsidR="00A612E2" w:rsidRPr="00246CC4" w:rsidRDefault="00A612E2" w:rsidP="00742B81">
            <w:pPr>
              <w:rPr>
                <w:noProof/>
                <w:color w:val="006100"/>
                <w:sz w:val="20"/>
                <w:szCs w:val="20"/>
              </w:rPr>
            </w:pPr>
            <w:r>
              <w:rPr>
                <w:noProof/>
                <w:color w:val="006100"/>
                <w:sz w:val="20"/>
              </w:rPr>
              <w:t>Eesmärk</w:t>
            </w:r>
          </w:p>
        </w:tc>
        <w:tc>
          <w:tcPr>
            <w:tcW w:w="3714" w:type="dxa"/>
            <w:tcBorders>
              <w:top w:val="nil"/>
              <w:left w:val="nil"/>
              <w:bottom w:val="single" w:sz="4" w:space="0" w:color="auto"/>
              <w:right w:val="single" w:sz="4" w:space="0" w:color="auto"/>
            </w:tcBorders>
            <w:shd w:val="clear" w:color="auto" w:fill="C6EFCE"/>
            <w:noWrap/>
            <w:vAlign w:val="center"/>
          </w:tcPr>
          <w:p w14:paraId="131B8193" w14:textId="77777777" w:rsidR="00A612E2" w:rsidRPr="003B127D" w:rsidRDefault="00A612E2" w:rsidP="00742B81">
            <w:pPr>
              <w:rPr>
                <w:noProof/>
                <w:color w:val="006100"/>
                <w:sz w:val="20"/>
                <w:szCs w:val="20"/>
              </w:rPr>
            </w:pPr>
            <w:r>
              <w:rPr>
                <w:noProof/>
                <w:color w:val="006100"/>
                <w:sz w:val="20"/>
              </w:rPr>
              <w:t>Auditi ja kontrolli andmekogude süsteem: Taaste- ja vastupidavusrahastu rakendamise järelevalveks vajalik teave</w:t>
            </w:r>
          </w:p>
        </w:tc>
      </w:tr>
      <w:tr w:rsidR="00A612E2" w:rsidRPr="00D90835" w14:paraId="5454349A"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D8235CC" w14:textId="77777777" w:rsidR="00A612E2" w:rsidRPr="00246CC4" w:rsidRDefault="00A612E2" w:rsidP="00742B81">
            <w:pPr>
              <w:jc w:val="center"/>
              <w:rPr>
                <w:noProof/>
                <w:color w:val="006100"/>
                <w:sz w:val="20"/>
                <w:szCs w:val="20"/>
              </w:rPr>
            </w:pPr>
            <w:r>
              <w:rPr>
                <w:noProof/>
                <w:color w:val="006100"/>
                <w:sz w:val="20"/>
              </w:rPr>
              <w:t>M1C1-71</w:t>
            </w:r>
          </w:p>
        </w:tc>
        <w:tc>
          <w:tcPr>
            <w:tcW w:w="3118" w:type="dxa"/>
            <w:tcBorders>
              <w:top w:val="nil"/>
              <w:left w:val="nil"/>
              <w:bottom w:val="single" w:sz="4" w:space="0" w:color="auto"/>
              <w:right w:val="single" w:sz="4" w:space="0" w:color="auto"/>
            </w:tcBorders>
            <w:shd w:val="clear" w:color="auto" w:fill="C6EFCE"/>
            <w:noWrap/>
            <w:vAlign w:val="center"/>
          </w:tcPr>
          <w:p w14:paraId="7756A72D" w14:textId="77777777" w:rsidR="00A612E2" w:rsidRPr="003B127D" w:rsidRDefault="00A612E2" w:rsidP="00742B81">
            <w:pPr>
              <w:rPr>
                <w:noProof/>
                <w:color w:val="006100"/>
                <w:sz w:val="20"/>
                <w:szCs w:val="20"/>
              </w:rPr>
            </w:pPr>
            <w:r>
              <w:rPr>
                <w:noProof/>
                <w:color w:val="006100"/>
                <w:sz w:val="20"/>
              </w:rPr>
              <w:t>Reform 1.10. Riigihangete õigusraamistiku reform</w:t>
            </w:r>
          </w:p>
        </w:tc>
        <w:tc>
          <w:tcPr>
            <w:tcW w:w="1418" w:type="dxa"/>
            <w:tcBorders>
              <w:top w:val="nil"/>
              <w:left w:val="nil"/>
              <w:bottom w:val="single" w:sz="4" w:space="0" w:color="auto"/>
              <w:right w:val="single" w:sz="4" w:space="0" w:color="auto"/>
            </w:tcBorders>
            <w:shd w:val="clear" w:color="auto" w:fill="C6EFCE"/>
            <w:noWrap/>
            <w:vAlign w:val="center"/>
          </w:tcPr>
          <w:p w14:paraId="525861E8" w14:textId="77777777" w:rsidR="00A612E2" w:rsidRPr="00246CC4" w:rsidRDefault="00A612E2" w:rsidP="00742B81">
            <w:pPr>
              <w:rPr>
                <w:noProof/>
                <w:color w:val="006100"/>
                <w:sz w:val="20"/>
                <w:szCs w:val="20"/>
              </w:rPr>
            </w:pPr>
            <w:r>
              <w:rPr>
                <w:noProof/>
                <w:color w:val="006100"/>
                <w:sz w:val="20"/>
              </w:rPr>
              <w:t>Eesmärk</w:t>
            </w:r>
          </w:p>
        </w:tc>
        <w:tc>
          <w:tcPr>
            <w:tcW w:w="3714" w:type="dxa"/>
            <w:tcBorders>
              <w:top w:val="nil"/>
              <w:left w:val="nil"/>
              <w:bottom w:val="single" w:sz="4" w:space="0" w:color="auto"/>
              <w:right w:val="single" w:sz="4" w:space="0" w:color="auto"/>
            </w:tcBorders>
            <w:shd w:val="clear" w:color="auto" w:fill="C6EFCE"/>
            <w:noWrap/>
            <w:vAlign w:val="center"/>
          </w:tcPr>
          <w:p w14:paraId="23B0E52A" w14:textId="77777777" w:rsidR="00A612E2" w:rsidRPr="003B127D" w:rsidRDefault="00A612E2" w:rsidP="00742B81">
            <w:pPr>
              <w:rPr>
                <w:noProof/>
                <w:color w:val="006100"/>
                <w:sz w:val="20"/>
                <w:szCs w:val="20"/>
              </w:rPr>
            </w:pPr>
            <w:r>
              <w:rPr>
                <w:noProof/>
                <w:color w:val="006100"/>
                <w:sz w:val="20"/>
              </w:rPr>
              <w:t>Kõigi riigihankesüsteemi jaoks vajalike õigusaktide, määruste ja rakendusaktide (sealhulgas teiseste õigusaktide) jõustumine</w:t>
            </w:r>
          </w:p>
        </w:tc>
      </w:tr>
      <w:tr w:rsidR="00A612E2" w:rsidRPr="00D90835" w14:paraId="521C12D7"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D72E890" w14:textId="77777777" w:rsidR="00A612E2" w:rsidRPr="00246CC4" w:rsidRDefault="00A612E2" w:rsidP="00742B81">
            <w:pPr>
              <w:jc w:val="center"/>
              <w:rPr>
                <w:noProof/>
                <w:color w:val="006100"/>
                <w:sz w:val="20"/>
                <w:szCs w:val="20"/>
              </w:rPr>
            </w:pPr>
            <w:r>
              <w:rPr>
                <w:noProof/>
                <w:color w:val="006100"/>
                <w:sz w:val="20"/>
              </w:rPr>
              <w:t>M1C1-100</w:t>
            </w:r>
          </w:p>
        </w:tc>
        <w:tc>
          <w:tcPr>
            <w:tcW w:w="3118" w:type="dxa"/>
            <w:tcBorders>
              <w:top w:val="nil"/>
              <w:left w:val="nil"/>
              <w:bottom w:val="single" w:sz="4" w:space="0" w:color="auto"/>
              <w:right w:val="single" w:sz="4" w:space="0" w:color="auto"/>
            </w:tcBorders>
            <w:shd w:val="clear" w:color="auto" w:fill="C6EFCE"/>
            <w:noWrap/>
            <w:vAlign w:val="center"/>
          </w:tcPr>
          <w:p w14:paraId="7C50B65F" w14:textId="77777777" w:rsidR="00A612E2" w:rsidRPr="003B127D" w:rsidRDefault="00A612E2" w:rsidP="00742B81">
            <w:pPr>
              <w:rPr>
                <w:noProof/>
                <w:color w:val="006100"/>
                <w:sz w:val="20"/>
                <w:szCs w:val="20"/>
              </w:rPr>
            </w:pPr>
            <w:r>
              <w:rPr>
                <w:noProof/>
                <w:color w:val="006100"/>
                <w:sz w:val="20"/>
              </w:rPr>
              <w:t>Reform 1.13. Kulude läbivaatamise raamistiku reform</w:t>
            </w:r>
          </w:p>
        </w:tc>
        <w:tc>
          <w:tcPr>
            <w:tcW w:w="1418" w:type="dxa"/>
            <w:tcBorders>
              <w:top w:val="nil"/>
              <w:left w:val="nil"/>
              <w:bottom w:val="single" w:sz="4" w:space="0" w:color="auto"/>
              <w:right w:val="single" w:sz="4" w:space="0" w:color="auto"/>
            </w:tcBorders>
            <w:shd w:val="clear" w:color="auto" w:fill="C6EFCE"/>
            <w:noWrap/>
            <w:vAlign w:val="center"/>
          </w:tcPr>
          <w:p w14:paraId="3F716774" w14:textId="77777777" w:rsidR="00A612E2" w:rsidRPr="00246CC4" w:rsidRDefault="00A612E2" w:rsidP="00742B81">
            <w:pPr>
              <w:rPr>
                <w:noProof/>
                <w:color w:val="006100"/>
                <w:sz w:val="20"/>
                <w:szCs w:val="20"/>
              </w:rPr>
            </w:pPr>
            <w:r>
              <w:rPr>
                <w:noProof/>
                <w:color w:val="006100"/>
                <w:sz w:val="20"/>
              </w:rPr>
              <w:t>Eesmärk</w:t>
            </w:r>
          </w:p>
        </w:tc>
        <w:tc>
          <w:tcPr>
            <w:tcW w:w="3714" w:type="dxa"/>
            <w:tcBorders>
              <w:top w:val="nil"/>
              <w:left w:val="nil"/>
              <w:bottom w:val="single" w:sz="4" w:space="0" w:color="auto"/>
              <w:right w:val="single" w:sz="4" w:space="0" w:color="auto"/>
            </w:tcBorders>
            <w:shd w:val="clear" w:color="auto" w:fill="C6EFCE"/>
            <w:noWrap/>
            <w:vAlign w:val="center"/>
          </w:tcPr>
          <w:p w14:paraId="7C9A9A3D" w14:textId="77777777" w:rsidR="00A612E2" w:rsidRPr="003B127D" w:rsidRDefault="00A612E2" w:rsidP="00742B81">
            <w:pPr>
              <w:rPr>
                <w:noProof/>
                <w:color w:val="006100"/>
                <w:sz w:val="20"/>
                <w:szCs w:val="20"/>
              </w:rPr>
            </w:pPr>
            <w:r>
              <w:rPr>
                <w:noProof/>
                <w:color w:val="006100"/>
                <w:sz w:val="20"/>
              </w:rPr>
              <w:t>Kulutuste läbivaatamise tõhusust parandavate õigusnormide jõustumine – Rahandusministeeriumi tugevdamine</w:t>
            </w:r>
          </w:p>
        </w:tc>
      </w:tr>
      <w:tr w:rsidR="00A612E2" w:rsidRPr="00D90835" w14:paraId="0738AC81"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A0BA58A" w14:textId="77777777" w:rsidR="00A612E2" w:rsidRPr="00246CC4" w:rsidRDefault="00A612E2" w:rsidP="00742B81">
            <w:pPr>
              <w:jc w:val="center"/>
              <w:rPr>
                <w:noProof/>
                <w:color w:val="006100"/>
                <w:sz w:val="20"/>
                <w:szCs w:val="20"/>
              </w:rPr>
            </w:pPr>
            <w:r>
              <w:rPr>
                <w:noProof/>
                <w:color w:val="006100"/>
                <w:sz w:val="20"/>
              </w:rPr>
              <w:t>M1C1-101</w:t>
            </w:r>
          </w:p>
        </w:tc>
        <w:tc>
          <w:tcPr>
            <w:tcW w:w="3118" w:type="dxa"/>
            <w:tcBorders>
              <w:top w:val="nil"/>
              <w:left w:val="nil"/>
              <w:bottom w:val="single" w:sz="4" w:space="0" w:color="auto"/>
              <w:right w:val="single" w:sz="4" w:space="0" w:color="auto"/>
            </w:tcBorders>
            <w:shd w:val="clear" w:color="auto" w:fill="C6EFCE"/>
            <w:noWrap/>
            <w:vAlign w:val="center"/>
          </w:tcPr>
          <w:p w14:paraId="4BDA5408" w14:textId="77777777" w:rsidR="00A612E2" w:rsidRPr="003B127D" w:rsidRDefault="00A612E2" w:rsidP="00742B81">
            <w:pPr>
              <w:rPr>
                <w:noProof/>
                <w:color w:val="006100"/>
                <w:sz w:val="20"/>
                <w:szCs w:val="20"/>
              </w:rPr>
            </w:pPr>
            <w:r>
              <w:rPr>
                <w:noProof/>
                <w:color w:val="006100"/>
                <w:sz w:val="20"/>
              </w:rPr>
              <w:t xml:space="preserve">Reform 1.12. Maksuhalduse reform </w:t>
            </w:r>
          </w:p>
        </w:tc>
        <w:tc>
          <w:tcPr>
            <w:tcW w:w="1418" w:type="dxa"/>
            <w:tcBorders>
              <w:top w:val="nil"/>
              <w:left w:val="nil"/>
              <w:bottom w:val="single" w:sz="4" w:space="0" w:color="auto"/>
              <w:right w:val="single" w:sz="4" w:space="0" w:color="auto"/>
            </w:tcBorders>
            <w:shd w:val="clear" w:color="auto" w:fill="C6EFCE"/>
            <w:noWrap/>
            <w:vAlign w:val="center"/>
          </w:tcPr>
          <w:p w14:paraId="11D699E4" w14:textId="77777777" w:rsidR="00A612E2" w:rsidRPr="00246CC4" w:rsidRDefault="00A612E2" w:rsidP="00742B81">
            <w:pPr>
              <w:rPr>
                <w:noProof/>
                <w:color w:val="006100"/>
                <w:sz w:val="20"/>
                <w:szCs w:val="20"/>
              </w:rPr>
            </w:pPr>
            <w:r>
              <w:rPr>
                <w:noProof/>
                <w:color w:val="006100"/>
                <w:sz w:val="20"/>
              </w:rPr>
              <w:t>Eesmärk</w:t>
            </w:r>
          </w:p>
        </w:tc>
        <w:tc>
          <w:tcPr>
            <w:tcW w:w="3714" w:type="dxa"/>
            <w:tcBorders>
              <w:top w:val="nil"/>
              <w:left w:val="nil"/>
              <w:bottom w:val="single" w:sz="4" w:space="0" w:color="auto"/>
              <w:right w:val="single" w:sz="4" w:space="0" w:color="auto"/>
            </w:tcBorders>
            <w:shd w:val="clear" w:color="auto" w:fill="C6EFCE"/>
            <w:noWrap/>
            <w:vAlign w:val="center"/>
          </w:tcPr>
          <w:p w14:paraId="70DA7147" w14:textId="77777777" w:rsidR="00A612E2" w:rsidRPr="003B127D" w:rsidRDefault="00A612E2" w:rsidP="00742B81">
            <w:pPr>
              <w:rPr>
                <w:noProof/>
                <w:color w:val="006100"/>
                <w:sz w:val="20"/>
                <w:szCs w:val="20"/>
              </w:rPr>
            </w:pPr>
            <w:r>
              <w:rPr>
                <w:noProof/>
                <w:color w:val="006100"/>
                <w:sz w:val="20"/>
              </w:rPr>
              <w:t>Võimalike maksudest kõrvalehoidumise vähendamise meetmete läbivaatamise vastuvõtmine</w:t>
            </w:r>
          </w:p>
        </w:tc>
      </w:tr>
      <w:tr w:rsidR="00A612E2" w:rsidRPr="00D90835" w14:paraId="49CE3E1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43E8025" w14:textId="77777777" w:rsidR="00A612E2" w:rsidRPr="00246CC4" w:rsidRDefault="00A612E2" w:rsidP="00742B81">
            <w:pPr>
              <w:jc w:val="center"/>
              <w:rPr>
                <w:noProof/>
                <w:color w:val="006100"/>
                <w:sz w:val="20"/>
                <w:szCs w:val="20"/>
              </w:rPr>
            </w:pPr>
            <w:r>
              <w:rPr>
                <w:noProof/>
                <w:color w:val="006100"/>
                <w:sz w:val="20"/>
              </w:rPr>
              <w:t>M1C2-1</w:t>
            </w:r>
          </w:p>
        </w:tc>
        <w:tc>
          <w:tcPr>
            <w:tcW w:w="3118" w:type="dxa"/>
            <w:tcBorders>
              <w:top w:val="nil"/>
              <w:left w:val="nil"/>
              <w:bottom w:val="single" w:sz="4" w:space="0" w:color="auto"/>
              <w:right w:val="single" w:sz="4" w:space="0" w:color="auto"/>
            </w:tcBorders>
            <w:shd w:val="clear" w:color="auto" w:fill="C6EFCE"/>
            <w:noWrap/>
            <w:vAlign w:val="center"/>
          </w:tcPr>
          <w:p w14:paraId="0CC6D686" w14:textId="77777777" w:rsidR="00A612E2" w:rsidRPr="00246CC4" w:rsidRDefault="00A612E2" w:rsidP="00742B81">
            <w:pPr>
              <w:rPr>
                <w:noProof/>
                <w:color w:val="006100"/>
                <w:sz w:val="20"/>
                <w:szCs w:val="20"/>
              </w:rPr>
            </w:pPr>
            <w:r>
              <w:rPr>
                <w:noProof/>
                <w:color w:val="006100"/>
                <w:sz w:val="20"/>
              </w:rPr>
              <w:t>Investeering 1. Üleminek 4.0</w:t>
            </w:r>
          </w:p>
        </w:tc>
        <w:tc>
          <w:tcPr>
            <w:tcW w:w="1418" w:type="dxa"/>
            <w:tcBorders>
              <w:top w:val="nil"/>
              <w:left w:val="nil"/>
              <w:bottom w:val="single" w:sz="4" w:space="0" w:color="auto"/>
              <w:right w:val="single" w:sz="4" w:space="0" w:color="auto"/>
            </w:tcBorders>
            <w:shd w:val="clear" w:color="auto" w:fill="C6EFCE"/>
            <w:noWrap/>
            <w:vAlign w:val="center"/>
          </w:tcPr>
          <w:p w14:paraId="4320864E" w14:textId="77777777" w:rsidR="00A612E2" w:rsidRPr="00246CC4" w:rsidRDefault="00A612E2" w:rsidP="00742B81">
            <w:pPr>
              <w:rPr>
                <w:noProof/>
                <w:color w:val="006100"/>
                <w:sz w:val="20"/>
                <w:szCs w:val="20"/>
              </w:rPr>
            </w:pPr>
            <w:r>
              <w:rPr>
                <w:noProof/>
                <w:color w:val="006100"/>
                <w:sz w:val="20"/>
              </w:rPr>
              <w:t>Eesmärk</w:t>
            </w:r>
          </w:p>
        </w:tc>
        <w:tc>
          <w:tcPr>
            <w:tcW w:w="3714" w:type="dxa"/>
            <w:tcBorders>
              <w:top w:val="nil"/>
              <w:left w:val="nil"/>
              <w:bottom w:val="single" w:sz="4" w:space="0" w:color="auto"/>
              <w:right w:val="single" w:sz="4" w:space="0" w:color="auto"/>
            </w:tcBorders>
            <w:shd w:val="clear" w:color="auto" w:fill="C6EFCE"/>
            <w:noWrap/>
            <w:vAlign w:val="center"/>
          </w:tcPr>
          <w:p w14:paraId="51CD3DF2" w14:textId="77777777" w:rsidR="00A612E2" w:rsidRPr="003B127D" w:rsidRDefault="00A612E2" w:rsidP="00742B81">
            <w:pPr>
              <w:rPr>
                <w:noProof/>
                <w:color w:val="006100"/>
                <w:sz w:val="20"/>
                <w:szCs w:val="20"/>
              </w:rPr>
            </w:pPr>
            <w:r>
              <w:rPr>
                <w:noProof/>
                <w:color w:val="006100"/>
                <w:sz w:val="20"/>
              </w:rPr>
              <w:t>Selliste õigusaktide jõustumine, millega tehakse 4.0 ülemineku maksukrediidid võimalikele abisaajatele kättesaadavaks, ning teaduskomitee loomine</w:t>
            </w:r>
          </w:p>
        </w:tc>
      </w:tr>
      <w:tr w:rsidR="00A612E2" w:rsidRPr="00D90835" w14:paraId="7720E088"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82FBACA" w14:textId="77777777" w:rsidR="00A612E2" w:rsidRPr="00246CC4" w:rsidRDefault="00A612E2" w:rsidP="00742B81">
            <w:pPr>
              <w:jc w:val="center"/>
              <w:rPr>
                <w:noProof/>
                <w:color w:val="006100"/>
                <w:sz w:val="20"/>
                <w:szCs w:val="20"/>
              </w:rPr>
            </w:pPr>
            <w:r>
              <w:rPr>
                <w:noProof/>
                <w:color w:val="006100"/>
                <w:sz w:val="20"/>
              </w:rPr>
              <w:t>M1C3-8</w:t>
            </w:r>
          </w:p>
        </w:tc>
        <w:tc>
          <w:tcPr>
            <w:tcW w:w="3118" w:type="dxa"/>
            <w:tcBorders>
              <w:top w:val="nil"/>
              <w:left w:val="nil"/>
              <w:bottom w:val="single" w:sz="4" w:space="0" w:color="auto"/>
              <w:right w:val="single" w:sz="4" w:space="0" w:color="auto"/>
            </w:tcBorders>
            <w:shd w:val="clear" w:color="auto" w:fill="C6EFCE"/>
            <w:noWrap/>
            <w:vAlign w:val="center"/>
          </w:tcPr>
          <w:p w14:paraId="2A1D9C18" w14:textId="77777777" w:rsidR="00A612E2" w:rsidRPr="00246CC4" w:rsidRDefault="00A612E2" w:rsidP="00742B81">
            <w:pPr>
              <w:rPr>
                <w:noProof/>
                <w:color w:val="006100"/>
                <w:sz w:val="20"/>
                <w:szCs w:val="20"/>
              </w:rPr>
            </w:pPr>
            <w:r>
              <w:rPr>
                <w:noProof/>
                <w:color w:val="006100"/>
                <w:sz w:val="20"/>
              </w:rPr>
              <w:t>Investeering 4.1. Digitaalne turismikeskus</w:t>
            </w:r>
          </w:p>
        </w:tc>
        <w:tc>
          <w:tcPr>
            <w:tcW w:w="1418" w:type="dxa"/>
            <w:tcBorders>
              <w:top w:val="nil"/>
              <w:left w:val="nil"/>
              <w:bottom w:val="single" w:sz="4" w:space="0" w:color="auto"/>
              <w:right w:val="single" w:sz="4" w:space="0" w:color="auto"/>
            </w:tcBorders>
            <w:shd w:val="clear" w:color="auto" w:fill="C6EFCE"/>
            <w:noWrap/>
            <w:vAlign w:val="center"/>
          </w:tcPr>
          <w:p w14:paraId="4CFA0DD9" w14:textId="77777777" w:rsidR="00A612E2" w:rsidRPr="00246CC4" w:rsidRDefault="00A612E2" w:rsidP="00742B81">
            <w:pPr>
              <w:rPr>
                <w:noProof/>
                <w:color w:val="006100"/>
                <w:sz w:val="20"/>
                <w:szCs w:val="20"/>
              </w:rPr>
            </w:pPr>
            <w:r>
              <w:rPr>
                <w:noProof/>
                <w:color w:val="006100"/>
                <w:sz w:val="20"/>
              </w:rPr>
              <w:t>Eesmärk</w:t>
            </w:r>
          </w:p>
        </w:tc>
        <w:tc>
          <w:tcPr>
            <w:tcW w:w="3714" w:type="dxa"/>
            <w:tcBorders>
              <w:top w:val="nil"/>
              <w:left w:val="nil"/>
              <w:bottom w:val="single" w:sz="4" w:space="0" w:color="auto"/>
              <w:right w:val="single" w:sz="4" w:space="0" w:color="auto"/>
            </w:tcBorders>
            <w:shd w:val="clear" w:color="auto" w:fill="C6EFCE"/>
            <w:noWrap/>
            <w:vAlign w:val="center"/>
          </w:tcPr>
          <w:p w14:paraId="2FF22276" w14:textId="77777777" w:rsidR="00A612E2" w:rsidRPr="003B127D" w:rsidRDefault="00A612E2" w:rsidP="00742B81">
            <w:pPr>
              <w:rPr>
                <w:noProof/>
                <w:color w:val="006100"/>
                <w:sz w:val="20"/>
                <w:szCs w:val="20"/>
              </w:rPr>
            </w:pPr>
            <w:r>
              <w:rPr>
                <w:noProof/>
                <w:color w:val="006100"/>
                <w:sz w:val="20"/>
              </w:rPr>
              <w:t>Lepingute sõlmimine digitaalse turismi portaali arendamiseks</w:t>
            </w:r>
          </w:p>
        </w:tc>
      </w:tr>
      <w:tr w:rsidR="00A612E2" w:rsidRPr="00D90835" w14:paraId="29077E7D"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352AF2D" w14:textId="77777777" w:rsidR="00A612E2" w:rsidRPr="00246CC4" w:rsidRDefault="00A612E2" w:rsidP="00742B81">
            <w:pPr>
              <w:jc w:val="center"/>
              <w:rPr>
                <w:noProof/>
                <w:color w:val="006100"/>
                <w:sz w:val="20"/>
                <w:szCs w:val="20"/>
              </w:rPr>
            </w:pPr>
            <w:r>
              <w:rPr>
                <w:noProof/>
                <w:color w:val="006100"/>
                <w:sz w:val="20"/>
              </w:rPr>
              <w:t>M2C2-7</w:t>
            </w:r>
          </w:p>
        </w:tc>
        <w:tc>
          <w:tcPr>
            <w:tcW w:w="3118" w:type="dxa"/>
            <w:tcBorders>
              <w:top w:val="nil"/>
              <w:left w:val="nil"/>
              <w:bottom w:val="single" w:sz="4" w:space="0" w:color="auto"/>
              <w:right w:val="single" w:sz="4" w:space="0" w:color="auto"/>
            </w:tcBorders>
            <w:shd w:val="clear" w:color="auto" w:fill="C6EFCE"/>
            <w:noWrap/>
            <w:vAlign w:val="center"/>
          </w:tcPr>
          <w:p w14:paraId="56172F3B" w14:textId="77777777" w:rsidR="00A612E2" w:rsidRPr="003B127D" w:rsidRDefault="00A612E2" w:rsidP="00742B81">
            <w:pPr>
              <w:rPr>
                <w:noProof/>
                <w:color w:val="006100"/>
                <w:sz w:val="20"/>
                <w:szCs w:val="20"/>
              </w:rPr>
            </w:pPr>
            <w:r>
              <w:rPr>
                <w:noProof/>
                <w:color w:val="006100"/>
                <w:sz w:val="20"/>
              </w:rPr>
              <w:t>Reform 2. Uued õigusaktid taastuvenergia tootmise ja tarbimise edendamiseks</w:t>
            </w:r>
          </w:p>
        </w:tc>
        <w:tc>
          <w:tcPr>
            <w:tcW w:w="1418" w:type="dxa"/>
            <w:tcBorders>
              <w:top w:val="nil"/>
              <w:left w:val="nil"/>
              <w:bottom w:val="single" w:sz="4" w:space="0" w:color="auto"/>
              <w:right w:val="single" w:sz="4" w:space="0" w:color="auto"/>
            </w:tcBorders>
            <w:shd w:val="clear" w:color="auto" w:fill="C6EFCE"/>
            <w:noWrap/>
            <w:vAlign w:val="center"/>
          </w:tcPr>
          <w:p w14:paraId="527BDB20" w14:textId="77777777" w:rsidR="00A612E2" w:rsidRPr="00246CC4" w:rsidRDefault="00A612E2" w:rsidP="00742B81">
            <w:pPr>
              <w:rPr>
                <w:noProof/>
                <w:color w:val="006100"/>
                <w:sz w:val="20"/>
                <w:szCs w:val="20"/>
              </w:rPr>
            </w:pPr>
            <w:r>
              <w:rPr>
                <w:noProof/>
                <w:color w:val="006100"/>
                <w:sz w:val="20"/>
              </w:rPr>
              <w:t>Eesmärk</w:t>
            </w:r>
          </w:p>
        </w:tc>
        <w:tc>
          <w:tcPr>
            <w:tcW w:w="3714" w:type="dxa"/>
            <w:tcBorders>
              <w:top w:val="nil"/>
              <w:left w:val="nil"/>
              <w:bottom w:val="single" w:sz="4" w:space="0" w:color="auto"/>
              <w:right w:val="single" w:sz="4" w:space="0" w:color="auto"/>
            </w:tcBorders>
            <w:shd w:val="clear" w:color="auto" w:fill="C6EFCE"/>
            <w:noWrap/>
            <w:vAlign w:val="center"/>
          </w:tcPr>
          <w:p w14:paraId="74923BA7" w14:textId="77777777" w:rsidR="00A612E2" w:rsidRPr="003B127D" w:rsidRDefault="00A612E2" w:rsidP="00742B81">
            <w:pPr>
              <w:rPr>
                <w:noProof/>
                <w:color w:val="006100"/>
                <w:sz w:val="20"/>
                <w:szCs w:val="20"/>
              </w:rPr>
            </w:pPr>
            <w:r>
              <w:rPr>
                <w:noProof/>
                <w:color w:val="006100"/>
                <w:sz w:val="20"/>
              </w:rPr>
              <w:t>Jõustus seadusandlik dekreet, millega edendatakse taastuvgaasi kasutamist biometaani kasutamiseks transpordi-, tööstus- ja elamusektoris, ning rakendusmäärus, milles sätestatakse selle kasutamise tingimused ja kriteeriumid ning uus stimuleerimissüsteem.</w:t>
            </w:r>
          </w:p>
        </w:tc>
      </w:tr>
      <w:tr w:rsidR="00A612E2" w:rsidRPr="00D90835" w14:paraId="2397956F"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F8C4EF7" w14:textId="77777777" w:rsidR="00A612E2" w:rsidRPr="00246CC4" w:rsidRDefault="00A612E2" w:rsidP="00742B81">
            <w:pPr>
              <w:jc w:val="center"/>
              <w:rPr>
                <w:noProof/>
                <w:color w:val="006100"/>
                <w:sz w:val="20"/>
                <w:szCs w:val="20"/>
              </w:rPr>
            </w:pPr>
            <w:r>
              <w:rPr>
                <w:noProof/>
                <w:color w:val="006100"/>
                <w:sz w:val="20"/>
              </w:rPr>
              <w:t>M2C2-37</w:t>
            </w:r>
          </w:p>
        </w:tc>
        <w:tc>
          <w:tcPr>
            <w:tcW w:w="3118" w:type="dxa"/>
            <w:tcBorders>
              <w:top w:val="nil"/>
              <w:left w:val="nil"/>
              <w:bottom w:val="single" w:sz="4" w:space="0" w:color="auto"/>
              <w:right w:val="single" w:sz="4" w:space="0" w:color="auto"/>
            </w:tcBorders>
            <w:shd w:val="clear" w:color="auto" w:fill="C6EFCE"/>
            <w:noWrap/>
            <w:vAlign w:val="center"/>
          </w:tcPr>
          <w:p w14:paraId="64BE0D21" w14:textId="77777777" w:rsidR="00A612E2" w:rsidRPr="003B127D" w:rsidRDefault="00A612E2" w:rsidP="00742B81">
            <w:pPr>
              <w:rPr>
                <w:noProof/>
                <w:color w:val="006100"/>
                <w:sz w:val="20"/>
                <w:szCs w:val="20"/>
              </w:rPr>
            </w:pPr>
            <w:r>
              <w:rPr>
                <w:noProof/>
                <w:color w:val="006100"/>
                <w:sz w:val="20"/>
              </w:rPr>
              <w:t>Reform 5. Arukamad menetlused projektide hindamiseks paiksete seadmetega kohalike ühistranspordisüsteemide sektoris ja kiires massitranspordisektoris</w:t>
            </w:r>
          </w:p>
        </w:tc>
        <w:tc>
          <w:tcPr>
            <w:tcW w:w="1418" w:type="dxa"/>
            <w:tcBorders>
              <w:top w:val="nil"/>
              <w:left w:val="nil"/>
              <w:bottom w:val="single" w:sz="4" w:space="0" w:color="auto"/>
              <w:right w:val="single" w:sz="4" w:space="0" w:color="auto"/>
            </w:tcBorders>
            <w:shd w:val="clear" w:color="auto" w:fill="C6EFCE"/>
            <w:noWrap/>
            <w:vAlign w:val="center"/>
          </w:tcPr>
          <w:p w14:paraId="6A0A9C0E" w14:textId="77777777" w:rsidR="00A612E2" w:rsidRPr="00246CC4" w:rsidRDefault="00A612E2" w:rsidP="00742B81">
            <w:pPr>
              <w:rPr>
                <w:noProof/>
                <w:color w:val="006100"/>
                <w:sz w:val="20"/>
                <w:szCs w:val="20"/>
              </w:rPr>
            </w:pPr>
            <w:r>
              <w:rPr>
                <w:noProof/>
                <w:color w:val="006100"/>
                <w:sz w:val="20"/>
              </w:rPr>
              <w:t>Eesmärk</w:t>
            </w:r>
          </w:p>
        </w:tc>
        <w:tc>
          <w:tcPr>
            <w:tcW w:w="3714" w:type="dxa"/>
            <w:tcBorders>
              <w:top w:val="nil"/>
              <w:left w:val="nil"/>
              <w:bottom w:val="single" w:sz="4" w:space="0" w:color="auto"/>
              <w:right w:val="single" w:sz="4" w:space="0" w:color="auto"/>
            </w:tcBorders>
            <w:shd w:val="clear" w:color="auto" w:fill="C6EFCE"/>
            <w:noWrap/>
            <w:vAlign w:val="center"/>
          </w:tcPr>
          <w:p w14:paraId="3411A299" w14:textId="77777777" w:rsidR="00A612E2" w:rsidRPr="003B127D" w:rsidRDefault="00A612E2" w:rsidP="00742B81">
            <w:pPr>
              <w:rPr>
                <w:noProof/>
                <w:color w:val="006100"/>
                <w:sz w:val="20"/>
                <w:szCs w:val="20"/>
              </w:rPr>
            </w:pPr>
            <w:r>
              <w:rPr>
                <w:noProof/>
                <w:color w:val="006100"/>
                <w:sz w:val="20"/>
              </w:rPr>
              <w:t>Dekreetseaduse jõustumine</w:t>
            </w:r>
          </w:p>
        </w:tc>
      </w:tr>
      <w:tr w:rsidR="00A612E2" w:rsidRPr="00D90835" w14:paraId="0EC5E4F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94C929A" w14:textId="77777777" w:rsidR="00A612E2" w:rsidRPr="00246CC4" w:rsidRDefault="00A612E2" w:rsidP="00742B81">
            <w:pPr>
              <w:jc w:val="center"/>
              <w:rPr>
                <w:noProof/>
                <w:color w:val="006100"/>
                <w:sz w:val="20"/>
                <w:szCs w:val="20"/>
              </w:rPr>
            </w:pPr>
            <w:r>
              <w:rPr>
                <w:noProof/>
                <w:color w:val="006100"/>
                <w:sz w:val="20"/>
              </w:rPr>
              <w:t>M2C2-41</w:t>
            </w:r>
          </w:p>
        </w:tc>
        <w:tc>
          <w:tcPr>
            <w:tcW w:w="3118" w:type="dxa"/>
            <w:tcBorders>
              <w:top w:val="nil"/>
              <w:left w:val="nil"/>
              <w:bottom w:val="single" w:sz="4" w:space="0" w:color="auto"/>
              <w:right w:val="single" w:sz="4" w:space="0" w:color="auto"/>
            </w:tcBorders>
            <w:shd w:val="clear" w:color="auto" w:fill="C6EFCE"/>
            <w:noWrap/>
            <w:vAlign w:val="center"/>
          </w:tcPr>
          <w:p w14:paraId="59A0D82A" w14:textId="77777777" w:rsidR="00A612E2" w:rsidRPr="00246CC4" w:rsidRDefault="00A612E2" w:rsidP="00742B81">
            <w:pPr>
              <w:rPr>
                <w:noProof/>
                <w:color w:val="006100"/>
                <w:sz w:val="20"/>
                <w:szCs w:val="20"/>
              </w:rPr>
            </w:pPr>
            <w:r>
              <w:rPr>
                <w:noProof/>
                <w:color w:val="006100"/>
                <w:sz w:val="20"/>
              </w:rPr>
              <w:t>Investeering 5.3. Elektribussid</w:t>
            </w:r>
          </w:p>
        </w:tc>
        <w:tc>
          <w:tcPr>
            <w:tcW w:w="1418" w:type="dxa"/>
            <w:tcBorders>
              <w:top w:val="nil"/>
              <w:left w:val="nil"/>
              <w:bottom w:val="single" w:sz="4" w:space="0" w:color="auto"/>
              <w:right w:val="single" w:sz="4" w:space="0" w:color="auto"/>
            </w:tcBorders>
            <w:shd w:val="clear" w:color="auto" w:fill="C6EFCE"/>
            <w:noWrap/>
            <w:vAlign w:val="center"/>
          </w:tcPr>
          <w:p w14:paraId="0A91A245" w14:textId="77777777" w:rsidR="00A612E2" w:rsidRPr="00246CC4" w:rsidRDefault="00A612E2" w:rsidP="00742B81">
            <w:pPr>
              <w:rPr>
                <w:noProof/>
                <w:color w:val="006100"/>
                <w:sz w:val="20"/>
                <w:szCs w:val="20"/>
              </w:rPr>
            </w:pPr>
            <w:r>
              <w:rPr>
                <w:noProof/>
                <w:color w:val="006100"/>
                <w:sz w:val="20"/>
              </w:rPr>
              <w:t>Eesmärk</w:t>
            </w:r>
          </w:p>
        </w:tc>
        <w:tc>
          <w:tcPr>
            <w:tcW w:w="3714" w:type="dxa"/>
            <w:tcBorders>
              <w:top w:val="nil"/>
              <w:left w:val="nil"/>
              <w:bottom w:val="single" w:sz="4" w:space="0" w:color="auto"/>
              <w:right w:val="single" w:sz="4" w:space="0" w:color="auto"/>
            </w:tcBorders>
            <w:shd w:val="clear" w:color="auto" w:fill="C6EFCE"/>
            <w:noWrap/>
            <w:vAlign w:val="center"/>
          </w:tcPr>
          <w:p w14:paraId="100AF0D5" w14:textId="77777777" w:rsidR="00A612E2" w:rsidRPr="003B127D" w:rsidRDefault="00A612E2" w:rsidP="00742B81">
            <w:pPr>
              <w:rPr>
                <w:noProof/>
                <w:color w:val="006100"/>
                <w:sz w:val="20"/>
                <w:szCs w:val="20"/>
              </w:rPr>
            </w:pPr>
            <w:r>
              <w:rPr>
                <w:noProof/>
                <w:color w:val="006100"/>
                <w:sz w:val="20"/>
              </w:rPr>
              <w:t>Ministri määruse jõustumine, millega määratakse kindlaks sekkumise eesmärgi saavutamiseks kasutada olevad vahendid (kasutatakse ära tarneahel)</w:t>
            </w:r>
          </w:p>
        </w:tc>
      </w:tr>
      <w:tr w:rsidR="00A612E2" w:rsidRPr="00D90835" w14:paraId="7016632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8ED7314" w14:textId="77777777" w:rsidR="00A612E2" w:rsidRPr="00246CC4" w:rsidRDefault="00A612E2" w:rsidP="00742B81">
            <w:pPr>
              <w:jc w:val="center"/>
              <w:rPr>
                <w:noProof/>
                <w:color w:val="006100"/>
                <w:sz w:val="20"/>
                <w:szCs w:val="20"/>
              </w:rPr>
            </w:pPr>
            <w:r>
              <w:rPr>
                <w:noProof/>
                <w:color w:val="006100"/>
                <w:sz w:val="20"/>
              </w:rPr>
              <w:t>M2C3-1</w:t>
            </w:r>
          </w:p>
        </w:tc>
        <w:tc>
          <w:tcPr>
            <w:tcW w:w="3118" w:type="dxa"/>
            <w:tcBorders>
              <w:top w:val="nil"/>
              <w:left w:val="nil"/>
              <w:bottom w:val="single" w:sz="4" w:space="0" w:color="auto"/>
              <w:right w:val="single" w:sz="4" w:space="0" w:color="auto"/>
            </w:tcBorders>
            <w:shd w:val="clear" w:color="auto" w:fill="C6EFCE"/>
            <w:noWrap/>
            <w:vAlign w:val="center"/>
          </w:tcPr>
          <w:p w14:paraId="2864AB92" w14:textId="77777777" w:rsidR="00A612E2" w:rsidRPr="003B127D" w:rsidRDefault="00A612E2" w:rsidP="00742B81">
            <w:pPr>
              <w:rPr>
                <w:noProof/>
                <w:color w:val="006100"/>
                <w:sz w:val="20"/>
                <w:szCs w:val="20"/>
              </w:rPr>
            </w:pPr>
            <w:r>
              <w:rPr>
                <w:noProof/>
                <w:color w:val="006100"/>
                <w:sz w:val="20"/>
              </w:rPr>
              <w:t xml:space="preserve">Investeering 2.1. Energiatõhususe ökoboonuse tugevdamine </w:t>
            </w:r>
          </w:p>
        </w:tc>
        <w:tc>
          <w:tcPr>
            <w:tcW w:w="1418" w:type="dxa"/>
            <w:tcBorders>
              <w:top w:val="nil"/>
              <w:left w:val="nil"/>
              <w:bottom w:val="single" w:sz="4" w:space="0" w:color="auto"/>
              <w:right w:val="single" w:sz="4" w:space="0" w:color="auto"/>
            </w:tcBorders>
            <w:shd w:val="clear" w:color="auto" w:fill="C6EFCE"/>
            <w:noWrap/>
            <w:vAlign w:val="center"/>
          </w:tcPr>
          <w:p w14:paraId="3916C9B2" w14:textId="77777777" w:rsidR="00A612E2" w:rsidRPr="00246CC4" w:rsidRDefault="00A612E2" w:rsidP="00742B81">
            <w:pPr>
              <w:rPr>
                <w:noProof/>
                <w:color w:val="006100"/>
                <w:sz w:val="20"/>
                <w:szCs w:val="20"/>
              </w:rPr>
            </w:pPr>
            <w:r>
              <w:rPr>
                <w:noProof/>
                <w:color w:val="006100"/>
                <w:sz w:val="20"/>
              </w:rPr>
              <w:t>Eesmärk</w:t>
            </w:r>
          </w:p>
        </w:tc>
        <w:tc>
          <w:tcPr>
            <w:tcW w:w="3714" w:type="dxa"/>
            <w:tcBorders>
              <w:top w:val="nil"/>
              <w:left w:val="nil"/>
              <w:bottom w:val="single" w:sz="4" w:space="0" w:color="auto"/>
              <w:right w:val="single" w:sz="4" w:space="0" w:color="auto"/>
            </w:tcBorders>
            <w:shd w:val="clear" w:color="auto" w:fill="C6EFCE"/>
            <w:noWrap/>
            <w:vAlign w:val="center"/>
          </w:tcPr>
          <w:p w14:paraId="3A447A58" w14:textId="77777777" w:rsidR="00A612E2" w:rsidRPr="003B127D" w:rsidRDefault="00A612E2" w:rsidP="00742B81">
            <w:pPr>
              <w:rPr>
                <w:noProof/>
                <w:color w:val="006100"/>
                <w:sz w:val="20"/>
                <w:szCs w:val="20"/>
              </w:rPr>
            </w:pPr>
            <w:r>
              <w:rPr>
                <w:noProof/>
                <w:color w:val="006100"/>
                <w:sz w:val="20"/>
              </w:rPr>
              <w:t xml:space="preserve">Superbonuse lepingu pikendamise jõustumine  </w:t>
            </w:r>
          </w:p>
        </w:tc>
      </w:tr>
      <w:tr w:rsidR="00A612E2" w:rsidRPr="00D90835" w14:paraId="3A529479"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5E69933" w14:textId="77777777" w:rsidR="00A612E2" w:rsidRPr="00246CC4" w:rsidRDefault="00A612E2" w:rsidP="00742B81">
            <w:pPr>
              <w:jc w:val="center"/>
              <w:rPr>
                <w:noProof/>
                <w:color w:val="006100"/>
                <w:sz w:val="20"/>
                <w:szCs w:val="20"/>
              </w:rPr>
            </w:pPr>
            <w:r>
              <w:rPr>
                <w:noProof/>
                <w:color w:val="006100"/>
                <w:sz w:val="20"/>
              </w:rPr>
              <w:t>M2C4-3</w:t>
            </w:r>
          </w:p>
        </w:tc>
        <w:tc>
          <w:tcPr>
            <w:tcW w:w="3118" w:type="dxa"/>
            <w:tcBorders>
              <w:top w:val="nil"/>
              <w:left w:val="nil"/>
              <w:bottom w:val="single" w:sz="4" w:space="0" w:color="auto"/>
              <w:right w:val="single" w:sz="4" w:space="0" w:color="auto"/>
            </w:tcBorders>
            <w:shd w:val="clear" w:color="auto" w:fill="C6EFCE"/>
            <w:noWrap/>
            <w:vAlign w:val="center"/>
          </w:tcPr>
          <w:p w14:paraId="1A8FFEB0" w14:textId="77777777" w:rsidR="00A612E2" w:rsidRPr="00246CC4" w:rsidRDefault="00A612E2" w:rsidP="00742B81">
            <w:pPr>
              <w:rPr>
                <w:noProof/>
                <w:color w:val="006100"/>
                <w:sz w:val="20"/>
                <w:szCs w:val="20"/>
              </w:rPr>
            </w:pPr>
            <w:r>
              <w:rPr>
                <w:noProof/>
                <w:color w:val="006100"/>
                <w:sz w:val="20"/>
              </w:rPr>
              <w:t>Reform 4.2. Meetmed integreeritud veevarustusteenuste täieliku juhtimissuutlikkuse tagamiseks</w:t>
            </w:r>
          </w:p>
        </w:tc>
        <w:tc>
          <w:tcPr>
            <w:tcW w:w="1418" w:type="dxa"/>
            <w:tcBorders>
              <w:top w:val="nil"/>
              <w:left w:val="nil"/>
              <w:bottom w:val="single" w:sz="4" w:space="0" w:color="auto"/>
              <w:right w:val="single" w:sz="4" w:space="0" w:color="auto"/>
            </w:tcBorders>
            <w:shd w:val="clear" w:color="auto" w:fill="C6EFCE"/>
            <w:noWrap/>
            <w:vAlign w:val="center"/>
          </w:tcPr>
          <w:p w14:paraId="212A7284" w14:textId="77777777" w:rsidR="00A612E2" w:rsidRPr="00246CC4" w:rsidRDefault="00A612E2" w:rsidP="00742B81">
            <w:pPr>
              <w:rPr>
                <w:noProof/>
                <w:color w:val="006600"/>
                <w:sz w:val="20"/>
                <w:szCs w:val="20"/>
              </w:rPr>
            </w:pPr>
            <w:r>
              <w:rPr>
                <w:noProof/>
                <w:color w:val="006100"/>
                <w:sz w:val="20"/>
              </w:rPr>
              <w:t>Eesmärk</w:t>
            </w:r>
          </w:p>
        </w:tc>
        <w:tc>
          <w:tcPr>
            <w:tcW w:w="3714" w:type="dxa"/>
            <w:tcBorders>
              <w:top w:val="nil"/>
              <w:left w:val="nil"/>
              <w:bottom w:val="single" w:sz="4" w:space="0" w:color="auto"/>
              <w:right w:val="single" w:sz="4" w:space="0" w:color="auto"/>
            </w:tcBorders>
            <w:shd w:val="clear" w:color="auto" w:fill="C6EFCE"/>
            <w:noWrap/>
            <w:vAlign w:val="center"/>
          </w:tcPr>
          <w:p w14:paraId="7477FDDA" w14:textId="77777777" w:rsidR="00A612E2" w:rsidRPr="00246CC4" w:rsidRDefault="00A612E2" w:rsidP="00742B81">
            <w:pPr>
              <w:rPr>
                <w:noProof/>
                <w:color w:val="006600"/>
                <w:sz w:val="20"/>
                <w:szCs w:val="20"/>
              </w:rPr>
            </w:pPr>
            <w:r>
              <w:rPr>
                <w:noProof/>
                <w:color w:val="006100"/>
                <w:sz w:val="20"/>
              </w:rPr>
              <w:t>Õigusraamistiku reform vee paremaks majandamiseks ja säästvaks kasutamiseks</w:t>
            </w:r>
          </w:p>
        </w:tc>
      </w:tr>
      <w:tr w:rsidR="00A612E2" w:rsidRPr="00D90835" w14:paraId="0C848258"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D16BE9A" w14:textId="77777777" w:rsidR="00A612E2" w:rsidRPr="00246CC4" w:rsidRDefault="00A612E2" w:rsidP="00742B81">
            <w:pPr>
              <w:jc w:val="center"/>
              <w:rPr>
                <w:noProof/>
                <w:color w:val="006100"/>
                <w:sz w:val="20"/>
                <w:szCs w:val="20"/>
              </w:rPr>
            </w:pPr>
            <w:r>
              <w:rPr>
                <w:noProof/>
                <w:color w:val="006100"/>
                <w:sz w:val="20"/>
              </w:rPr>
              <w:t xml:space="preserve">M3C2-3 </w:t>
            </w:r>
          </w:p>
        </w:tc>
        <w:tc>
          <w:tcPr>
            <w:tcW w:w="3118" w:type="dxa"/>
            <w:tcBorders>
              <w:top w:val="nil"/>
              <w:left w:val="nil"/>
              <w:bottom w:val="single" w:sz="4" w:space="0" w:color="auto"/>
              <w:right w:val="single" w:sz="4" w:space="0" w:color="auto"/>
            </w:tcBorders>
            <w:shd w:val="clear" w:color="auto" w:fill="C6EFCE"/>
            <w:noWrap/>
            <w:vAlign w:val="center"/>
          </w:tcPr>
          <w:p w14:paraId="3C9AC8DA" w14:textId="77777777" w:rsidR="00A612E2" w:rsidRPr="00246CC4" w:rsidRDefault="00A612E2" w:rsidP="00742B81">
            <w:pPr>
              <w:rPr>
                <w:noProof/>
                <w:color w:val="006100"/>
                <w:sz w:val="20"/>
                <w:szCs w:val="20"/>
              </w:rPr>
            </w:pPr>
            <w:r>
              <w:rPr>
                <w:noProof/>
                <w:color w:val="006100"/>
                <w:sz w:val="20"/>
              </w:rPr>
              <w:t>Reform 2.1. Ühtse tolliliidese („Sportello Unico Doganale“) rakendamine </w:t>
            </w:r>
          </w:p>
        </w:tc>
        <w:tc>
          <w:tcPr>
            <w:tcW w:w="1418" w:type="dxa"/>
            <w:tcBorders>
              <w:top w:val="nil"/>
              <w:left w:val="nil"/>
              <w:bottom w:val="single" w:sz="4" w:space="0" w:color="auto"/>
              <w:right w:val="single" w:sz="4" w:space="0" w:color="auto"/>
            </w:tcBorders>
            <w:shd w:val="clear" w:color="auto" w:fill="C6EFCE"/>
            <w:noWrap/>
            <w:vAlign w:val="center"/>
          </w:tcPr>
          <w:p w14:paraId="191821CC" w14:textId="77777777" w:rsidR="00A612E2" w:rsidRPr="00246CC4" w:rsidRDefault="00A612E2" w:rsidP="00742B81">
            <w:pPr>
              <w:rPr>
                <w:noProof/>
                <w:color w:val="006600"/>
                <w:sz w:val="20"/>
                <w:szCs w:val="20"/>
              </w:rPr>
            </w:pPr>
            <w:r>
              <w:rPr>
                <w:noProof/>
                <w:color w:val="006100"/>
                <w:sz w:val="20"/>
              </w:rPr>
              <w:t>Eesmärk </w:t>
            </w:r>
          </w:p>
        </w:tc>
        <w:tc>
          <w:tcPr>
            <w:tcW w:w="3714" w:type="dxa"/>
            <w:tcBorders>
              <w:top w:val="nil"/>
              <w:left w:val="nil"/>
              <w:bottom w:val="single" w:sz="4" w:space="0" w:color="auto"/>
              <w:right w:val="single" w:sz="4" w:space="0" w:color="auto"/>
            </w:tcBorders>
            <w:shd w:val="clear" w:color="auto" w:fill="C6EFCE"/>
            <w:noWrap/>
            <w:vAlign w:val="center"/>
          </w:tcPr>
          <w:p w14:paraId="4DD55757" w14:textId="77777777" w:rsidR="00A612E2" w:rsidRPr="00246CC4" w:rsidRDefault="00A612E2" w:rsidP="00742B81">
            <w:pPr>
              <w:rPr>
                <w:noProof/>
                <w:color w:val="006600"/>
                <w:sz w:val="20"/>
                <w:szCs w:val="20"/>
              </w:rPr>
            </w:pPr>
            <w:r>
              <w:rPr>
                <w:noProof/>
                <w:color w:val="006100"/>
                <w:sz w:val="20"/>
              </w:rPr>
              <w:t>Ühtset tollipunkti (Sportello Unico Doganale) käsitleva määruse jõustumine </w:t>
            </w:r>
          </w:p>
        </w:tc>
      </w:tr>
      <w:tr w:rsidR="00A612E2" w:rsidRPr="00D90835" w14:paraId="592253AD"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289265C" w14:textId="77777777" w:rsidR="00A612E2" w:rsidRPr="00246CC4" w:rsidRDefault="00A612E2" w:rsidP="00742B81">
            <w:pPr>
              <w:jc w:val="center"/>
              <w:rPr>
                <w:noProof/>
                <w:color w:val="006100"/>
                <w:sz w:val="20"/>
                <w:szCs w:val="20"/>
              </w:rPr>
            </w:pPr>
            <w:r>
              <w:rPr>
                <w:noProof/>
                <w:color w:val="006100"/>
                <w:sz w:val="20"/>
              </w:rPr>
              <w:t>M4C1-1</w:t>
            </w:r>
          </w:p>
        </w:tc>
        <w:tc>
          <w:tcPr>
            <w:tcW w:w="3118" w:type="dxa"/>
            <w:tcBorders>
              <w:top w:val="nil"/>
              <w:left w:val="nil"/>
              <w:bottom w:val="single" w:sz="4" w:space="0" w:color="auto"/>
              <w:right w:val="single" w:sz="4" w:space="0" w:color="auto"/>
            </w:tcBorders>
            <w:shd w:val="clear" w:color="auto" w:fill="C6EFCE"/>
            <w:noWrap/>
            <w:vAlign w:val="center"/>
          </w:tcPr>
          <w:p w14:paraId="729180B2" w14:textId="77777777" w:rsidR="00A612E2" w:rsidRPr="00246CC4" w:rsidRDefault="00A612E2" w:rsidP="00742B81">
            <w:pPr>
              <w:rPr>
                <w:noProof/>
                <w:color w:val="006100"/>
                <w:sz w:val="20"/>
                <w:szCs w:val="20"/>
              </w:rPr>
            </w:pPr>
            <w:r>
              <w:rPr>
                <w:noProof/>
                <w:color w:val="006100"/>
                <w:sz w:val="20"/>
              </w:rPr>
              <w:t>Reform 1.5. Ülikoolikraadiga rühmade reform; Reform 1.6. Ülikoolidiplomite reformi võimaldamine; Reform 4.1. Doktoriõppe reformimise programm</w:t>
            </w:r>
          </w:p>
        </w:tc>
        <w:tc>
          <w:tcPr>
            <w:tcW w:w="1418" w:type="dxa"/>
            <w:tcBorders>
              <w:top w:val="nil"/>
              <w:left w:val="nil"/>
              <w:bottom w:val="single" w:sz="4" w:space="0" w:color="auto"/>
              <w:right w:val="single" w:sz="4" w:space="0" w:color="auto"/>
            </w:tcBorders>
            <w:shd w:val="clear" w:color="auto" w:fill="C6EFCE"/>
            <w:noWrap/>
            <w:vAlign w:val="center"/>
          </w:tcPr>
          <w:p w14:paraId="53030E5F" w14:textId="77777777" w:rsidR="00A612E2" w:rsidRPr="00246CC4" w:rsidRDefault="00A612E2" w:rsidP="00742B81">
            <w:pPr>
              <w:rPr>
                <w:noProof/>
                <w:color w:val="006600"/>
                <w:sz w:val="20"/>
                <w:szCs w:val="20"/>
              </w:rPr>
            </w:pPr>
            <w:r>
              <w:rPr>
                <w:noProof/>
                <w:color w:val="006100"/>
                <w:sz w:val="20"/>
              </w:rPr>
              <w:t>Eesmärk</w:t>
            </w:r>
          </w:p>
        </w:tc>
        <w:tc>
          <w:tcPr>
            <w:tcW w:w="3714" w:type="dxa"/>
            <w:tcBorders>
              <w:top w:val="nil"/>
              <w:left w:val="nil"/>
              <w:bottom w:val="single" w:sz="4" w:space="0" w:color="auto"/>
              <w:right w:val="single" w:sz="4" w:space="0" w:color="auto"/>
            </w:tcBorders>
            <w:shd w:val="clear" w:color="auto" w:fill="C6EFCE"/>
            <w:noWrap/>
            <w:vAlign w:val="center"/>
          </w:tcPr>
          <w:p w14:paraId="374B26F5" w14:textId="5E5C3E6B" w:rsidR="00A612E2" w:rsidRPr="00246CC4" w:rsidRDefault="00A612E2" w:rsidP="00742B81">
            <w:pPr>
              <w:rPr>
                <w:noProof/>
                <w:color w:val="006600"/>
                <w:sz w:val="20"/>
                <w:szCs w:val="20"/>
              </w:rPr>
            </w:pPr>
            <w:r>
              <w:rPr>
                <w:noProof/>
                <w:color w:val="006100"/>
                <w:sz w:val="20"/>
              </w:rPr>
              <w:t>Kolmanda taseme haridussüsteemi reformide jõustumine haridustulemuste parandamiseks (esmased õigusaktid) järgmistes valdkondades: a) võimaldada akadeemilisi kraade; b) ülikoolikraad; c)</w:t>
            </w:r>
            <w:r w:rsidR="00956361">
              <w:rPr>
                <w:noProof/>
                <w:color w:val="006100"/>
                <w:sz w:val="20"/>
              </w:rPr>
              <w:t> </w:t>
            </w:r>
            <w:r>
              <w:rPr>
                <w:noProof/>
                <w:color w:val="006100"/>
                <w:sz w:val="20"/>
              </w:rPr>
              <w:t>doktoriõppe programmide reform</w:t>
            </w:r>
          </w:p>
        </w:tc>
      </w:tr>
      <w:tr w:rsidR="00A612E2" w:rsidRPr="00D90835" w14:paraId="4B2251C9"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4F1096A" w14:textId="77777777" w:rsidR="00A612E2" w:rsidRPr="00246CC4" w:rsidRDefault="00A612E2" w:rsidP="00742B81">
            <w:pPr>
              <w:jc w:val="center"/>
              <w:rPr>
                <w:noProof/>
                <w:color w:val="006100"/>
                <w:sz w:val="20"/>
                <w:szCs w:val="20"/>
              </w:rPr>
            </w:pPr>
            <w:r>
              <w:rPr>
                <w:noProof/>
                <w:color w:val="006100"/>
                <w:sz w:val="20"/>
              </w:rPr>
              <w:t>M4C1-2</w:t>
            </w:r>
          </w:p>
        </w:tc>
        <w:tc>
          <w:tcPr>
            <w:tcW w:w="3118" w:type="dxa"/>
            <w:tcBorders>
              <w:top w:val="nil"/>
              <w:left w:val="nil"/>
              <w:bottom w:val="single" w:sz="4" w:space="0" w:color="auto"/>
              <w:right w:val="single" w:sz="4" w:space="0" w:color="auto"/>
            </w:tcBorders>
            <w:shd w:val="clear" w:color="auto" w:fill="C6EFCE"/>
            <w:noWrap/>
            <w:vAlign w:val="center"/>
          </w:tcPr>
          <w:p w14:paraId="7E02DAC1" w14:textId="77777777" w:rsidR="00A612E2" w:rsidRPr="00246CC4" w:rsidRDefault="00A612E2" w:rsidP="00742B81">
            <w:pPr>
              <w:rPr>
                <w:noProof/>
                <w:color w:val="006100"/>
                <w:sz w:val="20"/>
                <w:szCs w:val="20"/>
              </w:rPr>
            </w:pPr>
            <w:r>
              <w:rPr>
                <w:noProof/>
                <w:color w:val="006100"/>
                <w:sz w:val="20"/>
              </w:rPr>
              <w:t>Investeering 1.7. Stipendiumid ülikoolidesse pääsemiseks</w:t>
            </w:r>
          </w:p>
        </w:tc>
        <w:tc>
          <w:tcPr>
            <w:tcW w:w="1418" w:type="dxa"/>
            <w:tcBorders>
              <w:top w:val="nil"/>
              <w:left w:val="nil"/>
              <w:bottom w:val="single" w:sz="4" w:space="0" w:color="auto"/>
              <w:right w:val="single" w:sz="4" w:space="0" w:color="auto"/>
            </w:tcBorders>
            <w:shd w:val="clear" w:color="auto" w:fill="C6EFCE"/>
            <w:noWrap/>
            <w:vAlign w:val="center"/>
          </w:tcPr>
          <w:p w14:paraId="4E8F279B" w14:textId="77777777" w:rsidR="00A612E2" w:rsidRPr="00246CC4" w:rsidRDefault="00A612E2" w:rsidP="00742B81">
            <w:pPr>
              <w:rPr>
                <w:noProof/>
                <w:color w:val="006600"/>
                <w:sz w:val="20"/>
                <w:szCs w:val="20"/>
              </w:rPr>
            </w:pPr>
            <w:r>
              <w:rPr>
                <w:noProof/>
                <w:color w:val="006100"/>
                <w:sz w:val="20"/>
              </w:rPr>
              <w:t>Eesmärk</w:t>
            </w:r>
          </w:p>
        </w:tc>
        <w:tc>
          <w:tcPr>
            <w:tcW w:w="3714" w:type="dxa"/>
            <w:tcBorders>
              <w:top w:val="nil"/>
              <w:left w:val="nil"/>
              <w:bottom w:val="single" w:sz="4" w:space="0" w:color="auto"/>
              <w:right w:val="single" w:sz="4" w:space="0" w:color="auto"/>
            </w:tcBorders>
            <w:shd w:val="clear" w:color="auto" w:fill="C6EFCE"/>
            <w:noWrap/>
            <w:vAlign w:val="center"/>
          </w:tcPr>
          <w:p w14:paraId="64EF4B22" w14:textId="77777777" w:rsidR="00A612E2" w:rsidRPr="00246CC4" w:rsidRDefault="00A612E2" w:rsidP="00742B81">
            <w:pPr>
              <w:rPr>
                <w:noProof/>
                <w:color w:val="006600"/>
                <w:sz w:val="20"/>
                <w:szCs w:val="20"/>
              </w:rPr>
            </w:pPr>
            <w:r>
              <w:rPr>
                <w:noProof/>
                <w:color w:val="006100"/>
                <w:sz w:val="20"/>
              </w:rPr>
              <w:t>Selliste ministri määruste jõustumine, millega reformitakse stipendiume, et parandada juurdepääsu kolmanda taseme haridusele</w:t>
            </w:r>
          </w:p>
        </w:tc>
      </w:tr>
      <w:tr w:rsidR="00A612E2" w:rsidRPr="00D90835" w14:paraId="6E352BD1"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EA85E36" w14:textId="77777777" w:rsidR="00A612E2" w:rsidRPr="00246CC4" w:rsidRDefault="00A612E2" w:rsidP="00742B81">
            <w:pPr>
              <w:jc w:val="center"/>
              <w:rPr>
                <w:noProof/>
                <w:color w:val="006100"/>
                <w:sz w:val="20"/>
                <w:szCs w:val="20"/>
              </w:rPr>
            </w:pPr>
            <w:r>
              <w:rPr>
                <w:noProof/>
                <w:color w:val="006100"/>
                <w:sz w:val="20"/>
              </w:rPr>
              <w:t xml:space="preserve">M5C1-1 </w:t>
            </w:r>
          </w:p>
        </w:tc>
        <w:tc>
          <w:tcPr>
            <w:tcW w:w="3118" w:type="dxa"/>
            <w:tcBorders>
              <w:top w:val="nil"/>
              <w:left w:val="nil"/>
              <w:bottom w:val="single" w:sz="4" w:space="0" w:color="auto"/>
              <w:right w:val="single" w:sz="4" w:space="0" w:color="auto"/>
            </w:tcBorders>
            <w:shd w:val="clear" w:color="auto" w:fill="C6EFCE"/>
            <w:noWrap/>
            <w:vAlign w:val="center"/>
          </w:tcPr>
          <w:p w14:paraId="1C3347CA" w14:textId="77777777" w:rsidR="00A612E2" w:rsidRPr="00246CC4" w:rsidRDefault="00A612E2" w:rsidP="00742B81">
            <w:pPr>
              <w:rPr>
                <w:noProof/>
                <w:color w:val="006100"/>
                <w:sz w:val="20"/>
                <w:szCs w:val="20"/>
              </w:rPr>
            </w:pPr>
            <w:r>
              <w:rPr>
                <w:noProof/>
                <w:color w:val="006100"/>
                <w:sz w:val="20"/>
              </w:rPr>
              <w:t>Reform 1. Aktiivne tööturupoliitika ja kutseõpe</w:t>
            </w:r>
          </w:p>
        </w:tc>
        <w:tc>
          <w:tcPr>
            <w:tcW w:w="1418" w:type="dxa"/>
            <w:tcBorders>
              <w:top w:val="nil"/>
              <w:left w:val="nil"/>
              <w:bottom w:val="single" w:sz="4" w:space="0" w:color="auto"/>
              <w:right w:val="single" w:sz="4" w:space="0" w:color="auto"/>
            </w:tcBorders>
            <w:shd w:val="clear" w:color="auto" w:fill="C6EFCE"/>
            <w:noWrap/>
            <w:vAlign w:val="center"/>
          </w:tcPr>
          <w:p w14:paraId="7655C1C2" w14:textId="77777777" w:rsidR="00A612E2" w:rsidRPr="00246CC4" w:rsidRDefault="00A612E2" w:rsidP="00742B81">
            <w:pPr>
              <w:rPr>
                <w:noProof/>
                <w:color w:val="006600"/>
                <w:sz w:val="20"/>
                <w:szCs w:val="20"/>
              </w:rPr>
            </w:pPr>
            <w:r>
              <w:rPr>
                <w:noProof/>
                <w:color w:val="006100"/>
                <w:sz w:val="20"/>
              </w:rPr>
              <w:t>Eesmärk</w:t>
            </w:r>
          </w:p>
        </w:tc>
        <w:tc>
          <w:tcPr>
            <w:tcW w:w="3714" w:type="dxa"/>
            <w:tcBorders>
              <w:top w:val="nil"/>
              <w:left w:val="nil"/>
              <w:bottom w:val="single" w:sz="4" w:space="0" w:color="auto"/>
              <w:right w:val="single" w:sz="4" w:space="0" w:color="auto"/>
            </w:tcBorders>
            <w:shd w:val="clear" w:color="auto" w:fill="C6EFCE"/>
            <w:noWrap/>
            <w:vAlign w:val="center"/>
          </w:tcPr>
          <w:p w14:paraId="52F72437" w14:textId="77777777" w:rsidR="00A612E2" w:rsidRPr="00246CC4" w:rsidRDefault="00A612E2" w:rsidP="00742B81">
            <w:pPr>
              <w:rPr>
                <w:noProof/>
                <w:color w:val="006600"/>
                <w:sz w:val="20"/>
                <w:szCs w:val="20"/>
              </w:rPr>
            </w:pPr>
            <w:r>
              <w:rPr>
                <w:noProof/>
                <w:color w:val="006100"/>
                <w:sz w:val="20"/>
              </w:rPr>
              <w:t>Ministeeriumidevahelise dekreedi, millega kehtestatakse töötajate tagatud tööalase konkurentsivõime riiklik programm, ja ministeeriumidevahelise dekreedi, millega kehtestatakse riiklik uute oskuste kava, jõustumine</w:t>
            </w:r>
          </w:p>
        </w:tc>
      </w:tr>
      <w:tr w:rsidR="00A612E2" w:rsidRPr="00D90835" w14:paraId="12185EE7"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8DEE8F7" w14:textId="77777777" w:rsidR="00A612E2" w:rsidRPr="00246CC4" w:rsidRDefault="00A612E2" w:rsidP="00742B81">
            <w:pPr>
              <w:jc w:val="center"/>
              <w:rPr>
                <w:noProof/>
                <w:color w:val="006100"/>
                <w:sz w:val="20"/>
                <w:szCs w:val="20"/>
              </w:rPr>
            </w:pPr>
            <w:r>
              <w:rPr>
                <w:noProof/>
                <w:color w:val="006100"/>
                <w:sz w:val="20"/>
              </w:rPr>
              <w:t>M5C2-1</w:t>
            </w:r>
          </w:p>
        </w:tc>
        <w:tc>
          <w:tcPr>
            <w:tcW w:w="3118" w:type="dxa"/>
            <w:tcBorders>
              <w:top w:val="nil"/>
              <w:left w:val="nil"/>
              <w:bottom w:val="single" w:sz="4" w:space="0" w:color="auto"/>
              <w:right w:val="single" w:sz="4" w:space="0" w:color="auto"/>
            </w:tcBorders>
            <w:shd w:val="clear" w:color="auto" w:fill="C6EFCE"/>
            <w:noWrap/>
            <w:vAlign w:val="center"/>
          </w:tcPr>
          <w:p w14:paraId="6A9BFEE7" w14:textId="77777777" w:rsidR="00A612E2" w:rsidRPr="00246CC4" w:rsidRDefault="00A612E2" w:rsidP="00742B81">
            <w:pPr>
              <w:rPr>
                <w:noProof/>
                <w:color w:val="006100"/>
                <w:sz w:val="20"/>
                <w:szCs w:val="20"/>
              </w:rPr>
            </w:pPr>
            <w:r>
              <w:rPr>
                <w:noProof/>
                <w:color w:val="006100"/>
                <w:sz w:val="20"/>
              </w:rPr>
              <w:t>Reform 1. Puuetega inimesi käsitlev raamseadus</w:t>
            </w:r>
          </w:p>
        </w:tc>
        <w:tc>
          <w:tcPr>
            <w:tcW w:w="1418" w:type="dxa"/>
            <w:tcBorders>
              <w:top w:val="nil"/>
              <w:left w:val="nil"/>
              <w:bottom w:val="single" w:sz="4" w:space="0" w:color="auto"/>
              <w:right w:val="single" w:sz="4" w:space="0" w:color="auto"/>
            </w:tcBorders>
            <w:shd w:val="clear" w:color="auto" w:fill="C6EFCE"/>
            <w:noWrap/>
            <w:vAlign w:val="center"/>
          </w:tcPr>
          <w:p w14:paraId="7D8EE671" w14:textId="77777777" w:rsidR="00A612E2" w:rsidRPr="00246CC4" w:rsidRDefault="00A612E2" w:rsidP="00742B81">
            <w:pPr>
              <w:rPr>
                <w:noProof/>
                <w:color w:val="006600"/>
                <w:sz w:val="20"/>
                <w:szCs w:val="20"/>
              </w:rPr>
            </w:pPr>
            <w:r>
              <w:rPr>
                <w:noProof/>
                <w:color w:val="006100"/>
                <w:sz w:val="20"/>
              </w:rPr>
              <w:t>Eesmärk</w:t>
            </w:r>
          </w:p>
        </w:tc>
        <w:tc>
          <w:tcPr>
            <w:tcW w:w="3714" w:type="dxa"/>
            <w:tcBorders>
              <w:top w:val="nil"/>
              <w:left w:val="nil"/>
              <w:bottom w:val="single" w:sz="4" w:space="0" w:color="auto"/>
              <w:right w:val="single" w:sz="4" w:space="0" w:color="auto"/>
            </w:tcBorders>
            <w:shd w:val="clear" w:color="auto" w:fill="C6EFCE"/>
            <w:noWrap/>
            <w:vAlign w:val="center"/>
          </w:tcPr>
          <w:p w14:paraId="6E2B66EC" w14:textId="77777777" w:rsidR="00A612E2" w:rsidRPr="00246CC4" w:rsidRDefault="00A612E2" w:rsidP="00742B81">
            <w:pPr>
              <w:rPr>
                <w:noProof/>
                <w:color w:val="006600"/>
                <w:sz w:val="20"/>
                <w:szCs w:val="20"/>
              </w:rPr>
            </w:pPr>
            <w:r>
              <w:rPr>
                <w:noProof/>
                <w:color w:val="006100"/>
                <w:sz w:val="20"/>
              </w:rPr>
              <w:t>Puuetega inimeste iseseisvuse tugevdamise raamseaduse jõustumine.</w:t>
            </w:r>
          </w:p>
        </w:tc>
      </w:tr>
      <w:tr w:rsidR="00A612E2" w:rsidRPr="00D90835" w14:paraId="2B7B7FD8"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BFD7E70" w14:textId="77777777" w:rsidR="00A612E2" w:rsidRPr="00246CC4" w:rsidRDefault="00A612E2" w:rsidP="00742B81">
            <w:pPr>
              <w:jc w:val="center"/>
              <w:rPr>
                <w:noProof/>
                <w:color w:val="006100"/>
                <w:sz w:val="20"/>
                <w:szCs w:val="20"/>
              </w:rPr>
            </w:pPr>
            <w:r>
              <w:rPr>
                <w:noProof/>
                <w:color w:val="006100"/>
                <w:sz w:val="20"/>
              </w:rPr>
              <w:t>M5C2-5</w:t>
            </w:r>
          </w:p>
        </w:tc>
        <w:tc>
          <w:tcPr>
            <w:tcW w:w="3118" w:type="dxa"/>
            <w:tcBorders>
              <w:top w:val="nil"/>
              <w:left w:val="nil"/>
              <w:bottom w:val="single" w:sz="4" w:space="0" w:color="auto"/>
              <w:right w:val="single" w:sz="4" w:space="0" w:color="auto"/>
            </w:tcBorders>
            <w:shd w:val="clear" w:color="auto" w:fill="C6EFCE"/>
            <w:noWrap/>
            <w:vAlign w:val="center"/>
          </w:tcPr>
          <w:p w14:paraId="56E86335" w14:textId="77777777" w:rsidR="00A612E2" w:rsidRPr="00246CC4" w:rsidRDefault="00A612E2" w:rsidP="00742B81">
            <w:pPr>
              <w:rPr>
                <w:noProof/>
                <w:color w:val="006100"/>
                <w:sz w:val="20"/>
                <w:szCs w:val="20"/>
              </w:rPr>
            </w:pPr>
            <w:r>
              <w:rPr>
                <w:noProof/>
                <w:color w:val="006100"/>
                <w:sz w:val="20"/>
              </w:rPr>
              <w:t>Investeering 1. Haavatavate isikute toetamine ja institutsionaliseerimise ärahoidmine</w:t>
            </w:r>
          </w:p>
        </w:tc>
        <w:tc>
          <w:tcPr>
            <w:tcW w:w="1418" w:type="dxa"/>
            <w:tcBorders>
              <w:top w:val="nil"/>
              <w:left w:val="nil"/>
              <w:bottom w:val="single" w:sz="4" w:space="0" w:color="auto"/>
              <w:right w:val="single" w:sz="4" w:space="0" w:color="auto"/>
            </w:tcBorders>
            <w:shd w:val="clear" w:color="auto" w:fill="C6EFCE"/>
            <w:noWrap/>
            <w:vAlign w:val="center"/>
          </w:tcPr>
          <w:p w14:paraId="2C32BDE6" w14:textId="77777777" w:rsidR="00A612E2" w:rsidRPr="00246CC4" w:rsidRDefault="00A612E2" w:rsidP="00742B81">
            <w:pPr>
              <w:rPr>
                <w:noProof/>
                <w:color w:val="006600"/>
                <w:sz w:val="20"/>
                <w:szCs w:val="20"/>
              </w:rPr>
            </w:pPr>
            <w:r>
              <w:rPr>
                <w:noProof/>
                <w:color w:val="006100"/>
                <w:sz w:val="20"/>
              </w:rPr>
              <w:t>Eesmärk</w:t>
            </w:r>
          </w:p>
        </w:tc>
        <w:tc>
          <w:tcPr>
            <w:tcW w:w="3714" w:type="dxa"/>
            <w:tcBorders>
              <w:top w:val="nil"/>
              <w:left w:val="nil"/>
              <w:bottom w:val="single" w:sz="4" w:space="0" w:color="auto"/>
              <w:right w:val="single" w:sz="4" w:space="0" w:color="auto"/>
            </w:tcBorders>
            <w:shd w:val="clear" w:color="auto" w:fill="C6EFCE"/>
            <w:noWrap/>
            <w:vAlign w:val="center"/>
          </w:tcPr>
          <w:p w14:paraId="31ABEBA2" w14:textId="77777777" w:rsidR="00A612E2" w:rsidRPr="00246CC4" w:rsidRDefault="00A612E2" w:rsidP="00742B81">
            <w:pPr>
              <w:rPr>
                <w:noProof/>
                <w:color w:val="006600"/>
                <w:sz w:val="20"/>
                <w:szCs w:val="20"/>
              </w:rPr>
            </w:pPr>
            <w:r>
              <w:rPr>
                <w:noProof/>
                <w:color w:val="006100"/>
                <w:sz w:val="20"/>
              </w:rPr>
              <w:t>Tegevuskava jõustumine</w:t>
            </w:r>
          </w:p>
        </w:tc>
      </w:tr>
      <w:tr w:rsidR="00A612E2" w:rsidRPr="00246CC4" w14:paraId="1C91ADAF" w14:textId="77777777" w:rsidTr="00742B81">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3BE43AB7" w14:textId="77777777" w:rsidR="00A612E2" w:rsidRPr="003B127D" w:rsidRDefault="00A612E2" w:rsidP="00742B81">
            <w:pPr>
              <w:jc w:val="center"/>
              <w:rPr>
                <w:noProof/>
                <w:color w:val="006100"/>
                <w:sz w:val="20"/>
                <w:szCs w:val="20"/>
                <w:lang w:val="en-IE"/>
              </w:rPr>
            </w:pPr>
          </w:p>
        </w:tc>
        <w:tc>
          <w:tcPr>
            <w:tcW w:w="3118" w:type="dxa"/>
            <w:tcBorders>
              <w:top w:val="single" w:sz="4" w:space="0" w:color="auto"/>
              <w:left w:val="nil"/>
              <w:bottom w:val="single" w:sz="4" w:space="0" w:color="auto"/>
              <w:right w:val="single" w:sz="4" w:space="0" w:color="auto"/>
            </w:tcBorders>
            <w:shd w:val="clear" w:color="auto" w:fill="C6EFCE"/>
            <w:noWrap/>
            <w:vAlign w:val="bottom"/>
          </w:tcPr>
          <w:p w14:paraId="3DAD4FA1" w14:textId="77777777" w:rsidR="00A612E2" w:rsidRPr="003B127D" w:rsidRDefault="00A612E2" w:rsidP="00742B81">
            <w:pPr>
              <w:rPr>
                <w:noProof/>
                <w:color w:val="006100"/>
                <w:sz w:val="20"/>
                <w:szCs w:val="20"/>
                <w:lang w:val="en-IE"/>
              </w:rPr>
            </w:pPr>
          </w:p>
        </w:tc>
        <w:tc>
          <w:tcPr>
            <w:tcW w:w="1418" w:type="dxa"/>
            <w:tcBorders>
              <w:top w:val="single" w:sz="4" w:space="0" w:color="auto"/>
              <w:left w:val="nil"/>
              <w:bottom w:val="single" w:sz="4" w:space="0" w:color="auto"/>
              <w:right w:val="single" w:sz="4" w:space="0" w:color="auto"/>
            </w:tcBorders>
            <w:shd w:val="clear" w:color="auto" w:fill="C6EFCE"/>
            <w:noWrap/>
            <w:vAlign w:val="bottom"/>
          </w:tcPr>
          <w:p w14:paraId="3CD4A277" w14:textId="77777777" w:rsidR="00A612E2" w:rsidRPr="00246CC4" w:rsidRDefault="00A612E2" w:rsidP="00742B81">
            <w:pPr>
              <w:rPr>
                <w:noProof/>
                <w:color w:val="006100"/>
                <w:sz w:val="20"/>
                <w:szCs w:val="20"/>
              </w:rPr>
            </w:pPr>
            <w:r>
              <w:rPr>
                <w:noProof/>
                <w:color w:val="006100"/>
                <w:sz w:val="20"/>
              </w:rPr>
              <w:t>Osamakse summa</w:t>
            </w:r>
          </w:p>
        </w:tc>
        <w:tc>
          <w:tcPr>
            <w:tcW w:w="3714" w:type="dxa"/>
            <w:tcBorders>
              <w:top w:val="single" w:sz="4" w:space="0" w:color="auto"/>
              <w:left w:val="nil"/>
              <w:bottom w:val="single" w:sz="4" w:space="0" w:color="auto"/>
              <w:right w:val="single" w:sz="4" w:space="0" w:color="auto"/>
            </w:tcBorders>
            <w:shd w:val="clear" w:color="auto" w:fill="C6EFCE"/>
            <w:noWrap/>
            <w:vAlign w:val="bottom"/>
          </w:tcPr>
          <w:p w14:paraId="446973F1" w14:textId="77777777" w:rsidR="00A612E2" w:rsidRPr="00246CC4" w:rsidRDefault="00A612E2" w:rsidP="00742B81">
            <w:pPr>
              <w:rPr>
                <w:noProof/>
                <w:color w:val="006100"/>
                <w:sz w:val="20"/>
                <w:szCs w:val="20"/>
              </w:rPr>
            </w:pPr>
            <w:r>
              <w:rPr>
                <w:noProof/>
                <w:color w:val="006100"/>
                <w:sz w:val="20"/>
              </w:rPr>
              <w:t>11</w:t>
            </w:r>
            <w:r>
              <w:rPr>
                <w:rFonts w:ascii="Arial Narrow" w:hAnsi="Arial Narrow"/>
                <w:noProof/>
                <w:color w:val="006100"/>
                <w:sz w:val="20"/>
              </w:rPr>
              <w:t xml:space="preserve"> </w:t>
            </w:r>
            <w:r>
              <w:rPr>
                <w:noProof/>
                <w:color w:val="006100"/>
                <w:sz w:val="20"/>
              </w:rPr>
              <w:t>494</w:t>
            </w:r>
            <w:r>
              <w:rPr>
                <w:rFonts w:ascii="Arial Narrow" w:hAnsi="Arial Narrow"/>
                <w:noProof/>
                <w:color w:val="006100"/>
                <w:sz w:val="20"/>
              </w:rPr>
              <w:t xml:space="preserve"> </w:t>
            </w:r>
            <w:r>
              <w:rPr>
                <w:noProof/>
                <w:color w:val="006100"/>
                <w:sz w:val="20"/>
              </w:rPr>
              <w:t>252</w:t>
            </w:r>
            <w:r>
              <w:rPr>
                <w:rFonts w:ascii="Arial Narrow" w:hAnsi="Arial Narrow"/>
                <w:noProof/>
                <w:color w:val="006100"/>
                <w:sz w:val="20"/>
              </w:rPr>
              <w:t xml:space="preserve"> </w:t>
            </w:r>
            <w:r>
              <w:rPr>
                <w:noProof/>
                <w:color w:val="006100"/>
                <w:sz w:val="20"/>
              </w:rPr>
              <w:t xml:space="preserve">874 eurot   </w:t>
            </w:r>
          </w:p>
        </w:tc>
      </w:tr>
    </w:tbl>
    <w:p w14:paraId="1BC0D0D8" w14:textId="77777777" w:rsidR="00A612E2" w:rsidRPr="00246CC4" w:rsidRDefault="00A612E2" w:rsidP="00A612E2">
      <w:pPr>
        <w:spacing w:before="120" w:after="120"/>
        <w:ind w:left="850"/>
        <w:jc w:val="both"/>
        <w:rPr>
          <w:rFonts w:eastAsia="Calibri"/>
          <w:noProof/>
          <w:lang w:val="en-GB"/>
        </w:rPr>
      </w:pPr>
    </w:p>
    <w:p w14:paraId="4F189FC5" w14:textId="77777777" w:rsidR="00A612E2" w:rsidRPr="00246CC4" w:rsidRDefault="00A612E2" w:rsidP="00A612E2">
      <w:pPr>
        <w:numPr>
          <w:ilvl w:val="1"/>
          <w:numId w:val="6"/>
        </w:numPr>
        <w:spacing w:before="120" w:after="120"/>
        <w:jc w:val="both"/>
        <w:rPr>
          <w:rFonts w:eastAsia="Calibri"/>
          <w:noProof/>
        </w:rPr>
      </w:pPr>
      <w:r>
        <w:rPr>
          <w:noProof/>
        </w:rPr>
        <w:t>Teine osamakse (tagastamatu toetus):</w:t>
      </w:r>
    </w:p>
    <w:tbl>
      <w:tblPr>
        <w:tblW w:w="9692" w:type="dxa"/>
        <w:tblInd w:w="113" w:type="dxa"/>
        <w:tblLook w:val="04A0" w:firstRow="1" w:lastRow="0" w:firstColumn="1" w:lastColumn="0" w:noHBand="0" w:noVBand="1"/>
      </w:tblPr>
      <w:tblGrid>
        <w:gridCol w:w="1827"/>
        <w:gridCol w:w="3118"/>
        <w:gridCol w:w="1418"/>
        <w:gridCol w:w="3743"/>
      </w:tblGrid>
      <w:tr w:rsidR="00A612E2" w:rsidRPr="00246CC4" w14:paraId="7EFE05C1" w14:textId="77777777" w:rsidTr="00742B81">
        <w:trPr>
          <w:trHeight w:val="906"/>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EB63655" w14:textId="77777777" w:rsidR="00A612E2" w:rsidRPr="00246CC4" w:rsidRDefault="00A612E2" w:rsidP="00742B81">
            <w:pPr>
              <w:jc w:val="center"/>
              <w:rPr>
                <w:b/>
                <w:bCs/>
                <w:noProof/>
                <w:sz w:val="20"/>
                <w:szCs w:val="20"/>
              </w:rPr>
            </w:pPr>
            <w:r>
              <w:rPr>
                <w:b/>
                <w:noProof/>
                <w:sz w:val="20"/>
              </w:rPr>
              <w:t>Järjekorranumber</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F4F5F0E" w14:textId="77777777" w:rsidR="00A612E2" w:rsidRPr="003B127D" w:rsidRDefault="00A612E2" w:rsidP="00742B81">
            <w:pPr>
              <w:jc w:val="center"/>
              <w:rPr>
                <w:b/>
                <w:bCs/>
                <w:noProof/>
                <w:sz w:val="20"/>
                <w:szCs w:val="20"/>
              </w:rPr>
            </w:pPr>
            <w:r>
              <w:rPr>
                <w:b/>
                <w:noProof/>
                <w:sz w:val="20"/>
              </w:rPr>
              <w:t>Seotud meede (reform või investeering)</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2FE5F73" w14:textId="77777777" w:rsidR="00A612E2" w:rsidRPr="00246CC4" w:rsidRDefault="00A612E2" w:rsidP="00742B81">
            <w:pPr>
              <w:jc w:val="center"/>
              <w:rPr>
                <w:b/>
                <w:bCs/>
                <w:noProof/>
                <w:sz w:val="20"/>
                <w:szCs w:val="20"/>
              </w:rPr>
            </w:pPr>
            <w:r>
              <w:rPr>
                <w:b/>
                <w:noProof/>
                <w:sz w:val="20"/>
              </w:rPr>
              <w:t>Eesmärk / siht</w:t>
            </w:r>
          </w:p>
        </w:tc>
        <w:tc>
          <w:tcPr>
            <w:tcW w:w="37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3A07D91" w14:textId="77777777" w:rsidR="00A612E2" w:rsidRPr="00246CC4" w:rsidRDefault="00A612E2" w:rsidP="00742B81">
            <w:pPr>
              <w:jc w:val="center"/>
              <w:rPr>
                <w:b/>
                <w:bCs/>
                <w:noProof/>
                <w:sz w:val="20"/>
                <w:szCs w:val="20"/>
              </w:rPr>
            </w:pPr>
            <w:r>
              <w:rPr>
                <w:b/>
                <w:noProof/>
                <w:sz w:val="20"/>
              </w:rPr>
              <w:t>Nimi</w:t>
            </w:r>
          </w:p>
        </w:tc>
      </w:tr>
      <w:tr w:rsidR="00A612E2" w:rsidRPr="00246CC4" w14:paraId="529BC1CE" w14:textId="77777777" w:rsidTr="00742B81">
        <w:trPr>
          <w:trHeight w:val="517"/>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22FB465" w14:textId="77777777" w:rsidR="00A612E2" w:rsidRPr="00246CC4" w:rsidRDefault="00A612E2" w:rsidP="00742B81">
            <w:pPr>
              <w:rPr>
                <w:b/>
                <w:bCs/>
                <w:noProof/>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2B288D7D" w14:textId="77777777" w:rsidR="00A612E2" w:rsidRPr="00246CC4" w:rsidRDefault="00A612E2" w:rsidP="00742B81">
            <w:pPr>
              <w:rPr>
                <w:b/>
                <w:bCs/>
                <w:noProof/>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DC8C58F" w14:textId="77777777" w:rsidR="00A612E2" w:rsidRPr="00246CC4" w:rsidRDefault="00A612E2" w:rsidP="00742B81">
            <w:pPr>
              <w:rPr>
                <w:b/>
                <w:bCs/>
                <w:noProof/>
              </w:rPr>
            </w:pPr>
          </w:p>
        </w:tc>
        <w:tc>
          <w:tcPr>
            <w:tcW w:w="3743" w:type="dxa"/>
            <w:vMerge/>
            <w:tcBorders>
              <w:top w:val="single" w:sz="4" w:space="0" w:color="auto"/>
              <w:left w:val="single" w:sz="4" w:space="0" w:color="auto"/>
              <w:bottom w:val="single" w:sz="4" w:space="0" w:color="auto"/>
              <w:right w:val="single" w:sz="4" w:space="0" w:color="auto"/>
            </w:tcBorders>
            <w:vAlign w:val="center"/>
            <w:hideMark/>
          </w:tcPr>
          <w:p w14:paraId="2A4FCDED" w14:textId="77777777" w:rsidR="00A612E2" w:rsidRPr="00246CC4" w:rsidRDefault="00A612E2" w:rsidP="00742B81">
            <w:pPr>
              <w:rPr>
                <w:b/>
                <w:bCs/>
                <w:noProof/>
              </w:rPr>
            </w:pPr>
          </w:p>
        </w:tc>
      </w:tr>
      <w:tr w:rsidR="00A612E2" w:rsidRPr="00D90835" w14:paraId="0FF47DA7" w14:textId="77777777" w:rsidTr="00742B81">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C66EB54" w14:textId="77777777" w:rsidR="00A612E2" w:rsidRPr="00246CC4" w:rsidRDefault="00A612E2" w:rsidP="00742B81">
            <w:pPr>
              <w:jc w:val="center"/>
              <w:rPr>
                <w:noProof/>
                <w:color w:val="006100"/>
                <w:sz w:val="20"/>
                <w:szCs w:val="20"/>
              </w:rPr>
            </w:pPr>
            <w:r>
              <w:rPr>
                <w:noProof/>
                <w:color w:val="006100"/>
                <w:sz w:val="20"/>
              </w:rPr>
              <w:t>M2C4-5</w:t>
            </w:r>
          </w:p>
        </w:tc>
        <w:tc>
          <w:tcPr>
            <w:tcW w:w="3118" w:type="dxa"/>
            <w:tcBorders>
              <w:top w:val="single" w:sz="4" w:space="0" w:color="auto"/>
              <w:left w:val="nil"/>
              <w:bottom w:val="single" w:sz="4" w:space="0" w:color="auto"/>
              <w:right w:val="single" w:sz="4" w:space="0" w:color="auto"/>
            </w:tcBorders>
            <w:shd w:val="clear" w:color="auto" w:fill="C6EFCE"/>
            <w:noWrap/>
            <w:vAlign w:val="center"/>
          </w:tcPr>
          <w:p w14:paraId="535EDA25" w14:textId="77777777" w:rsidR="00A612E2" w:rsidRPr="003B127D" w:rsidRDefault="00A612E2" w:rsidP="00742B81">
            <w:pPr>
              <w:rPr>
                <w:noProof/>
                <w:color w:val="006100"/>
                <w:sz w:val="20"/>
                <w:szCs w:val="20"/>
              </w:rPr>
            </w:pPr>
            <w:r>
              <w:rPr>
                <w:noProof/>
                <w:color w:val="006100"/>
                <w:sz w:val="20"/>
              </w:rPr>
              <w:t>Investeering 3.2. Rahvusparkide digiteerimine</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14:paraId="78E3951B" w14:textId="77777777" w:rsidR="00A612E2" w:rsidRPr="00246CC4" w:rsidRDefault="00A612E2" w:rsidP="00742B81">
            <w:pPr>
              <w:rPr>
                <w:noProof/>
                <w:color w:val="006100"/>
                <w:sz w:val="20"/>
                <w:szCs w:val="20"/>
              </w:rPr>
            </w:pPr>
            <w:r>
              <w:rPr>
                <w:noProof/>
                <w:color w:val="006100"/>
                <w:sz w:val="20"/>
              </w:rPr>
              <w:t>Eesmärk</w:t>
            </w:r>
          </w:p>
        </w:tc>
        <w:tc>
          <w:tcPr>
            <w:tcW w:w="3743" w:type="dxa"/>
            <w:tcBorders>
              <w:top w:val="single" w:sz="4" w:space="0" w:color="auto"/>
              <w:left w:val="nil"/>
              <w:bottom w:val="single" w:sz="4" w:space="0" w:color="auto"/>
              <w:right w:val="single" w:sz="4" w:space="0" w:color="auto"/>
            </w:tcBorders>
            <w:shd w:val="clear" w:color="auto" w:fill="C6EFCE"/>
            <w:noWrap/>
            <w:vAlign w:val="center"/>
          </w:tcPr>
          <w:p w14:paraId="4DDC1A94" w14:textId="77777777" w:rsidR="00A612E2" w:rsidRPr="003B127D" w:rsidRDefault="00A612E2" w:rsidP="00742B81">
            <w:pPr>
              <w:rPr>
                <w:noProof/>
                <w:color w:val="006100"/>
                <w:sz w:val="20"/>
                <w:szCs w:val="20"/>
              </w:rPr>
            </w:pPr>
            <w:r>
              <w:rPr>
                <w:noProof/>
                <w:color w:val="006100"/>
                <w:sz w:val="20"/>
              </w:rPr>
              <w:t>Rahvusparkide ja merekaitsealade külastajatele pakutavate digitaalsete teenuste haldusliku lihtsustamise ja arendamise jõustumine</w:t>
            </w:r>
          </w:p>
        </w:tc>
      </w:tr>
      <w:tr w:rsidR="00A612E2" w:rsidRPr="00D90835" w14:paraId="73EA7A72"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18539FF" w14:textId="77777777" w:rsidR="00A612E2" w:rsidRPr="00246CC4" w:rsidRDefault="00A612E2" w:rsidP="00742B81">
            <w:pPr>
              <w:jc w:val="center"/>
              <w:rPr>
                <w:noProof/>
                <w:color w:val="006100"/>
                <w:sz w:val="20"/>
                <w:szCs w:val="20"/>
              </w:rPr>
            </w:pPr>
            <w:r>
              <w:rPr>
                <w:noProof/>
                <w:color w:val="006100"/>
                <w:sz w:val="20"/>
              </w:rPr>
              <w:t>M5C2-9</w:t>
            </w:r>
          </w:p>
        </w:tc>
        <w:tc>
          <w:tcPr>
            <w:tcW w:w="3118" w:type="dxa"/>
            <w:tcBorders>
              <w:top w:val="nil"/>
              <w:left w:val="nil"/>
              <w:bottom w:val="single" w:sz="4" w:space="0" w:color="auto"/>
              <w:right w:val="single" w:sz="4" w:space="0" w:color="auto"/>
            </w:tcBorders>
            <w:shd w:val="clear" w:color="auto" w:fill="C6EFCE"/>
            <w:noWrap/>
            <w:vAlign w:val="center"/>
          </w:tcPr>
          <w:p w14:paraId="5F0ECCAB" w14:textId="77777777" w:rsidR="00A612E2" w:rsidRPr="003B127D" w:rsidRDefault="00A612E2" w:rsidP="00742B81">
            <w:pPr>
              <w:rPr>
                <w:noProof/>
                <w:color w:val="006100"/>
                <w:sz w:val="20"/>
                <w:szCs w:val="20"/>
              </w:rPr>
            </w:pPr>
            <w:r>
              <w:rPr>
                <w:noProof/>
                <w:color w:val="006100"/>
                <w:sz w:val="20"/>
              </w:rPr>
              <w:t>Investeering 3. Ees- ja järelpaigad elamumajanduseks</w:t>
            </w:r>
          </w:p>
        </w:tc>
        <w:tc>
          <w:tcPr>
            <w:tcW w:w="1418" w:type="dxa"/>
            <w:tcBorders>
              <w:top w:val="nil"/>
              <w:left w:val="nil"/>
              <w:bottom w:val="single" w:sz="4" w:space="0" w:color="auto"/>
              <w:right w:val="single" w:sz="4" w:space="0" w:color="auto"/>
            </w:tcBorders>
            <w:shd w:val="clear" w:color="auto" w:fill="C6EFCE"/>
            <w:noWrap/>
            <w:vAlign w:val="center"/>
          </w:tcPr>
          <w:p w14:paraId="55CE9E93" w14:textId="77777777" w:rsidR="00A612E2" w:rsidRPr="00246CC4" w:rsidRDefault="00A612E2" w:rsidP="00742B81">
            <w:pPr>
              <w:rPr>
                <w:noProof/>
                <w:color w:val="006100"/>
                <w:sz w:val="20"/>
                <w:szCs w:val="20"/>
              </w:rPr>
            </w:pPr>
            <w:r>
              <w:rPr>
                <w:noProof/>
                <w:color w:val="006100"/>
                <w:sz w:val="20"/>
              </w:rPr>
              <w:t>Eesmärk</w:t>
            </w:r>
          </w:p>
        </w:tc>
        <w:tc>
          <w:tcPr>
            <w:tcW w:w="3743" w:type="dxa"/>
            <w:tcBorders>
              <w:top w:val="nil"/>
              <w:left w:val="nil"/>
              <w:bottom w:val="single" w:sz="4" w:space="0" w:color="auto"/>
              <w:right w:val="single" w:sz="4" w:space="0" w:color="auto"/>
            </w:tcBorders>
            <w:shd w:val="clear" w:color="auto" w:fill="C6EFCE"/>
            <w:noWrap/>
            <w:vAlign w:val="center"/>
          </w:tcPr>
          <w:p w14:paraId="72A6612A" w14:textId="77777777" w:rsidR="00A612E2" w:rsidRPr="003B127D" w:rsidRDefault="00A612E2" w:rsidP="00742B81">
            <w:pPr>
              <w:rPr>
                <w:noProof/>
                <w:color w:val="006100"/>
                <w:sz w:val="20"/>
                <w:szCs w:val="20"/>
              </w:rPr>
            </w:pPr>
            <w:r>
              <w:rPr>
                <w:noProof/>
                <w:color w:val="006100"/>
                <w:sz w:val="20"/>
              </w:rPr>
              <w:t>Esimese ja teise taseme elamumajandust käsitlevate projektide tegevuskava jõustumine, milles määratakse kindlaks nõuded projektidele, mida saavad esitada kohalikud üksused, ning kuulutatakse välja projektikonkurss</w:t>
            </w:r>
          </w:p>
        </w:tc>
      </w:tr>
      <w:tr w:rsidR="00A612E2" w:rsidRPr="00D90835" w14:paraId="40806305"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56860BA" w14:textId="77777777" w:rsidR="00A612E2" w:rsidRPr="00246CC4" w:rsidRDefault="00A612E2" w:rsidP="00742B81">
            <w:pPr>
              <w:jc w:val="center"/>
              <w:rPr>
                <w:noProof/>
                <w:color w:val="006100"/>
                <w:sz w:val="20"/>
                <w:szCs w:val="20"/>
              </w:rPr>
            </w:pPr>
            <w:r>
              <w:rPr>
                <w:noProof/>
                <w:color w:val="006100"/>
                <w:sz w:val="20"/>
              </w:rPr>
              <w:t>M1C1-33</w:t>
            </w:r>
          </w:p>
        </w:tc>
        <w:tc>
          <w:tcPr>
            <w:tcW w:w="3118" w:type="dxa"/>
            <w:tcBorders>
              <w:top w:val="nil"/>
              <w:left w:val="nil"/>
              <w:bottom w:val="single" w:sz="4" w:space="0" w:color="auto"/>
              <w:right w:val="single" w:sz="4" w:space="0" w:color="auto"/>
            </w:tcBorders>
            <w:shd w:val="clear" w:color="auto" w:fill="C6EFCE"/>
            <w:noWrap/>
            <w:vAlign w:val="center"/>
          </w:tcPr>
          <w:p w14:paraId="1053760C" w14:textId="77777777" w:rsidR="00A612E2" w:rsidRPr="003B127D" w:rsidRDefault="00A612E2" w:rsidP="00742B81">
            <w:pPr>
              <w:rPr>
                <w:noProof/>
                <w:color w:val="006100"/>
                <w:sz w:val="20"/>
                <w:szCs w:val="20"/>
              </w:rPr>
            </w:pPr>
            <w:r>
              <w:rPr>
                <w:noProof/>
                <w:color w:val="006100"/>
                <w:sz w:val="20"/>
              </w:rPr>
              <w:t>Investeering 1.8. Halduskohtute värbamismenetlused</w:t>
            </w:r>
          </w:p>
        </w:tc>
        <w:tc>
          <w:tcPr>
            <w:tcW w:w="1418" w:type="dxa"/>
            <w:tcBorders>
              <w:top w:val="nil"/>
              <w:left w:val="nil"/>
              <w:bottom w:val="single" w:sz="4" w:space="0" w:color="auto"/>
              <w:right w:val="single" w:sz="4" w:space="0" w:color="auto"/>
            </w:tcBorders>
            <w:shd w:val="clear" w:color="auto" w:fill="C6EFCE"/>
            <w:noWrap/>
            <w:vAlign w:val="center"/>
          </w:tcPr>
          <w:p w14:paraId="6CE45FDB" w14:textId="77777777" w:rsidR="00A612E2" w:rsidRPr="00246CC4" w:rsidRDefault="00A612E2" w:rsidP="00742B81">
            <w:pPr>
              <w:rPr>
                <w:noProof/>
                <w:color w:val="006100"/>
                <w:sz w:val="20"/>
                <w:szCs w:val="20"/>
              </w:rPr>
            </w:pPr>
            <w:r>
              <w:rPr>
                <w:noProof/>
                <w:color w:val="006100"/>
                <w:sz w:val="20"/>
              </w:rPr>
              <w:t>Siht</w:t>
            </w:r>
          </w:p>
        </w:tc>
        <w:tc>
          <w:tcPr>
            <w:tcW w:w="3743" w:type="dxa"/>
            <w:tcBorders>
              <w:top w:val="nil"/>
              <w:left w:val="nil"/>
              <w:bottom w:val="single" w:sz="4" w:space="0" w:color="auto"/>
              <w:right w:val="single" w:sz="4" w:space="0" w:color="auto"/>
            </w:tcBorders>
            <w:shd w:val="clear" w:color="auto" w:fill="C6EFCE"/>
            <w:noWrap/>
            <w:vAlign w:val="center"/>
          </w:tcPr>
          <w:p w14:paraId="103E48ED" w14:textId="77777777" w:rsidR="00A612E2" w:rsidRPr="003B127D" w:rsidRDefault="00A612E2" w:rsidP="00742B81">
            <w:pPr>
              <w:rPr>
                <w:noProof/>
                <w:color w:val="006100"/>
                <w:sz w:val="20"/>
                <w:szCs w:val="20"/>
              </w:rPr>
            </w:pPr>
            <w:r>
              <w:rPr>
                <w:noProof/>
                <w:color w:val="006100"/>
                <w:sz w:val="20"/>
              </w:rPr>
              <w:t>Halduskohtute värbamismenetluste alustamine</w:t>
            </w:r>
          </w:p>
        </w:tc>
      </w:tr>
      <w:tr w:rsidR="00A612E2" w:rsidRPr="00D90835" w14:paraId="25AE69CB"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8639621" w14:textId="77777777" w:rsidR="00A612E2" w:rsidRPr="00246CC4" w:rsidRDefault="00A612E2" w:rsidP="00742B81">
            <w:pPr>
              <w:jc w:val="center"/>
              <w:rPr>
                <w:noProof/>
                <w:color w:val="006100"/>
                <w:sz w:val="20"/>
                <w:szCs w:val="20"/>
              </w:rPr>
            </w:pPr>
            <w:r>
              <w:rPr>
                <w:noProof/>
                <w:color w:val="006100"/>
                <w:sz w:val="20"/>
              </w:rPr>
              <w:t>M1C1-56</w:t>
            </w:r>
          </w:p>
        </w:tc>
        <w:tc>
          <w:tcPr>
            <w:tcW w:w="3118" w:type="dxa"/>
            <w:tcBorders>
              <w:top w:val="nil"/>
              <w:left w:val="nil"/>
              <w:bottom w:val="single" w:sz="4" w:space="0" w:color="auto"/>
              <w:right w:val="single" w:sz="4" w:space="0" w:color="auto"/>
            </w:tcBorders>
            <w:shd w:val="clear" w:color="auto" w:fill="C6EFCE"/>
            <w:noWrap/>
            <w:vAlign w:val="center"/>
          </w:tcPr>
          <w:p w14:paraId="3F832543" w14:textId="77777777" w:rsidR="00A612E2" w:rsidRPr="003B127D" w:rsidRDefault="00A612E2" w:rsidP="00742B81">
            <w:pPr>
              <w:rPr>
                <w:noProof/>
                <w:color w:val="006100"/>
                <w:sz w:val="20"/>
                <w:szCs w:val="20"/>
              </w:rPr>
            </w:pPr>
            <w:r>
              <w:rPr>
                <w:noProof/>
                <w:color w:val="006100"/>
                <w:sz w:val="20"/>
              </w:rPr>
              <w:t>Reform 1.9. Avaliku halduse reform</w:t>
            </w:r>
          </w:p>
        </w:tc>
        <w:tc>
          <w:tcPr>
            <w:tcW w:w="1418" w:type="dxa"/>
            <w:tcBorders>
              <w:top w:val="nil"/>
              <w:left w:val="nil"/>
              <w:bottom w:val="single" w:sz="4" w:space="0" w:color="auto"/>
              <w:right w:val="single" w:sz="4" w:space="0" w:color="auto"/>
            </w:tcBorders>
            <w:shd w:val="clear" w:color="auto" w:fill="C6EFCE"/>
            <w:noWrap/>
            <w:vAlign w:val="center"/>
          </w:tcPr>
          <w:p w14:paraId="25395ACD" w14:textId="77777777" w:rsidR="00A612E2" w:rsidRPr="00246CC4" w:rsidRDefault="00A612E2" w:rsidP="00742B81">
            <w:pPr>
              <w:rPr>
                <w:noProof/>
                <w:color w:val="006100"/>
                <w:sz w:val="20"/>
                <w:szCs w:val="20"/>
              </w:rPr>
            </w:pPr>
            <w:r>
              <w:rPr>
                <w:noProof/>
                <w:color w:val="006100"/>
                <w:sz w:val="20"/>
              </w:rPr>
              <w:t>Eesmärk</w:t>
            </w:r>
          </w:p>
        </w:tc>
        <w:tc>
          <w:tcPr>
            <w:tcW w:w="3743" w:type="dxa"/>
            <w:tcBorders>
              <w:top w:val="nil"/>
              <w:left w:val="nil"/>
              <w:bottom w:val="single" w:sz="4" w:space="0" w:color="auto"/>
              <w:right w:val="single" w:sz="4" w:space="0" w:color="auto"/>
            </w:tcBorders>
            <w:shd w:val="clear" w:color="auto" w:fill="C6EFCE"/>
            <w:noWrap/>
            <w:vAlign w:val="center"/>
          </w:tcPr>
          <w:p w14:paraId="245D2DAF" w14:textId="77777777" w:rsidR="00A612E2" w:rsidRPr="003B127D" w:rsidRDefault="00A612E2" w:rsidP="00742B81">
            <w:pPr>
              <w:rPr>
                <w:noProof/>
                <w:color w:val="006100"/>
                <w:sz w:val="20"/>
                <w:szCs w:val="20"/>
              </w:rPr>
            </w:pPr>
            <w:r>
              <w:rPr>
                <w:noProof/>
                <w:color w:val="006100"/>
                <w:sz w:val="20"/>
              </w:rPr>
              <w:t>Avaliku sektori tööhõivet reformimist võimaldavate õigusaktide jõustumine</w:t>
            </w:r>
          </w:p>
        </w:tc>
      </w:tr>
      <w:tr w:rsidR="00A612E2" w:rsidRPr="00D90835" w14:paraId="0B85056A"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F1D54B5" w14:textId="77777777" w:rsidR="00A612E2" w:rsidRPr="00246CC4" w:rsidRDefault="00A612E2" w:rsidP="00742B81">
            <w:pPr>
              <w:jc w:val="center"/>
              <w:rPr>
                <w:noProof/>
                <w:color w:val="006100"/>
                <w:sz w:val="20"/>
                <w:szCs w:val="20"/>
              </w:rPr>
            </w:pPr>
            <w:r>
              <w:rPr>
                <w:noProof/>
                <w:color w:val="006100"/>
                <w:sz w:val="20"/>
              </w:rPr>
              <w:t>M1C1-70</w:t>
            </w:r>
          </w:p>
        </w:tc>
        <w:tc>
          <w:tcPr>
            <w:tcW w:w="3118" w:type="dxa"/>
            <w:tcBorders>
              <w:top w:val="nil"/>
              <w:left w:val="nil"/>
              <w:bottom w:val="single" w:sz="4" w:space="0" w:color="auto"/>
              <w:right w:val="single" w:sz="4" w:space="0" w:color="auto"/>
            </w:tcBorders>
            <w:shd w:val="clear" w:color="auto" w:fill="C6EFCE"/>
            <w:noWrap/>
            <w:vAlign w:val="center"/>
          </w:tcPr>
          <w:p w14:paraId="134773EE" w14:textId="77777777" w:rsidR="00A612E2" w:rsidRPr="003B127D" w:rsidRDefault="00A612E2" w:rsidP="00742B81">
            <w:pPr>
              <w:rPr>
                <w:noProof/>
                <w:color w:val="006100"/>
                <w:sz w:val="20"/>
                <w:szCs w:val="20"/>
              </w:rPr>
            </w:pPr>
            <w:r>
              <w:rPr>
                <w:noProof/>
                <w:color w:val="006100"/>
                <w:sz w:val="20"/>
              </w:rPr>
              <w:t>Reform 1.10. Riigihangete õigusraamistiku reform</w:t>
            </w:r>
          </w:p>
        </w:tc>
        <w:tc>
          <w:tcPr>
            <w:tcW w:w="1418" w:type="dxa"/>
            <w:tcBorders>
              <w:top w:val="nil"/>
              <w:left w:val="nil"/>
              <w:bottom w:val="single" w:sz="4" w:space="0" w:color="auto"/>
              <w:right w:val="single" w:sz="4" w:space="0" w:color="auto"/>
            </w:tcBorders>
            <w:shd w:val="clear" w:color="auto" w:fill="C6EFCE"/>
            <w:noWrap/>
            <w:vAlign w:val="center"/>
          </w:tcPr>
          <w:p w14:paraId="37373293" w14:textId="77777777" w:rsidR="00A612E2" w:rsidRPr="00246CC4" w:rsidRDefault="00A612E2" w:rsidP="00742B81">
            <w:pPr>
              <w:rPr>
                <w:noProof/>
                <w:color w:val="006100"/>
                <w:sz w:val="20"/>
                <w:szCs w:val="20"/>
              </w:rPr>
            </w:pPr>
            <w:r>
              <w:rPr>
                <w:noProof/>
                <w:color w:val="006100"/>
                <w:sz w:val="20"/>
              </w:rPr>
              <w:t>Eesmärk</w:t>
            </w:r>
          </w:p>
        </w:tc>
        <w:tc>
          <w:tcPr>
            <w:tcW w:w="3743" w:type="dxa"/>
            <w:tcBorders>
              <w:top w:val="nil"/>
              <w:left w:val="nil"/>
              <w:bottom w:val="single" w:sz="4" w:space="0" w:color="auto"/>
              <w:right w:val="single" w:sz="4" w:space="0" w:color="auto"/>
            </w:tcBorders>
            <w:shd w:val="clear" w:color="auto" w:fill="C6EFCE"/>
            <w:noWrap/>
            <w:vAlign w:val="center"/>
          </w:tcPr>
          <w:p w14:paraId="5B9C0552" w14:textId="77777777" w:rsidR="00A612E2" w:rsidRPr="003B127D" w:rsidRDefault="00A612E2" w:rsidP="00742B81">
            <w:pPr>
              <w:rPr>
                <w:noProof/>
                <w:color w:val="006100"/>
                <w:sz w:val="20"/>
                <w:szCs w:val="20"/>
              </w:rPr>
            </w:pPr>
            <w:r>
              <w:rPr>
                <w:noProof/>
                <w:color w:val="006100"/>
                <w:sz w:val="20"/>
              </w:rPr>
              <w:t>Riigihangete seadustiku läbivaatamise jõustumine (D.Lgs. n. 50/2016)</w:t>
            </w:r>
          </w:p>
        </w:tc>
      </w:tr>
      <w:tr w:rsidR="00A612E2" w:rsidRPr="00D90835" w14:paraId="2B01352D"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92D7932" w14:textId="77777777" w:rsidR="00A612E2" w:rsidRPr="00246CC4" w:rsidRDefault="00A612E2" w:rsidP="00742B81">
            <w:pPr>
              <w:jc w:val="center"/>
              <w:rPr>
                <w:noProof/>
                <w:color w:val="006100"/>
                <w:sz w:val="20"/>
                <w:szCs w:val="20"/>
              </w:rPr>
            </w:pPr>
            <w:r>
              <w:rPr>
                <w:noProof/>
                <w:color w:val="006100"/>
                <w:sz w:val="20"/>
              </w:rPr>
              <w:t>M1C1-103</w:t>
            </w:r>
          </w:p>
        </w:tc>
        <w:tc>
          <w:tcPr>
            <w:tcW w:w="3118" w:type="dxa"/>
            <w:tcBorders>
              <w:top w:val="nil"/>
              <w:left w:val="nil"/>
              <w:bottom w:val="single" w:sz="4" w:space="0" w:color="auto"/>
              <w:right w:val="single" w:sz="4" w:space="0" w:color="auto"/>
            </w:tcBorders>
            <w:shd w:val="clear" w:color="auto" w:fill="C6EFCE"/>
            <w:noWrap/>
            <w:vAlign w:val="center"/>
          </w:tcPr>
          <w:p w14:paraId="308F23CB" w14:textId="77777777" w:rsidR="00A612E2" w:rsidRPr="003B127D" w:rsidRDefault="00A612E2" w:rsidP="00742B81">
            <w:pPr>
              <w:rPr>
                <w:noProof/>
                <w:color w:val="006100"/>
                <w:sz w:val="20"/>
                <w:szCs w:val="20"/>
              </w:rPr>
            </w:pPr>
            <w:r>
              <w:rPr>
                <w:noProof/>
                <w:color w:val="006100"/>
                <w:sz w:val="20"/>
              </w:rPr>
              <w:t>Reform 1.12. Maksuhalduse reform</w:t>
            </w:r>
          </w:p>
        </w:tc>
        <w:tc>
          <w:tcPr>
            <w:tcW w:w="1418" w:type="dxa"/>
            <w:tcBorders>
              <w:top w:val="nil"/>
              <w:left w:val="nil"/>
              <w:bottom w:val="single" w:sz="4" w:space="0" w:color="auto"/>
              <w:right w:val="single" w:sz="4" w:space="0" w:color="auto"/>
            </w:tcBorders>
            <w:shd w:val="clear" w:color="auto" w:fill="C6EFCE"/>
            <w:noWrap/>
            <w:vAlign w:val="center"/>
          </w:tcPr>
          <w:p w14:paraId="7E5CF829" w14:textId="77777777" w:rsidR="00A612E2" w:rsidRPr="00246CC4" w:rsidRDefault="00A612E2" w:rsidP="00742B81">
            <w:pPr>
              <w:rPr>
                <w:noProof/>
                <w:color w:val="006100"/>
                <w:sz w:val="20"/>
                <w:szCs w:val="20"/>
              </w:rPr>
            </w:pPr>
            <w:r>
              <w:rPr>
                <w:noProof/>
                <w:color w:val="006100"/>
                <w:sz w:val="20"/>
              </w:rPr>
              <w:t>Eesmärk</w:t>
            </w:r>
          </w:p>
        </w:tc>
        <w:tc>
          <w:tcPr>
            <w:tcW w:w="3743" w:type="dxa"/>
            <w:tcBorders>
              <w:top w:val="nil"/>
              <w:left w:val="nil"/>
              <w:bottom w:val="single" w:sz="4" w:space="0" w:color="auto"/>
              <w:right w:val="single" w:sz="4" w:space="0" w:color="auto"/>
            </w:tcBorders>
            <w:shd w:val="clear" w:color="auto" w:fill="C6EFCE"/>
            <w:noWrap/>
            <w:vAlign w:val="center"/>
          </w:tcPr>
          <w:p w14:paraId="4FA93FCB" w14:textId="77777777" w:rsidR="00A612E2" w:rsidRPr="003B127D" w:rsidRDefault="00A612E2" w:rsidP="00742B81">
            <w:pPr>
              <w:rPr>
                <w:noProof/>
                <w:color w:val="006100"/>
                <w:sz w:val="20"/>
                <w:szCs w:val="20"/>
              </w:rPr>
            </w:pPr>
            <w:r>
              <w:rPr>
                <w:noProof/>
                <w:color w:val="006100"/>
                <w:sz w:val="20"/>
              </w:rPr>
              <w:t>Esmaste ja teiseste õigusaktide ja reguleerivate sätete jõustumine ning haldusprotsesside lõpuleviimine, et soodustada maksukuulekust ning parandada auditeid ja kontrolle</w:t>
            </w:r>
          </w:p>
        </w:tc>
      </w:tr>
      <w:tr w:rsidR="00A612E2" w:rsidRPr="00D90835" w14:paraId="364C9828"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861BE6F" w14:textId="77777777" w:rsidR="00A612E2" w:rsidRPr="00246CC4" w:rsidRDefault="00A612E2" w:rsidP="00742B81">
            <w:pPr>
              <w:jc w:val="center"/>
              <w:rPr>
                <w:noProof/>
                <w:color w:val="006100"/>
                <w:sz w:val="20"/>
                <w:szCs w:val="20"/>
              </w:rPr>
            </w:pPr>
            <w:r>
              <w:rPr>
                <w:noProof/>
                <w:color w:val="006100"/>
                <w:sz w:val="20"/>
              </w:rPr>
              <w:t>M1C1-104</w:t>
            </w:r>
          </w:p>
        </w:tc>
        <w:tc>
          <w:tcPr>
            <w:tcW w:w="3118" w:type="dxa"/>
            <w:tcBorders>
              <w:top w:val="nil"/>
              <w:left w:val="nil"/>
              <w:bottom w:val="single" w:sz="4" w:space="0" w:color="auto"/>
              <w:right w:val="single" w:sz="4" w:space="0" w:color="auto"/>
            </w:tcBorders>
            <w:shd w:val="clear" w:color="auto" w:fill="C6EFCE"/>
            <w:noWrap/>
            <w:vAlign w:val="center"/>
          </w:tcPr>
          <w:p w14:paraId="08D3A648" w14:textId="77777777" w:rsidR="00A612E2" w:rsidRPr="003B127D" w:rsidRDefault="00A612E2" w:rsidP="00742B81">
            <w:pPr>
              <w:rPr>
                <w:noProof/>
                <w:color w:val="006100"/>
                <w:sz w:val="20"/>
                <w:szCs w:val="20"/>
              </w:rPr>
            </w:pPr>
            <w:r>
              <w:rPr>
                <w:noProof/>
                <w:color w:val="006100"/>
                <w:sz w:val="20"/>
              </w:rPr>
              <w:t>Reform 1.13. Kulude läbivaatamise raamistiku reform</w:t>
            </w:r>
          </w:p>
        </w:tc>
        <w:tc>
          <w:tcPr>
            <w:tcW w:w="1418" w:type="dxa"/>
            <w:tcBorders>
              <w:top w:val="nil"/>
              <w:left w:val="nil"/>
              <w:bottom w:val="single" w:sz="4" w:space="0" w:color="auto"/>
              <w:right w:val="single" w:sz="4" w:space="0" w:color="auto"/>
            </w:tcBorders>
            <w:shd w:val="clear" w:color="auto" w:fill="C6EFCE"/>
            <w:noWrap/>
            <w:vAlign w:val="center"/>
          </w:tcPr>
          <w:p w14:paraId="3A9ED898" w14:textId="77777777" w:rsidR="00A612E2" w:rsidRPr="00246CC4" w:rsidRDefault="00A612E2" w:rsidP="00742B81">
            <w:pPr>
              <w:rPr>
                <w:noProof/>
                <w:color w:val="006100"/>
                <w:sz w:val="20"/>
                <w:szCs w:val="20"/>
              </w:rPr>
            </w:pPr>
            <w:r>
              <w:rPr>
                <w:noProof/>
                <w:color w:val="006100"/>
                <w:sz w:val="20"/>
              </w:rPr>
              <w:t>Eesmärk</w:t>
            </w:r>
          </w:p>
        </w:tc>
        <w:tc>
          <w:tcPr>
            <w:tcW w:w="3743" w:type="dxa"/>
            <w:tcBorders>
              <w:top w:val="nil"/>
              <w:left w:val="nil"/>
              <w:bottom w:val="single" w:sz="4" w:space="0" w:color="auto"/>
              <w:right w:val="single" w:sz="4" w:space="0" w:color="auto"/>
            </w:tcBorders>
            <w:shd w:val="clear" w:color="auto" w:fill="C6EFCE"/>
            <w:noWrap/>
            <w:vAlign w:val="center"/>
          </w:tcPr>
          <w:p w14:paraId="7AE82126" w14:textId="77777777" w:rsidR="00A612E2" w:rsidRPr="003B127D" w:rsidRDefault="00A612E2" w:rsidP="00742B81">
            <w:pPr>
              <w:rPr>
                <w:noProof/>
                <w:color w:val="006100"/>
                <w:sz w:val="20"/>
                <w:szCs w:val="20"/>
              </w:rPr>
            </w:pPr>
            <w:r>
              <w:rPr>
                <w:noProof/>
                <w:color w:val="006100"/>
                <w:sz w:val="20"/>
              </w:rPr>
              <w:t>Kulude läbivaatamise säästueesmärkide vastuvõtmine aastateks 2023-2025</w:t>
            </w:r>
          </w:p>
        </w:tc>
      </w:tr>
      <w:tr w:rsidR="00A612E2" w:rsidRPr="00D90835" w14:paraId="33A76A21"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375F8FE" w14:textId="77777777" w:rsidR="00A612E2" w:rsidRPr="00246CC4" w:rsidRDefault="00A612E2" w:rsidP="00742B81">
            <w:pPr>
              <w:jc w:val="center"/>
              <w:rPr>
                <w:noProof/>
                <w:color w:val="006100"/>
                <w:sz w:val="20"/>
                <w:szCs w:val="20"/>
              </w:rPr>
            </w:pPr>
            <w:r>
              <w:rPr>
                <w:noProof/>
                <w:color w:val="006100"/>
                <w:sz w:val="20"/>
              </w:rPr>
              <w:t>M1C3-11</w:t>
            </w:r>
          </w:p>
        </w:tc>
        <w:tc>
          <w:tcPr>
            <w:tcW w:w="3118" w:type="dxa"/>
            <w:tcBorders>
              <w:top w:val="nil"/>
              <w:left w:val="nil"/>
              <w:bottom w:val="single" w:sz="4" w:space="0" w:color="auto"/>
              <w:right w:val="single" w:sz="4" w:space="0" w:color="auto"/>
            </w:tcBorders>
            <w:shd w:val="clear" w:color="auto" w:fill="C6EFCE"/>
            <w:noWrap/>
            <w:vAlign w:val="center"/>
          </w:tcPr>
          <w:p w14:paraId="4FDE0688" w14:textId="77777777" w:rsidR="00A612E2" w:rsidRPr="003B127D" w:rsidRDefault="00A612E2" w:rsidP="00742B81">
            <w:pPr>
              <w:rPr>
                <w:noProof/>
                <w:color w:val="006100"/>
                <w:sz w:val="20"/>
                <w:szCs w:val="20"/>
              </w:rPr>
            </w:pPr>
            <w:r>
              <w:rPr>
                <w:noProof/>
                <w:color w:val="006100"/>
                <w:sz w:val="20"/>
              </w:rPr>
              <w:t>Investeering 1.3. Energiatõhususe parandamine kinodes, teatrites ja muuseumides</w:t>
            </w:r>
          </w:p>
        </w:tc>
        <w:tc>
          <w:tcPr>
            <w:tcW w:w="1418" w:type="dxa"/>
            <w:tcBorders>
              <w:top w:val="nil"/>
              <w:left w:val="nil"/>
              <w:bottom w:val="single" w:sz="4" w:space="0" w:color="auto"/>
              <w:right w:val="single" w:sz="4" w:space="0" w:color="auto"/>
            </w:tcBorders>
            <w:shd w:val="clear" w:color="auto" w:fill="C6EFCE"/>
            <w:noWrap/>
            <w:vAlign w:val="center"/>
          </w:tcPr>
          <w:p w14:paraId="13AD7C94" w14:textId="77777777" w:rsidR="00A612E2" w:rsidRPr="00246CC4" w:rsidRDefault="00A612E2" w:rsidP="00742B81">
            <w:pPr>
              <w:rPr>
                <w:noProof/>
                <w:color w:val="006100"/>
                <w:sz w:val="20"/>
                <w:szCs w:val="20"/>
              </w:rPr>
            </w:pPr>
            <w:r>
              <w:rPr>
                <w:noProof/>
                <w:color w:val="006100"/>
                <w:sz w:val="20"/>
              </w:rPr>
              <w:t>Eesmärk</w:t>
            </w:r>
          </w:p>
        </w:tc>
        <w:tc>
          <w:tcPr>
            <w:tcW w:w="3743" w:type="dxa"/>
            <w:tcBorders>
              <w:top w:val="nil"/>
              <w:left w:val="nil"/>
              <w:bottom w:val="single" w:sz="4" w:space="0" w:color="auto"/>
              <w:right w:val="single" w:sz="4" w:space="0" w:color="auto"/>
            </w:tcBorders>
            <w:shd w:val="clear" w:color="auto" w:fill="C6EFCE"/>
            <w:noWrap/>
            <w:vAlign w:val="center"/>
          </w:tcPr>
          <w:p w14:paraId="01910632" w14:textId="77777777" w:rsidR="00A612E2" w:rsidRPr="003B127D" w:rsidRDefault="00A612E2" w:rsidP="00742B81">
            <w:pPr>
              <w:rPr>
                <w:noProof/>
                <w:color w:val="006100"/>
                <w:sz w:val="20"/>
                <w:szCs w:val="20"/>
              </w:rPr>
            </w:pPr>
            <w:r>
              <w:rPr>
                <w:noProof/>
                <w:color w:val="006100"/>
                <w:sz w:val="20"/>
              </w:rPr>
              <w:t xml:space="preserve">Kultuuriministeeriumi vahendite eraldamise määruse jõustumine: parandada energiatõhusust kultuurikohtades </w:t>
            </w:r>
          </w:p>
        </w:tc>
      </w:tr>
      <w:tr w:rsidR="00A612E2" w:rsidRPr="00D90835" w14:paraId="4855D2E1"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89F5625" w14:textId="77777777" w:rsidR="00A612E2" w:rsidRPr="00246CC4" w:rsidRDefault="00A612E2" w:rsidP="00742B81">
            <w:pPr>
              <w:jc w:val="center"/>
              <w:rPr>
                <w:noProof/>
                <w:color w:val="006100"/>
                <w:sz w:val="20"/>
                <w:szCs w:val="20"/>
              </w:rPr>
            </w:pPr>
            <w:r>
              <w:rPr>
                <w:noProof/>
                <w:color w:val="006100"/>
                <w:sz w:val="20"/>
              </w:rPr>
              <w:t>M2C1-1</w:t>
            </w:r>
          </w:p>
        </w:tc>
        <w:tc>
          <w:tcPr>
            <w:tcW w:w="3118" w:type="dxa"/>
            <w:tcBorders>
              <w:top w:val="nil"/>
              <w:left w:val="nil"/>
              <w:bottom w:val="single" w:sz="4" w:space="0" w:color="auto"/>
              <w:right w:val="single" w:sz="4" w:space="0" w:color="auto"/>
            </w:tcBorders>
            <w:shd w:val="clear" w:color="auto" w:fill="C6EFCE"/>
            <w:noWrap/>
            <w:vAlign w:val="center"/>
          </w:tcPr>
          <w:p w14:paraId="53B8ACD5" w14:textId="77777777" w:rsidR="00A612E2" w:rsidRPr="003B127D" w:rsidRDefault="00A612E2" w:rsidP="00742B81">
            <w:pPr>
              <w:rPr>
                <w:noProof/>
                <w:color w:val="006100"/>
                <w:sz w:val="20"/>
                <w:szCs w:val="20"/>
              </w:rPr>
            </w:pPr>
            <w:r>
              <w:rPr>
                <w:noProof/>
                <w:color w:val="006100"/>
                <w:sz w:val="20"/>
              </w:rPr>
              <w:t>Reform 1.1. Riiklik ringmajanduse strateegia</w:t>
            </w:r>
          </w:p>
        </w:tc>
        <w:tc>
          <w:tcPr>
            <w:tcW w:w="1418" w:type="dxa"/>
            <w:tcBorders>
              <w:top w:val="nil"/>
              <w:left w:val="nil"/>
              <w:bottom w:val="single" w:sz="4" w:space="0" w:color="auto"/>
              <w:right w:val="single" w:sz="4" w:space="0" w:color="auto"/>
            </w:tcBorders>
            <w:shd w:val="clear" w:color="auto" w:fill="C6EFCE"/>
            <w:noWrap/>
            <w:vAlign w:val="center"/>
          </w:tcPr>
          <w:p w14:paraId="6ECB5260" w14:textId="77777777" w:rsidR="00A612E2" w:rsidRPr="00246CC4" w:rsidRDefault="00A612E2" w:rsidP="00742B81">
            <w:pPr>
              <w:rPr>
                <w:noProof/>
                <w:color w:val="006100"/>
                <w:sz w:val="20"/>
                <w:szCs w:val="20"/>
              </w:rPr>
            </w:pPr>
            <w:r>
              <w:rPr>
                <w:noProof/>
                <w:color w:val="006100"/>
                <w:sz w:val="20"/>
              </w:rPr>
              <w:t>Eesmärk</w:t>
            </w:r>
          </w:p>
        </w:tc>
        <w:tc>
          <w:tcPr>
            <w:tcW w:w="3743" w:type="dxa"/>
            <w:tcBorders>
              <w:top w:val="nil"/>
              <w:left w:val="nil"/>
              <w:bottom w:val="single" w:sz="4" w:space="0" w:color="auto"/>
              <w:right w:val="single" w:sz="4" w:space="0" w:color="auto"/>
            </w:tcBorders>
            <w:shd w:val="clear" w:color="auto" w:fill="C6EFCE"/>
            <w:noWrap/>
            <w:vAlign w:val="center"/>
          </w:tcPr>
          <w:p w14:paraId="09241567" w14:textId="77777777" w:rsidR="00A612E2" w:rsidRPr="003B127D" w:rsidRDefault="00A612E2" w:rsidP="00742B81">
            <w:pPr>
              <w:rPr>
                <w:noProof/>
                <w:color w:val="006100"/>
                <w:sz w:val="20"/>
                <w:szCs w:val="20"/>
              </w:rPr>
            </w:pPr>
            <w:r>
              <w:rPr>
                <w:noProof/>
                <w:color w:val="006100"/>
                <w:sz w:val="20"/>
              </w:rPr>
              <w:t>Ministri käskkirja jõustumine riikliku ringmajanduse strateegia vastuvõtmiseks</w:t>
            </w:r>
          </w:p>
        </w:tc>
      </w:tr>
      <w:tr w:rsidR="00A612E2" w:rsidRPr="00D90835" w14:paraId="2B28C14C"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F87E000" w14:textId="77777777" w:rsidR="00A612E2" w:rsidRPr="00246CC4" w:rsidRDefault="00A612E2" w:rsidP="00742B81">
            <w:pPr>
              <w:jc w:val="center"/>
              <w:rPr>
                <w:noProof/>
                <w:color w:val="006100"/>
                <w:sz w:val="20"/>
                <w:szCs w:val="20"/>
              </w:rPr>
            </w:pPr>
            <w:r>
              <w:rPr>
                <w:noProof/>
                <w:color w:val="006100"/>
                <w:sz w:val="20"/>
              </w:rPr>
              <w:t>M2C1-2</w:t>
            </w:r>
          </w:p>
        </w:tc>
        <w:tc>
          <w:tcPr>
            <w:tcW w:w="3118" w:type="dxa"/>
            <w:tcBorders>
              <w:top w:val="nil"/>
              <w:left w:val="nil"/>
              <w:bottom w:val="single" w:sz="4" w:space="0" w:color="auto"/>
              <w:right w:val="single" w:sz="4" w:space="0" w:color="auto"/>
            </w:tcBorders>
            <w:shd w:val="clear" w:color="auto" w:fill="C6EFCE"/>
            <w:noWrap/>
            <w:vAlign w:val="center"/>
          </w:tcPr>
          <w:p w14:paraId="3AA926CF" w14:textId="77777777" w:rsidR="00A612E2" w:rsidRPr="003B127D" w:rsidRDefault="00A612E2" w:rsidP="00742B81">
            <w:pPr>
              <w:rPr>
                <w:noProof/>
                <w:color w:val="006100"/>
                <w:sz w:val="20"/>
                <w:szCs w:val="20"/>
              </w:rPr>
            </w:pPr>
            <w:r>
              <w:rPr>
                <w:noProof/>
                <w:color w:val="006100"/>
                <w:sz w:val="20"/>
              </w:rPr>
              <w:t>Reform 1.3. Tehniline tugi kohalikele omavalitsustele</w:t>
            </w:r>
          </w:p>
        </w:tc>
        <w:tc>
          <w:tcPr>
            <w:tcW w:w="1418" w:type="dxa"/>
            <w:tcBorders>
              <w:top w:val="nil"/>
              <w:left w:val="nil"/>
              <w:bottom w:val="single" w:sz="4" w:space="0" w:color="auto"/>
              <w:right w:val="single" w:sz="4" w:space="0" w:color="auto"/>
            </w:tcBorders>
            <w:shd w:val="clear" w:color="auto" w:fill="C6EFCE"/>
            <w:noWrap/>
            <w:vAlign w:val="center"/>
          </w:tcPr>
          <w:p w14:paraId="06429FA1" w14:textId="77777777" w:rsidR="00A612E2" w:rsidRPr="00246CC4" w:rsidRDefault="00A612E2" w:rsidP="00742B81">
            <w:pPr>
              <w:rPr>
                <w:noProof/>
                <w:color w:val="006100"/>
                <w:sz w:val="20"/>
                <w:szCs w:val="20"/>
              </w:rPr>
            </w:pPr>
            <w:r>
              <w:rPr>
                <w:noProof/>
                <w:color w:val="006100"/>
                <w:sz w:val="20"/>
              </w:rPr>
              <w:t>Eesmärk</w:t>
            </w:r>
          </w:p>
        </w:tc>
        <w:tc>
          <w:tcPr>
            <w:tcW w:w="3743" w:type="dxa"/>
            <w:tcBorders>
              <w:top w:val="nil"/>
              <w:left w:val="nil"/>
              <w:bottom w:val="single" w:sz="4" w:space="0" w:color="auto"/>
              <w:right w:val="single" w:sz="4" w:space="0" w:color="auto"/>
            </w:tcBorders>
            <w:shd w:val="clear" w:color="auto" w:fill="C6EFCE"/>
            <w:noWrap/>
            <w:vAlign w:val="center"/>
          </w:tcPr>
          <w:p w14:paraId="44F2A174" w14:textId="77777777" w:rsidR="00A612E2" w:rsidRPr="003B127D" w:rsidRDefault="00A612E2" w:rsidP="00742B81">
            <w:pPr>
              <w:rPr>
                <w:noProof/>
                <w:color w:val="006100"/>
                <w:sz w:val="20"/>
                <w:szCs w:val="20"/>
              </w:rPr>
            </w:pPr>
            <w:r>
              <w:rPr>
                <w:noProof/>
                <w:color w:val="006100"/>
                <w:sz w:val="20"/>
              </w:rPr>
              <w:t>Kohalike ametiasutuste toetamist käsitleva suutlikkuse suurendamise tegevuskava väljatöötamise kokkuleppe heakskiitmine</w:t>
            </w:r>
          </w:p>
        </w:tc>
      </w:tr>
      <w:tr w:rsidR="00A612E2" w:rsidRPr="00D90835" w14:paraId="13D88BF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58C5880" w14:textId="77777777" w:rsidR="00A612E2" w:rsidRPr="00246CC4" w:rsidRDefault="00A612E2" w:rsidP="00742B81">
            <w:pPr>
              <w:jc w:val="center"/>
              <w:rPr>
                <w:noProof/>
                <w:color w:val="006100"/>
                <w:sz w:val="20"/>
                <w:szCs w:val="20"/>
              </w:rPr>
            </w:pPr>
            <w:r>
              <w:rPr>
                <w:noProof/>
                <w:color w:val="006100"/>
                <w:sz w:val="20"/>
              </w:rPr>
              <w:t>M2C1-11</w:t>
            </w:r>
          </w:p>
        </w:tc>
        <w:tc>
          <w:tcPr>
            <w:tcW w:w="3118" w:type="dxa"/>
            <w:tcBorders>
              <w:top w:val="nil"/>
              <w:left w:val="nil"/>
              <w:bottom w:val="single" w:sz="4" w:space="0" w:color="auto"/>
              <w:right w:val="single" w:sz="4" w:space="0" w:color="auto"/>
            </w:tcBorders>
            <w:shd w:val="clear" w:color="auto" w:fill="C6EFCE"/>
            <w:noWrap/>
            <w:vAlign w:val="center"/>
          </w:tcPr>
          <w:p w14:paraId="042C02D1" w14:textId="77777777" w:rsidR="00A612E2" w:rsidRPr="003B127D" w:rsidRDefault="00A612E2" w:rsidP="00742B81">
            <w:pPr>
              <w:rPr>
                <w:noProof/>
                <w:color w:val="006100"/>
                <w:sz w:val="20"/>
                <w:szCs w:val="20"/>
              </w:rPr>
            </w:pPr>
            <w:r>
              <w:rPr>
                <w:noProof/>
                <w:color w:val="006100"/>
                <w:sz w:val="20"/>
              </w:rPr>
              <w:t>Investeering 3.3. Kultuur ja teadlikkus keskkonnateemadest ja -probleemidest</w:t>
            </w:r>
          </w:p>
        </w:tc>
        <w:tc>
          <w:tcPr>
            <w:tcW w:w="1418" w:type="dxa"/>
            <w:tcBorders>
              <w:top w:val="nil"/>
              <w:left w:val="nil"/>
              <w:bottom w:val="single" w:sz="4" w:space="0" w:color="auto"/>
              <w:right w:val="single" w:sz="4" w:space="0" w:color="auto"/>
            </w:tcBorders>
            <w:shd w:val="clear" w:color="auto" w:fill="C6EFCE"/>
            <w:noWrap/>
            <w:vAlign w:val="center"/>
          </w:tcPr>
          <w:p w14:paraId="2774B703" w14:textId="77777777" w:rsidR="00A612E2" w:rsidRPr="00246CC4" w:rsidRDefault="00A612E2" w:rsidP="00742B81">
            <w:pPr>
              <w:rPr>
                <w:noProof/>
                <w:color w:val="006100"/>
                <w:sz w:val="20"/>
                <w:szCs w:val="20"/>
              </w:rPr>
            </w:pPr>
            <w:r>
              <w:rPr>
                <w:noProof/>
                <w:color w:val="006100"/>
                <w:sz w:val="20"/>
              </w:rPr>
              <w:t>Eesmärk</w:t>
            </w:r>
          </w:p>
        </w:tc>
        <w:tc>
          <w:tcPr>
            <w:tcW w:w="3743" w:type="dxa"/>
            <w:tcBorders>
              <w:top w:val="nil"/>
              <w:left w:val="nil"/>
              <w:bottom w:val="single" w:sz="4" w:space="0" w:color="auto"/>
              <w:right w:val="single" w:sz="4" w:space="0" w:color="auto"/>
            </w:tcBorders>
            <w:shd w:val="clear" w:color="auto" w:fill="C6EFCE"/>
            <w:noWrap/>
            <w:vAlign w:val="center"/>
          </w:tcPr>
          <w:p w14:paraId="439DB293" w14:textId="77777777" w:rsidR="00A612E2" w:rsidRPr="003B127D" w:rsidRDefault="00A612E2" w:rsidP="00742B81">
            <w:pPr>
              <w:rPr>
                <w:noProof/>
                <w:color w:val="006100"/>
                <w:sz w:val="20"/>
                <w:szCs w:val="20"/>
              </w:rPr>
            </w:pPr>
            <w:r>
              <w:rPr>
                <w:noProof/>
                <w:color w:val="006100"/>
                <w:sz w:val="20"/>
              </w:rPr>
              <w:t>Veebiplatvormi käivitamine ja autoritega lepingute sõlmimine</w:t>
            </w:r>
          </w:p>
        </w:tc>
      </w:tr>
      <w:tr w:rsidR="00A612E2" w:rsidRPr="00D90835" w14:paraId="677F6C5B"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57F59E6" w14:textId="77777777" w:rsidR="00A612E2" w:rsidRPr="00246CC4" w:rsidRDefault="00A612E2" w:rsidP="00742B81">
            <w:pPr>
              <w:jc w:val="center"/>
              <w:rPr>
                <w:noProof/>
                <w:color w:val="006100"/>
                <w:sz w:val="20"/>
                <w:szCs w:val="20"/>
              </w:rPr>
            </w:pPr>
            <w:r>
              <w:rPr>
                <w:noProof/>
                <w:color w:val="006100"/>
                <w:sz w:val="20"/>
              </w:rPr>
              <w:t>M2C2-18</w:t>
            </w:r>
          </w:p>
        </w:tc>
        <w:tc>
          <w:tcPr>
            <w:tcW w:w="3118" w:type="dxa"/>
            <w:tcBorders>
              <w:top w:val="nil"/>
              <w:left w:val="nil"/>
              <w:bottom w:val="single" w:sz="4" w:space="0" w:color="auto"/>
              <w:right w:val="single" w:sz="4" w:space="0" w:color="auto"/>
            </w:tcBorders>
            <w:shd w:val="clear" w:color="auto" w:fill="C6EFCE"/>
            <w:noWrap/>
            <w:vAlign w:val="center"/>
          </w:tcPr>
          <w:p w14:paraId="31A8C976" w14:textId="77777777" w:rsidR="00A612E2" w:rsidRPr="003B127D" w:rsidRDefault="00A612E2" w:rsidP="00742B81">
            <w:pPr>
              <w:rPr>
                <w:noProof/>
                <w:color w:val="006100"/>
                <w:sz w:val="20"/>
                <w:szCs w:val="20"/>
              </w:rPr>
            </w:pPr>
            <w:r>
              <w:rPr>
                <w:noProof/>
                <w:color w:val="006100"/>
                <w:sz w:val="20"/>
              </w:rPr>
              <w:t>Investeering 3.5. Vesinikualane teadus- ja arendustegevus</w:t>
            </w:r>
          </w:p>
        </w:tc>
        <w:tc>
          <w:tcPr>
            <w:tcW w:w="1418" w:type="dxa"/>
            <w:tcBorders>
              <w:top w:val="nil"/>
              <w:left w:val="nil"/>
              <w:bottom w:val="single" w:sz="4" w:space="0" w:color="auto"/>
              <w:right w:val="single" w:sz="4" w:space="0" w:color="auto"/>
            </w:tcBorders>
            <w:shd w:val="clear" w:color="auto" w:fill="C6EFCE"/>
            <w:noWrap/>
            <w:vAlign w:val="center"/>
          </w:tcPr>
          <w:p w14:paraId="334585EA" w14:textId="77777777" w:rsidR="00A612E2" w:rsidRPr="00246CC4" w:rsidRDefault="00A612E2" w:rsidP="00742B81">
            <w:pPr>
              <w:rPr>
                <w:noProof/>
                <w:color w:val="006100"/>
                <w:sz w:val="20"/>
                <w:szCs w:val="20"/>
              </w:rPr>
            </w:pPr>
            <w:r>
              <w:rPr>
                <w:noProof/>
                <w:color w:val="006100"/>
                <w:sz w:val="20"/>
              </w:rPr>
              <w:t>Eesmärk</w:t>
            </w:r>
          </w:p>
        </w:tc>
        <w:tc>
          <w:tcPr>
            <w:tcW w:w="3743" w:type="dxa"/>
            <w:tcBorders>
              <w:top w:val="nil"/>
              <w:left w:val="nil"/>
              <w:bottom w:val="single" w:sz="4" w:space="0" w:color="auto"/>
              <w:right w:val="single" w:sz="4" w:space="0" w:color="auto"/>
            </w:tcBorders>
            <w:shd w:val="clear" w:color="auto" w:fill="C6EFCE"/>
            <w:noWrap/>
            <w:vAlign w:val="center"/>
          </w:tcPr>
          <w:p w14:paraId="0D2F37E1" w14:textId="77777777" w:rsidR="00A612E2" w:rsidRPr="003B127D" w:rsidRDefault="00A612E2" w:rsidP="00742B81">
            <w:pPr>
              <w:rPr>
                <w:noProof/>
                <w:color w:val="006100"/>
                <w:sz w:val="20"/>
                <w:szCs w:val="20"/>
              </w:rPr>
            </w:pPr>
            <w:r>
              <w:rPr>
                <w:noProof/>
                <w:color w:val="006100"/>
                <w:sz w:val="20"/>
              </w:rPr>
              <w:t>Kõigi avaliku sektori teadus- ja arendustegevuse lepingute sõlmimine vesinikualaste teadusprojektidega</w:t>
            </w:r>
          </w:p>
        </w:tc>
      </w:tr>
      <w:tr w:rsidR="00A612E2" w:rsidRPr="00D90835" w14:paraId="5E81684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E6CD30D" w14:textId="77777777" w:rsidR="00A612E2" w:rsidRPr="00246CC4" w:rsidRDefault="00A612E2" w:rsidP="00742B81">
            <w:pPr>
              <w:jc w:val="center"/>
              <w:rPr>
                <w:noProof/>
                <w:color w:val="006100"/>
                <w:sz w:val="20"/>
                <w:szCs w:val="20"/>
              </w:rPr>
            </w:pPr>
            <w:r>
              <w:rPr>
                <w:noProof/>
                <w:color w:val="006100"/>
                <w:sz w:val="20"/>
              </w:rPr>
              <w:t>M2C2-21</w:t>
            </w:r>
          </w:p>
        </w:tc>
        <w:tc>
          <w:tcPr>
            <w:tcW w:w="3118" w:type="dxa"/>
            <w:tcBorders>
              <w:top w:val="nil"/>
              <w:left w:val="nil"/>
              <w:bottom w:val="single" w:sz="4" w:space="0" w:color="auto"/>
              <w:right w:val="single" w:sz="4" w:space="0" w:color="auto"/>
            </w:tcBorders>
            <w:shd w:val="clear" w:color="auto" w:fill="C6EFCE"/>
            <w:noWrap/>
            <w:vAlign w:val="center"/>
          </w:tcPr>
          <w:p w14:paraId="4FE95417" w14:textId="77777777" w:rsidR="00A612E2" w:rsidRPr="003B127D" w:rsidRDefault="00A612E2" w:rsidP="00742B81">
            <w:pPr>
              <w:rPr>
                <w:noProof/>
                <w:color w:val="006100"/>
                <w:sz w:val="20"/>
                <w:szCs w:val="20"/>
              </w:rPr>
            </w:pPr>
            <w:r>
              <w:rPr>
                <w:noProof/>
                <w:color w:val="006100"/>
                <w:sz w:val="20"/>
              </w:rPr>
              <w:t>Reform 4. Vesiniku konkurentsivõime edendamise meetmed</w:t>
            </w:r>
          </w:p>
        </w:tc>
        <w:tc>
          <w:tcPr>
            <w:tcW w:w="1418" w:type="dxa"/>
            <w:tcBorders>
              <w:top w:val="nil"/>
              <w:left w:val="nil"/>
              <w:bottom w:val="single" w:sz="4" w:space="0" w:color="auto"/>
              <w:right w:val="single" w:sz="4" w:space="0" w:color="auto"/>
            </w:tcBorders>
            <w:shd w:val="clear" w:color="auto" w:fill="C6EFCE"/>
            <w:noWrap/>
            <w:vAlign w:val="center"/>
          </w:tcPr>
          <w:p w14:paraId="454BE34D" w14:textId="77777777" w:rsidR="00A612E2" w:rsidRPr="00246CC4" w:rsidRDefault="00A612E2" w:rsidP="00742B81">
            <w:pPr>
              <w:rPr>
                <w:noProof/>
                <w:color w:val="006100"/>
                <w:sz w:val="20"/>
                <w:szCs w:val="20"/>
              </w:rPr>
            </w:pPr>
            <w:r>
              <w:rPr>
                <w:noProof/>
                <w:color w:val="006100"/>
                <w:sz w:val="20"/>
              </w:rPr>
              <w:t>Eesmärk</w:t>
            </w:r>
          </w:p>
        </w:tc>
        <w:tc>
          <w:tcPr>
            <w:tcW w:w="3743" w:type="dxa"/>
            <w:tcBorders>
              <w:top w:val="nil"/>
              <w:left w:val="nil"/>
              <w:bottom w:val="single" w:sz="4" w:space="0" w:color="auto"/>
              <w:right w:val="single" w:sz="4" w:space="0" w:color="auto"/>
            </w:tcBorders>
            <w:shd w:val="clear" w:color="auto" w:fill="C6EFCE"/>
            <w:noWrap/>
            <w:vAlign w:val="center"/>
          </w:tcPr>
          <w:p w14:paraId="0B5BDEDD" w14:textId="77777777" w:rsidR="00A612E2" w:rsidRPr="003B127D" w:rsidRDefault="00A612E2" w:rsidP="00742B81">
            <w:pPr>
              <w:rPr>
                <w:noProof/>
                <w:color w:val="006100"/>
                <w:sz w:val="20"/>
                <w:szCs w:val="20"/>
              </w:rPr>
            </w:pPr>
            <w:r>
              <w:rPr>
                <w:noProof/>
                <w:color w:val="006100"/>
                <w:sz w:val="20"/>
              </w:rPr>
              <w:t>Maksusoodustuste jõustumine</w:t>
            </w:r>
          </w:p>
        </w:tc>
      </w:tr>
      <w:tr w:rsidR="00A612E2" w:rsidRPr="00D90835" w14:paraId="4E04EEE7"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5894049" w14:textId="77777777" w:rsidR="00A612E2" w:rsidRPr="00246CC4" w:rsidRDefault="00A612E2" w:rsidP="00742B81">
            <w:pPr>
              <w:jc w:val="center"/>
              <w:rPr>
                <w:noProof/>
                <w:color w:val="006100"/>
                <w:sz w:val="20"/>
                <w:szCs w:val="20"/>
              </w:rPr>
            </w:pPr>
            <w:r>
              <w:rPr>
                <w:noProof/>
                <w:color w:val="006100"/>
                <w:sz w:val="20"/>
              </w:rPr>
              <w:t>M2C2-38</w:t>
            </w:r>
          </w:p>
        </w:tc>
        <w:tc>
          <w:tcPr>
            <w:tcW w:w="3118" w:type="dxa"/>
            <w:tcBorders>
              <w:top w:val="nil"/>
              <w:left w:val="nil"/>
              <w:bottom w:val="single" w:sz="4" w:space="0" w:color="auto"/>
              <w:right w:val="single" w:sz="4" w:space="0" w:color="auto"/>
            </w:tcBorders>
            <w:shd w:val="clear" w:color="auto" w:fill="C6EFCE"/>
            <w:noWrap/>
            <w:vAlign w:val="center"/>
          </w:tcPr>
          <w:p w14:paraId="1D73EC9D" w14:textId="77777777" w:rsidR="00A612E2" w:rsidRPr="00246CC4" w:rsidRDefault="00A612E2" w:rsidP="00742B81">
            <w:pPr>
              <w:rPr>
                <w:noProof/>
                <w:color w:val="006100"/>
                <w:sz w:val="20"/>
                <w:szCs w:val="20"/>
              </w:rPr>
            </w:pPr>
            <w:r>
              <w:rPr>
                <w:noProof/>
                <w:color w:val="006100"/>
                <w:sz w:val="20"/>
              </w:rPr>
              <w:t>Investeering 5.1. Taastuvenergia ja akud</w:t>
            </w:r>
          </w:p>
        </w:tc>
        <w:tc>
          <w:tcPr>
            <w:tcW w:w="1418" w:type="dxa"/>
            <w:tcBorders>
              <w:top w:val="nil"/>
              <w:left w:val="nil"/>
              <w:bottom w:val="single" w:sz="4" w:space="0" w:color="auto"/>
              <w:right w:val="single" w:sz="4" w:space="0" w:color="auto"/>
            </w:tcBorders>
            <w:shd w:val="clear" w:color="auto" w:fill="C6EFCE"/>
            <w:noWrap/>
            <w:vAlign w:val="center"/>
          </w:tcPr>
          <w:p w14:paraId="03491071" w14:textId="77777777" w:rsidR="00A612E2" w:rsidRPr="00246CC4" w:rsidRDefault="00A612E2" w:rsidP="00742B81">
            <w:pPr>
              <w:rPr>
                <w:noProof/>
                <w:color w:val="006100"/>
                <w:sz w:val="20"/>
                <w:szCs w:val="20"/>
              </w:rPr>
            </w:pPr>
            <w:r>
              <w:rPr>
                <w:noProof/>
                <w:color w:val="006100"/>
                <w:sz w:val="20"/>
              </w:rPr>
              <w:t>Eesmärk</w:t>
            </w:r>
          </w:p>
        </w:tc>
        <w:tc>
          <w:tcPr>
            <w:tcW w:w="3743" w:type="dxa"/>
            <w:tcBorders>
              <w:top w:val="nil"/>
              <w:left w:val="nil"/>
              <w:bottom w:val="single" w:sz="4" w:space="0" w:color="auto"/>
              <w:right w:val="single" w:sz="4" w:space="0" w:color="auto"/>
            </w:tcBorders>
            <w:shd w:val="clear" w:color="auto" w:fill="C6EFCE"/>
            <w:noWrap/>
            <w:vAlign w:val="center"/>
          </w:tcPr>
          <w:p w14:paraId="25086484" w14:textId="77777777" w:rsidR="00A612E2" w:rsidRPr="003B127D" w:rsidRDefault="00A612E2" w:rsidP="00742B81">
            <w:pPr>
              <w:rPr>
                <w:noProof/>
                <w:color w:val="006100"/>
                <w:sz w:val="20"/>
                <w:szCs w:val="20"/>
              </w:rPr>
            </w:pPr>
            <w:r>
              <w:rPr>
                <w:noProof/>
                <w:color w:val="006100"/>
                <w:sz w:val="20"/>
              </w:rPr>
              <w:t>Ministri määruse jõustumine</w:t>
            </w:r>
          </w:p>
        </w:tc>
      </w:tr>
      <w:tr w:rsidR="00A612E2" w:rsidRPr="00D90835" w14:paraId="4593B0B3"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E4DE152" w14:textId="77777777" w:rsidR="00A612E2" w:rsidRPr="00246CC4" w:rsidRDefault="00A612E2" w:rsidP="00742B81">
            <w:pPr>
              <w:jc w:val="center"/>
              <w:rPr>
                <w:noProof/>
                <w:color w:val="006100"/>
                <w:sz w:val="20"/>
                <w:szCs w:val="20"/>
              </w:rPr>
            </w:pPr>
            <w:r>
              <w:rPr>
                <w:noProof/>
                <w:color w:val="006100"/>
                <w:sz w:val="20"/>
              </w:rPr>
              <w:t>M2C2-42</w:t>
            </w:r>
          </w:p>
        </w:tc>
        <w:tc>
          <w:tcPr>
            <w:tcW w:w="3118" w:type="dxa"/>
            <w:tcBorders>
              <w:top w:val="nil"/>
              <w:left w:val="nil"/>
              <w:bottom w:val="single" w:sz="4" w:space="0" w:color="auto"/>
              <w:right w:val="single" w:sz="4" w:space="0" w:color="auto"/>
            </w:tcBorders>
            <w:shd w:val="clear" w:color="auto" w:fill="C6EFCE"/>
            <w:noWrap/>
            <w:vAlign w:val="center"/>
          </w:tcPr>
          <w:p w14:paraId="7CC9D29D" w14:textId="77777777" w:rsidR="00A612E2" w:rsidRPr="003B127D" w:rsidRDefault="00A612E2" w:rsidP="00742B81">
            <w:pPr>
              <w:rPr>
                <w:noProof/>
                <w:color w:val="006100"/>
                <w:sz w:val="20"/>
                <w:szCs w:val="20"/>
              </w:rPr>
            </w:pPr>
            <w:r>
              <w:rPr>
                <w:noProof/>
                <w:color w:val="006100"/>
                <w:sz w:val="20"/>
              </w:rPr>
              <w:t>Investeering 5.4. Toetus ökoloogilise üleminekuga tegelevatele idufirmadele ja riskikapitalile</w:t>
            </w:r>
          </w:p>
        </w:tc>
        <w:tc>
          <w:tcPr>
            <w:tcW w:w="1418" w:type="dxa"/>
            <w:tcBorders>
              <w:top w:val="nil"/>
              <w:left w:val="nil"/>
              <w:bottom w:val="single" w:sz="4" w:space="0" w:color="auto"/>
              <w:right w:val="single" w:sz="4" w:space="0" w:color="auto"/>
            </w:tcBorders>
            <w:shd w:val="clear" w:color="auto" w:fill="C6EFCE"/>
            <w:noWrap/>
            <w:vAlign w:val="center"/>
          </w:tcPr>
          <w:p w14:paraId="65A1CA58" w14:textId="77777777" w:rsidR="00A612E2" w:rsidRPr="00246CC4" w:rsidRDefault="00A612E2" w:rsidP="00742B81">
            <w:pPr>
              <w:rPr>
                <w:noProof/>
                <w:color w:val="006100"/>
                <w:sz w:val="20"/>
                <w:szCs w:val="20"/>
              </w:rPr>
            </w:pPr>
            <w:r>
              <w:rPr>
                <w:noProof/>
                <w:color w:val="006100"/>
                <w:sz w:val="20"/>
              </w:rPr>
              <w:t>Eesmärk</w:t>
            </w:r>
          </w:p>
        </w:tc>
        <w:tc>
          <w:tcPr>
            <w:tcW w:w="3743" w:type="dxa"/>
            <w:tcBorders>
              <w:top w:val="nil"/>
              <w:left w:val="nil"/>
              <w:bottom w:val="single" w:sz="4" w:space="0" w:color="auto"/>
              <w:right w:val="single" w:sz="4" w:space="0" w:color="auto"/>
            </w:tcBorders>
            <w:shd w:val="clear" w:color="auto" w:fill="C6EFCE"/>
            <w:noWrap/>
            <w:vAlign w:val="center"/>
          </w:tcPr>
          <w:p w14:paraId="0ADC6ECF" w14:textId="77777777" w:rsidR="00A612E2" w:rsidRPr="003B127D" w:rsidRDefault="00A612E2" w:rsidP="00742B81">
            <w:pPr>
              <w:rPr>
                <w:noProof/>
                <w:color w:val="006100"/>
                <w:sz w:val="20"/>
                <w:szCs w:val="20"/>
              </w:rPr>
            </w:pPr>
            <w:r>
              <w:rPr>
                <w:noProof/>
                <w:color w:val="006100"/>
                <w:sz w:val="20"/>
              </w:rPr>
              <w:t>Finantslepingu allkirjastamine</w:t>
            </w:r>
          </w:p>
        </w:tc>
      </w:tr>
      <w:tr w:rsidR="00A612E2" w:rsidRPr="00D90835" w14:paraId="04BAC5A5"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DEE9107" w14:textId="77777777" w:rsidR="00A612E2" w:rsidRPr="00246CC4" w:rsidRDefault="00A612E2" w:rsidP="00742B81">
            <w:pPr>
              <w:jc w:val="center"/>
              <w:rPr>
                <w:noProof/>
                <w:color w:val="006100"/>
                <w:sz w:val="20"/>
                <w:szCs w:val="20"/>
              </w:rPr>
            </w:pPr>
            <w:r>
              <w:rPr>
                <w:noProof/>
                <w:color w:val="006100"/>
                <w:sz w:val="20"/>
              </w:rPr>
              <w:t>M2C3-4</w:t>
            </w:r>
          </w:p>
        </w:tc>
        <w:tc>
          <w:tcPr>
            <w:tcW w:w="3118" w:type="dxa"/>
            <w:tcBorders>
              <w:top w:val="nil"/>
              <w:left w:val="nil"/>
              <w:bottom w:val="single" w:sz="4" w:space="0" w:color="auto"/>
              <w:right w:val="single" w:sz="4" w:space="0" w:color="auto"/>
            </w:tcBorders>
            <w:shd w:val="clear" w:color="auto" w:fill="C6EFCE"/>
            <w:noWrap/>
            <w:vAlign w:val="center"/>
          </w:tcPr>
          <w:p w14:paraId="543E96C1" w14:textId="77777777" w:rsidR="00A612E2" w:rsidRPr="003B127D" w:rsidRDefault="00A612E2" w:rsidP="00742B81">
            <w:pPr>
              <w:rPr>
                <w:noProof/>
                <w:color w:val="006100"/>
                <w:sz w:val="20"/>
                <w:szCs w:val="20"/>
              </w:rPr>
            </w:pPr>
            <w:r>
              <w:rPr>
                <w:noProof/>
                <w:color w:val="006100"/>
                <w:sz w:val="20"/>
              </w:rPr>
              <w:t>Reform 1.1. Energiatõhususse sekkumise menetluste lihtsustamine ja kiirendamine</w:t>
            </w:r>
          </w:p>
        </w:tc>
        <w:tc>
          <w:tcPr>
            <w:tcW w:w="1418" w:type="dxa"/>
            <w:tcBorders>
              <w:top w:val="nil"/>
              <w:left w:val="nil"/>
              <w:bottom w:val="single" w:sz="4" w:space="0" w:color="auto"/>
              <w:right w:val="single" w:sz="4" w:space="0" w:color="auto"/>
            </w:tcBorders>
            <w:shd w:val="clear" w:color="auto" w:fill="C6EFCE"/>
            <w:noWrap/>
            <w:vAlign w:val="center"/>
          </w:tcPr>
          <w:p w14:paraId="002A4275" w14:textId="77777777" w:rsidR="00A612E2" w:rsidRPr="00246CC4" w:rsidRDefault="00A612E2" w:rsidP="00742B81">
            <w:pPr>
              <w:rPr>
                <w:noProof/>
                <w:color w:val="006100"/>
                <w:sz w:val="20"/>
                <w:szCs w:val="20"/>
              </w:rPr>
            </w:pPr>
            <w:r>
              <w:rPr>
                <w:noProof/>
                <w:color w:val="006100"/>
                <w:sz w:val="20"/>
              </w:rPr>
              <w:t>Eesmärk</w:t>
            </w:r>
          </w:p>
        </w:tc>
        <w:tc>
          <w:tcPr>
            <w:tcW w:w="3743" w:type="dxa"/>
            <w:tcBorders>
              <w:top w:val="nil"/>
              <w:left w:val="nil"/>
              <w:bottom w:val="single" w:sz="4" w:space="0" w:color="auto"/>
              <w:right w:val="single" w:sz="4" w:space="0" w:color="auto"/>
            </w:tcBorders>
            <w:shd w:val="clear" w:color="auto" w:fill="C6EFCE"/>
            <w:noWrap/>
            <w:vAlign w:val="center"/>
          </w:tcPr>
          <w:p w14:paraId="70443BE5" w14:textId="77777777" w:rsidR="00A612E2" w:rsidRPr="003B127D" w:rsidRDefault="00A612E2" w:rsidP="00742B81">
            <w:pPr>
              <w:rPr>
                <w:noProof/>
                <w:color w:val="006100"/>
                <w:sz w:val="20"/>
                <w:szCs w:val="20"/>
              </w:rPr>
            </w:pPr>
            <w:r>
              <w:rPr>
                <w:noProof/>
                <w:color w:val="006100"/>
                <w:sz w:val="20"/>
              </w:rPr>
              <w:t>Energiatõhususse sekkumise menetluste lihtsustamine ja kiirendamine</w:t>
            </w:r>
          </w:p>
        </w:tc>
      </w:tr>
      <w:tr w:rsidR="00A612E2" w:rsidRPr="00D90835" w14:paraId="1868E82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C3CF9C6" w14:textId="77777777" w:rsidR="00A612E2" w:rsidRPr="00246CC4" w:rsidRDefault="00A612E2" w:rsidP="00742B81">
            <w:pPr>
              <w:jc w:val="center"/>
              <w:rPr>
                <w:noProof/>
                <w:color w:val="006100"/>
                <w:sz w:val="20"/>
                <w:szCs w:val="20"/>
              </w:rPr>
            </w:pPr>
            <w:r>
              <w:rPr>
                <w:noProof/>
                <w:color w:val="006100"/>
                <w:sz w:val="20"/>
              </w:rPr>
              <w:t>M2C4-1</w:t>
            </w:r>
          </w:p>
        </w:tc>
        <w:tc>
          <w:tcPr>
            <w:tcW w:w="3118" w:type="dxa"/>
            <w:tcBorders>
              <w:top w:val="nil"/>
              <w:left w:val="nil"/>
              <w:bottom w:val="single" w:sz="4" w:space="0" w:color="auto"/>
              <w:right w:val="single" w:sz="4" w:space="0" w:color="auto"/>
            </w:tcBorders>
            <w:shd w:val="clear" w:color="auto" w:fill="C6EFCE"/>
            <w:noWrap/>
            <w:vAlign w:val="center"/>
          </w:tcPr>
          <w:p w14:paraId="1A46E890" w14:textId="77777777" w:rsidR="00A612E2" w:rsidRPr="003B127D" w:rsidRDefault="00A612E2" w:rsidP="00742B81">
            <w:pPr>
              <w:rPr>
                <w:noProof/>
                <w:color w:val="006100"/>
                <w:sz w:val="20"/>
                <w:szCs w:val="20"/>
              </w:rPr>
            </w:pPr>
            <w:r>
              <w:rPr>
                <w:noProof/>
                <w:color w:val="006100"/>
                <w:sz w:val="20"/>
              </w:rPr>
              <w:t>Reform 2.1. Hüdrogeoloogilise ebastabiilsuse vastaste meetmete rakendamise menetluste lihtsustamine ja kiirendamine</w:t>
            </w:r>
          </w:p>
        </w:tc>
        <w:tc>
          <w:tcPr>
            <w:tcW w:w="1418" w:type="dxa"/>
            <w:tcBorders>
              <w:top w:val="nil"/>
              <w:left w:val="nil"/>
              <w:bottom w:val="single" w:sz="4" w:space="0" w:color="auto"/>
              <w:right w:val="single" w:sz="4" w:space="0" w:color="auto"/>
            </w:tcBorders>
            <w:shd w:val="clear" w:color="auto" w:fill="C6EFCE"/>
            <w:noWrap/>
            <w:vAlign w:val="center"/>
          </w:tcPr>
          <w:p w14:paraId="2D54A8AA" w14:textId="77777777" w:rsidR="00A612E2" w:rsidRPr="00246CC4" w:rsidRDefault="00A612E2" w:rsidP="00742B81">
            <w:pPr>
              <w:rPr>
                <w:noProof/>
                <w:color w:val="006100"/>
                <w:sz w:val="20"/>
                <w:szCs w:val="20"/>
              </w:rPr>
            </w:pPr>
            <w:r>
              <w:rPr>
                <w:noProof/>
                <w:color w:val="006100"/>
                <w:sz w:val="20"/>
              </w:rPr>
              <w:t>Eesmärk</w:t>
            </w:r>
          </w:p>
        </w:tc>
        <w:tc>
          <w:tcPr>
            <w:tcW w:w="3743" w:type="dxa"/>
            <w:tcBorders>
              <w:top w:val="nil"/>
              <w:left w:val="nil"/>
              <w:bottom w:val="single" w:sz="4" w:space="0" w:color="auto"/>
              <w:right w:val="single" w:sz="4" w:space="0" w:color="auto"/>
            </w:tcBorders>
            <w:shd w:val="clear" w:color="auto" w:fill="C6EFCE"/>
            <w:noWrap/>
            <w:vAlign w:val="center"/>
          </w:tcPr>
          <w:p w14:paraId="23D75F1F" w14:textId="77777777" w:rsidR="00A612E2" w:rsidRPr="003B127D" w:rsidRDefault="00A612E2" w:rsidP="00742B81">
            <w:pPr>
              <w:rPr>
                <w:noProof/>
                <w:color w:val="006100"/>
                <w:sz w:val="20"/>
                <w:szCs w:val="20"/>
              </w:rPr>
            </w:pPr>
            <w:r>
              <w:rPr>
                <w:noProof/>
                <w:color w:val="006100"/>
                <w:sz w:val="20"/>
              </w:rPr>
              <w:t>Hüdroloogiliste riskide parema juhtimise õigusraamistiku lihtsustamise jõustumine</w:t>
            </w:r>
          </w:p>
        </w:tc>
      </w:tr>
      <w:tr w:rsidR="00A612E2" w:rsidRPr="00D90835" w14:paraId="41939172"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B9FDDDE" w14:textId="77777777" w:rsidR="00A612E2" w:rsidRPr="00246CC4" w:rsidRDefault="00A612E2" w:rsidP="00742B81">
            <w:pPr>
              <w:jc w:val="center"/>
              <w:rPr>
                <w:noProof/>
                <w:color w:val="006100"/>
                <w:sz w:val="20"/>
                <w:szCs w:val="20"/>
              </w:rPr>
            </w:pPr>
            <w:r>
              <w:rPr>
                <w:noProof/>
                <w:color w:val="006100"/>
                <w:sz w:val="20"/>
              </w:rPr>
              <w:t>M2C4-4</w:t>
            </w:r>
          </w:p>
        </w:tc>
        <w:tc>
          <w:tcPr>
            <w:tcW w:w="3118" w:type="dxa"/>
            <w:tcBorders>
              <w:top w:val="nil"/>
              <w:left w:val="nil"/>
              <w:bottom w:val="single" w:sz="4" w:space="0" w:color="auto"/>
              <w:right w:val="single" w:sz="4" w:space="0" w:color="auto"/>
            </w:tcBorders>
            <w:shd w:val="clear" w:color="auto" w:fill="C6EFCE"/>
            <w:noWrap/>
            <w:vAlign w:val="center"/>
          </w:tcPr>
          <w:p w14:paraId="0F0F471F" w14:textId="77777777" w:rsidR="00A612E2" w:rsidRPr="003B127D" w:rsidRDefault="00A612E2" w:rsidP="00742B81">
            <w:pPr>
              <w:rPr>
                <w:noProof/>
                <w:color w:val="006100"/>
                <w:sz w:val="20"/>
                <w:szCs w:val="20"/>
              </w:rPr>
            </w:pPr>
            <w:r>
              <w:rPr>
                <w:noProof/>
                <w:color w:val="006100"/>
                <w:sz w:val="20"/>
              </w:rPr>
              <w:t>Reform 4.2. Meetmed integreeritud veevarustusteenuste täieliku juhtimissuutlikkuse tagamiseks</w:t>
            </w:r>
          </w:p>
        </w:tc>
        <w:tc>
          <w:tcPr>
            <w:tcW w:w="1418" w:type="dxa"/>
            <w:tcBorders>
              <w:top w:val="nil"/>
              <w:left w:val="nil"/>
              <w:bottom w:val="single" w:sz="4" w:space="0" w:color="auto"/>
              <w:right w:val="single" w:sz="4" w:space="0" w:color="auto"/>
            </w:tcBorders>
            <w:shd w:val="clear" w:color="auto" w:fill="C6EFCE"/>
            <w:noWrap/>
            <w:vAlign w:val="center"/>
          </w:tcPr>
          <w:p w14:paraId="58282FF3" w14:textId="77777777" w:rsidR="00A612E2" w:rsidRPr="00246CC4" w:rsidRDefault="00A612E2" w:rsidP="00742B81">
            <w:pPr>
              <w:rPr>
                <w:noProof/>
                <w:color w:val="006100"/>
                <w:sz w:val="20"/>
                <w:szCs w:val="20"/>
              </w:rPr>
            </w:pPr>
            <w:r>
              <w:rPr>
                <w:noProof/>
                <w:color w:val="006100"/>
                <w:sz w:val="20"/>
              </w:rPr>
              <w:t>Eesmärk</w:t>
            </w:r>
          </w:p>
        </w:tc>
        <w:tc>
          <w:tcPr>
            <w:tcW w:w="3743" w:type="dxa"/>
            <w:tcBorders>
              <w:top w:val="nil"/>
              <w:left w:val="nil"/>
              <w:bottom w:val="single" w:sz="4" w:space="0" w:color="auto"/>
              <w:right w:val="single" w:sz="4" w:space="0" w:color="auto"/>
            </w:tcBorders>
            <w:shd w:val="clear" w:color="auto" w:fill="C6EFCE"/>
            <w:noWrap/>
            <w:vAlign w:val="center"/>
          </w:tcPr>
          <w:p w14:paraId="18C46641" w14:textId="77777777" w:rsidR="00A612E2" w:rsidRPr="003B127D" w:rsidRDefault="00A612E2" w:rsidP="00742B81">
            <w:pPr>
              <w:rPr>
                <w:noProof/>
                <w:color w:val="006100"/>
                <w:sz w:val="20"/>
                <w:szCs w:val="20"/>
              </w:rPr>
            </w:pPr>
            <w:r>
              <w:rPr>
                <w:noProof/>
                <w:color w:val="006100"/>
                <w:sz w:val="20"/>
              </w:rPr>
              <w:t>Niisutuse eesmärke käsitleva uue õigusraamistiku jõustumine</w:t>
            </w:r>
          </w:p>
        </w:tc>
      </w:tr>
      <w:tr w:rsidR="00A612E2" w:rsidRPr="00D90835" w14:paraId="66BD896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53FA757" w14:textId="77777777" w:rsidR="00A612E2" w:rsidRPr="00246CC4" w:rsidRDefault="00A612E2" w:rsidP="00742B81">
            <w:pPr>
              <w:jc w:val="center"/>
              <w:rPr>
                <w:noProof/>
                <w:color w:val="006100"/>
                <w:sz w:val="20"/>
                <w:szCs w:val="20"/>
              </w:rPr>
            </w:pPr>
            <w:r>
              <w:rPr>
                <w:noProof/>
                <w:color w:val="006100"/>
                <w:sz w:val="20"/>
              </w:rPr>
              <w:t>M4C1-3</w:t>
            </w:r>
          </w:p>
        </w:tc>
        <w:tc>
          <w:tcPr>
            <w:tcW w:w="3118" w:type="dxa"/>
            <w:tcBorders>
              <w:top w:val="nil"/>
              <w:left w:val="nil"/>
              <w:bottom w:val="single" w:sz="4" w:space="0" w:color="auto"/>
              <w:right w:val="single" w:sz="4" w:space="0" w:color="auto"/>
            </w:tcBorders>
            <w:shd w:val="clear" w:color="auto" w:fill="C6EFCE"/>
            <w:noWrap/>
            <w:vAlign w:val="center"/>
          </w:tcPr>
          <w:p w14:paraId="0603A826" w14:textId="77777777" w:rsidR="00A612E2" w:rsidRPr="00246CC4" w:rsidRDefault="00A612E2" w:rsidP="00742B81">
            <w:pPr>
              <w:rPr>
                <w:noProof/>
                <w:color w:val="006100"/>
                <w:sz w:val="20"/>
                <w:szCs w:val="20"/>
              </w:rPr>
            </w:pPr>
            <w:r>
              <w:rPr>
                <w:noProof/>
                <w:color w:val="006100"/>
                <w:sz w:val="20"/>
              </w:rPr>
              <w:t>Reform 2.1. Õpetajate värbamine</w:t>
            </w:r>
          </w:p>
        </w:tc>
        <w:tc>
          <w:tcPr>
            <w:tcW w:w="1418" w:type="dxa"/>
            <w:tcBorders>
              <w:top w:val="nil"/>
              <w:left w:val="nil"/>
              <w:bottom w:val="single" w:sz="4" w:space="0" w:color="auto"/>
              <w:right w:val="single" w:sz="4" w:space="0" w:color="auto"/>
            </w:tcBorders>
            <w:shd w:val="clear" w:color="auto" w:fill="C6EFCE"/>
            <w:noWrap/>
            <w:vAlign w:val="center"/>
          </w:tcPr>
          <w:p w14:paraId="555670BA" w14:textId="77777777" w:rsidR="00A612E2" w:rsidRPr="00246CC4" w:rsidRDefault="00A612E2" w:rsidP="00742B81">
            <w:pPr>
              <w:rPr>
                <w:noProof/>
                <w:color w:val="006100"/>
                <w:sz w:val="20"/>
                <w:szCs w:val="20"/>
              </w:rPr>
            </w:pPr>
            <w:r>
              <w:rPr>
                <w:noProof/>
                <w:color w:val="006100"/>
                <w:sz w:val="20"/>
              </w:rPr>
              <w:t>Eesmärk</w:t>
            </w:r>
          </w:p>
        </w:tc>
        <w:tc>
          <w:tcPr>
            <w:tcW w:w="3743" w:type="dxa"/>
            <w:tcBorders>
              <w:top w:val="nil"/>
              <w:left w:val="nil"/>
              <w:bottom w:val="single" w:sz="4" w:space="0" w:color="auto"/>
              <w:right w:val="single" w:sz="4" w:space="0" w:color="auto"/>
            </w:tcBorders>
            <w:shd w:val="clear" w:color="auto" w:fill="C6EFCE"/>
            <w:noWrap/>
            <w:vAlign w:val="center"/>
          </w:tcPr>
          <w:p w14:paraId="702F6EE0" w14:textId="77777777" w:rsidR="00A612E2" w:rsidRPr="003B127D" w:rsidRDefault="00A612E2" w:rsidP="00742B81">
            <w:pPr>
              <w:rPr>
                <w:noProof/>
                <w:color w:val="006100"/>
                <w:sz w:val="20"/>
                <w:szCs w:val="20"/>
              </w:rPr>
            </w:pPr>
            <w:r>
              <w:rPr>
                <w:noProof/>
                <w:color w:val="006100"/>
                <w:sz w:val="20"/>
              </w:rPr>
              <w:t>Õpetajakutse reformi jõustumine.</w:t>
            </w:r>
          </w:p>
        </w:tc>
      </w:tr>
      <w:tr w:rsidR="00A612E2" w:rsidRPr="00D90835" w14:paraId="35324625"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04C0769" w14:textId="77777777" w:rsidR="00A612E2" w:rsidRPr="00246CC4" w:rsidRDefault="00A612E2" w:rsidP="00742B81">
            <w:pPr>
              <w:jc w:val="center"/>
              <w:rPr>
                <w:noProof/>
                <w:color w:val="006100"/>
                <w:sz w:val="20"/>
                <w:szCs w:val="20"/>
              </w:rPr>
            </w:pPr>
            <w:r>
              <w:rPr>
                <w:noProof/>
                <w:color w:val="006100"/>
                <w:sz w:val="20"/>
              </w:rPr>
              <w:t>M4C1-4</w:t>
            </w:r>
          </w:p>
        </w:tc>
        <w:tc>
          <w:tcPr>
            <w:tcW w:w="3118" w:type="dxa"/>
            <w:tcBorders>
              <w:top w:val="nil"/>
              <w:left w:val="nil"/>
              <w:bottom w:val="single" w:sz="4" w:space="0" w:color="auto"/>
              <w:right w:val="single" w:sz="4" w:space="0" w:color="auto"/>
            </w:tcBorders>
            <w:shd w:val="clear" w:color="auto" w:fill="C6EFCE"/>
            <w:noWrap/>
            <w:vAlign w:val="center"/>
          </w:tcPr>
          <w:p w14:paraId="4FC51153" w14:textId="77777777" w:rsidR="00A612E2" w:rsidRPr="003B127D" w:rsidRDefault="00A612E2" w:rsidP="00742B81">
            <w:pPr>
              <w:rPr>
                <w:noProof/>
                <w:color w:val="006100"/>
                <w:sz w:val="20"/>
                <w:szCs w:val="20"/>
              </w:rPr>
            </w:pPr>
            <w:r>
              <w:rPr>
                <w:noProof/>
                <w:color w:val="006100"/>
                <w:sz w:val="20"/>
              </w:rPr>
              <w:t>Investeering 3.2. Kool 4.0: innovaatilised koolid, juhtmestik, uued klassiruumid ja õpikojad</w:t>
            </w:r>
          </w:p>
        </w:tc>
        <w:tc>
          <w:tcPr>
            <w:tcW w:w="1418" w:type="dxa"/>
            <w:tcBorders>
              <w:top w:val="nil"/>
              <w:left w:val="nil"/>
              <w:bottom w:val="single" w:sz="4" w:space="0" w:color="auto"/>
              <w:right w:val="single" w:sz="4" w:space="0" w:color="auto"/>
            </w:tcBorders>
            <w:shd w:val="clear" w:color="auto" w:fill="C6EFCE"/>
            <w:noWrap/>
            <w:vAlign w:val="center"/>
          </w:tcPr>
          <w:p w14:paraId="5636703F" w14:textId="77777777" w:rsidR="00A612E2" w:rsidRPr="00246CC4" w:rsidRDefault="00A612E2" w:rsidP="00742B81">
            <w:pPr>
              <w:rPr>
                <w:noProof/>
                <w:color w:val="006100"/>
                <w:sz w:val="20"/>
                <w:szCs w:val="20"/>
              </w:rPr>
            </w:pPr>
            <w:r>
              <w:rPr>
                <w:noProof/>
                <w:color w:val="006100"/>
                <w:sz w:val="20"/>
              </w:rPr>
              <w:t>Eesmärk</w:t>
            </w:r>
          </w:p>
        </w:tc>
        <w:tc>
          <w:tcPr>
            <w:tcW w:w="3743" w:type="dxa"/>
            <w:tcBorders>
              <w:top w:val="nil"/>
              <w:left w:val="nil"/>
              <w:bottom w:val="single" w:sz="4" w:space="0" w:color="auto"/>
              <w:right w:val="single" w:sz="4" w:space="0" w:color="auto"/>
            </w:tcBorders>
            <w:shd w:val="clear" w:color="auto" w:fill="C6EFCE"/>
            <w:noWrap/>
            <w:vAlign w:val="center"/>
          </w:tcPr>
          <w:p w14:paraId="017D0B97" w14:textId="77777777" w:rsidR="00A612E2" w:rsidRPr="003B127D" w:rsidRDefault="00A612E2" w:rsidP="00742B81">
            <w:pPr>
              <w:rPr>
                <w:noProof/>
                <w:color w:val="006100"/>
                <w:sz w:val="20"/>
                <w:szCs w:val="20"/>
              </w:rPr>
            </w:pPr>
            <w:r>
              <w:rPr>
                <w:noProof/>
                <w:color w:val="006100"/>
                <w:sz w:val="20"/>
              </w:rPr>
              <w:t>Vastu on võetud Itaalia koolisüsteemi digiülemineku edendamise kava 4.0</w:t>
            </w:r>
          </w:p>
        </w:tc>
      </w:tr>
      <w:tr w:rsidR="00A612E2" w:rsidRPr="00D90835" w14:paraId="7602D33B"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4B9CC50" w14:textId="77777777" w:rsidR="00A612E2" w:rsidRPr="00246CC4" w:rsidRDefault="00A612E2" w:rsidP="00742B81">
            <w:pPr>
              <w:jc w:val="center"/>
              <w:rPr>
                <w:noProof/>
                <w:color w:val="006100"/>
                <w:sz w:val="20"/>
                <w:szCs w:val="20"/>
              </w:rPr>
            </w:pPr>
            <w:r>
              <w:rPr>
                <w:noProof/>
                <w:color w:val="006100"/>
                <w:sz w:val="20"/>
              </w:rPr>
              <w:t>M4C2-4</w:t>
            </w:r>
          </w:p>
        </w:tc>
        <w:tc>
          <w:tcPr>
            <w:tcW w:w="3118" w:type="dxa"/>
            <w:tcBorders>
              <w:top w:val="nil"/>
              <w:left w:val="nil"/>
              <w:bottom w:val="single" w:sz="4" w:space="0" w:color="auto"/>
              <w:right w:val="single" w:sz="4" w:space="0" w:color="auto"/>
            </w:tcBorders>
            <w:shd w:val="clear" w:color="auto" w:fill="C6EFCE"/>
            <w:noWrap/>
            <w:vAlign w:val="center"/>
          </w:tcPr>
          <w:p w14:paraId="46DFFA5B" w14:textId="77777777" w:rsidR="00A612E2" w:rsidRPr="003B127D" w:rsidRDefault="00A612E2" w:rsidP="00742B81">
            <w:pPr>
              <w:rPr>
                <w:noProof/>
                <w:color w:val="006100"/>
                <w:sz w:val="20"/>
                <w:szCs w:val="20"/>
              </w:rPr>
            </w:pPr>
            <w:r>
              <w:rPr>
                <w:noProof/>
                <w:color w:val="006100"/>
                <w:sz w:val="20"/>
              </w:rPr>
              <w:t>Reform 1.1. Teadus- ja arendustegevuse toetusmeetmete rakendamine lihtsustamise ja liikuvuse edendamiseks</w:t>
            </w:r>
          </w:p>
        </w:tc>
        <w:tc>
          <w:tcPr>
            <w:tcW w:w="1418" w:type="dxa"/>
            <w:tcBorders>
              <w:top w:val="nil"/>
              <w:left w:val="nil"/>
              <w:bottom w:val="single" w:sz="4" w:space="0" w:color="auto"/>
              <w:right w:val="single" w:sz="4" w:space="0" w:color="auto"/>
            </w:tcBorders>
            <w:shd w:val="clear" w:color="auto" w:fill="C6EFCE"/>
            <w:noWrap/>
            <w:vAlign w:val="center"/>
          </w:tcPr>
          <w:p w14:paraId="19945CC3" w14:textId="77777777" w:rsidR="00A612E2" w:rsidRPr="00246CC4" w:rsidRDefault="00A612E2" w:rsidP="00742B81">
            <w:pPr>
              <w:rPr>
                <w:noProof/>
                <w:color w:val="006100"/>
                <w:sz w:val="20"/>
                <w:szCs w:val="20"/>
              </w:rPr>
            </w:pPr>
            <w:r>
              <w:rPr>
                <w:noProof/>
                <w:color w:val="006100"/>
                <w:sz w:val="20"/>
              </w:rPr>
              <w:t>Eesmärk</w:t>
            </w:r>
          </w:p>
        </w:tc>
        <w:tc>
          <w:tcPr>
            <w:tcW w:w="3743" w:type="dxa"/>
            <w:tcBorders>
              <w:top w:val="nil"/>
              <w:left w:val="nil"/>
              <w:bottom w:val="single" w:sz="4" w:space="0" w:color="auto"/>
              <w:right w:val="single" w:sz="4" w:space="0" w:color="auto"/>
            </w:tcBorders>
            <w:shd w:val="clear" w:color="auto" w:fill="C6EFCE"/>
            <w:noWrap/>
            <w:vAlign w:val="center"/>
          </w:tcPr>
          <w:p w14:paraId="6BB7674D" w14:textId="77777777" w:rsidR="00A612E2" w:rsidRPr="003B127D" w:rsidRDefault="00A612E2" w:rsidP="00742B81">
            <w:pPr>
              <w:rPr>
                <w:noProof/>
                <w:color w:val="006100"/>
                <w:sz w:val="20"/>
                <w:szCs w:val="20"/>
              </w:rPr>
            </w:pPr>
            <w:r>
              <w:rPr>
                <w:noProof/>
                <w:color w:val="006100"/>
                <w:sz w:val="20"/>
              </w:rPr>
              <w:t>Jõustuvad ministri määrused teadus- ja arendustegevuse ning liikuvuse kohta, mis on seotud tavalise rahastamisfondiga.</w:t>
            </w:r>
          </w:p>
        </w:tc>
      </w:tr>
      <w:tr w:rsidR="00A612E2" w:rsidRPr="00246CC4" w14:paraId="4F5595FD" w14:textId="77777777" w:rsidTr="00742B81">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656E6BC1" w14:textId="77777777" w:rsidR="00A612E2" w:rsidRPr="003B127D" w:rsidRDefault="00A612E2" w:rsidP="00742B81">
            <w:pPr>
              <w:jc w:val="center"/>
              <w:rPr>
                <w:noProof/>
                <w:color w:val="006100"/>
                <w:sz w:val="20"/>
                <w:szCs w:val="20"/>
                <w:lang w:val="en-IE"/>
              </w:rPr>
            </w:pPr>
          </w:p>
        </w:tc>
        <w:tc>
          <w:tcPr>
            <w:tcW w:w="3118" w:type="dxa"/>
            <w:tcBorders>
              <w:top w:val="single" w:sz="4" w:space="0" w:color="auto"/>
              <w:left w:val="nil"/>
              <w:bottom w:val="single" w:sz="4" w:space="0" w:color="auto"/>
              <w:right w:val="single" w:sz="4" w:space="0" w:color="auto"/>
            </w:tcBorders>
            <w:shd w:val="clear" w:color="auto" w:fill="C6EFCE"/>
            <w:noWrap/>
            <w:vAlign w:val="bottom"/>
          </w:tcPr>
          <w:p w14:paraId="5828A58D" w14:textId="77777777" w:rsidR="00A612E2" w:rsidRPr="003B127D" w:rsidRDefault="00A612E2" w:rsidP="00742B81">
            <w:pPr>
              <w:rPr>
                <w:noProof/>
                <w:color w:val="006100"/>
                <w:sz w:val="20"/>
                <w:szCs w:val="20"/>
                <w:lang w:val="en-IE"/>
              </w:rPr>
            </w:pPr>
          </w:p>
        </w:tc>
        <w:tc>
          <w:tcPr>
            <w:tcW w:w="1418" w:type="dxa"/>
            <w:tcBorders>
              <w:top w:val="single" w:sz="4" w:space="0" w:color="auto"/>
              <w:left w:val="nil"/>
              <w:bottom w:val="single" w:sz="4" w:space="0" w:color="auto"/>
              <w:right w:val="single" w:sz="4" w:space="0" w:color="auto"/>
            </w:tcBorders>
            <w:shd w:val="clear" w:color="auto" w:fill="C6EFCE"/>
            <w:noWrap/>
            <w:vAlign w:val="bottom"/>
          </w:tcPr>
          <w:p w14:paraId="2A63F548" w14:textId="77777777" w:rsidR="00A612E2" w:rsidRPr="00246CC4" w:rsidRDefault="00A612E2" w:rsidP="00742B81">
            <w:pPr>
              <w:rPr>
                <w:noProof/>
                <w:color w:val="006100"/>
                <w:sz w:val="20"/>
                <w:szCs w:val="20"/>
              </w:rPr>
            </w:pPr>
            <w:r>
              <w:rPr>
                <w:noProof/>
                <w:color w:val="006100"/>
                <w:sz w:val="20"/>
              </w:rPr>
              <w:t>Osamakse summa</w:t>
            </w:r>
          </w:p>
        </w:tc>
        <w:tc>
          <w:tcPr>
            <w:tcW w:w="3743" w:type="dxa"/>
            <w:tcBorders>
              <w:top w:val="single" w:sz="4" w:space="0" w:color="auto"/>
              <w:left w:val="nil"/>
              <w:bottom w:val="single" w:sz="4" w:space="0" w:color="auto"/>
              <w:right w:val="single" w:sz="4" w:space="0" w:color="auto"/>
            </w:tcBorders>
            <w:shd w:val="clear" w:color="auto" w:fill="C6EFCE"/>
            <w:noWrap/>
            <w:vAlign w:val="bottom"/>
          </w:tcPr>
          <w:p w14:paraId="57C58393" w14:textId="77777777" w:rsidR="00A612E2" w:rsidRPr="00246CC4" w:rsidRDefault="00A612E2" w:rsidP="00742B81">
            <w:pPr>
              <w:rPr>
                <w:noProof/>
                <w:color w:val="006100"/>
                <w:sz w:val="20"/>
                <w:szCs w:val="20"/>
              </w:rPr>
            </w:pPr>
            <w:r>
              <w:rPr>
                <w:noProof/>
                <w:color w:val="006100"/>
                <w:sz w:val="20"/>
              </w:rPr>
              <w:t>11</w:t>
            </w:r>
            <w:r>
              <w:rPr>
                <w:rFonts w:ascii="Arial Narrow" w:hAnsi="Arial Narrow"/>
                <w:noProof/>
                <w:color w:val="006100"/>
                <w:sz w:val="20"/>
              </w:rPr>
              <w:t xml:space="preserve"> </w:t>
            </w:r>
            <w:r>
              <w:rPr>
                <w:noProof/>
                <w:color w:val="006100"/>
                <w:sz w:val="20"/>
              </w:rPr>
              <w:t>494</w:t>
            </w:r>
            <w:r>
              <w:rPr>
                <w:rFonts w:ascii="Arial Narrow" w:hAnsi="Arial Narrow"/>
                <w:noProof/>
                <w:color w:val="006100"/>
                <w:sz w:val="20"/>
              </w:rPr>
              <w:t xml:space="preserve"> </w:t>
            </w:r>
            <w:r>
              <w:rPr>
                <w:noProof/>
                <w:color w:val="006100"/>
                <w:sz w:val="20"/>
              </w:rPr>
              <w:t>252</w:t>
            </w:r>
            <w:r>
              <w:rPr>
                <w:rFonts w:ascii="Arial Narrow" w:hAnsi="Arial Narrow"/>
                <w:noProof/>
                <w:color w:val="006100"/>
                <w:sz w:val="20"/>
              </w:rPr>
              <w:t xml:space="preserve"> </w:t>
            </w:r>
            <w:r>
              <w:rPr>
                <w:noProof/>
                <w:color w:val="006100"/>
                <w:sz w:val="20"/>
              </w:rPr>
              <w:t xml:space="preserve">874 eurot  </w:t>
            </w:r>
          </w:p>
        </w:tc>
      </w:tr>
    </w:tbl>
    <w:p w14:paraId="07581B67" w14:textId="77777777" w:rsidR="00BC5B0E" w:rsidRDefault="00BC5B0E">
      <w:pPr>
        <w:spacing w:after="160" w:line="259" w:lineRule="auto"/>
        <w:rPr>
          <w:rFonts w:eastAsia="Calibri"/>
          <w:noProof/>
        </w:rPr>
      </w:pPr>
      <w:r>
        <w:rPr>
          <w:noProof/>
        </w:rPr>
        <w:br w:type="page"/>
      </w:r>
    </w:p>
    <w:p w14:paraId="2167E0DB" w14:textId="0E5B7654" w:rsidR="00A612E2" w:rsidRPr="00246CC4" w:rsidRDefault="00A612E2" w:rsidP="00A612E2">
      <w:pPr>
        <w:numPr>
          <w:ilvl w:val="1"/>
          <w:numId w:val="6"/>
        </w:numPr>
        <w:spacing w:before="120" w:after="120"/>
        <w:jc w:val="both"/>
        <w:rPr>
          <w:rFonts w:eastAsia="Calibri"/>
          <w:noProof/>
        </w:rPr>
      </w:pPr>
      <w:r>
        <w:rPr>
          <w:noProof/>
        </w:rPr>
        <w:t>Kolmas osamakse (tagastamatu toetus):</w:t>
      </w:r>
    </w:p>
    <w:tbl>
      <w:tblPr>
        <w:tblW w:w="9814" w:type="dxa"/>
        <w:tblInd w:w="113" w:type="dxa"/>
        <w:tblLook w:val="04A0" w:firstRow="1" w:lastRow="0" w:firstColumn="1" w:lastColumn="0" w:noHBand="0" w:noVBand="1"/>
      </w:tblPr>
      <w:tblGrid>
        <w:gridCol w:w="1827"/>
        <w:gridCol w:w="3118"/>
        <w:gridCol w:w="1418"/>
        <w:gridCol w:w="3865"/>
      </w:tblGrid>
      <w:tr w:rsidR="00A612E2" w:rsidRPr="00246CC4" w14:paraId="1C42239F" w14:textId="77777777" w:rsidTr="00742B81">
        <w:trPr>
          <w:trHeight w:val="906"/>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929F226" w14:textId="77777777" w:rsidR="00A612E2" w:rsidRPr="00246CC4" w:rsidRDefault="00A612E2" w:rsidP="00742B81">
            <w:pPr>
              <w:jc w:val="center"/>
              <w:rPr>
                <w:b/>
                <w:bCs/>
                <w:noProof/>
                <w:sz w:val="20"/>
                <w:szCs w:val="20"/>
              </w:rPr>
            </w:pPr>
            <w:r>
              <w:rPr>
                <w:b/>
                <w:noProof/>
                <w:sz w:val="20"/>
              </w:rPr>
              <w:t>Järjekorranumber</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93B654F" w14:textId="77777777" w:rsidR="00A612E2" w:rsidRPr="003B127D" w:rsidRDefault="00A612E2" w:rsidP="00742B81">
            <w:pPr>
              <w:jc w:val="center"/>
              <w:rPr>
                <w:b/>
                <w:bCs/>
                <w:noProof/>
                <w:sz w:val="20"/>
                <w:szCs w:val="20"/>
              </w:rPr>
            </w:pPr>
            <w:r>
              <w:rPr>
                <w:b/>
                <w:noProof/>
                <w:sz w:val="20"/>
              </w:rPr>
              <w:t>Seotud meede (reform või investeering)</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6AA68CF" w14:textId="77777777" w:rsidR="00A612E2" w:rsidRPr="00246CC4" w:rsidRDefault="00A612E2" w:rsidP="00742B81">
            <w:pPr>
              <w:jc w:val="center"/>
              <w:rPr>
                <w:b/>
                <w:bCs/>
                <w:noProof/>
                <w:sz w:val="20"/>
                <w:szCs w:val="20"/>
              </w:rPr>
            </w:pPr>
            <w:r>
              <w:rPr>
                <w:b/>
                <w:noProof/>
                <w:sz w:val="20"/>
              </w:rPr>
              <w:t>Eesmärk / siht</w:t>
            </w:r>
          </w:p>
        </w:tc>
        <w:tc>
          <w:tcPr>
            <w:tcW w:w="386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2839042" w14:textId="77777777" w:rsidR="00A612E2" w:rsidRPr="00246CC4" w:rsidRDefault="00A612E2" w:rsidP="00742B81">
            <w:pPr>
              <w:jc w:val="center"/>
              <w:rPr>
                <w:b/>
                <w:bCs/>
                <w:noProof/>
                <w:sz w:val="20"/>
                <w:szCs w:val="20"/>
              </w:rPr>
            </w:pPr>
            <w:r>
              <w:rPr>
                <w:b/>
                <w:noProof/>
                <w:sz w:val="20"/>
              </w:rPr>
              <w:t>Nimi</w:t>
            </w:r>
          </w:p>
        </w:tc>
      </w:tr>
      <w:tr w:rsidR="00A612E2" w:rsidRPr="00246CC4" w14:paraId="49F4496B" w14:textId="77777777" w:rsidTr="00742B81">
        <w:trPr>
          <w:trHeight w:val="517"/>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05D56F7" w14:textId="77777777" w:rsidR="00A612E2" w:rsidRPr="00246CC4" w:rsidRDefault="00A612E2" w:rsidP="00742B81">
            <w:pPr>
              <w:rPr>
                <w:b/>
                <w:bCs/>
                <w:noProof/>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07DE1129" w14:textId="77777777" w:rsidR="00A612E2" w:rsidRPr="00246CC4" w:rsidRDefault="00A612E2" w:rsidP="00742B81">
            <w:pPr>
              <w:rPr>
                <w:b/>
                <w:bCs/>
                <w:noProof/>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D44F3AF" w14:textId="77777777" w:rsidR="00A612E2" w:rsidRPr="00246CC4" w:rsidRDefault="00A612E2" w:rsidP="00742B81">
            <w:pPr>
              <w:rPr>
                <w:b/>
                <w:bCs/>
                <w:noProof/>
              </w:rPr>
            </w:pPr>
          </w:p>
        </w:tc>
        <w:tc>
          <w:tcPr>
            <w:tcW w:w="3865" w:type="dxa"/>
            <w:vMerge/>
            <w:tcBorders>
              <w:top w:val="single" w:sz="4" w:space="0" w:color="auto"/>
              <w:left w:val="single" w:sz="4" w:space="0" w:color="auto"/>
              <w:bottom w:val="single" w:sz="4" w:space="0" w:color="auto"/>
              <w:right w:val="single" w:sz="4" w:space="0" w:color="auto"/>
            </w:tcBorders>
            <w:vAlign w:val="center"/>
            <w:hideMark/>
          </w:tcPr>
          <w:p w14:paraId="09457DB5" w14:textId="77777777" w:rsidR="00A612E2" w:rsidRPr="00246CC4" w:rsidRDefault="00A612E2" w:rsidP="00742B81">
            <w:pPr>
              <w:rPr>
                <w:b/>
                <w:bCs/>
                <w:noProof/>
              </w:rPr>
            </w:pPr>
          </w:p>
        </w:tc>
      </w:tr>
      <w:tr w:rsidR="00A612E2" w:rsidRPr="00D90835" w14:paraId="621B0B28" w14:textId="77777777" w:rsidTr="00742B81">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BB15E58" w14:textId="77777777" w:rsidR="00A612E2" w:rsidRPr="00246CC4" w:rsidRDefault="00A612E2" w:rsidP="00742B81">
            <w:pPr>
              <w:jc w:val="center"/>
              <w:rPr>
                <w:noProof/>
                <w:color w:val="006100"/>
                <w:sz w:val="20"/>
                <w:szCs w:val="20"/>
              </w:rPr>
            </w:pPr>
            <w:r>
              <w:rPr>
                <w:noProof/>
                <w:color w:val="006100"/>
                <w:sz w:val="20"/>
              </w:rPr>
              <w:t>M2C4-2</w:t>
            </w:r>
          </w:p>
        </w:tc>
        <w:tc>
          <w:tcPr>
            <w:tcW w:w="3118" w:type="dxa"/>
            <w:tcBorders>
              <w:top w:val="single" w:sz="4" w:space="0" w:color="auto"/>
              <w:left w:val="nil"/>
              <w:bottom w:val="single" w:sz="4" w:space="0" w:color="auto"/>
              <w:right w:val="single" w:sz="4" w:space="0" w:color="auto"/>
            </w:tcBorders>
            <w:shd w:val="clear" w:color="auto" w:fill="C6EFCE"/>
            <w:noWrap/>
            <w:vAlign w:val="center"/>
          </w:tcPr>
          <w:p w14:paraId="1E7D32F5" w14:textId="77777777" w:rsidR="00A612E2" w:rsidRPr="003B127D" w:rsidRDefault="00A612E2" w:rsidP="00742B81">
            <w:pPr>
              <w:rPr>
                <w:noProof/>
                <w:color w:val="006100"/>
                <w:sz w:val="20"/>
                <w:szCs w:val="20"/>
              </w:rPr>
            </w:pPr>
            <w:r>
              <w:rPr>
                <w:noProof/>
                <w:color w:val="006100"/>
                <w:sz w:val="20"/>
              </w:rPr>
              <w:t>Reform 4.2. Meetmed integreeritud veevarustusteenuste täieliku juhtimissuutlikkuse tagamiseks</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14:paraId="4418A470" w14:textId="77777777" w:rsidR="00A612E2" w:rsidRPr="00246CC4" w:rsidRDefault="00A612E2" w:rsidP="00742B81">
            <w:pPr>
              <w:rPr>
                <w:noProof/>
                <w:color w:val="006100"/>
                <w:sz w:val="20"/>
                <w:szCs w:val="20"/>
              </w:rPr>
            </w:pPr>
            <w:r>
              <w:rPr>
                <w:noProof/>
                <w:color w:val="006100"/>
                <w:sz w:val="20"/>
              </w:rPr>
              <w:t>Eesmärk</w:t>
            </w:r>
          </w:p>
        </w:tc>
        <w:tc>
          <w:tcPr>
            <w:tcW w:w="3865" w:type="dxa"/>
            <w:tcBorders>
              <w:top w:val="single" w:sz="4" w:space="0" w:color="auto"/>
              <w:left w:val="nil"/>
              <w:bottom w:val="single" w:sz="4" w:space="0" w:color="auto"/>
              <w:right w:val="single" w:sz="4" w:space="0" w:color="auto"/>
            </w:tcBorders>
            <w:shd w:val="clear" w:color="auto" w:fill="C6EFCE"/>
            <w:noWrap/>
            <w:vAlign w:val="center"/>
          </w:tcPr>
          <w:p w14:paraId="006948D0" w14:textId="77777777" w:rsidR="00A612E2" w:rsidRPr="003B127D" w:rsidRDefault="00A612E2" w:rsidP="00742B81">
            <w:pPr>
              <w:rPr>
                <w:noProof/>
                <w:color w:val="006100"/>
                <w:sz w:val="20"/>
                <w:szCs w:val="20"/>
              </w:rPr>
            </w:pPr>
            <w:r>
              <w:rPr>
                <w:noProof/>
                <w:color w:val="006100"/>
                <w:sz w:val="20"/>
              </w:rPr>
              <w:t xml:space="preserve">Integreeritud veevarustusteenuste täieliku juhtimissuutlikkuse tagamise reformi jõustumine </w:t>
            </w:r>
          </w:p>
        </w:tc>
      </w:tr>
      <w:tr w:rsidR="00A612E2" w:rsidRPr="00D90835" w14:paraId="639037EB"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287F532" w14:textId="77777777" w:rsidR="00A612E2" w:rsidRPr="00246CC4" w:rsidRDefault="00A612E2" w:rsidP="00742B81">
            <w:pPr>
              <w:jc w:val="center"/>
              <w:rPr>
                <w:noProof/>
                <w:color w:val="006100"/>
                <w:sz w:val="20"/>
                <w:szCs w:val="20"/>
              </w:rPr>
            </w:pPr>
            <w:r>
              <w:rPr>
                <w:noProof/>
                <w:color w:val="006100"/>
                <w:sz w:val="20"/>
              </w:rPr>
              <w:t>M1C1-3</w:t>
            </w:r>
          </w:p>
        </w:tc>
        <w:tc>
          <w:tcPr>
            <w:tcW w:w="3118" w:type="dxa"/>
            <w:tcBorders>
              <w:top w:val="nil"/>
              <w:left w:val="nil"/>
              <w:bottom w:val="single" w:sz="4" w:space="0" w:color="auto"/>
              <w:right w:val="single" w:sz="4" w:space="0" w:color="auto"/>
            </w:tcBorders>
            <w:shd w:val="clear" w:color="auto" w:fill="C6EFCE"/>
            <w:noWrap/>
            <w:vAlign w:val="center"/>
          </w:tcPr>
          <w:p w14:paraId="74D64418" w14:textId="77777777" w:rsidR="00A612E2" w:rsidRPr="00246CC4" w:rsidRDefault="00A612E2" w:rsidP="00742B81">
            <w:pPr>
              <w:rPr>
                <w:noProof/>
                <w:color w:val="006100"/>
                <w:sz w:val="20"/>
                <w:szCs w:val="20"/>
              </w:rPr>
            </w:pPr>
            <w:r>
              <w:rPr>
                <w:noProof/>
                <w:color w:val="006100"/>
                <w:sz w:val="20"/>
              </w:rPr>
              <w:t>Investeering 1.1. Digitaristu</w:t>
            </w:r>
          </w:p>
        </w:tc>
        <w:tc>
          <w:tcPr>
            <w:tcW w:w="1418" w:type="dxa"/>
            <w:tcBorders>
              <w:top w:val="nil"/>
              <w:left w:val="nil"/>
              <w:bottom w:val="single" w:sz="4" w:space="0" w:color="auto"/>
              <w:right w:val="single" w:sz="4" w:space="0" w:color="auto"/>
            </w:tcBorders>
            <w:shd w:val="clear" w:color="auto" w:fill="C6EFCE"/>
            <w:noWrap/>
            <w:vAlign w:val="center"/>
          </w:tcPr>
          <w:p w14:paraId="5AFF511E" w14:textId="77777777" w:rsidR="00A612E2" w:rsidRPr="00246CC4" w:rsidRDefault="00A612E2" w:rsidP="00742B81">
            <w:pPr>
              <w:rPr>
                <w:noProof/>
                <w:color w:val="006100"/>
                <w:sz w:val="20"/>
                <w:szCs w:val="20"/>
              </w:rPr>
            </w:pPr>
            <w:r>
              <w:rPr>
                <w:noProof/>
                <w:color w:val="006100"/>
                <w:sz w:val="20"/>
              </w:rPr>
              <w:t>Eesmärk</w:t>
            </w:r>
          </w:p>
        </w:tc>
        <w:tc>
          <w:tcPr>
            <w:tcW w:w="3865" w:type="dxa"/>
            <w:tcBorders>
              <w:top w:val="nil"/>
              <w:left w:val="nil"/>
              <w:bottom w:val="single" w:sz="4" w:space="0" w:color="auto"/>
              <w:right w:val="single" w:sz="4" w:space="0" w:color="auto"/>
            </w:tcBorders>
            <w:shd w:val="clear" w:color="auto" w:fill="C6EFCE"/>
            <w:noWrap/>
            <w:vAlign w:val="center"/>
          </w:tcPr>
          <w:p w14:paraId="0FD7C43E" w14:textId="77777777" w:rsidR="00A612E2" w:rsidRPr="00246CC4" w:rsidRDefault="00A612E2" w:rsidP="00742B81">
            <w:pPr>
              <w:rPr>
                <w:noProof/>
                <w:color w:val="006100"/>
                <w:sz w:val="20"/>
                <w:szCs w:val="20"/>
              </w:rPr>
            </w:pPr>
            <w:r>
              <w:rPr>
                <w:noProof/>
                <w:color w:val="006100"/>
                <w:sz w:val="20"/>
              </w:rPr>
              <w:t>Programmi „Polo Strategico Nazionale“ (PSN) lõpuleviimine</w:t>
            </w:r>
          </w:p>
        </w:tc>
      </w:tr>
      <w:tr w:rsidR="00A612E2" w:rsidRPr="00246CC4" w14:paraId="4220E49D"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EBE1175" w14:textId="77777777" w:rsidR="00A612E2" w:rsidRPr="00246CC4" w:rsidRDefault="00A612E2" w:rsidP="00742B81">
            <w:pPr>
              <w:jc w:val="center"/>
              <w:rPr>
                <w:noProof/>
                <w:color w:val="006100"/>
                <w:sz w:val="20"/>
                <w:szCs w:val="20"/>
              </w:rPr>
            </w:pPr>
            <w:r>
              <w:rPr>
                <w:noProof/>
                <w:color w:val="006100"/>
                <w:sz w:val="20"/>
              </w:rPr>
              <w:t>M1C1-4</w:t>
            </w:r>
          </w:p>
        </w:tc>
        <w:tc>
          <w:tcPr>
            <w:tcW w:w="3118" w:type="dxa"/>
            <w:tcBorders>
              <w:top w:val="nil"/>
              <w:left w:val="nil"/>
              <w:bottom w:val="single" w:sz="4" w:space="0" w:color="auto"/>
              <w:right w:val="single" w:sz="4" w:space="0" w:color="auto"/>
            </w:tcBorders>
            <w:shd w:val="clear" w:color="auto" w:fill="C6EFCE"/>
            <w:noWrap/>
            <w:vAlign w:val="center"/>
          </w:tcPr>
          <w:p w14:paraId="4CB07C3C" w14:textId="77777777" w:rsidR="00A612E2" w:rsidRPr="00246CC4" w:rsidRDefault="00A612E2" w:rsidP="00742B81">
            <w:pPr>
              <w:rPr>
                <w:noProof/>
                <w:color w:val="006100"/>
                <w:sz w:val="20"/>
                <w:szCs w:val="20"/>
              </w:rPr>
            </w:pPr>
            <w:r>
              <w:rPr>
                <w:noProof/>
                <w:color w:val="006100"/>
                <w:sz w:val="20"/>
              </w:rPr>
              <w:t>Investeering 1.3.1. Riiklik digitaalsete andmete platvorm</w:t>
            </w:r>
          </w:p>
        </w:tc>
        <w:tc>
          <w:tcPr>
            <w:tcW w:w="1418" w:type="dxa"/>
            <w:tcBorders>
              <w:top w:val="nil"/>
              <w:left w:val="nil"/>
              <w:bottom w:val="single" w:sz="4" w:space="0" w:color="auto"/>
              <w:right w:val="single" w:sz="4" w:space="0" w:color="auto"/>
            </w:tcBorders>
            <w:shd w:val="clear" w:color="auto" w:fill="C6EFCE"/>
            <w:noWrap/>
            <w:vAlign w:val="center"/>
          </w:tcPr>
          <w:p w14:paraId="299AF59F" w14:textId="77777777" w:rsidR="00A612E2" w:rsidRPr="00246CC4" w:rsidRDefault="00A612E2" w:rsidP="00742B81">
            <w:pPr>
              <w:rPr>
                <w:noProof/>
                <w:color w:val="006100"/>
                <w:sz w:val="20"/>
                <w:szCs w:val="20"/>
              </w:rPr>
            </w:pPr>
            <w:r>
              <w:rPr>
                <w:noProof/>
                <w:color w:val="006100"/>
                <w:sz w:val="20"/>
              </w:rPr>
              <w:t>Eesmärk</w:t>
            </w:r>
          </w:p>
        </w:tc>
        <w:tc>
          <w:tcPr>
            <w:tcW w:w="3865" w:type="dxa"/>
            <w:tcBorders>
              <w:top w:val="nil"/>
              <w:left w:val="nil"/>
              <w:bottom w:val="single" w:sz="4" w:space="0" w:color="auto"/>
              <w:right w:val="single" w:sz="4" w:space="0" w:color="auto"/>
            </w:tcBorders>
            <w:shd w:val="clear" w:color="auto" w:fill="C6EFCE"/>
            <w:noWrap/>
            <w:vAlign w:val="center"/>
          </w:tcPr>
          <w:p w14:paraId="38CD96D9" w14:textId="77777777" w:rsidR="00A612E2" w:rsidRPr="00246CC4" w:rsidRDefault="00A612E2" w:rsidP="00742B81">
            <w:pPr>
              <w:rPr>
                <w:noProof/>
                <w:color w:val="006100"/>
                <w:sz w:val="20"/>
                <w:szCs w:val="20"/>
              </w:rPr>
            </w:pPr>
            <w:r>
              <w:rPr>
                <w:noProof/>
                <w:color w:val="006100"/>
                <w:sz w:val="20"/>
              </w:rPr>
              <w:t>Riiklik digitaalne andmeplatvorm toimib</w:t>
            </w:r>
          </w:p>
        </w:tc>
      </w:tr>
      <w:tr w:rsidR="00A612E2" w:rsidRPr="00D90835" w14:paraId="5E88BC9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2EF3674" w14:textId="77777777" w:rsidR="00A612E2" w:rsidRPr="00246CC4" w:rsidRDefault="00A612E2" w:rsidP="00742B81">
            <w:pPr>
              <w:jc w:val="center"/>
              <w:rPr>
                <w:noProof/>
                <w:color w:val="006100"/>
                <w:sz w:val="20"/>
                <w:szCs w:val="20"/>
              </w:rPr>
            </w:pPr>
            <w:r>
              <w:rPr>
                <w:noProof/>
                <w:color w:val="006100"/>
                <w:sz w:val="20"/>
              </w:rPr>
              <w:t>M1C1-5</w:t>
            </w:r>
          </w:p>
        </w:tc>
        <w:tc>
          <w:tcPr>
            <w:tcW w:w="3118" w:type="dxa"/>
            <w:tcBorders>
              <w:top w:val="nil"/>
              <w:left w:val="nil"/>
              <w:bottom w:val="single" w:sz="4" w:space="0" w:color="auto"/>
              <w:right w:val="single" w:sz="4" w:space="0" w:color="auto"/>
            </w:tcBorders>
            <w:shd w:val="clear" w:color="auto" w:fill="C6EFCE"/>
            <w:noWrap/>
            <w:vAlign w:val="center"/>
          </w:tcPr>
          <w:p w14:paraId="2E08A455" w14:textId="77777777" w:rsidR="00A612E2" w:rsidRPr="00246CC4" w:rsidRDefault="00A612E2" w:rsidP="00742B81">
            <w:pPr>
              <w:rPr>
                <w:noProof/>
                <w:color w:val="006100"/>
                <w:sz w:val="20"/>
                <w:szCs w:val="20"/>
              </w:rPr>
            </w:pPr>
            <w:r>
              <w:rPr>
                <w:noProof/>
                <w:color w:val="006100"/>
                <w:sz w:val="20"/>
              </w:rPr>
              <w:t>Investeering 1.5. Küberturvalisus</w:t>
            </w:r>
          </w:p>
        </w:tc>
        <w:tc>
          <w:tcPr>
            <w:tcW w:w="1418" w:type="dxa"/>
            <w:tcBorders>
              <w:top w:val="nil"/>
              <w:left w:val="nil"/>
              <w:bottom w:val="single" w:sz="4" w:space="0" w:color="auto"/>
              <w:right w:val="single" w:sz="4" w:space="0" w:color="auto"/>
            </w:tcBorders>
            <w:shd w:val="clear" w:color="auto" w:fill="C6EFCE"/>
            <w:noWrap/>
            <w:vAlign w:val="center"/>
          </w:tcPr>
          <w:p w14:paraId="1C952075" w14:textId="77777777" w:rsidR="00A612E2" w:rsidRPr="00246CC4" w:rsidRDefault="00A612E2" w:rsidP="00742B81">
            <w:pPr>
              <w:rPr>
                <w:noProof/>
                <w:color w:val="006100"/>
                <w:sz w:val="20"/>
                <w:szCs w:val="20"/>
              </w:rPr>
            </w:pPr>
            <w:r>
              <w:rPr>
                <w:noProof/>
                <w:color w:val="006100"/>
                <w:sz w:val="20"/>
              </w:rPr>
              <w:t>Eesmärk</w:t>
            </w:r>
          </w:p>
        </w:tc>
        <w:tc>
          <w:tcPr>
            <w:tcW w:w="3865" w:type="dxa"/>
            <w:tcBorders>
              <w:top w:val="nil"/>
              <w:left w:val="nil"/>
              <w:bottom w:val="single" w:sz="4" w:space="0" w:color="auto"/>
              <w:right w:val="single" w:sz="4" w:space="0" w:color="auto"/>
            </w:tcBorders>
            <w:shd w:val="clear" w:color="auto" w:fill="C6EFCE"/>
            <w:noWrap/>
            <w:vAlign w:val="center"/>
          </w:tcPr>
          <w:p w14:paraId="200AEF3D" w14:textId="77777777" w:rsidR="00A612E2" w:rsidRPr="003B127D" w:rsidRDefault="00A612E2" w:rsidP="00742B81">
            <w:pPr>
              <w:rPr>
                <w:noProof/>
                <w:color w:val="006100"/>
                <w:sz w:val="20"/>
                <w:szCs w:val="20"/>
              </w:rPr>
            </w:pPr>
            <w:r>
              <w:rPr>
                <w:noProof/>
                <w:color w:val="006100"/>
                <w:sz w:val="20"/>
              </w:rPr>
              <w:t>Uue riikliku küberjulgeoleku ameti loomine</w:t>
            </w:r>
          </w:p>
        </w:tc>
      </w:tr>
      <w:tr w:rsidR="00A612E2" w:rsidRPr="00D90835" w14:paraId="7CDA5B73"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EB8E1D9" w14:textId="77777777" w:rsidR="00A612E2" w:rsidRPr="00246CC4" w:rsidRDefault="00A612E2" w:rsidP="00742B81">
            <w:pPr>
              <w:jc w:val="center"/>
              <w:rPr>
                <w:noProof/>
                <w:color w:val="006100"/>
                <w:sz w:val="20"/>
                <w:szCs w:val="20"/>
              </w:rPr>
            </w:pPr>
            <w:r>
              <w:rPr>
                <w:noProof/>
                <w:color w:val="006100"/>
                <w:sz w:val="20"/>
              </w:rPr>
              <w:t>M1C1-6</w:t>
            </w:r>
          </w:p>
        </w:tc>
        <w:tc>
          <w:tcPr>
            <w:tcW w:w="3118" w:type="dxa"/>
            <w:tcBorders>
              <w:top w:val="nil"/>
              <w:left w:val="nil"/>
              <w:bottom w:val="single" w:sz="4" w:space="0" w:color="auto"/>
              <w:right w:val="single" w:sz="4" w:space="0" w:color="auto"/>
            </w:tcBorders>
            <w:shd w:val="clear" w:color="auto" w:fill="C6EFCE"/>
            <w:noWrap/>
            <w:vAlign w:val="center"/>
          </w:tcPr>
          <w:p w14:paraId="55BD239D" w14:textId="77777777" w:rsidR="00A612E2" w:rsidRPr="00246CC4" w:rsidRDefault="00A612E2" w:rsidP="00742B81">
            <w:pPr>
              <w:rPr>
                <w:noProof/>
                <w:color w:val="006100"/>
                <w:sz w:val="20"/>
                <w:szCs w:val="20"/>
              </w:rPr>
            </w:pPr>
            <w:r>
              <w:rPr>
                <w:noProof/>
                <w:color w:val="006100"/>
                <w:sz w:val="20"/>
              </w:rPr>
              <w:t>Investeering 1.5. Küberturvalisus</w:t>
            </w:r>
          </w:p>
        </w:tc>
        <w:tc>
          <w:tcPr>
            <w:tcW w:w="1418" w:type="dxa"/>
            <w:tcBorders>
              <w:top w:val="nil"/>
              <w:left w:val="nil"/>
              <w:bottom w:val="single" w:sz="4" w:space="0" w:color="auto"/>
              <w:right w:val="single" w:sz="4" w:space="0" w:color="auto"/>
            </w:tcBorders>
            <w:shd w:val="clear" w:color="auto" w:fill="C6EFCE"/>
            <w:noWrap/>
            <w:vAlign w:val="center"/>
          </w:tcPr>
          <w:p w14:paraId="540C1972" w14:textId="77777777" w:rsidR="00A612E2" w:rsidRPr="00246CC4" w:rsidRDefault="00A612E2" w:rsidP="00742B81">
            <w:pPr>
              <w:rPr>
                <w:noProof/>
                <w:color w:val="006100"/>
                <w:sz w:val="20"/>
                <w:szCs w:val="20"/>
              </w:rPr>
            </w:pPr>
            <w:r>
              <w:rPr>
                <w:noProof/>
                <w:color w:val="006100"/>
                <w:sz w:val="20"/>
              </w:rPr>
              <w:t>Eesmärk</w:t>
            </w:r>
          </w:p>
        </w:tc>
        <w:tc>
          <w:tcPr>
            <w:tcW w:w="3865" w:type="dxa"/>
            <w:tcBorders>
              <w:top w:val="nil"/>
              <w:left w:val="nil"/>
              <w:bottom w:val="single" w:sz="4" w:space="0" w:color="auto"/>
              <w:right w:val="single" w:sz="4" w:space="0" w:color="auto"/>
            </w:tcBorders>
            <w:shd w:val="clear" w:color="auto" w:fill="C6EFCE"/>
            <w:noWrap/>
            <w:vAlign w:val="center"/>
          </w:tcPr>
          <w:p w14:paraId="6F391B54" w14:textId="77777777" w:rsidR="00A612E2" w:rsidRPr="003B127D" w:rsidRDefault="00A612E2" w:rsidP="00742B81">
            <w:pPr>
              <w:rPr>
                <w:noProof/>
                <w:color w:val="006100"/>
                <w:sz w:val="20"/>
                <w:szCs w:val="20"/>
              </w:rPr>
            </w:pPr>
            <w:r>
              <w:rPr>
                <w:noProof/>
                <w:color w:val="006100"/>
                <w:sz w:val="20"/>
              </w:rPr>
              <w:t>Riiklike küberturvalisuse teenuste esialgne kasutuselevõtt</w:t>
            </w:r>
          </w:p>
        </w:tc>
      </w:tr>
      <w:tr w:rsidR="00A612E2" w:rsidRPr="00D90835" w14:paraId="0323713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FF34762" w14:textId="77777777" w:rsidR="00A612E2" w:rsidRPr="00246CC4" w:rsidRDefault="00A612E2" w:rsidP="00742B81">
            <w:pPr>
              <w:jc w:val="center"/>
              <w:rPr>
                <w:noProof/>
                <w:color w:val="006100"/>
                <w:sz w:val="20"/>
                <w:szCs w:val="20"/>
              </w:rPr>
            </w:pPr>
            <w:r>
              <w:rPr>
                <w:noProof/>
                <w:color w:val="006100"/>
                <w:sz w:val="20"/>
              </w:rPr>
              <w:t>M1C1-7</w:t>
            </w:r>
          </w:p>
        </w:tc>
        <w:tc>
          <w:tcPr>
            <w:tcW w:w="3118" w:type="dxa"/>
            <w:tcBorders>
              <w:top w:val="nil"/>
              <w:left w:val="nil"/>
              <w:bottom w:val="single" w:sz="4" w:space="0" w:color="auto"/>
              <w:right w:val="single" w:sz="4" w:space="0" w:color="auto"/>
            </w:tcBorders>
            <w:shd w:val="clear" w:color="auto" w:fill="C6EFCE"/>
            <w:noWrap/>
            <w:vAlign w:val="center"/>
          </w:tcPr>
          <w:p w14:paraId="13065724" w14:textId="77777777" w:rsidR="00A612E2" w:rsidRPr="00246CC4" w:rsidRDefault="00A612E2" w:rsidP="00742B81">
            <w:pPr>
              <w:rPr>
                <w:noProof/>
                <w:color w:val="006100"/>
                <w:sz w:val="20"/>
                <w:szCs w:val="20"/>
              </w:rPr>
            </w:pPr>
            <w:r>
              <w:rPr>
                <w:noProof/>
                <w:color w:val="006100"/>
                <w:sz w:val="20"/>
              </w:rPr>
              <w:t>Investeering 1.5. Küberturvalisus</w:t>
            </w:r>
          </w:p>
        </w:tc>
        <w:tc>
          <w:tcPr>
            <w:tcW w:w="1418" w:type="dxa"/>
            <w:tcBorders>
              <w:top w:val="nil"/>
              <w:left w:val="nil"/>
              <w:bottom w:val="single" w:sz="4" w:space="0" w:color="auto"/>
              <w:right w:val="single" w:sz="4" w:space="0" w:color="auto"/>
            </w:tcBorders>
            <w:shd w:val="clear" w:color="auto" w:fill="C6EFCE"/>
            <w:noWrap/>
            <w:vAlign w:val="center"/>
          </w:tcPr>
          <w:p w14:paraId="7549C010" w14:textId="77777777" w:rsidR="00A612E2" w:rsidRPr="00246CC4" w:rsidRDefault="00A612E2" w:rsidP="00742B81">
            <w:pPr>
              <w:rPr>
                <w:noProof/>
                <w:color w:val="006100"/>
                <w:sz w:val="20"/>
                <w:szCs w:val="20"/>
              </w:rPr>
            </w:pPr>
            <w:r>
              <w:rPr>
                <w:noProof/>
                <w:color w:val="006100"/>
                <w:sz w:val="20"/>
              </w:rPr>
              <w:t>Eesmärk</w:t>
            </w:r>
          </w:p>
        </w:tc>
        <w:tc>
          <w:tcPr>
            <w:tcW w:w="3865" w:type="dxa"/>
            <w:tcBorders>
              <w:top w:val="nil"/>
              <w:left w:val="nil"/>
              <w:bottom w:val="single" w:sz="4" w:space="0" w:color="auto"/>
              <w:right w:val="single" w:sz="4" w:space="0" w:color="auto"/>
            </w:tcBorders>
            <w:shd w:val="clear" w:color="auto" w:fill="C6EFCE"/>
            <w:noWrap/>
            <w:vAlign w:val="center"/>
          </w:tcPr>
          <w:p w14:paraId="295A2AA9" w14:textId="77777777" w:rsidR="00A612E2" w:rsidRPr="003B127D" w:rsidRDefault="00A612E2" w:rsidP="00742B81">
            <w:pPr>
              <w:rPr>
                <w:noProof/>
                <w:color w:val="006100"/>
                <w:sz w:val="20"/>
                <w:szCs w:val="20"/>
              </w:rPr>
            </w:pPr>
            <w:r>
              <w:rPr>
                <w:noProof/>
                <w:color w:val="006100"/>
                <w:sz w:val="20"/>
              </w:rPr>
              <w:t>Küberturvalisuse skriining- ja sertifitseerimislaborite võrgustiku käivitamine</w:t>
            </w:r>
          </w:p>
        </w:tc>
      </w:tr>
      <w:tr w:rsidR="00A612E2" w:rsidRPr="00D90835" w14:paraId="3390D6F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1B9DF1C" w14:textId="77777777" w:rsidR="00A612E2" w:rsidRPr="00246CC4" w:rsidRDefault="00A612E2" w:rsidP="00742B81">
            <w:pPr>
              <w:jc w:val="center"/>
              <w:rPr>
                <w:noProof/>
                <w:color w:val="006100"/>
                <w:sz w:val="20"/>
                <w:szCs w:val="20"/>
              </w:rPr>
            </w:pPr>
            <w:r>
              <w:rPr>
                <w:noProof/>
                <w:color w:val="006100"/>
                <w:sz w:val="20"/>
              </w:rPr>
              <w:t>M1C1-8</w:t>
            </w:r>
          </w:p>
        </w:tc>
        <w:tc>
          <w:tcPr>
            <w:tcW w:w="3118" w:type="dxa"/>
            <w:tcBorders>
              <w:top w:val="nil"/>
              <w:left w:val="nil"/>
              <w:bottom w:val="single" w:sz="4" w:space="0" w:color="auto"/>
              <w:right w:val="single" w:sz="4" w:space="0" w:color="auto"/>
            </w:tcBorders>
            <w:shd w:val="clear" w:color="auto" w:fill="C6EFCE"/>
            <w:noWrap/>
            <w:vAlign w:val="center"/>
          </w:tcPr>
          <w:p w14:paraId="52B0F024" w14:textId="77777777" w:rsidR="00A612E2" w:rsidRPr="00246CC4" w:rsidRDefault="00A612E2" w:rsidP="00742B81">
            <w:pPr>
              <w:rPr>
                <w:noProof/>
                <w:color w:val="006100"/>
                <w:sz w:val="20"/>
                <w:szCs w:val="20"/>
              </w:rPr>
            </w:pPr>
            <w:r>
              <w:rPr>
                <w:noProof/>
                <w:color w:val="006100"/>
                <w:sz w:val="20"/>
              </w:rPr>
              <w:t>Investeering 1.5. Küberturvalisus</w:t>
            </w:r>
          </w:p>
        </w:tc>
        <w:tc>
          <w:tcPr>
            <w:tcW w:w="1418" w:type="dxa"/>
            <w:tcBorders>
              <w:top w:val="nil"/>
              <w:left w:val="nil"/>
              <w:bottom w:val="single" w:sz="4" w:space="0" w:color="auto"/>
              <w:right w:val="single" w:sz="4" w:space="0" w:color="auto"/>
            </w:tcBorders>
            <w:shd w:val="clear" w:color="auto" w:fill="C6EFCE"/>
            <w:noWrap/>
            <w:vAlign w:val="center"/>
          </w:tcPr>
          <w:p w14:paraId="68F9840A" w14:textId="77777777" w:rsidR="00A612E2" w:rsidRPr="00246CC4" w:rsidRDefault="00A612E2" w:rsidP="00742B81">
            <w:pPr>
              <w:rPr>
                <w:noProof/>
                <w:color w:val="006100"/>
                <w:sz w:val="20"/>
                <w:szCs w:val="20"/>
              </w:rPr>
            </w:pPr>
            <w:r>
              <w:rPr>
                <w:noProof/>
                <w:color w:val="006100"/>
                <w:sz w:val="20"/>
              </w:rPr>
              <w:t>Eesmärk</w:t>
            </w:r>
          </w:p>
        </w:tc>
        <w:tc>
          <w:tcPr>
            <w:tcW w:w="3865" w:type="dxa"/>
            <w:tcBorders>
              <w:top w:val="nil"/>
              <w:left w:val="nil"/>
              <w:bottom w:val="single" w:sz="4" w:space="0" w:color="auto"/>
              <w:right w:val="single" w:sz="4" w:space="0" w:color="auto"/>
            </w:tcBorders>
            <w:shd w:val="clear" w:color="auto" w:fill="C6EFCE"/>
            <w:noWrap/>
            <w:vAlign w:val="center"/>
          </w:tcPr>
          <w:p w14:paraId="474B6C91" w14:textId="77777777" w:rsidR="00A612E2" w:rsidRPr="003B127D" w:rsidRDefault="00A612E2" w:rsidP="00742B81">
            <w:pPr>
              <w:rPr>
                <w:noProof/>
                <w:color w:val="006100"/>
                <w:sz w:val="20"/>
                <w:szCs w:val="20"/>
              </w:rPr>
            </w:pPr>
            <w:r>
              <w:rPr>
                <w:noProof/>
                <w:color w:val="006100"/>
                <w:sz w:val="20"/>
              </w:rPr>
              <w:t>Tsentraalse auditiüksuse aktiveerimine PSNC &amp; NISi turvameetmete jaoks</w:t>
            </w:r>
          </w:p>
        </w:tc>
      </w:tr>
      <w:tr w:rsidR="00A612E2" w:rsidRPr="00D90835" w14:paraId="03A628E8"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6935E80" w14:textId="77777777" w:rsidR="00A612E2" w:rsidRPr="00246CC4" w:rsidRDefault="00A612E2" w:rsidP="00742B81">
            <w:pPr>
              <w:jc w:val="center"/>
              <w:rPr>
                <w:noProof/>
                <w:color w:val="006100"/>
                <w:sz w:val="20"/>
                <w:szCs w:val="20"/>
              </w:rPr>
            </w:pPr>
            <w:r>
              <w:rPr>
                <w:noProof/>
                <w:color w:val="006100"/>
                <w:sz w:val="20"/>
              </w:rPr>
              <w:t>M1C1-9</w:t>
            </w:r>
          </w:p>
        </w:tc>
        <w:tc>
          <w:tcPr>
            <w:tcW w:w="3118" w:type="dxa"/>
            <w:tcBorders>
              <w:top w:val="nil"/>
              <w:left w:val="nil"/>
              <w:bottom w:val="single" w:sz="4" w:space="0" w:color="auto"/>
              <w:right w:val="single" w:sz="4" w:space="0" w:color="auto"/>
            </w:tcBorders>
            <w:shd w:val="clear" w:color="auto" w:fill="C6EFCE"/>
            <w:noWrap/>
            <w:vAlign w:val="center"/>
          </w:tcPr>
          <w:p w14:paraId="6E9D4B1C" w14:textId="77777777" w:rsidR="00A612E2" w:rsidRPr="00246CC4" w:rsidRDefault="00A612E2" w:rsidP="00742B81">
            <w:pPr>
              <w:rPr>
                <w:noProof/>
                <w:color w:val="006100"/>
                <w:sz w:val="20"/>
                <w:szCs w:val="20"/>
              </w:rPr>
            </w:pPr>
            <w:r>
              <w:rPr>
                <w:noProof/>
                <w:color w:val="006100"/>
                <w:sz w:val="20"/>
              </w:rPr>
              <w:t>Investeering 1.5. Küberturvalisus</w:t>
            </w:r>
          </w:p>
        </w:tc>
        <w:tc>
          <w:tcPr>
            <w:tcW w:w="1418" w:type="dxa"/>
            <w:tcBorders>
              <w:top w:val="nil"/>
              <w:left w:val="nil"/>
              <w:bottom w:val="single" w:sz="4" w:space="0" w:color="auto"/>
              <w:right w:val="single" w:sz="4" w:space="0" w:color="auto"/>
            </w:tcBorders>
            <w:shd w:val="clear" w:color="auto" w:fill="C6EFCE"/>
            <w:noWrap/>
            <w:vAlign w:val="center"/>
          </w:tcPr>
          <w:p w14:paraId="23575F9E" w14:textId="77777777" w:rsidR="00A612E2" w:rsidRPr="00246CC4" w:rsidRDefault="00A612E2" w:rsidP="00742B81">
            <w:pPr>
              <w:rPr>
                <w:noProof/>
                <w:color w:val="006100"/>
                <w:sz w:val="20"/>
                <w:szCs w:val="20"/>
              </w:rPr>
            </w:pPr>
            <w:r>
              <w:rPr>
                <w:noProof/>
                <w:color w:val="006100"/>
                <w:sz w:val="20"/>
              </w:rPr>
              <w:t>Siht</w:t>
            </w:r>
          </w:p>
        </w:tc>
        <w:tc>
          <w:tcPr>
            <w:tcW w:w="3865" w:type="dxa"/>
            <w:tcBorders>
              <w:top w:val="nil"/>
              <w:left w:val="nil"/>
              <w:bottom w:val="single" w:sz="4" w:space="0" w:color="auto"/>
              <w:right w:val="single" w:sz="4" w:space="0" w:color="auto"/>
            </w:tcBorders>
            <w:shd w:val="clear" w:color="auto" w:fill="C6EFCE"/>
            <w:noWrap/>
            <w:vAlign w:val="center"/>
          </w:tcPr>
          <w:p w14:paraId="69FC0058" w14:textId="77777777" w:rsidR="00A612E2" w:rsidRPr="003B127D" w:rsidRDefault="00A612E2" w:rsidP="00742B81">
            <w:pPr>
              <w:rPr>
                <w:noProof/>
                <w:color w:val="006100"/>
                <w:sz w:val="20"/>
                <w:szCs w:val="20"/>
              </w:rPr>
            </w:pPr>
            <w:r>
              <w:rPr>
                <w:noProof/>
                <w:color w:val="006100"/>
                <w:sz w:val="20"/>
              </w:rPr>
              <w:t>Toetus turvastruktuuride ajakohastamisele T1</w:t>
            </w:r>
          </w:p>
        </w:tc>
      </w:tr>
      <w:tr w:rsidR="00A612E2" w:rsidRPr="00D90835" w14:paraId="44BF83D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87C0634" w14:textId="77777777" w:rsidR="00A612E2" w:rsidRPr="00246CC4" w:rsidRDefault="00A612E2" w:rsidP="00742B81">
            <w:pPr>
              <w:jc w:val="center"/>
              <w:rPr>
                <w:noProof/>
                <w:color w:val="006100"/>
                <w:sz w:val="20"/>
                <w:szCs w:val="20"/>
              </w:rPr>
            </w:pPr>
            <w:r>
              <w:rPr>
                <w:noProof/>
                <w:color w:val="006100"/>
                <w:sz w:val="20"/>
              </w:rPr>
              <w:t>M1C1-10</w:t>
            </w:r>
          </w:p>
        </w:tc>
        <w:tc>
          <w:tcPr>
            <w:tcW w:w="3118" w:type="dxa"/>
            <w:tcBorders>
              <w:top w:val="nil"/>
              <w:left w:val="nil"/>
              <w:bottom w:val="single" w:sz="4" w:space="0" w:color="auto"/>
              <w:right w:val="single" w:sz="4" w:space="0" w:color="auto"/>
            </w:tcBorders>
            <w:shd w:val="clear" w:color="auto" w:fill="C6EFCE"/>
            <w:noWrap/>
            <w:vAlign w:val="center"/>
          </w:tcPr>
          <w:p w14:paraId="6906BC06" w14:textId="77777777" w:rsidR="00A612E2" w:rsidRPr="00246CC4" w:rsidRDefault="00A612E2" w:rsidP="00742B81">
            <w:pPr>
              <w:rPr>
                <w:noProof/>
                <w:color w:val="006100"/>
                <w:sz w:val="20"/>
                <w:szCs w:val="20"/>
              </w:rPr>
            </w:pPr>
            <w:r>
              <w:rPr>
                <w:noProof/>
                <w:color w:val="006100"/>
                <w:sz w:val="20"/>
              </w:rPr>
              <w:t>Reform 1.2. Ümberkujundamise toetamine</w:t>
            </w:r>
          </w:p>
        </w:tc>
        <w:tc>
          <w:tcPr>
            <w:tcW w:w="1418" w:type="dxa"/>
            <w:tcBorders>
              <w:top w:val="nil"/>
              <w:left w:val="nil"/>
              <w:bottom w:val="single" w:sz="4" w:space="0" w:color="auto"/>
              <w:right w:val="single" w:sz="4" w:space="0" w:color="auto"/>
            </w:tcBorders>
            <w:shd w:val="clear" w:color="auto" w:fill="C6EFCE"/>
            <w:noWrap/>
            <w:vAlign w:val="center"/>
          </w:tcPr>
          <w:p w14:paraId="426828CB" w14:textId="77777777" w:rsidR="00A612E2" w:rsidRPr="00246CC4" w:rsidRDefault="00A612E2" w:rsidP="00742B81">
            <w:pPr>
              <w:rPr>
                <w:noProof/>
                <w:color w:val="006100"/>
                <w:sz w:val="20"/>
                <w:szCs w:val="20"/>
              </w:rPr>
            </w:pPr>
            <w:r>
              <w:rPr>
                <w:noProof/>
                <w:color w:val="006100"/>
                <w:sz w:val="20"/>
              </w:rPr>
              <w:t>Eesmärk</w:t>
            </w:r>
          </w:p>
        </w:tc>
        <w:tc>
          <w:tcPr>
            <w:tcW w:w="3865" w:type="dxa"/>
            <w:tcBorders>
              <w:top w:val="nil"/>
              <w:left w:val="nil"/>
              <w:bottom w:val="single" w:sz="4" w:space="0" w:color="auto"/>
              <w:right w:val="single" w:sz="4" w:space="0" w:color="auto"/>
            </w:tcBorders>
            <w:shd w:val="clear" w:color="auto" w:fill="C6EFCE"/>
            <w:noWrap/>
            <w:vAlign w:val="center"/>
          </w:tcPr>
          <w:p w14:paraId="30F1BBD4" w14:textId="77777777" w:rsidR="00A612E2" w:rsidRPr="003B127D" w:rsidRDefault="00A612E2" w:rsidP="00742B81">
            <w:pPr>
              <w:rPr>
                <w:noProof/>
                <w:color w:val="006100"/>
                <w:sz w:val="20"/>
                <w:szCs w:val="20"/>
              </w:rPr>
            </w:pPr>
            <w:r>
              <w:rPr>
                <w:noProof/>
                <w:color w:val="006100"/>
                <w:sz w:val="20"/>
              </w:rPr>
              <w:t>Transformeerimisrühma ja NewCo loomise jõustumine</w:t>
            </w:r>
          </w:p>
        </w:tc>
      </w:tr>
      <w:tr w:rsidR="00A612E2" w:rsidRPr="00D90835" w14:paraId="52A48F95"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230AD90" w14:textId="77777777" w:rsidR="00A612E2" w:rsidRPr="00246CC4" w:rsidRDefault="00A612E2" w:rsidP="00742B81">
            <w:pPr>
              <w:jc w:val="center"/>
              <w:rPr>
                <w:noProof/>
                <w:color w:val="006100"/>
                <w:sz w:val="20"/>
                <w:szCs w:val="20"/>
              </w:rPr>
            </w:pPr>
            <w:r>
              <w:rPr>
                <w:noProof/>
                <w:color w:val="006100"/>
                <w:sz w:val="20"/>
              </w:rPr>
              <w:t>M1C1-34</w:t>
            </w:r>
          </w:p>
        </w:tc>
        <w:tc>
          <w:tcPr>
            <w:tcW w:w="3118" w:type="dxa"/>
            <w:tcBorders>
              <w:top w:val="nil"/>
              <w:left w:val="nil"/>
              <w:bottom w:val="single" w:sz="4" w:space="0" w:color="auto"/>
              <w:right w:val="single" w:sz="4" w:space="0" w:color="auto"/>
            </w:tcBorders>
            <w:shd w:val="clear" w:color="auto" w:fill="C6EFCE"/>
            <w:noWrap/>
            <w:vAlign w:val="center"/>
          </w:tcPr>
          <w:p w14:paraId="207F2F7A" w14:textId="77777777" w:rsidR="00A612E2" w:rsidRPr="003B127D" w:rsidRDefault="00A612E2" w:rsidP="00742B81">
            <w:pPr>
              <w:rPr>
                <w:noProof/>
                <w:color w:val="006100"/>
                <w:sz w:val="20"/>
                <w:szCs w:val="20"/>
              </w:rPr>
            </w:pPr>
            <w:r>
              <w:rPr>
                <w:noProof/>
                <w:color w:val="006100"/>
                <w:sz w:val="20"/>
              </w:rPr>
              <w:t>Investeering 1.8. Tsiviil- ja kriminaalkohtute kohtuameti värbamismenetlused</w:t>
            </w:r>
          </w:p>
        </w:tc>
        <w:tc>
          <w:tcPr>
            <w:tcW w:w="1418" w:type="dxa"/>
            <w:tcBorders>
              <w:top w:val="nil"/>
              <w:left w:val="nil"/>
              <w:bottom w:val="single" w:sz="4" w:space="0" w:color="auto"/>
              <w:right w:val="single" w:sz="4" w:space="0" w:color="auto"/>
            </w:tcBorders>
            <w:shd w:val="clear" w:color="auto" w:fill="C6EFCE"/>
            <w:noWrap/>
            <w:vAlign w:val="center"/>
          </w:tcPr>
          <w:p w14:paraId="4A4D1DB5" w14:textId="77777777" w:rsidR="00A612E2" w:rsidRPr="00246CC4" w:rsidRDefault="00A612E2" w:rsidP="00742B81">
            <w:pPr>
              <w:rPr>
                <w:noProof/>
                <w:color w:val="006100"/>
                <w:sz w:val="20"/>
                <w:szCs w:val="20"/>
              </w:rPr>
            </w:pPr>
            <w:r>
              <w:rPr>
                <w:noProof/>
                <w:color w:val="006100"/>
                <w:sz w:val="20"/>
              </w:rPr>
              <w:t>Siht</w:t>
            </w:r>
          </w:p>
        </w:tc>
        <w:tc>
          <w:tcPr>
            <w:tcW w:w="3865" w:type="dxa"/>
            <w:tcBorders>
              <w:top w:val="nil"/>
              <w:left w:val="nil"/>
              <w:bottom w:val="single" w:sz="4" w:space="0" w:color="auto"/>
              <w:right w:val="single" w:sz="4" w:space="0" w:color="auto"/>
            </w:tcBorders>
            <w:shd w:val="clear" w:color="auto" w:fill="C6EFCE"/>
            <w:noWrap/>
            <w:vAlign w:val="center"/>
          </w:tcPr>
          <w:p w14:paraId="0B79970D" w14:textId="77777777" w:rsidR="00A612E2" w:rsidRPr="003B127D" w:rsidRDefault="00A612E2" w:rsidP="00742B81">
            <w:pPr>
              <w:rPr>
                <w:noProof/>
                <w:color w:val="006100"/>
                <w:sz w:val="20"/>
                <w:szCs w:val="20"/>
              </w:rPr>
            </w:pPr>
            <w:r>
              <w:rPr>
                <w:noProof/>
                <w:color w:val="006100"/>
                <w:sz w:val="20"/>
              </w:rPr>
              <w:t>Tsiviil- ja kriminaalkohtute värbamismenetluste alustamine</w:t>
            </w:r>
          </w:p>
        </w:tc>
      </w:tr>
      <w:tr w:rsidR="00A612E2" w:rsidRPr="00D90835" w14:paraId="3EE53342"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E253A5F" w14:textId="77777777" w:rsidR="00A612E2" w:rsidRPr="00246CC4" w:rsidRDefault="00A612E2" w:rsidP="00742B81">
            <w:pPr>
              <w:jc w:val="center"/>
              <w:rPr>
                <w:noProof/>
                <w:color w:val="006100"/>
                <w:sz w:val="20"/>
                <w:szCs w:val="20"/>
              </w:rPr>
            </w:pPr>
            <w:r>
              <w:rPr>
                <w:noProof/>
                <w:color w:val="006100"/>
                <w:sz w:val="20"/>
              </w:rPr>
              <w:t>M1C1-35</w:t>
            </w:r>
          </w:p>
        </w:tc>
        <w:tc>
          <w:tcPr>
            <w:tcW w:w="3118" w:type="dxa"/>
            <w:tcBorders>
              <w:top w:val="nil"/>
              <w:left w:val="nil"/>
              <w:bottom w:val="single" w:sz="4" w:space="0" w:color="auto"/>
              <w:right w:val="single" w:sz="4" w:space="0" w:color="auto"/>
            </w:tcBorders>
            <w:shd w:val="clear" w:color="auto" w:fill="C6EFCE"/>
            <w:noWrap/>
            <w:vAlign w:val="center"/>
          </w:tcPr>
          <w:p w14:paraId="453D0FED" w14:textId="77777777" w:rsidR="00A612E2" w:rsidRPr="003B127D" w:rsidRDefault="00A612E2" w:rsidP="00742B81">
            <w:pPr>
              <w:rPr>
                <w:noProof/>
                <w:color w:val="006100"/>
                <w:sz w:val="20"/>
                <w:szCs w:val="20"/>
              </w:rPr>
            </w:pPr>
            <w:r>
              <w:rPr>
                <w:noProof/>
                <w:color w:val="006100"/>
                <w:sz w:val="20"/>
              </w:rPr>
              <w:t>Reform 1.7. Maksukohtute reform</w:t>
            </w:r>
          </w:p>
        </w:tc>
        <w:tc>
          <w:tcPr>
            <w:tcW w:w="1418" w:type="dxa"/>
            <w:tcBorders>
              <w:top w:val="nil"/>
              <w:left w:val="nil"/>
              <w:bottom w:val="single" w:sz="4" w:space="0" w:color="auto"/>
              <w:right w:val="single" w:sz="4" w:space="0" w:color="auto"/>
            </w:tcBorders>
            <w:shd w:val="clear" w:color="auto" w:fill="C6EFCE"/>
            <w:noWrap/>
            <w:vAlign w:val="center"/>
          </w:tcPr>
          <w:p w14:paraId="5298C087" w14:textId="77777777" w:rsidR="00A612E2" w:rsidRPr="00246CC4" w:rsidRDefault="00A612E2" w:rsidP="00742B81">
            <w:pPr>
              <w:rPr>
                <w:noProof/>
                <w:color w:val="006100"/>
                <w:sz w:val="20"/>
                <w:szCs w:val="20"/>
              </w:rPr>
            </w:pPr>
            <w:r>
              <w:rPr>
                <w:noProof/>
                <w:color w:val="006100"/>
                <w:sz w:val="20"/>
              </w:rPr>
              <w:t>Eesmärk</w:t>
            </w:r>
          </w:p>
        </w:tc>
        <w:tc>
          <w:tcPr>
            <w:tcW w:w="3865" w:type="dxa"/>
            <w:tcBorders>
              <w:top w:val="nil"/>
              <w:left w:val="nil"/>
              <w:bottom w:val="single" w:sz="4" w:space="0" w:color="auto"/>
              <w:right w:val="single" w:sz="4" w:space="0" w:color="auto"/>
            </w:tcBorders>
            <w:shd w:val="clear" w:color="auto" w:fill="C6EFCE"/>
            <w:noWrap/>
            <w:vAlign w:val="center"/>
          </w:tcPr>
          <w:p w14:paraId="491ED52E" w14:textId="77777777" w:rsidR="00A612E2" w:rsidRPr="003B127D" w:rsidRDefault="00A612E2" w:rsidP="00742B81">
            <w:pPr>
              <w:rPr>
                <w:noProof/>
                <w:color w:val="006100"/>
                <w:sz w:val="20"/>
                <w:szCs w:val="20"/>
              </w:rPr>
            </w:pPr>
            <w:r>
              <w:rPr>
                <w:noProof/>
                <w:color w:val="006100"/>
                <w:sz w:val="20"/>
              </w:rPr>
              <w:t>Esimese ja teise astme maksukohtute põhjalik reform</w:t>
            </w:r>
          </w:p>
        </w:tc>
      </w:tr>
      <w:tr w:rsidR="00A612E2" w:rsidRPr="00D90835" w14:paraId="7A8D52CD"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9EC33E1" w14:textId="77777777" w:rsidR="00A612E2" w:rsidRPr="00246CC4" w:rsidRDefault="00A612E2" w:rsidP="00742B81">
            <w:pPr>
              <w:jc w:val="center"/>
              <w:rPr>
                <w:noProof/>
                <w:color w:val="006100"/>
                <w:sz w:val="20"/>
                <w:szCs w:val="20"/>
              </w:rPr>
            </w:pPr>
            <w:r>
              <w:rPr>
                <w:noProof/>
                <w:color w:val="006100"/>
                <w:sz w:val="20"/>
              </w:rPr>
              <w:t>M1C1-36</w:t>
            </w:r>
          </w:p>
        </w:tc>
        <w:tc>
          <w:tcPr>
            <w:tcW w:w="3118" w:type="dxa"/>
            <w:tcBorders>
              <w:top w:val="nil"/>
              <w:left w:val="nil"/>
              <w:bottom w:val="single" w:sz="4" w:space="0" w:color="auto"/>
              <w:right w:val="single" w:sz="4" w:space="0" w:color="auto"/>
            </w:tcBorders>
            <w:shd w:val="clear" w:color="auto" w:fill="C6EFCE"/>
            <w:noWrap/>
            <w:vAlign w:val="center"/>
          </w:tcPr>
          <w:p w14:paraId="758F34D3" w14:textId="77777777" w:rsidR="00A612E2" w:rsidRPr="003B127D" w:rsidRDefault="00A612E2" w:rsidP="00742B81">
            <w:pPr>
              <w:rPr>
                <w:noProof/>
                <w:color w:val="006100"/>
                <w:sz w:val="20"/>
                <w:szCs w:val="20"/>
              </w:rPr>
            </w:pPr>
            <w:r>
              <w:rPr>
                <w:noProof/>
                <w:color w:val="006100"/>
                <w:sz w:val="20"/>
              </w:rPr>
              <w:t>Reformid 1.4, 1.5 ja 1.6. Tsiviil- ja kriminaalkohtureform ning maksejõuetusreform</w:t>
            </w:r>
          </w:p>
        </w:tc>
        <w:tc>
          <w:tcPr>
            <w:tcW w:w="1418" w:type="dxa"/>
            <w:tcBorders>
              <w:top w:val="nil"/>
              <w:left w:val="nil"/>
              <w:bottom w:val="single" w:sz="4" w:space="0" w:color="auto"/>
              <w:right w:val="single" w:sz="4" w:space="0" w:color="auto"/>
            </w:tcBorders>
            <w:shd w:val="clear" w:color="auto" w:fill="C6EFCE"/>
            <w:noWrap/>
            <w:vAlign w:val="center"/>
          </w:tcPr>
          <w:p w14:paraId="11EA66AF" w14:textId="77777777" w:rsidR="00A612E2" w:rsidRPr="00246CC4" w:rsidRDefault="00A612E2" w:rsidP="00742B81">
            <w:pPr>
              <w:rPr>
                <w:noProof/>
                <w:color w:val="006100"/>
                <w:sz w:val="20"/>
                <w:szCs w:val="20"/>
              </w:rPr>
            </w:pPr>
            <w:r>
              <w:rPr>
                <w:noProof/>
                <w:color w:val="006100"/>
                <w:sz w:val="20"/>
              </w:rPr>
              <w:t>Eesmärk</w:t>
            </w:r>
          </w:p>
        </w:tc>
        <w:tc>
          <w:tcPr>
            <w:tcW w:w="3865" w:type="dxa"/>
            <w:tcBorders>
              <w:top w:val="nil"/>
              <w:left w:val="nil"/>
              <w:bottom w:val="single" w:sz="4" w:space="0" w:color="auto"/>
              <w:right w:val="single" w:sz="4" w:space="0" w:color="auto"/>
            </w:tcBorders>
            <w:shd w:val="clear" w:color="auto" w:fill="C6EFCE"/>
            <w:noWrap/>
            <w:vAlign w:val="center"/>
          </w:tcPr>
          <w:p w14:paraId="68720DEE" w14:textId="77777777" w:rsidR="00A612E2" w:rsidRPr="003B127D" w:rsidRDefault="00A612E2" w:rsidP="00742B81">
            <w:pPr>
              <w:rPr>
                <w:noProof/>
                <w:color w:val="006100"/>
                <w:sz w:val="20"/>
                <w:szCs w:val="20"/>
              </w:rPr>
            </w:pPr>
            <w:r>
              <w:rPr>
                <w:noProof/>
                <w:color w:val="006100"/>
                <w:sz w:val="20"/>
              </w:rPr>
              <w:t>Tsiviil- ja kriminaalõigusreformide ning maksejõuetusreformi delegeeritud õigusaktide jõustumine</w:t>
            </w:r>
          </w:p>
        </w:tc>
      </w:tr>
      <w:tr w:rsidR="00A612E2" w:rsidRPr="00D90835" w14:paraId="706993A3"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AAE7F88" w14:textId="77777777" w:rsidR="00A612E2" w:rsidRPr="00246CC4" w:rsidRDefault="00A612E2" w:rsidP="00742B81">
            <w:pPr>
              <w:jc w:val="center"/>
              <w:rPr>
                <w:noProof/>
                <w:color w:val="006100"/>
                <w:sz w:val="20"/>
                <w:szCs w:val="20"/>
              </w:rPr>
            </w:pPr>
            <w:r>
              <w:rPr>
                <w:noProof/>
                <w:color w:val="006100"/>
                <w:sz w:val="20"/>
              </w:rPr>
              <w:t>M1C1-57</w:t>
            </w:r>
          </w:p>
        </w:tc>
        <w:tc>
          <w:tcPr>
            <w:tcW w:w="3118" w:type="dxa"/>
            <w:tcBorders>
              <w:top w:val="nil"/>
              <w:left w:val="nil"/>
              <w:bottom w:val="single" w:sz="4" w:space="0" w:color="auto"/>
              <w:right w:val="single" w:sz="4" w:space="0" w:color="auto"/>
            </w:tcBorders>
            <w:shd w:val="clear" w:color="auto" w:fill="C6EFCE"/>
            <w:noWrap/>
            <w:vAlign w:val="center"/>
          </w:tcPr>
          <w:p w14:paraId="335F3E07" w14:textId="77777777" w:rsidR="00A612E2" w:rsidRPr="003B127D" w:rsidRDefault="00A612E2" w:rsidP="00742B81">
            <w:pPr>
              <w:rPr>
                <w:noProof/>
                <w:color w:val="006100"/>
                <w:sz w:val="20"/>
                <w:szCs w:val="20"/>
              </w:rPr>
            </w:pPr>
            <w:r>
              <w:rPr>
                <w:noProof/>
                <w:color w:val="006100"/>
                <w:sz w:val="20"/>
              </w:rPr>
              <w:t>Reform 1.9. Avaliku halduse reform</w:t>
            </w:r>
          </w:p>
        </w:tc>
        <w:tc>
          <w:tcPr>
            <w:tcW w:w="1418" w:type="dxa"/>
            <w:tcBorders>
              <w:top w:val="nil"/>
              <w:left w:val="nil"/>
              <w:bottom w:val="single" w:sz="4" w:space="0" w:color="auto"/>
              <w:right w:val="single" w:sz="4" w:space="0" w:color="auto"/>
            </w:tcBorders>
            <w:shd w:val="clear" w:color="auto" w:fill="C6EFCE"/>
            <w:noWrap/>
            <w:vAlign w:val="center"/>
          </w:tcPr>
          <w:p w14:paraId="67DB602B" w14:textId="77777777" w:rsidR="00A612E2" w:rsidRPr="00246CC4" w:rsidRDefault="00A612E2" w:rsidP="00742B81">
            <w:pPr>
              <w:rPr>
                <w:noProof/>
                <w:color w:val="006100"/>
                <w:sz w:val="20"/>
                <w:szCs w:val="20"/>
              </w:rPr>
            </w:pPr>
            <w:r>
              <w:rPr>
                <w:noProof/>
                <w:color w:val="006100"/>
                <w:sz w:val="20"/>
              </w:rPr>
              <w:t>Eesmärk</w:t>
            </w:r>
          </w:p>
        </w:tc>
        <w:tc>
          <w:tcPr>
            <w:tcW w:w="3865" w:type="dxa"/>
            <w:tcBorders>
              <w:top w:val="nil"/>
              <w:left w:val="nil"/>
              <w:bottom w:val="single" w:sz="4" w:space="0" w:color="auto"/>
              <w:right w:val="single" w:sz="4" w:space="0" w:color="auto"/>
            </w:tcBorders>
            <w:shd w:val="clear" w:color="auto" w:fill="C6EFCE"/>
            <w:noWrap/>
            <w:vAlign w:val="center"/>
          </w:tcPr>
          <w:p w14:paraId="6605325A" w14:textId="77777777" w:rsidR="00A612E2" w:rsidRPr="003B127D" w:rsidRDefault="00A612E2" w:rsidP="00742B81">
            <w:pPr>
              <w:rPr>
                <w:noProof/>
                <w:color w:val="006100"/>
                <w:sz w:val="20"/>
                <w:szCs w:val="20"/>
              </w:rPr>
            </w:pPr>
            <w:r>
              <w:rPr>
                <w:noProof/>
                <w:color w:val="006100"/>
                <w:sz w:val="20"/>
              </w:rPr>
              <w:t>Uue reguleeriva raamistiku rakendamisele suunatud lihtsustamisreformiga seotud haldusmenetluste jõustumine</w:t>
            </w:r>
          </w:p>
        </w:tc>
      </w:tr>
      <w:tr w:rsidR="00A612E2" w:rsidRPr="00D90835" w14:paraId="30B3852F"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D51D877" w14:textId="77777777" w:rsidR="00A612E2" w:rsidRPr="00246CC4" w:rsidRDefault="00A612E2" w:rsidP="00742B81">
            <w:pPr>
              <w:jc w:val="center"/>
              <w:rPr>
                <w:noProof/>
                <w:color w:val="006100"/>
                <w:sz w:val="20"/>
                <w:szCs w:val="20"/>
              </w:rPr>
            </w:pPr>
            <w:r>
              <w:rPr>
                <w:noProof/>
                <w:color w:val="006100"/>
                <w:sz w:val="20"/>
              </w:rPr>
              <w:t>M1C1-102</w:t>
            </w:r>
          </w:p>
        </w:tc>
        <w:tc>
          <w:tcPr>
            <w:tcW w:w="3118" w:type="dxa"/>
            <w:tcBorders>
              <w:top w:val="nil"/>
              <w:left w:val="nil"/>
              <w:bottom w:val="single" w:sz="4" w:space="0" w:color="auto"/>
              <w:right w:val="single" w:sz="4" w:space="0" w:color="auto"/>
            </w:tcBorders>
            <w:shd w:val="clear" w:color="auto" w:fill="C6EFCE"/>
            <w:noWrap/>
            <w:vAlign w:val="center"/>
          </w:tcPr>
          <w:p w14:paraId="67EA17A2" w14:textId="77777777" w:rsidR="00A612E2" w:rsidRPr="003B127D" w:rsidRDefault="00A612E2" w:rsidP="00742B81">
            <w:pPr>
              <w:rPr>
                <w:noProof/>
                <w:color w:val="006100"/>
                <w:sz w:val="20"/>
                <w:szCs w:val="20"/>
              </w:rPr>
            </w:pPr>
            <w:r>
              <w:rPr>
                <w:noProof/>
                <w:color w:val="006100"/>
                <w:sz w:val="20"/>
              </w:rPr>
              <w:t>Reform 1.13. Kulude läbivaatamise raamistiku reform</w:t>
            </w:r>
          </w:p>
        </w:tc>
        <w:tc>
          <w:tcPr>
            <w:tcW w:w="1418" w:type="dxa"/>
            <w:tcBorders>
              <w:top w:val="nil"/>
              <w:left w:val="nil"/>
              <w:bottom w:val="single" w:sz="4" w:space="0" w:color="auto"/>
              <w:right w:val="single" w:sz="4" w:space="0" w:color="auto"/>
            </w:tcBorders>
            <w:shd w:val="clear" w:color="auto" w:fill="C6EFCE"/>
            <w:noWrap/>
            <w:vAlign w:val="center"/>
          </w:tcPr>
          <w:p w14:paraId="1A9989DB" w14:textId="77777777" w:rsidR="00A612E2" w:rsidRPr="00246CC4" w:rsidRDefault="00A612E2" w:rsidP="00742B81">
            <w:pPr>
              <w:rPr>
                <w:noProof/>
                <w:color w:val="006100"/>
                <w:sz w:val="20"/>
                <w:szCs w:val="20"/>
              </w:rPr>
            </w:pPr>
            <w:r>
              <w:rPr>
                <w:noProof/>
                <w:color w:val="006100"/>
                <w:sz w:val="20"/>
              </w:rPr>
              <w:t>Eesmärk</w:t>
            </w:r>
          </w:p>
        </w:tc>
        <w:tc>
          <w:tcPr>
            <w:tcW w:w="3865" w:type="dxa"/>
            <w:tcBorders>
              <w:top w:val="nil"/>
              <w:left w:val="nil"/>
              <w:bottom w:val="single" w:sz="4" w:space="0" w:color="auto"/>
              <w:right w:val="single" w:sz="4" w:space="0" w:color="auto"/>
            </w:tcBorders>
            <w:shd w:val="clear" w:color="auto" w:fill="C6EFCE"/>
            <w:noWrap/>
            <w:vAlign w:val="center"/>
          </w:tcPr>
          <w:p w14:paraId="0F4A4E89" w14:textId="77777777" w:rsidR="00A612E2" w:rsidRPr="003B127D" w:rsidRDefault="00A612E2" w:rsidP="00742B81">
            <w:pPr>
              <w:rPr>
                <w:noProof/>
                <w:color w:val="006100"/>
                <w:sz w:val="20"/>
                <w:szCs w:val="20"/>
              </w:rPr>
            </w:pPr>
            <w:r>
              <w:rPr>
                <w:noProof/>
                <w:color w:val="006100"/>
                <w:sz w:val="20"/>
              </w:rPr>
              <w:t>Aruande vastuvõtmine selle kohta, kui tõhusad on valitud haldusasutuste tavad säästukavade koostamisel ja rakendamisel</w:t>
            </w:r>
          </w:p>
        </w:tc>
      </w:tr>
      <w:tr w:rsidR="00A612E2" w:rsidRPr="00D90835" w14:paraId="01C59C65"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2092461" w14:textId="77777777" w:rsidR="00A612E2" w:rsidRPr="00246CC4" w:rsidRDefault="00A612E2" w:rsidP="00742B81">
            <w:pPr>
              <w:jc w:val="center"/>
              <w:rPr>
                <w:noProof/>
                <w:color w:val="006100"/>
                <w:sz w:val="20"/>
                <w:szCs w:val="20"/>
              </w:rPr>
            </w:pPr>
            <w:r>
              <w:rPr>
                <w:noProof/>
                <w:color w:val="006100"/>
                <w:sz w:val="20"/>
              </w:rPr>
              <w:t>M1C1-105</w:t>
            </w:r>
          </w:p>
        </w:tc>
        <w:tc>
          <w:tcPr>
            <w:tcW w:w="3118" w:type="dxa"/>
            <w:tcBorders>
              <w:top w:val="nil"/>
              <w:left w:val="nil"/>
              <w:bottom w:val="single" w:sz="4" w:space="0" w:color="auto"/>
              <w:right w:val="single" w:sz="4" w:space="0" w:color="auto"/>
            </w:tcBorders>
            <w:shd w:val="clear" w:color="auto" w:fill="C6EFCE"/>
            <w:noWrap/>
            <w:vAlign w:val="center"/>
          </w:tcPr>
          <w:p w14:paraId="63C581F1" w14:textId="77777777" w:rsidR="00A612E2" w:rsidRPr="003B127D" w:rsidRDefault="00A612E2" w:rsidP="00742B81">
            <w:pPr>
              <w:rPr>
                <w:noProof/>
                <w:color w:val="006100"/>
                <w:sz w:val="20"/>
                <w:szCs w:val="20"/>
              </w:rPr>
            </w:pPr>
            <w:r>
              <w:rPr>
                <w:noProof/>
                <w:color w:val="006100"/>
                <w:sz w:val="20"/>
              </w:rPr>
              <w:t>Reform 1.12. Maksuhalduse reform</w:t>
            </w:r>
          </w:p>
        </w:tc>
        <w:tc>
          <w:tcPr>
            <w:tcW w:w="1418" w:type="dxa"/>
            <w:tcBorders>
              <w:top w:val="nil"/>
              <w:left w:val="nil"/>
              <w:bottom w:val="single" w:sz="4" w:space="0" w:color="auto"/>
              <w:right w:val="single" w:sz="4" w:space="0" w:color="auto"/>
            </w:tcBorders>
            <w:shd w:val="clear" w:color="auto" w:fill="C6EFCE"/>
            <w:noWrap/>
            <w:vAlign w:val="center"/>
          </w:tcPr>
          <w:p w14:paraId="2B16D930" w14:textId="77777777" w:rsidR="00A612E2" w:rsidRPr="00246CC4" w:rsidRDefault="00A612E2" w:rsidP="00742B81">
            <w:pPr>
              <w:rPr>
                <w:noProof/>
                <w:color w:val="006100"/>
                <w:sz w:val="20"/>
                <w:szCs w:val="20"/>
              </w:rPr>
            </w:pPr>
            <w:r>
              <w:rPr>
                <w:noProof/>
                <w:color w:val="006100"/>
                <w:sz w:val="20"/>
              </w:rPr>
              <w:t>Siht</w:t>
            </w:r>
          </w:p>
        </w:tc>
        <w:tc>
          <w:tcPr>
            <w:tcW w:w="3865" w:type="dxa"/>
            <w:tcBorders>
              <w:top w:val="nil"/>
              <w:left w:val="nil"/>
              <w:bottom w:val="single" w:sz="4" w:space="0" w:color="auto"/>
              <w:right w:val="single" w:sz="4" w:space="0" w:color="auto"/>
            </w:tcBorders>
            <w:shd w:val="clear" w:color="auto" w:fill="C6EFCE"/>
            <w:noWrap/>
            <w:vAlign w:val="center"/>
          </w:tcPr>
          <w:p w14:paraId="2696C9BA" w14:textId="77777777" w:rsidR="00A612E2" w:rsidRPr="003B127D" w:rsidRDefault="00A612E2" w:rsidP="00742B81">
            <w:pPr>
              <w:rPr>
                <w:noProof/>
                <w:color w:val="006100"/>
                <w:sz w:val="20"/>
                <w:szCs w:val="20"/>
              </w:rPr>
            </w:pPr>
            <w:r>
              <w:rPr>
                <w:noProof/>
                <w:color w:val="006100"/>
                <w:sz w:val="20"/>
              </w:rPr>
              <w:t>Suurem „vastavuskirjade“ arv</w:t>
            </w:r>
          </w:p>
        </w:tc>
      </w:tr>
      <w:tr w:rsidR="00A612E2" w:rsidRPr="00D90835" w14:paraId="26B6AD1F"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50D8E89" w14:textId="77777777" w:rsidR="00A612E2" w:rsidRPr="00246CC4" w:rsidRDefault="00A612E2" w:rsidP="00742B81">
            <w:pPr>
              <w:jc w:val="center"/>
              <w:rPr>
                <w:noProof/>
                <w:color w:val="006100"/>
                <w:sz w:val="20"/>
                <w:szCs w:val="20"/>
              </w:rPr>
            </w:pPr>
            <w:r>
              <w:rPr>
                <w:noProof/>
                <w:color w:val="006100"/>
                <w:sz w:val="20"/>
              </w:rPr>
              <w:t>M1C1-106</w:t>
            </w:r>
          </w:p>
        </w:tc>
        <w:tc>
          <w:tcPr>
            <w:tcW w:w="3118" w:type="dxa"/>
            <w:tcBorders>
              <w:top w:val="nil"/>
              <w:left w:val="nil"/>
              <w:bottom w:val="single" w:sz="4" w:space="0" w:color="auto"/>
              <w:right w:val="single" w:sz="4" w:space="0" w:color="auto"/>
            </w:tcBorders>
            <w:shd w:val="clear" w:color="auto" w:fill="C6EFCE"/>
            <w:noWrap/>
            <w:vAlign w:val="center"/>
          </w:tcPr>
          <w:p w14:paraId="4421C7F5" w14:textId="77777777" w:rsidR="00A612E2" w:rsidRPr="003B127D" w:rsidRDefault="00A612E2" w:rsidP="00742B81">
            <w:pPr>
              <w:rPr>
                <w:noProof/>
                <w:color w:val="006100"/>
                <w:sz w:val="20"/>
                <w:szCs w:val="20"/>
              </w:rPr>
            </w:pPr>
            <w:r>
              <w:rPr>
                <w:noProof/>
                <w:color w:val="006100"/>
                <w:sz w:val="20"/>
              </w:rPr>
              <w:t>Reform 1.12. Maksuhalduse reform</w:t>
            </w:r>
          </w:p>
        </w:tc>
        <w:tc>
          <w:tcPr>
            <w:tcW w:w="1418" w:type="dxa"/>
            <w:tcBorders>
              <w:top w:val="nil"/>
              <w:left w:val="nil"/>
              <w:bottom w:val="single" w:sz="4" w:space="0" w:color="auto"/>
              <w:right w:val="single" w:sz="4" w:space="0" w:color="auto"/>
            </w:tcBorders>
            <w:shd w:val="clear" w:color="auto" w:fill="C6EFCE"/>
            <w:noWrap/>
            <w:vAlign w:val="center"/>
          </w:tcPr>
          <w:p w14:paraId="5F00D699" w14:textId="77777777" w:rsidR="00A612E2" w:rsidRPr="00246CC4" w:rsidRDefault="00A612E2" w:rsidP="00742B81">
            <w:pPr>
              <w:rPr>
                <w:noProof/>
                <w:color w:val="006100"/>
                <w:sz w:val="20"/>
                <w:szCs w:val="20"/>
              </w:rPr>
            </w:pPr>
            <w:r>
              <w:rPr>
                <w:noProof/>
                <w:color w:val="006100"/>
                <w:sz w:val="20"/>
              </w:rPr>
              <w:t>Siht</w:t>
            </w:r>
          </w:p>
        </w:tc>
        <w:tc>
          <w:tcPr>
            <w:tcW w:w="3865" w:type="dxa"/>
            <w:tcBorders>
              <w:top w:val="nil"/>
              <w:left w:val="nil"/>
              <w:bottom w:val="single" w:sz="4" w:space="0" w:color="auto"/>
              <w:right w:val="single" w:sz="4" w:space="0" w:color="auto"/>
            </w:tcBorders>
            <w:shd w:val="clear" w:color="auto" w:fill="C6EFCE"/>
            <w:noWrap/>
            <w:vAlign w:val="center"/>
          </w:tcPr>
          <w:p w14:paraId="3E358832" w14:textId="77777777" w:rsidR="00A612E2" w:rsidRPr="003B127D" w:rsidRDefault="00A612E2" w:rsidP="00742B81">
            <w:pPr>
              <w:rPr>
                <w:noProof/>
                <w:color w:val="006100"/>
                <w:sz w:val="20"/>
                <w:szCs w:val="20"/>
              </w:rPr>
            </w:pPr>
            <w:r>
              <w:rPr>
                <w:noProof/>
                <w:color w:val="006100"/>
                <w:sz w:val="20"/>
              </w:rPr>
              <w:t>Valepositiivsete „vastavuskirjade“ arvu vähendamine</w:t>
            </w:r>
          </w:p>
        </w:tc>
      </w:tr>
      <w:tr w:rsidR="00A612E2" w:rsidRPr="00D90835" w14:paraId="66909595"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91C58A0" w14:textId="77777777" w:rsidR="00A612E2" w:rsidRPr="00246CC4" w:rsidRDefault="00A612E2" w:rsidP="00742B81">
            <w:pPr>
              <w:jc w:val="center"/>
              <w:rPr>
                <w:noProof/>
                <w:color w:val="006100"/>
                <w:sz w:val="20"/>
                <w:szCs w:val="20"/>
              </w:rPr>
            </w:pPr>
            <w:r>
              <w:rPr>
                <w:noProof/>
                <w:color w:val="006100"/>
                <w:sz w:val="20"/>
              </w:rPr>
              <w:t>M1C1-107</w:t>
            </w:r>
          </w:p>
        </w:tc>
        <w:tc>
          <w:tcPr>
            <w:tcW w:w="3118" w:type="dxa"/>
            <w:tcBorders>
              <w:top w:val="nil"/>
              <w:left w:val="nil"/>
              <w:bottom w:val="single" w:sz="4" w:space="0" w:color="auto"/>
              <w:right w:val="single" w:sz="4" w:space="0" w:color="auto"/>
            </w:tcBorders>
            <w:shd w:val="clear" w:color="auto" w:fill="C6EFCE"/>
            <w:noWrap/>
            <w:vAlign w:val="center"/>
          </w:tcPr>
          <w:p w14:paraId="5F80CE36" w14:textId="77777777" w:rsidR="00A612E2" w:rsidRPr="003B127D" w:rsidRDefault="00A612E2" w:rsidP="00742B81">
            <w:pPr>
              <w:rPr>
                <w:noProof/>
                <w:color w:val="006100"/>
                <w:sz w:val="20"/>
                <w:szCs w:val="20"/>
              </w:rPr>
            </w:pPr>
            <w:r>
              <w:rPr>
                <w:noProof/>
                <w:color w:val="006100"/>
                <w:sz w:val="20"/>
              </w:rPr>
              <w:t>Reform 1.12. Maksuhalduse reform</w:t>
            </w:r>
          </w:p>
        </w:tc>
        <w:tc>
          <w:tcPr>
            <w:tcW w:w="1418" w:type="dxa"/>
            <w:tcBorders>
              <w:top w:val="nil"/>
              <w:left w:val="nil"/>
              <w:bottom w:val="single" w:sz="4" w:space="0" w:color="auto"/>
              <w:right w:val="single" w:sz="4" w:space="0" w:color="auto"/>
            </w:tcBorders>
            <w:shd w:val="clear" w:color="auto" w:fill="C6EFCE"/>
            <w:noWrap/>
            <w:vAlign w:val="center"/>
          </w:tcPr>
          <w:p w14:paraId="6B73D085" w14:textId="77777777" w:rsidR="00A612E2" w:rsidRPr="00246CC4" w:rsidRDefault="00A612E2" w:rsidP="00742B81">
            <w:pPr>
              <w:rPr>
                <w:noProof/>
                <w:color w:val="006600"/>
                <w:sz w:val="20"/>
                <w:szCs w:val="20"/>
              </w:rPr>
            </w:pPr>
            <w:r>
              <w:rPr>
                <w:noProof/>
                <w:color w:val="006100"/>
                <w:sz w:val="20"/>
              </w:rPr>
              <w:t>Siht</w:t>
            </w:r>
          </w:p>
        </w:tc>
        <w:tc>
          <w:tcPr>
            <w:tcW w:w="3865" w:type="dxa"/>
            <w:tcBorders>
              <w:top w:val="nil"/>
              <w:left w:val="nil"/>
              <w:bottom w:val="single" w:sz="4" w:space="0" w:color="auto"/>
              <w:right w:val="single" w:sz="4" w:space="0" w:color="auto"/>
            </w:tcBorders>
            <w:shd w:val="clear" w:color="auto" w:fill="C6EFCE"/>
            <w:noWrap/>
            <w:vAlign w:val="center"/>
          </w:tcPr>
          <w:p w14:paraId="55137587" w14:textId="77777777" w:rsidR="00A612E2" w:rsidRPr="003B127D" w:rsidRDefault="00A612E2" w:rsidP="00742B81">
            <w:pPr>
              <w:rPr>
                <w:noProof/>
                <w:color w:val="006600"/>
                <w:sz w:val="20"/>
                <w:szCs w:val="20"/>
              </w:rPr>
            </w:pPr>
            <w:r>
              <w:rPr>
                <w:noProof/>
                <w:color w:val="006100"/>
                <w:sz w:val="20"/>
              </w:rPr>
              <w:t>Vastavuskirjadest tuleneva maksutulu suurenemine</w:t>
            </w:r>
          </w:p>
        </w:tc>
      </w:tr>
      <w:tr w:rsidR="00A612E2" w:rsidRPr="00D90835" w14:paraId="1F4BA39C"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3C7514A" w14:textId="77777777" w:rsidR="00A612E2" w:rsidRPr="00246CC4" w:rsidRDefault="00A612E2" w:rsidP="00742B81">
            <w:pPr>
              <w:jc w:val="center"/>
              <w:rPr>
                <w:noProof/>
                <w:color w:val="006100"/>
                <w:sz w:val="20"/>
                <w:szCs w:val="20"/>
              </w:rPr>
            </w:pPr>
            <w:r>
              <w:rPr>
                <w:noProof/>
                <w:color w:val="006100"/>
                <w:sz w:val="20"/>
              </w:rPr>
              <w:t>M1C2-6</w:t>
            </w:r>
          </w:p>
        </w:tc>
        <w:tc>
          <w:tcPr>
            <w:tcW w:w="3118" w:type="dxa"/>
            <w:tcBorders>
              <w:top w:val="nil"/>
              <w:left w:val="nil"/>
              <w:bottom w:val="single" w:sz="4" w:space="0" w:color="auto"/>
              <w:right w:val="single" w:sz="4" w:space="0" w:color="auto"/>
            </w:tcBorders>
            <w:shd w:val="clear" w:color="auto" w:fill="C6EFCE"/>
            <w:noWrap/>
            <w:vAlign w:val="center"/>
          </w:tcPr>
          <w:p w14:paraId="20866DC2" w14:textId="77777777" w:rsidR="00A612E2" w:rsidRPr="00246CC4" w:rsidRDefault="00A612E2" w:rsidP="00742B81">
            <w:pPr>
              <w:rPr>
                <w:noProof/>
                <w:color w:val="006100"/>
                <w:sz w:val="20"/>
                <w:szCs w:val="20"/>
              </w:rPr>
            </w:pPr>
            <w:r>
              <w:rPr>
                <w:noProof/>
                <w:color w:val="006100"/>
                <w:sz w:val="20"/>
              </w:rPr>
              <w:t>Reform 2. Iga-aastased konkurentsiseadused</w:t>
            </w:r>
          </w:p>
        </w:tc>
        <w:tc>
          <w:tcPr>
            <w:tcW w:w="1418" w:type="dxa"/>
            <w:tcBorders>
              <w:top w:val="nil"/>
              <w:left w:val="nil"/>
              <w:bottom w:val="single" w:sz="4" w:space="0" w:color="auto"/>
              <w:right w:val="single" w:sz="4" w:space="0" w:color="auto"/>
            </w:tcBorders>
            <w:shd w:val="clear" w:color="auto" w:fill="C6EFCE"/>
            <w:noWrap/>
            <w:vAlign w:val="center"/>
          </w:tcPr>
          <w:p w14:paraId="602D7834" w14:textId="77777777" w:rsidR="00A612E2" w:rsidRPr="00246CC4" w:rsidRDefault="00A612E2" w:rsidP="00742B81">
            <w:pPr>
              <w:rPr>
                <w:noProof/>
                <w:color w:val="006600"/>
                <w:sz w:val="20"/>
                <w:szCs w:val="20"/>
              </w:rPr>
            </w:pPr>
            <w:r>
              <w:rPr>
                <w:noProof/>
                <w:color w:val="006100"/>
                <w:sz w:val="20"/>
              </w:rPr>
              <w:t>Eesmärk</w:t>
            </w:r>
          </w:p>
        </w:tc>
        <w:tc>
          <w:tcPr>
            <w:tcW w:w="3865" w:type="dxa"/>
            <w:tcBorders>
              <w:top w:val="nil"/>
              <w:left w:val="nil"/>
              <w:bottom w:val="single" w:sz="4" w:space="0" w:color="auto"/>
              <w:right w:val="single" w:sz="4" w:space="0" w:color="auto"/>
            </w:tcBorders>
            <w:shd w:val="clear" w:color="auto" w:fill="C6EFCE"/>
            <w:noWrap/>
            <w:vAlign w:val="center"/>
          </w:tcPr>
          <w:p w14:paraId="4B693CBB" w14:textId="77777777" w:rsidR="00A612E2" w:rsidRPr="003B127D" w:rsidRDefault="00A612E2" w:rsidP="00742B81">
            <w:pPr>
              <w:rPr>
                <w:noProof/>
                <w:color w:val="006600"/>
                <w:sz w:val="20"/>
                <w:szCs w:val="20"/>
              </w:rPr>
            </w:pPr>
            <w:r>
              <w:rPr>
                <w:noProof/>
                <w:color w:val="006100"/>
                <w:sz w:val="20"/>
              </w:rPr>
              <w:t>2021. aasta konkurentsiseaduse jõustumine</w:t>
            </w:r>
          </w:p>
        </w:tc>
      </w:tr>
      <w:tr w:rsidR="00A612E2" w:rsidRPr="00D90835" w14:paraId="1B98E683"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3D04AB3" w14:textId="77777777" w:rsidR="00A612E2" w:rsidRPr="00246CC4" w:rsidRDefault="00A612E2" w:rsidP="00742B81">
            <w:pPr>
              <w:jc w:val="center"/>
              <w:rPr>
                <w:noProof/>
                <w:color w:val="006100"/>
                <w:sz w:val="20"/>
                <w:szCs w:val="20"/>
              </w:rPr>
            </w:pPr>
            <w:r>
              <w:rPr>
                <w:noProof/>
                <w:color w:val="006100"/>
                <w:sz w:val="20"/>
              </w:rPr>
              <w:t>M1C2-7</w:t>
            </w:r>
          </w:p>
        </w:tc>
        <w:tc>
          <w:tcPr>
            <w:tcW w:w="3118" w:type="dxa"/>
            <w:tcBorders>
              <w:top w:val="nil"/>
              <w:left w:val="nil"/>
              <w:bottom w:val="single" w:sz="4" w:space="0" w:color="auto"/>
              <w:right w:val="single" w:sz="4" w:space="0" w:color="auto"/>
            </w:tcBorders>
            <w:shd w:val="clear" w:color="auto" w:fill="C6EFCE"/>
            <w:noWrap/>
            <w:vAlign w:val="center"/>
          </w:tcPr>
          <w:p w14:paraId="58CE8340" w14:textId="77777777" w:rsidR="00A612E2" w:rsidRPr="00246CC4" w:rsidRDefault="00A612E2" w:rsidP="00742B81">
            <w:pPr>
              <w:rPr>
                <w:noProof/>
                <w:color w:val="006100"/>
                <w:sz w:val="20"/>
                <w:szCs w:val="20"/>
              </w:rPr>
            </w:pPr>
            <w:r>
              <w:rPr>
                <w:noProof/>
                <w:color w:val="006100"/>
                <w:sz w:val="20"/>
              </w:rPr>
              <w:t>Reform 2. Iga-aastased konkurentsiseadused</w:t>
            </w:r>
          </w:p>
        </w:tc>
        <w:tc>
          <w:tcPr>
            <w:tcW w:w="1418" w:type="dxa"/>
            <w:tcBorders>
              <w:top w:val="nil"/>
              <w:left w:val="nil"/>
              <w:bottom w:val="single" w:sz="4" w:space="0" w:color="auto"/>
              <w:right w:val="single" w:sz="4" w:space="0" w:color="auto"/>
            </w:tcBorders>
            <w:shd w:val="clear" w:color="auto" w:fill="C6EFCE"/>
            <w:noWrap/>
            <w:vAlign w:val="center"/>
          </w:tcPr>
          <w:p w14:paraId="058E205F" w14:textId="77777777" w:rsidR="00A612E2" w:rsidRPr="00246CC4" w:rsidRDefault="00A612E2" w:rsidP="00742B81">
            <w:pPr>
              <w:rPr>
                <w:noProof/>
                <w:color w:val="006600"/>
                <w:sz w:val="20"/>
                <w:szCs w:val="20"/>
              </w:rPr>
            </w:pPr>
            <w:r>
              <w:rPr>
                <w:noProof/>
                <w:color w:val="006100"/>
                <w:sz w:val="20"/>
              </w:rPr>
              <w:t>Eesmärk</w:t>
            </w:r>
          </w:p>
        </w:tc>
        <w:tc>
          <w:tcPr>
            <w:tcW w:w="3865" w:type="dxa"/>
            <w:tcBorders>
              <w:top w:val="nil"/>
              <w:left w:val="nil"/>
              <w:bottom w:val="single" w:sz="4" w:space="0" w:color="auto"/>
              <w:right w:val="single" w:sz="4" w:space="0" w:color="auto"/>
            </w:tcBorders>
            <w:shd w:val="clear" w:color="auto" w:fill="C6EFCE"/>
            <w:noWrap/>
            <w:vAlign w:val="center"/>
          </w:tcPr>
          <w:p w14:paraId="387C8220" w14:textId="77777777" w:rsidR="00A612E2" w:rsidRPr="003B127D" w:rsidRDefault="00A612E2" w:rsidP="00742B81">
            <w:pPr>
              <w:rPr>
                <w:noProof/>
                <w:color w:val="006600"/>
                <w:sz w:val="20"/>
                <w:szCs w:val="20"/>
              </w:rPr>
            </w:pPr>
            <w:r>
              <w:rPr>
                <w:noProof/>
                <w:color w:val="006100"/>
                <w:sz w:val="20"/>
              </w:rPr>
              <w:t>Kõigi energiaalaste rakendusmeetmete ja teiseste õigusaktide jõustumine (vajaduse korral)</w:t>
            </w:r>
          </w:p>
        </w:tc>
      </w:tr>
      <w:tr w:rsidR="00A612E2" w:rsidRPr="00D90835" w14:paraId="5D6CCB6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3CFDDBF" w14:textId="77777777" w:rsidR="00A612E2" w:rsidRPr="00246CC4" w:rsidRDefault="00A612E2" w:rsidP="00742B81">
            <w:pPr>
              <w:jc w:val="center"/>
              <w:rPr>
                <w:noProof/>
                <w:color w:val="006100"/>
                <w:sz w:val="20"/>
                <w:szCs w:val="20"/>
              </w:rPr>
            </w:pPr>
            <w:r>
              <w:rPr>
                <w:noProof/>
                <w:color w:val="006100"/>
                <w:sz w:val="20"/>
              </w:rPr>
              <w:t>M1C2-8</w:t>
            </w:r>
          </w:p>
        </w:tc>
        <w:tc>
          <w:tcPr>
            <w:tcW w:w="3118" w:type="dxa"/>
            <w:tcBorders>
              <w:top w:val="nil"/>
              <w:left w:val="nil"/>
              <w:bottom w:val="single" w:sz="4" w:space="0" w:color="auto"/>
              <w:right w:val="single" w:sz="4" w:space="0" w:color="auto"/>
            </w:tcBorders>
            <w:shd w:val="clear" w:color="auto" w:fill="C6EFCE"/>
            <w:noWrap/>
            <w:vAlign w:val="center"/>
          </w:tcPr>
          <w:p w14:paraId="687ABE07" w14:textId="77777777" w:rsidR="00A612E2" w:rsidRPr="00246CC4" w:rsidRDefault="00A612E2" w:rsidP="00742B81">
            <w:pPr>
              <w:rPr>
                <w:noProof/>
                <w:color w:val="006100"/>
                <w:sz w:val="20"/>
                <w:szCs w:val="20"/>
              </w:rPr>
            </w:pPr>
            <w:r>
              <w:rPr>
                <w:noProof/>
                <w:color w:val="006100"/>
                <w:sz w:val="20"/>
              </w:rPr>
              <w:t>Reform 2. Iga-aastased konkurentsiseadused</w:t>
            </w:r>
          </w:p>
        </w:tc>
        <w:tc>
          <w:tcPr>
            <w:tcW w:w="1418" w:type="dxa"/>
            <w:tcBorders>
              <w:top w:val="nil"/>
              <w:left w:val="nil"/>
              <w:bottom w:val="single" w:sz="4" w:space="0" w:color="auto"/>
              <w:right w:val="single" w:sz="4" w:space="0" w:color="auto"/>
            </w:tcBorders>
            <w:shd w:val="clear" w:color="auto" w:fill="C6EFCE"/>
            <w:noWrap/>
            <w:vAlign w:val="center"/>
          </w:tcPr>
          <w:p w14:paraId="47D903FC" w14:textId="77777777" w:rsidR="00A612E2" w:rsidRPr="00246CC4" w:rsidRDefault="00A612E2" w:rsidP="00742B81">
            <w:pPr>
              <w:rPr>
                <w:noProof/>
                <w:color w:val="006600"/>
                <w:sz w:val="20"/>
                <w:szCs w:val="20"/>
              </w:rPr>
            </w:pPr>
            <w:r>
              <w:rPr>
                <w:noProof/>
                <w:color w:val="006100"/>
                <w:sz w:val="20"/>
              </w:rPr>
              <w:t>Eesmärk</w:t>
            </w:r>
          </w:p>
        </w:tc>
        <w:tc>
          <w:tcPr>
            <w:tcW w:w="3865" w:type="dxa"/>
            <w:tcBorders>
              <w:top w:val="nil"/>
              <w:left w:val="nil"/>
              <w:bottom w:val="single" w:sz="4" w:space="0" w:color="auto"/>
              <w:right w:val="single" w:sz="4" w:space="0" w:color="auto"/>
            </w:tcBorders>
            <w:shd w:val="clear" w:color="auto" w:fill="C6EFCE"/>
            <w:noWrap/>
            <w:vAlign w:val="center"/>
          </w:tcPr>
          <w:p w14:paraId="6B7AB489" w14:textId="77777777" w:rsidR="00A612E2" w:rsidRPr="003B127D" w:rsidRDefault="00A612E2" w:rsidP="00742B81">
            <w:pPr>
              <w:rPr>
                <w:noProof/>
                <w:color w:val="006600"/>
                <w:sz w:val="20"/>
                <w:szCs w:val="20"/>
              </w:rPr>
            </w:pPr>
            <w:r>
              <w:rPr>
                <w:noProof/>
                <w:color w:val="006100"/>
                <w:sz w:val="20"/>
              </w:rPr>
              <w:t>Kõigi rakendusmeetmete (sealhulgas vajaduse korral teiseste õigusaktide) jõustumine 2021. aasta konkurentsiseadusest tulenevate meetmete tõhusaks rakendamiseks ja kohaldamiseks</w:t>
            </w:r>
          </w:p>
        </w:tc>
      </w:tr>
      <w:tr w:rsidR="00A612E2" w:rsidRPr="00D90835" w14:paraId="6EF79638"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1C31963" w14:textId="77777777" w:rsidR="00A612E2" w:rsidRPr="00246CC4" w:rsidRDefault="00A612E2" w:rsidP="00742B81">
            <w:pPr>
              <w:jc w:val="center"/>
              <w:rPr>
                <w:noProof/>
                <w:color w:val="006100"/>
                <w:sz w:val="20"/>
                <w:szCs w:val="20"/>
              </w:rPr>
            </w:pPr>
            <w:r>
              <w:rPr>
                <w:noProof/>
                <w:color w:val="006100"/>
                <w:sz w:val="20"/>
              </w:rPr>
              <w:t>M1C3-6</w:t>
            </w:r>
          </w:p>
        </w:tc>
        <w:tc>
          <w:tcPr>
            <w:tcW w:w="3118" w:type="dxa"/>
            <w:tcBorders>
              <w:top w:val="nil"/>
              <w:left w:val="nil"/>
              <w:bottom w:val="single" w:sz="4" w:space="0" w:color="auto"/>
              <w:right w:val="single" w:sz="4" w:space="0" w:color="auto"/>
            </w:tcBorders>
            <w:shd w:val="clear" w:color="auto" w:fill="C6EFCE"/>
            <w:noWrap/>
            <w:vAlign w:val="center"/>
          </w:tcPr>
          <w:p w14:paraId="24B1B9F1" w14:textId="77777777" w:rsidR="00A612E2" w:rsidRPr="00246CC4" w:rsidRDefault="00A612E2" w:rsidP="00742B81">
            <w:pPr>
              <w:rPr>
                <w:noProof/>
                <w:color w:val="006100"/>
                <w:sz w:val="20"/>
                <w:szCs w:val="20"/>
              </w:rPr>
            </w:pPr>
            <w:r>
              <w:rPr>
                <w:noProof/>
                <w:color w:val="006100"/>
                <w:sz w:val="20"/>
              </w:rPr>
              <w:t>Reform 3.1. Kultuuriürituste minimaalsete keskkonnakriteeriumide vastuvõtmine</w:t>
            </w:r>
          </w:p>
        </w:tc>
        <w:tc>
          <w:tcPr>
            <w:tcW w:w="1418" w:type="dxa"/>
            <w:tcBorders>
              <w:top w:val="nil"/>
              <w:left w:val="nil"/>
              <w:bottom w:val="single" w:sz="4" w:space="0" w:color="auto"/>
              <w:right w:val="single" w:sz="4" w:space="0" w:color="auto"/>
            </w:tcBorders>
            <w:shd w:val="clear" w:color="auto" w:fill="C6EFCE"/>
            <w:noWrap/>
            <w:vAlign w:val="center"/>
          </w:tcPr>
          <w:p w14:paraId="51371742" w14:textId="77777777" w:rsidR="00A612E2" w:rsidRPr="00246CC4" w:rsidRDefault="00A612E2" w:rsidP="00742B81">
            <w:pPr>
              <w:rPr>
                <w:noProof/>
                <w:color w:val="006600"/>
                <w:sz w:val="20"/>
                <w:szCs w:val="20"/>
              </w:rPr>
            </w:pPr>
            <w:r>
              <w:rPr>
                <w:noProof/>
                <w:color w:val="006100"/>
                <w:sz w:val="20"/>
              </w:rPr>
              <w:t>Eesmärk</w:t>
            </w:r>
          </w:p>
        </w:tc>
        <w:tc>
          <w:tcPr>
            <w:tcW w:w="3865" w:type="dxa"/>
            <w:tcBorders>
              <w:top w:val="nil"/>
              <w:left w:val="nil"/>
              <w:bottom w:val="single" w:sz="4" w:space="0" w:color="auto"/>
              <w:right w:val="single" w:sz="4" w:space="0" w:color="auto"/>
            </w:tcBorders>
            <w:shd w:val="clear" w:color="auto" w:fill="C6EFCE"/>
            <w:noWrap/>
            <w:vAlign w:val="center"/>
          </w:tcPr>
          <w:p w14:paraId="49842E78" w14:textId="77777777" w:rsidR="00A612E2" w:rsidRPr="003B127D" w:rsidRDefault="00A612E2" w:rsidP="00742B81">
            <w:pPr>
              <w:rPr>
                <w:noProof/>
                <w:color w:val="006600"/>
                <w:sz w:val="20"/>
                <w:szCs w:val="20"/>
              </w:rPr>
            </w:pPr>
            <w:r>
              <w:rPr>
                <w:noProof/>
                <w:color w:val="006100"/>
                <w:sz w:val="20"/>
              </w:rPr>
              <w:t>Jõustub määrus, millega määratakse kindlaks riiklikult rahastatavate kultuuriüritustega seotud riigihangete sotsiaalsed ja keskkonnaalased kriteeriumid</w:t>
            </w:r>
          </w:p>
        </w:tc>
      </w:tr>
      <w:tr w:rsidR="00A612E2" w:rsidRPr="00D90835" w14:paraId="17839172"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B4AE060" w14:textId="77777777" w:rsidR="00A612E2" w:rsidRPr="00246CC4" w:rsidRDefault="00A612E2" w:rsidP="00742B81">
            <w:pPr>
              <w:jc w:val="center"/>
              <w:rPr>
                <w:noProof/>
                <w:color w:val="006100"/>
                <w:sz w:val="20"/>
                <w:szCs w:val="20"/>
              </w:rPr>
            </w:pPr>
            <w:r>
              <w:rPr>
                <w:noProof/>
                <w:color w:val="006100"/>
                <w:sz w:val="20"/>
              </w:rPr>
              <w:t>M2C1-3</w:t>
            </w:r>
          </w:p>
        </w:tc>
        <w:tc>
          <w:tcPr>
            <w:tcW w:w="3118" w:type="dxa"/>
            <w:tcBorders>
              <w:top w:val="nil"/>
              <w:left w:val="nil"/>
              <w:bottom w:val="single" w:sz="4" w:space="0" w:color="auto"/>
              <w:right w:val="single" w:sz="4" w:space="0" w:color="auto"/>
            </w:tcBorders>
            <w:shd w:val="clear" w:color="auto" w:fill="C6EFCE"/>
            <w:noWrap/>
            <w:vAlign w:val="center"/>
          </w:tcPr>
          <w:p w14:paraId="728E8A6E" w14:textId="77777777" w:rsidR="00A612E2" w:rsidRPr="003B127D" w:rsidRDefault="00A612E2" w:rsidP="00742B81">
            <w:pPr>
              <w:rPr>
                <w:noProof/>
                <w:color w:val="006100"/>
                <w:sz w:val="20"/>
                <w:szCs w:val="20"/>
              </w:rPr>
            </w:pPr>
            <w:r>
              <w:rPr>
                <w:noProof/>
                <w:color w:val="006100"/>
                <w:sz w:val="20"/>
              </w:rPr>
              <w:t>Investeering 2.1. Logistikakava põllumajandusliku toidutööstuse, kalanduse ja vesiviljeluse, metsanduse, lillekasvatuse ja taimekasvatussektori jaoks</w:t>
            </w:r>
          </w:p>
        </w:tc>
        <w:tc>
          <w:tcPr>
            <w:tcW w:w="1418" w:type="dxa"/>
            <w:tcBorders>
              <w:top w:val="nil"/>
              <w:left w:val="nil"/>
              <w:bottom w:val="single" w:sz="4" w:space="0" w:color="auto"/>
              <w:right w:val="single" w:sz="4" w:space="0" w:color="auto"/>
            </w:tcBorders>
            <w:shd w:val="clear" w:color="auto" w:fill="C6EFCE"/>
            <w:noWrap/>
            <w:vAlign w:val="center"/>
          </w:tcPr>
          <w:p w14:paraId="616189B5" w14:textId="77777777" w:rsidR="00A612E2" w:rsidRPr="00246CC4" w:rsidRDefault="00A612E2" w:rsidP="00742B81">
            <w:pPr>
              <w:rPr>
                <w:noProof/>
                <w:color w:val="006600"/>
                <w:sz w:val="20"/>
                <w:szCs w:val="20"/>
              </w:rPr>
            </w:pPr>
            <w:r>
              <w:rPr>
                <w:noProof/>
                <w:color w:val="006100"/>
                <w:sz w:val="20"/>
              </w:rPr>
              <w:t>Eesmärk</w:t>
            </w:r>
          </w:p>
        </w:tc>
        <w:tc>
          <w:tcPr>
            <w:tcW w:w="3865" w:type="dxa"/>
            <w:tcBorders>
              <w:top w:val="nil"/>
              <w:left w:val="nil"/>
              <w:bottom w:val="single" w:sz="4" w:space="0" w:color="auto"/>
              <w:right w:val="single" w:sz="4" w:space="0" w:color="auto"/>
            </w:tcBorders>
            <w:shd w:val="clear" w:color="auto" w:fill="C6EFCE"/>
            <w:noWrap/>
            <w:vAlign w:val="center"/>
          </w:tcPr>
          <w:p w14:paraId="75ECC662" w14:textId="77777777" w:rsidR="00A612E2" w:rsidRPr="003B127D" w:rsidRDefault="00A612E2" w:rsidP="00742B81">
            <w:pPr>
              <w:rPr>
                <w:noProof/>
                <w:color w:val="006600"/>
                <w:sz w:val="20"/>
                <w:szCs w:val="20"/>
              </w:rPr>
            </w:pPr>
            <w:r>
              <w:rPr>
                <w:noProof/>
                <w:color w:val="006100"/>
                <w:sz w:val="20"/>
              </w:rPr>
              <w:t>Lõpliku pingerea avaldamine logistiliste stiimulite kava alusel</w:t>
            </w:r>
          </w:p>
        </w:tc>
      </w:tr>
      <w:tr w:rsidR="00A612E2" w:rsidRPr="00D90835" w14:paraId="3D74E3E4"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D6F6EFF" w14:textId="77777777" w:rsidR="00A612E2" w:rsidRPr="00246CC4" w:rsidRDefault="00A612E2" w:rsidP="00742B81">
            <w:pPr>
              <w:jc w:val="center"/>
              <w:rPr>
                <w:noProof/>
                <w:color w:val="006100"/>
                <w:sz w:val="20"/>
                <w:szCs w:val="20"/>
              </w:rPr>
            </w:pPr>
            <w:r>
              <w:rPr>
                <w:noProof/>
                <w:color w:val="006100"/>
                <w:sz w:val="20"/>
              </w:rPr>
              <w:t>M2C1-4</w:t>
            </w:r>
          </w:p>
        </w:tc>
        <w:tc>
          <w:tcPr>
            <w:tcW w:w="3118" w:type="dxa"/>
            <w:tcBorders>
              <w:top w:val="nil"/>
              <w:left w:val="nil"/>
              <w:bottom w:val="single" w:sz="4" w:space="0" w:color="auto"/>
              <w:right w:val="single" w:sz="4" w:space="0" w:color="auto"/>
            </w:tcBorders>
            <w:shd w:val="clear" w:color="auto" w:fill="C6EFCE"/>
            <w:noWrap/>
            <w:vAlign w:val="center"/>
          </w:tcPr>
          <w:p w14:paraId="27020966" w14:textId="77777777" w:rsidR="00A612E2" w:rsidRPr="00246CC4" w:rsidRDefault="00A612E2" w:rsidP="00742B81">
            <w:pPr>
              <w:rPr>
                <w:noProof/>
                <w:color w:val="006100"/>
                <w:sz w:val="20"/>
                <w:szCs w:val="20"/>
              </w:rPr>
            </w:pPr>
            <w:r>
              <w:rPr>
                <w:noProof/>
                <w:color w:val="006100"/>
                <w:sz w:val="20"/>
              </w:rPr>
              <w:t>Investeering 2.2. Põllumajanduslik päikesepark</w:t>
            </w:r>
          </w:p>
        </w:tc>
        <w:tc>
          <w:tcPr>
            <w:tcW w:w="1418" w:type="dxa"/>
            <w:tcBorders>
              <w:top w:val="nil"/>
              <w:left w:val="nil"/>
              <w:bottom w:val="single" w:sz="4" w:space="0" w:color="auto"/>
              <w:right w:val="single" w:sz="4" w:space="0" w:color="auto"/>
            </w:tcBorders>
            <w:shd w:val="clear" w:color="auto" w:fill="C6EFCE"/>
            <w:noWrap/>
            <w:vAlign w:val="center"/>
          </w:tcPr>
          <w:p w14:paraId="142F62F4" w14:textId="77777777" w:rsidR="00A612E2" w:rsidRPr="00246CC4" w:rsidRDefault="00A612E2" w:rsidP="00742B81">
            <w:pPr>
              <w:rPr>
                <w:noProof/>
                <w:color w:val="006600"/>
                <w:sz w:val="20"/>
                <w:szCs w:val="20"/>
              </w:rPr>
            </w:pPr>
            <w:r>
              <w:rPr>
                <w:noProof/>
                <w:color w:val="006100"/>
                <w:sz w:val="20"/>
              </w:rPr>
              <w:t>Siht</w:t>
            </w:r>
          </w:p>
        </w:tc>
        <w:tc>
          <w:tcPr>
            <w:tcW w:w="3865" w:type="dxa"/>
            <w:tcBorders>
              <w:top w:val="nil"/>
              <w:left w:val="nil"/>
              <w:bottom w:val="single" w:sz="4" w:space="0" w:color="auto"/>
              <w:right w:val="single" w:sz="4" w:space="0" w:color="auto"/>
            </w:tcBorders>
            <w:shd w:val="clear" w:color="auto" w:fill="C6EFCE"/>
            <w:noWrap/>
            <w:vAlign w:val="center"/>
          </w:tcPr>
          <w:p w14:paraId="78F3D665" w14:textId="77777777" w:rsidR="00A612E2" w:rsidRPr="003B127D" w:rsidRDefault="00A612E2" w:rsidP="00742B81">
            <w:pPr>
              <w:rPr>
                <w:noProof/>
                <w:color w:val="006600"/>
                <w:sz w:val="20"/>
                <w:szCs w:val="20"/>
              </w:rPr>
            </w:pPr>
            <w:r>
              <w:rPr>
                <w:noProof/>
                <w:color w:val="006100"/>
                <w:sz w:val="20"/>
              </w:rPr>
              <w:t>Vahendite eraldamine toetusesaajatele protsendina investeeringule eraldatud rahaliste vahendite kogusummast</w:t>
            </w:r>
          </w:p>
        </w:tc>
      </w:tr>
      <w:tr w:rsidR="00A612E2" w:rsidRPr="00D90835" w14:paraId="6EF9A0A2"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8577DC4" w14:textId="77777777" w:rsidR="00A612E2" w:rsidRPr="00246CC4" w:rsidRDefault="00A612E2" w:rsidP="00742B81">
            <w:pPr>
              <w:jc w:val="center"/>
              <w:rPr>
                <w:noProof/>
                <w:color w:val="006100"/>
                <w:sz w:val="20"/>
                <w:szCs w:val="20"/>
              </w:rPr>
            </w:pPr>
            <w:r>
              <w:rPr>
                <w:noProof/>
                <w:color w:val="006100"/>
                <w:sz w:val="20"/>
              </w:rPr>
              <w:t>M2C2-8</w:t>
            </w:r>
          </w:p>
        </w:tc>
        <w:tc>
          <w:tcPr>
            <w:tcW w:w="3118" w:type="dxa"/>
            <w:tcBorders>
              <w:top w:val="nil"/>
              <w:left w:val="nil"/>
              <w:bottom w:val="single" w:sz="4" w:space="0" w:color="auto"/>
              <w:right w:val="single" w:sz="4" w:space="0" w:color="auto"/>
            </w:tcBorders>
            <w:shd w:val="clear" w:color="auto" w:fill="C6EFCE"/>
            <w:noWrap/>
            <w:vAlign w:val="center"/>
          </w:tcPr>
          <w:p w14:paraId="5F809D2C" w14:textId="77777777" w:rsidR="00A612E2" w:rsidRPr="00246CC4" w:rsidRDefault="00A612E2" w:rsidP="00742B81">
            <w:pPr>
              <w:rPr>
                <w:noProof/>
                <w:color w:val="006100"/>
                <w:sz w:val="20"/>
                <w:szCs w:val="20"/>
              </w:rPr>
            </w:pPr>
            <w:r>
              <w:rPr>
                <w:noProof/>
                <w:color w:val="006100"/>
                <w:sz w:val="20"/>
              </w:rPr>
              <w:t>Investeering 2.1. Arukate võrkude tugevdamine</w:t>
            </w:r>
          </w:p>
        </w:tc>
        <w:tc>
          <w:tcPr>
            <w:tcW w:w="1418" w:type="dxa"/>
            <w:tcBorders>
              <w:top w:val="nil"/>
              <w:left w:val="nil"/>
              <w:bottom w:val="single" w:sz="4" w:space="0" w:color="auto"/>
              <w:right w:val="single" w:sz="4" w:space="0" w:color="auto"/>
            </w:tcBorders>
            <w:shd w:val="clear" w:color="auto" w:fill="C6EFCE"/>
            <w:noWrap/>
            <w:vAlign w:val="center"/>
          </w:tcPr>
          <w:p w14:paraId="641A7A12" w14:textId="77777777" w:rsidR="00A612E2" w:rsidRPr="00246CC4" w:rsidRDefault="00A612E2" w:rsidP="00742B81">
            <w:pPr>
              <w:rPr>
                <w:noProof/>
                <w:color w:val="006600"/>
                <w:sz w:val="20"/>
                <w:szCs w:val="20"/>
              </w:rPr>
            </w:pPr>
            <w:r>
              <w:rPr>
                <w:noProof/>
                <w:color w:val="006100"/>
                <w:sz w:val="20"/>
              </w:rPr>
              <w:t>Eesmärk</w:t>
            </w:r>
          </w:p>
        </w:tc>
        <w:tc>
          <w:tcPr>
            <w:tcW w:w="3865" w:type="dxa"/>
            <w:tcBorders>
              <w:top w:val="nil"/>
              <w:left w:val="nil"/>
              <w:bottom w:val="single" w:sz="4" w:space="0" w:color="auto"/>
              <w:right w:val="single" w:sz="4" w:space="0" w:color="auto"/>
            </w:tcBorders>
            <w:shd w:val="clear" w:color="auto" w:fill="C6EFCE"/>
            <w:noWrap/>
            <w:vAlign w:val="center"/>
          </w:tcPr>
          <w:p w14:paraId="66CA039E" w14:textId="77777777" w:rsidR="00A612E2" w:rsidRPr="003B127D" w:rsidRDefault="00A612E2" w:rsidP="00742B81">
            <w:pPr>
              <w:rPr>
                <w:noProof/>
                <w:color w:val="006600"/>
                <w:sz w:val="20"/>
                <w:szCs w:val="20"/>
              </w:rPr>
            </w:pPr>
            <w:r>
              <w:rPr>
                <w:noProof/>
                <w:color w:val="006100"/>
                <w:sz w:val="20"/>
              </w:rPr>
              <w:t>(Kõikide) riigihankelepingute sõlmimine võrgu läbilaskevõime suurendamiseks</w:t>
            </w:r>
          </w:p>
        </w:tc>
      </w:tr>
      <w:tr w:rsidR="00A612E2" w:rsidRPr="00D90835" w14:paraId="76C5A6C7"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99457B1" w14:textId="77777777" w:rsidR="00A612E2" w:rsidRPr="00246CC4" w:rsidRDefault="00A612E2" w:rsidP="00742B81">
            <w:pPr>
              <w:jc w:val="center"/>
              <w:rPr>
                <w:noProof/>
                <w:color w:val="006100"/>
                <w:sz w:val="20"/>
                <w:szCs w:val="20"/>
              </w:rPr>
            </w:pPr>
            <w:r>
              <w:rPr>
                <w:noProof/>
                <w:color w:val="006100"/>
                <w:sz w:val="20"/>
              </w:rPr>
              <w:t>M2C2-12</w:t>
            </w:r>
          </w:p>
        </w:tc>
        <w:tc>
          <w:tcPr>
            <w:tcW w:w="3118" w:type="dxa"/>
            <w:tcBorders>
              <w:top w:val="nil"/>
              <w:left w:val="nil"/>
              <w:bottom w:val="single" w:sz="4" w:space="0" w:color="auto"/>
              <w:right w:val="single" w:sz="4" w:space="0" w:color="auto"/>
            </w:tcBorders>
            <w:shd w:val="clear" w:color="auto" w:fill="C6EFCE"/>
            <w:noWrap/>
            <w:vAlign w:val="center"/>
          </w:tcPr>
          <w:p w14:paraId="4AF5106B" w14:textId="77777777" w:rsidR="00A612E2" w:rsidRPr="003B127D" w:rsidRDefault="00A612E2" w:rsidP="00742B81">
            <w:pPr>
              <w:rPr>
                <w:noProof/>
                <w:color w:val="006100"/>
                <w:sz w:val="20"/>
                <w:szCs w:val="20"/>
              </w:rPr>
            </w:pPr>
            <w:r>
              <w:rPr>
                <w:noProof/>
                <w:color w:val="006100"/>
                <w:sz w:val="20"/>
              </w:rPr>
              <w:t>Investeering 2.2. Sekkumised elektrivõrgu vastupidavuse suurendamiseks</w:t>
            </w:r>
          </w:p>
        </w:tc>
        <w:tc>
          <w:tcPr>
            <w:tcW w:w="1418" w:type="dxa"/>
            <w:tcBorders>
              <w:top w:val="nil"/>
              <w:left w:val="nil"/>
              <w:bottom w:val="single" w:sz="4" w:space="0" w:color="auto"/>
              <w:right w:val="single" w:sz="4" w:space="0" w:color="auto"/>
            </w:tcBorders>
            <w:shd w:val="clear" w:color="auto" w:fill="C6EFCE"/>
            <w:noWrap/>
            <w:vAlign w:val="center"/>
          </w:tcPr>
          <w:p w14:paraId="3683C119" w14:textId="77777777" w:rsidR="00A612E2" w:rsidRPr="00246CC4" w:rsidRDefault="00A612E2" w:rsidP="00742B81">
            <w:pPr>
              <w:rPr>
                <w:noProof/>
                <w:color w:val="006600"/>
                <w:sz w:val="20"/>
                <w:szCs w:val="20"/>
              </w:rPr>
            </w:pPr>
            <w:r>
              <w:rPr>
                <w:noProof/>
                <w:color w:val="006100"/>
                <w:sz w:val="20"/>
              </w:rPr>
              <w:t>Eesmärk</w:t>
            </w:r>
          </w:p>
        </w:tc>
        <w:tc>
          <w:tcPr>
            <w:tcW w:w="3865" w:type="dxa"/>
            <w:tcBorders>
              <w:top w:val="nil"/>
              <w:left w:val="nil"/>
              <w:bottom w:val="single" w:sz="4" w:space="0" w:color="auto"/>
              <w:right w:val="single" w:sz="4" w:space="0" w:color="auto"/>
            </w:tcBorders>
            <w:shd w:val="clear" w:color="auto" w:fill="C6EFCE"/>
            <w:noWrap/>
            <w:vAlign w:val="center"/>
          </w:tcPr>
          <w:p w14:paraId="7793A8F5" w14:textId="77777777" w:rsidR="00A612E2" w:rsidRPr="003B127D" w:rsidRDefault="00A612E2" w:rsidP="00742B81">
            <w:pPr>
              <w:rPr>
                <w:noProof/>
                <w:color w:val="006600"/>
                <w:sz w:val="20"/>
                <w:szCs w:val="20"/>
              </w:rPr>
            </w:pPr>
            <w:r>
              <w:rPr>
                <w:noProof/>
                <w:color w:val="006100"/>
                <w:sz w:val="20"/>
              </w:rPr>
              <w:t>Elektrisüsteemi võrgu vastupidavust suurendavate projektide tellimine</w:t>
            </w:r>
          </w:p>
        </w:tc>
      </w:tr>
      <w:tr w:rsidR="00A612E2" w:rsidRPr="00D90835" w14:paraId="4D92D938"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79C102A" w14:textId="77777777" w:rsidR="00A612E2" w:rsidRPr="00246CC4" w:rsidRDefault="00A612E2" w:rsidP="00742B81">
            <w:pPr>
              <w:jc w:val="center"/>
              <w:rPr>
                <w:noProof/>
                <w:color w:val="006100"/>
                <w:sz w:val="20"/>
                <w:szCs w:val="20"/>
              </w:rPr>
            </w:pPr>
            <w:r>
              <w:rPr>
                <w:noProof/>
                <w:color w:val="006100"/>
                <w:sz w:val="20"/>
              </w:rPr>
              <w:t>M3C2-1</w:t>
            </w:r>
          </w:p>
        </w:tc>
        <w:tc>
          <w:tcPr>
            <w:tcW w:w="3118" w:type="dxa"/>
            <w:tcBorders>
              <w:top w:val="nil"/>
              <w:left w:val="nil"/>
              <w:bottom w:val="single" w:sz="4" w:space="0" w:color="auto"/>
              <w:right w:val="single" w:sz="4" w:space="0" w:color="auto"/>
            </w:tcBorders>
            <w:shd w:val="clear" w:color="auto" w:fill="C6EFCE"/>
            <w:noWrap/>
            <w:vAlign w:val="center"/>
          </w:tcPr>
          <w:p w14:paraId="5924D613" w14:textId="77777777" w:rsidR="00A612E2" w:rsidRPr="003B127D" w:rsidRDefault="00A612E2" w:rsidP="00742B81">
            <w:pPr>
              <w:rPr>
                <w:noProof/>
                <w:color w:val="006100"/>
                <w:sz w:val="20"/>
                <w:szCs w:val="20"/>
              </w:rPr>
            </w:pPr>
            <w:r>
              <w:rPr>
                <w:noProof/>
                <w:color w:val="006100"/>
                <w:sz w:val="20"/>
              </w:rPr>
              <w:t xml:space="preserve">Reform 1.1. Strateegilise planeerimise menetluste lihtsustamine </w:t>
            </w:r>
          </w:p>
        </w:tc>
        <w:tc>
          <w:tcPr>
            <w:tcW w:w="1418" w:type="dxa"/>
            <w:tcBorders>
              <w:top w:val="nil"/>
              <w:left w:val="nil"/>
              <w:bottom w:val="single" w:sz="4" w:space="0" w:color="auto"/>
              <w:right w:val="single" w:sz="4" w:space="0" w:color="auto"/>
            </w:tcBorders>
            <w:shd w:val="clear" w:color="auto" w:fill="C6EFCE"/>
            <w:noWrap/>
            <w:vAlign w:val="center"/>
          </w:tcPr>
          <w:p w14:paraId="7535874B" w14:textId="77777777" w:rsidR="00A612E2" w:rsidRPr="00246CC4" w:rsidRDefault="00A612E2" w:rsidP="00742B81">
            <w:pPr>
              <w:rPr>
                <w:noProof/>
                <w:color w:val="006600"/>
                <w:sz w:val="20"/>
                <w:szCs w:val="20"/>
              </w:rPr>
            </w:pPr>
            <w:r>
              <w:rPr>
                <w:noProof/>
                <w:color w:val="006100"/>
                <w:sz w:val="20"/>
              </w:rPr>
              <w:t>Eesmärk</w:t>
            </w:r>
          </w:p>
        </w:tc>
        <w:tc>
          <w:tcPr>
            <w:tcW w:w="3865" w:type="dxa"/>
            <w:tcBorders>
              <w:top w:val="nil"/>
              <w:left w:val="nil"/>
              <w:bottom w:val="single" w:sz="4" w:space="0" w:color="auto"/>
              <w:right w:val="single" w:sz="4" w:space="0" w:color="auto"/>
            </w:tcBorders>
            <w:shd w:val="clear" w:color="auto" w:fill="C6EFCE"/>
            <w:noWrap/>
            <w:vAlign w:val="center"/>
          </w:tcPr>
          <w:p w14:paraId="219433C5" w14:textId="77777777" w:rsidR="00A612E2" w:rsidRPr="003B127D" w:rsidRDefault="00A612E2" w:rsidP="00742B81">
            <w:pPr>
              <w:rPr>
                <w:noProof/>
                <w:color w:val="006600"/>
                <w:sz w:val="20"/>
                <w:szCs w:val="20"/>
              </w:rPr>
            </w:pPr>
            <w:r>
              <w:rPr>
                <w:noProof/>
                <w:color w:val="006100"/>
                <w:sz w:val="20"/>
              </w:rPr>
              <w:t>Strateegilise planeerimise menetluste lihtsustamisega seotud õigusaktide muudatuste jõustumine</w:t>
            </w:r>
          </w:p>
        </w:tc>
      </w:tr>
      <w:tr w:rsidR="00A612E2" w:rsidRPr="00D90835" w14:paraId="4BF1A3C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5A40C38" w14:textId="77777777" w:rsidR="00A612E2" w:rsidRPr="00246CC4" w:rsidRDefault="00A612E2" w:rsidP="00742B81">
            <w:pPr>
              <w:jc w:val="center"/>
              <w:rPr>
                <w:noProof/>
                <w:color w:val="006100"/>
                <w:sz w:val="20"/>
                <w:szCs w:val="20"/>
              </w:rPr>
            </w:pPr>
            <w:r>
              <w:rPr>
                <w:noProof/>
                <w:color w:val="006100"/>
                <w:sz w:val="20"/>
              </w:rPr>
              <w:t>M3C2-2</w:t>
            </w:r>
          </w:p>
        </w:tc>
        <w:tc>
          <w:tcPr>
            <w:tcW w:w="3118" w:type="dxa"/>
            <w:tcBorders>
              <w:top w:val="nil"/>
              <w:left w:val="nil"/>
              <w:bottom w:val="single" w:sz="4" w:space="0" w:color="auto"/>
              <w:right w:val="single" w:sz="4" w:space="0" w:color="auto"/>
            </w:tcBorders>
            <w:shd w:val="clear" w:color="auto" w:fill="C6EFCE"/>
            <w:noWrap/>
            <w:vAlign w:val="center"/>
          </w:tcPr>
          <w:p w14:paraId="51756FC6" w14:textId="77777777" w:rsidR="00A612E2" w:rsidRPr="003B127D" w:rsidRDefault="00A612E2" w:rsidP="00742B81">
            <w:pPr>
              <w:rPr>
                <w:noProof/>
                <w:color w:val="006100"/>
                <w:sz w:val="20"/>
                <w:szCs w:val="20"/>
              </w:rPr>
            </w:pPr>
            <w:r>
              <w:rPr>
                <w:noProof/>
                <w:color w:val="006100"/>
                <w:sz w:val="20"/>
              </w:rPr>
              <w:t>Reform 1.2. Konkurentsipõhiste kontsessioonide andmine Itaalia sadamates</w:t>
            </w:r>
          </w:p>
        </w:tc>
        <w:tc>
          <w:tcPr>
            <w:tcW w:w="1418" w:type="dxa"/>
            <w:tcBorders>
              <w:top w:val="nil"/>
              <w:left w:val="nil"/>
              <w:bottom w:val="single" w:sz="4" w:space="0" w:color="auto"/>
              <w:right w:val="single" w:sz="4" w:space="0" w:color="auto"/>
            </w:tcBorders>
            <w:shd w:val="clear" w:color="auto" w:fill="C6EFCE"/>
            <w:noWrap/>
            <w:vAlign w:val="center"/>
          </w:tcPr>
          <w:p w14:paraId="214DD7F2" w14:textId="77777777" w:rsidR="00A612E2" w:rsidRPr="00246CC4" w:rsidRDefault="00A612E2" w:rsidP="00742B81">
            <w:pPr>
              <w:rPr>
                <w:noProof/>
                <w:color w:val="006600"/>
                <w:sz w:val="20"/>
                <w:szCs w:val="20"/>
              </w:rPr>
            </w:pPr>
            <w:r>
              <w:rPr>
                <w:noProof/>
                <w:color w:val="006100"/>
                <w:sz w:val="20"/>
              </w:rPr>
              <w:t>Eesmärk</w:t>
            </w:r>
          </w:p>
        </w:tc>
        <w:tc>
          <w:tcPr>
            <w:tcW w:w="3865" w:type="dxa"/>
            <w:tcBorders>
              <w:top w:val="nil"/>
              <w:left w:val="nil"/>
              <w:bottom w:val="single" w:sz="4" w:space="0" w:color="auto"/>
              <w:right w:val="single" w:sz="4" w:space="0" w:color="auto"/>
            </w:tcBorders>
            <w:shd w:val="clear" w:color="auto" w:fill="C6EFCE"/>
            <w:noWrap/>
            <w:vAlign w:val="center"/>
          </w:tcPr>
          <w:p w14:paraId="426230A9" w14:textId="77777777" w:rsidR="00A612E2" w:rsidRPr="003B127D" w:rsidRDefault="00A612E2" w:rsidP="00742B81">
            <w:pPr>
              <w:rPr>
                <w:noProof/>
                <w:color w:val="006600"/>
                <w:sz w:val="20"/>
                <w:szCs w:val="20"/>
              </w:rPr>
            </w:pPr>
            <w:r>
              <w:rPr>
                <w:noProof/>
                <w:color w:val="006100"/>
                <w:sz w:val="20"/>
              </w:rPr>
              <w:t>Sadamakontsessioonide määruse jõustumine</w:t>
            </w:r>
          </w:p>
        </w:tc>
      </w:tr>
      <w:tr w:rsidR="00A612E2" w:rsidRPr="00D90835" w14:paraId="510B5269"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023ED38" w14:textId="77777777" w:rsidR="00A612E2" w:rsidRPr="00246CC4" w:rsidRDefault="00A612E2" w:rsidP="00742B81">
            <w:pPr>
              <w:jc w:val="center"/>
              <w:rPr>
                <w:noProof/>
                <w:color w:val="006100"/>
                <w:sz w:val="20"/>
                <w:szCs w:val="20"/>
              </w:rPr>
            </w:pPr>
            <w:r>
              <w:rPr>
                <w:noProof/>
                <w:color w:val="006100"/>
                <w:sz w:val="20"/>
              </w:rPr>
              <w:t>M3C2-4</w:t>
            </w:r>
          </w:p>
        </w:tc>
        <w:tc>
          <w:tcPr>
            <w:tcW w:w="3118" w:type="dxa"/>
            <w:tcBorders>
              <w:top w:val="nil"/>
              <w:left w:val="nil"/>
              <w:bottom w:val="single" w:sz="4" w:space="0" w:color="auto"/>
              <w:right w:val="single" w:sz="4" w:space="0" w:color="auto"/>
            </w:tcBorders>
            <w:shd w:val="clear" w:color="auto" w:fill="C6EFCE"/>
            <w:noWrap/>
            <w:vAlign w:val="center"/>
          </w:tcPr>
          <w:p w14:paraId="4D504978" w14:textId="77777777" w:rsidR="00A612E2" w:rsidRPr="003B127D" w:rsidRDefault="00A612E2" w:rsidP="00742B81">
            <w:pPr>
              <w:rPr>
                <w:noProof/>
                <w:color w:val="006100"/>
                <w:sz w:val="20"/>
                <w:szCs w:val="20"/>
              </w:rPr>
            </w:pPr>
            <w:r>
              <w:rPr>
                <w:noProof/>
                <w:color w:val="006100"/>
                <w:sz w:val="20"/>
              </w:rPr>
              <w:t>Reform 1.3. Külm triikimistehaste loamenetluste lihtsustamine</w:t>
            </w:r>
          </w:p>
        </w:tc>
        <w:tc>
          <w:tcPr>
            <w:tcW w:w="1418" w:type="dxa"/>
            <w:tcBorders>
              <w:top w:val="nil"/>
              <w:left w:val="nil"/>
              <w:bottom w:val="single" w:sz="4" w:space="0" w:color="auto"/>
              <w:right w:val="single" w:sz="4" w:space="0" w:color="auto"/>
            </w:tcBorders>
            <w:shd w:val="clear" w:color="auto" w:fill="C6EFCE"/>
            <w:noWrap/>
            <w:vAlign w:val="center"/>
          </w:tcPr>
          <w:p w14:paraId="1C1F6F6A" w14:textId="77777777" w:rsidR="00A612E2" w:rsidRPr="00246CC4" w:rsidRDefault="00A612E2" w:rsidP="00742B81">
            <w:pPr>
              <w:rPr>
                <w:noProof/>
                <w:color w:val="006600"/>
                <w:sz w:val="20"/>
                <w:szCs w:val="20"/>
              </w:rPr>
            </w:pPr>
            <w:r>
              <w:rPr>
                <w:noProof/>
                <w:color w:val="006100"/>
                <w:sz w:val="20"/>
              </w:rPr>
              <w:t>Eesmärk</w:t>
            </w:r>
          </w:p>
        </w:tc>
        <w:tc>
          <w:tcPr>
            <w:tcW w:w="3865" w:type="dxa"/>
            <w:tcBorders>
              <w:top w:val="nil"/>
              <w:left w:val="nil"/>
              <w:bottom w:val="single" w:sz="4" w:space="0" w:color="auto"/>
              <w:right w:val="single" w:sz="4" w:space="0" w:color="auto"/>
            </w:tcBorders>
            <w:shd w:val="clear" w:color="auto" w:fill="C6EFCE"/>
            <w:noWrap/>
            <w:vAlign w:val="center"/>
          </w:tcPr>
          <w:p w14:paraId="7D0201C8" w14:textId="77777777" w:rsidR="00A612E2" w:rsidRPr="003B127D" w:rsidRDefault="00A612E2" w:rsidP="00742B81">
            <w:pPr>
              <w:rPr>
                <w:noProof/>
                <w:color w:val="006600"/>
                <w:sz w:val="20"/>
                <w:szCs w:val="20"/>
              </w:rPr>
            </w:pPr>
            <w:r>
              <w:rPr>
                <w:noProof/>
                <w:color w:val="006100"/>
                <w:sz w:val="20"/>
              </w:rPr>
              <w:t>Külmtriikimistehaste loamenetluste lihtsustamise jõustumine</w:t>
            </w:r>
          </w:p>
        </w:tc>
      </w:tr>
      <w:tr w:rsidR="00A612E2" w:rsidRPr="00D90835" w14:paraId="73B0D359"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A65709E" w14:textId="77777777" w:rsidR="00A612E2" w:rsidRPr="00246CC4" w:rsidRDefault="00A612E2" w:rsidP="00742B81">
            <w:pPr>
              <w:jc w:val="center"/>
              <w:rPr>
                <w:noProof/>
                <w:color w:val="006100"/>
                <w:sz w:val="20"/>
                <w:szCs w:val="20"/>
              </w:rPr>
            </w:pPr>
            <w:r>
              <w:rPr>
                <w:noProof/>
                <w:color w:val="006100"/>
                <w:sz w:val="20"/>
              </w:rPr>
              <w:t>M4C1-5</w:t>
            </w:r>
          </w:p>
        </w:tc>
        <w:tc>
          <w:tcPr>
            <w:tcW w:w="3118" w:type="dxa"/>
            <w:tcBorders>
              <w:top w:val="nil"/>
              <w:left w:val="nil"/>
              <w:bottom w:val="single" w:sz="4" w:space="0" w:color="auto"/>
              <w:right w:val="single" w:sz="4" w:space="0" w:color="auto"/>
            </w:tcBorders>
            <w:shd w:val="clear" w:color="auto" w:fill="C6EFCE"/>
            <w:noWrap/>
            <w:vAlign w:val="center"/>
          </w:tcPr>
          <w:p w14:paraId="609E3B82" w14:textId="77777777" w:rsidR="00A612E2" w:rsidRPr="003B127D" w:rsidRDefault="00A612E2" w:rsidP="00742B81">
            <w:pPr>
              <w:rPr>
                <w:noProof/>
                <w:color w:val="006100"/>
                <w:sz w:val="20"/>
                <w:szCs w:val="20"/>
              </w:rPr>
            </w:pPr>
            <w:r>
              <w:rPr>
                <w:noProof/>
                <w:color w:val="006100"/>
                <w:sz w:val="20"/>
              </w:rPr>
              <w:t>Reform 1.3. Koolisüsteemi ümberkorraldamine; Reform 1.2. Kolmanda taseme kutseõppesüsteemi reform; Reform 1.1. Tehniliste ja kutseinstituutide reform; Reform 1.4. „Suunitlusega“ süsteemi reform</w:t>
            </w:r>
          </w:p>
        </w:tc>
        <w:tc>
          <w:tcPr>
            <w:tcW w:w="1418" w:type="dxa"/>
            <w:tcBorders>
              <w:top w:val="nil"/>
              <w:left w:val="nil"/>
              <w:bottom w:val="single" w:sz="4" w:space="0" w:color="auto"/>
              <w:right w:val="single" w:sz="4" w:space="0" w:color="auto"/>
            </w:tcBorders>
            <w:shd w:val="clear" w:color="auto" w:fill="C6EFCE"/>
            <w:noWrap/>
            <w:vAlign w:val="center"/>
          </w:tcPr>
          <w:p w14:paraId="315DC976" w14:textId="77777777" w:rsidR="00A612E2" w:rsidRPr="00246CC4" w:rsidRDefault="00A612E2" w:rsidP="00742B81">
            <w:pPr>
              <w:rPr>
                <w:noProof/>
                <w:color w:val="006600"/>
                <w:sz w:val="20"/>
                <w:szCs w:val="20"/>
              </w:rPr>
            </w:pPr>
            <w:r>
              <w:rPr>
                <w:noProof/>
                <w:color w:val="006100"/>
                <w:sz w:val="20"/>
              </w:rPr>
              <w:t>Eesmärgid</w:t>
            </w:r>
          </w:p>
        </w:tc>
        <w:tc>
          <w:tcPr>
            <w:tcW w:w="3865" w:type="dxa"/>
            <w:tcBorders>
              <w:top w:val="nil"/>
              <w:left w:val="nil"/>
              <w:bottom w:val="single" w:sz="4" w:space="0" w:color="auto"/>
              <w:right w:val="single" w:sz="4" w:space="0" w:color="auto"/>
            </w:tcBorders>
            <w:shd w:val="clear" w:color="auto" w:fill="C6EFCE"/>
            <w:noWrap/>
            <w:vAlign w:val="center"/>
          </w:tcPr>
          <w:p w14:paraId="76068888" w14:textId="77777777" w:rsidR="00A612E2" w:rsidRPr="003B127D" w:rsidRDefault="00A612E2" w:rsidP="00742B81">
            <w:pPr>
              <w:rPr>
                <w:noProof/>
                <w:color w:val="006600"/>
                <w:sz w:val="20"/>
                <w:szCs w:val="20"/>
              </w:rPr>
            </w:pPr>
            <w:r>
              <w:rPr>
                <w:noProof/>
                <w:color w:val="006100"/>
                <w:sz w:val="20"/>
              </w:rPr>
              <w:t>Alg- ja keskharidussüsteemi reformide jõustumine haridustulemuste parandamiseks</w:t>
            </w:r>
          </w:p>
        </w:tc>
      </w:tr>
      <w:tr w:rsidR="00A612E2" w:rsidRPr="00D90835" w14:paraId="3DF84BD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1A8E69B" w14:textId="77777777" w:rsidR="00A612E2" w:rsidRPr="00246CC4" w:rsidRDefault="00A612E2" w:rsidP="00742B81">
            <w:pPr>
              <w:jc w:val="center"/>
              <w:rPr>
                <w:noProof/>
                <w:color w:val="006100"/>
                <w:sz w:val="20"/>
                <w:szCs w:val="20"/>
              </w:rPr>
            </w:pPr>
            <w:r>
              <w:rPr>
                <w:noProof/>
                <w:color w:val="006100"/>
                <w:sz w:val="20"/>
              </w:rPr>
              <w:t>M4C1-6</w:t>
            </w:r>
          </w:p>
        </w:tc>
        <w:tc>
          <w:tcPr>
            <w:tcW w:w="3118" w:type="dxa"/>
            <w:tcBorders>
              <w:top w:val="nil"/>
              <w:left w:val="nil"/>
              <w:bottom w:val="single" w:sz="4" w:space="0" w:color="auto"/>
              <w:right w:val="single" w:sz="4" w:space="0" w:color="auto"/>
            </w:tcBorders>
            <w:shd w:val="clear" w:color="auto" w:fill="C6EFCE"/>
            <w:noWrap/>
            <w:vAlign w:val="center"/>
          </w:tcPr>
          <w:p w14:paraId="27A3AA18" w14:textId="77777777" w:rsidR="00A612E2" w:rsidRPr="003B127D" w:rsidRDefault="00A612E2" w:rsidP="00742B81">
            <w:pPr>
              <w:rPr>
                <w:noProof/>
                <w:color w:val="006100"/>
                <w:sz w:val="20"/>
                <w:szCs w:val="20"/>
              </w:rPr>
            </w:pPr>
            <w:r>
              <w:rPr>
                <w:noProof/>
                <w:color w:val="006100"/>
                <w:sz w:val="20"/>
              </w:rPr>
              <w:t>Reform 2.2. Kolmanda taseme haridus ja täiendkoolitus koolijuhtidele, õpetajatele, haldus- ja tehnilistele töötajatele</w:t>
            </w:r>
          </w:p>
        </w:tc>
        <w:tc>
          <w:tcPr>
            <w:tcW w:w="1418" w:type="dxa"/>
            <w:tcBorders>
              <w:top w:val="nil"/>
              <w:left w:val="nil"/>
              <w:bottom w:val="single" w:sz="4" w:space="0" w:color="auto"/>
              <w:right w:val="single" w:sz="4" w:space="0" w:color="auto"/>
            </w:tcBorders>
            <w:shd w:val="clear" w:color="auto" w:fill="C6EFCE"/>
            <w:noWrap/>
            <w:vAlign w:val="center"/>
          </w:tcPr>
          <w:p w14:paraId="4CC10FC4" w14:textId="77777777" w:rsidR="00A612E2" w:rsidRPr="00246CC4" w:rsidRDefault="00A612E2" w:rsidP="00742B81">
            <w:pPr>
              <w:rPr>
                <w:noProof/>
                <w:color w:val="006600"/>
                <w:sz w:val="20"/>
                <w:szCs w:val="20"/>
              </w:rPr>
            </w:pPr>
            <w:r>
              <w:rPr>
                <w:noProof/>
                <w:color w:val="006100"/>
                <w:sz w:val="20"/>
              </w:rPr>
              <w:t>Eesmärk</w:t>
            </w:r>
          </w:p>
        </w:tc>
        <w:tc>
          <w:tcPr>
            <w:tcW w:w="3865" w:type="dxa"/>
            <w:tcBorders>
              <w:top w:val="nil"/>
              <w:left w:val="nil"/>
              <w:bottom w:val="single" w:sz="4" w:space="0" w:color="auto"/>
              <w:right w:val="single" w:sz="4" w:space="0" w:color="auto"/>
            </w:tcBorders>
            <w:shd w:val="clear" w:color="auto" w:fill="C6EFCE"/>
            <w:noWrap/>
            <w:vAlign w:val="center"/>
          </w:tcPr>
          <w:p w14:paraId="2586C31F" w14:textId="77777777" w:rsidR="00A612E2" w:rsidRPr="003B127D" w:rsidRDefault="00A612E2" w:rsidP="00742B81">
            <w:pPr>
              <w:rPr>
                <w:noProof/>
                <w:color w:val="006600"/>
                <w:sz w:val="20"/>
                <w:szCs w:val="20"/>
              </w:rPr>
            </w:pPr>
            <w:r>
              <w:rPr>
                <w:noProof/>
                <w:color w:val="006100"/>
                <w:sz w:val="20"/>
              </w:rPr>
              <w:t>Selliste õigusaktide jõustumine, mille eesmärk on luua kooli jaoks kvaliteetne koolitussüsteem.</w:t>
            </w:r>
          </w:p>
        </w:tc>
      </w:tr>
      <w:tr w:rsidR="00A612E2" w:rsidRPr="00D90835" w14:paraId="7C70F50A"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98226D5" w14:textId="77777777" w:rsidR="00A612E2" w:rsidRPr="00246CC4" w:rsidRDefault="00A612E2" w:rsidP="00742B81">
            <w:pPr>
              <w:jc w:val="center"/>
              <w:rPr>
                <w:noProof/>
                <w:color w:val="006100"/>
                <w:sz w:val="20"/>
                <w:szCs w:val="20"/>
              </w:rPr>
            </w:pPr>
            <w:r>
              <w:rPr>
                <w:noProof/>
                <w:color w:val="006100"/>
                <w:sz w:val="20"/>
              </w:rPr>
              <w:t>M4C2-1</w:t>
            </w:r>
          </w:p>
        </w:tc>
        <w:tc>
          <w:tcPr>
            <w:tcW w:w="3118" w:type="dxa"/>
            <w:tcBorders>
              <w:top w:val="nil"/>
              <w:left w:val="nil"/>
              <w:bottom w:val="single" w:sz="4" w:space="0" w:color="auto"/>
              <w:right w:val="single" w:sz="4" w:space="0" w:color="auto"/>
            </w:tcBorders>
            <w:shd w:val="clear" w:color="auto" w:fill="C6EFCE"/>
            <w:noWrap/>
            <w:vAlign w:val="center"/>
          </w:tcPr>
          <w:p w14:paraId="1118AE45" w14:textId="77777777" w:rsidR="00A612E2" w:rsidRPr="003B127D" w:rsidRDefault="00A612E2" w:rsidP="00742B81">
            <w:pPr>
              <w:rPr>
                <w:noProof/>
                <w:color w:val="006100"/>
                <w:sz w:val="20"/>
                <w:szCs w:val="20"/>
              </w:rPr>
            </w:pPr>
            <w:r>
              <w:rPr>
                <w:noProof/>
                <w:color w:val="006100"/>
                <w:sz w:val="20"/>
              </w:rPr>
              <w:t>Investeering 1.2. Noorte teadlaste esitatud projektide rahastamine.</w:t>
            </w:r>
          </w:p>
        </w:tc>
        <w:tc>
          <w:tcPr>
            <w:tcW w:w="1418" w:type="dxa"/>
            <w:tcBorders>
              <w:top w:val="nil"/>
              <w:left w:val="nil"/>
              <w:bottom w:val="single" w:sz="4" w:space="0" w:color="auto"/>
              <w:right w:val="single" w:sz="4" w:space="0" w:color="auto"/>
            </w:tcBorders>
            <w:shd w:val="clear" w:color="auto" w:fill="C6EFCE"/>
            <w:noWrap/>
            <w:vAlign w:val="center"/>
          </w:tcPr>
          <w:p w14:paraId="7AE24E53" w14:textId="77777777" w:rsidR="00A612E2" w:rsidRPr="00246CC4" w:rsidRDefault="00A612E2" w:rsidP="00742B81">
            <w:pPr>
              <w:rPr>
                <w:noProof/>
                <w:color w:val="006600"/>
                <w:sz w:val="20"/>
                <w:szCs w:val="20"/>
              </w:rPr>
            </w:pPr>
            <w:r>
              <w:rPr>
                <w:noProof/>
                <w:color w:val="006100"/>
                <w:sz w:val="20"/>
              </w:rPr>
              <w:t>Siht</w:t>
            </w:r>
          </w:p>
        </w:tc>
        <w:tc>
          <w:tcPr>
            <w:tcW w:w="3865" w:type="dxa"/>
            <w:tcBorders>
              <w:top w:val="nil"/>
              <w:left w:val="nil"/>
              <w:bottom w:val="single" w:sz="4" w:space="0" w:color="auto"/>
              <w:right w:val="single" w:sz="4" w:space="0" w:color="auto"/>
            </w:tcBorders>
            <w:shd w:val="clear" w:color="auto" w:fill="C6EFCE"/>
            <w:noWrap/>
            <w:vAlign w:val="center"/>
          </w:tcPr>
          <w:p w14:paraId="56E3CE5F" w14:textId="77777777" w:rsidR="00A612E2" w:rsidRPr="003B127D" w:rsidRDefault="00A612E2" w:rsidP="00742B81">
            <w:pPr>
              <w:rPr>
                <w:noProof/>
                <w:color w:val="006600"/>
                <w:sz w:val="20"/>
                <w:szCs w:val="20"/>
              </w:rPr>
            </w:pPr>
            <w:r>
              <w:rPr>
                <w:noProof/>
                <w:color w:val="006100"/>
                <w:sz w:val="20"/>
              </w:rPr>
              <w:t>Uurimisstipendiumi saanud üliõpilaste arv</w:t>
            </w:r>
          </w:p>
        </w:tc>
      </w:tr>
      <w:tr w:rsidR="00A612E2" w:rsidRPr="00D90835" w14:paraId="53998D9F"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4757B5E" w14:textId="77777777" w:rsidR="00A612E2" w:rsidRPr="00246CC4" w:rsidRDefault="00A612E2" w:rsidP="00742B81">
            <w:pPr>
              <w:jc w:val="center"/>
              <w:rPr>
                <w:noProof/>
                <w:color w:val="006100"/>
                <w:sz w:val="20"/>
                <w:szCs w:val="20"/>
              </w:rPr>
            </w:pPr>
            <w:r>
              <w:rPr>
                <w:noProof/>
                <w:color w:val="006100"/>
                <w:sz w:val="20"/>
              </w:rPr>
              <w:t xml:space="preserve">M5C1-2 </w:t>
            </w:r>
          </w:p>
        </w:tc>
        <w:tc>
          <w:tcPr>
            <w:tcW w:w="3118" w:type="dxa"/>
            <w:tcBorders>
              <w:top w:val="nil"/>
              <w:left w:val="nil"/>
              <w:bottom w:val="single" w:sz="4" w:space="0" w:color="auto"/>
              <w:right w:val="single" w:sz="4" w:space="0" w:color="auto"/>
            </w:tcBorders>
            <w:shd w:val="clear" w:color="auto" w:fill="C6EFCE"/>
            <w:noWrap/>
            <w:vAlign w:val="center"/>
          </w:tcPr>
          <w:p w14:paraId="7A0A8D00" w14:textId="77777777" w:rsidR="00A612E2" w:rsidRPr="003B127D" w:rsidRDefault="00A612E2" w:rsidP="00742B81">
            <w:pPr>
              <w:rPr>
                <w:noProof/>
                <w:color w:val="006100"/>
                <w:sz w:val="20"/>
                <w:szCs w:val="20"/>
              </w:rPr>
            </w:pPr>
            <w:r>
              <w:rPr>
                <w:noProof/>
                <w:color w:val="006100"/>
                <w:sz w:val="20"/>
              </w:rPr>
              <w:t>Reform 1. Aktiivne tööturupoliitika ja kutseõpe</w:t>
            </w:r>
          </w:p>
        </w:tc>
        <w:tc>
          <w:tcPr>
            <w:tcW w:w="1418" w:type="dxa"/>
            <w:tcBorders>
              <w:top w:val="nil"/>
              <w:left w:val="nil"/>
              <w:bottom w:val="single" w:sz="4" w:space="0" w:color="auto"/>
              <w:right w:val="single" w:sz="4" w:space="0" w:color="auto"/>
            </w:tcBorders>
            <w:shd w:val="clear" w:color="auto" w:fill="C6EFCE"/>
            <w:noWrap/>
            <w:vAlign w:val="center"/>
          </w:tcPr>
          <w:p w14:paraId="01D040A0" w14:textId="77777777" w:rsidR="00A612E2" w:rsidRPr="00246CC4" w:rsidRDefault="00A612E2" w:rsidP="00742B81">
            <w:pPr>
              <w:rPr>
                <w:noProof/>
                <w:color w:val="006600"/>
                <w:sz w:val="20"/>
                <w:szCs w:val="20"/>
              </w:rPr>
            </w:pPr>
            <w:r>
              <w:rPr>
                <w:noProof/>
                <w:color w:val="006100"/>
                <w:sz w:val="20"/>
              </w:rPr>
              <w:t>Eesmärk</w:t>
            </w:r>
          </w:p>
        </w:tc>
        <w:tc>
          <w:tcPr>
            <w:tcW w:w="3865" w:type="dxa"/>
            <w:tcBorders>
              <w:top w:val="nil"/>
              <w:left w:val="nil"/>
              <w:bottom w:val="single" w:sz="4" w:space="0" w:color="auto"/>
              <w:right w:val="single" w:sz="4" w:space="0" w:color="auto"/>
            </w:tcBorders>
            <w:shd w:val="clear" w:color="auto" w:fill="C6EFCE"/>
            <w:noWrap/>
            <w:vAlign w:val="center"/>
          </w:tcPr>
          <w:p w14:paraId="2D4BE4E9" w14:textId="77777777" w:rsidR="00A612E2" w:rsidRPr="003B127D" w:rsidRDefault="00A612E2" w:rsidP="00742B81">
            <w:pPr>
              <w:rPr>
                <w:noProof/>
                <w:color w:val="006600"/>
                <w:sz w:val="20"/>
                <w:szCs w:val="20"/>
              </w:rPr>
            </w:pPr>
            <w:r>
              <w:rPr>
                <w:noProof/>
                <w:color w:val="006100"/>
                <w:sz w:val="20"/>
              </w:rPr>
              <w:t xml:space="preserve">Kõigi riiklike tööturuasutuste kavade jõustumine piirkondlikul tasandil  </w:t>
            </w:r>
          </w:p>
        </w:tc>
      </w:tr>
      <w:tr w:rsidR="00A612E2" w:rsidRPr="00D90835" w14:paraId="1FC790A7"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4DAE879" w14:textId="77777777" w:rsidR="00A612E2" w:rsidRPr="00246CC4" w:rsidRDefault="00A612E2" w:rsidP="00742B81">
            <w:pPr>
              <w:jc w:val="center"/>
              <w:rPr>
                <w:noProof/>
                <w:color w:val="006100"/>
                <w:sz w:val="20"/>
                <w:szCs w:val="20"/>
              </w:rPr>
            </w:pPr>
            <w:r>
              <w:rPr>
                <w:noProof/>
                <w:color w:val="006100"/>
                <w:sz w:val="20"/>
              </w:rPr>
              <w:t xml:space="preserve">M5C1-6 </w:t>
            </w:r>
          </w:p>
        </w:tc>
        <w:tc>
          <w:tcPr>
            <w:tcW w:w="3118" w:type="dxa"/>
            <w:tcBorders>
              <w:top w:val="nil"/>
              <w:left w:val="nil"/>
              <w:bottom w:val="single" w:sz="4" w:space="0" w:color="auto"/>
              <w:right w:val="single" w:sz="4" w:space="0" w:color="auto"/>
            </w:tcBorders>
            <w:shd w:val="clear" w:color="auto" w:fill="C6EFCE"/>
            <w:noWrap/>
            <w:vAlign w:val="center"/>
          </w:tcPr>
          <w:p w14:paraId="1D155063" w14:textId="77777777" w:rsidR="00A612E2" w:rsidRPr="00246CC4" w:rsidRDefault="00A612E2" w:rsidP="00742B81">
            <w:pPr>
              <w:rPr>
                <w:noProof/>
                <w:color w:val="006100"/>
                <w:sz w:val="20"/>
                <w:szCs w:val="20"/>
              </w:rPr>
            </w:pPr>
            <w:r>
              <w:rPr>
                <w:noProof/>
                <w:color w:val="006100"/>
                <w:sz w:val="20"/>
              </w:rPr>
              <w:t xml:space="preserve">Investeering 1. Avalike tööturuasutuste tugevdamine </w:t>
            </w:r>
          </w:p>
        </w:tc>
        <w:tc>
          <w:tcPr>
            <w:tcW w:w="1418" w:type="dxa"/>
            <w:tcBorders>
              <w:top w:val="nil"/>
              <w:left w:val="nil"/>
              <w:bottom w:val="single" w:sz="4" w:space="0" w:color="auto"/>
              <w:right w:val="single" w:sz="4" w:space="0" w:color="auto"/>
            </w:tcBorders>
            <w:shd w:val="clear" w:color="auto" w:fill="C6EFCE"/>
            <w:noWrap/>
            <w:vAlign w:val="center"/>
          </w:tcPr>
          <w:p w14:paraId="55B9A50E" w14:textId="77777777" w:rsidR="00A612E2" w:rsidRPr="00246CC4" w:rsidRDefault="00A612E2" w:rsidP="00742B81">
            <w:pPr>
              <w:rPr>
                <w:noProof/>
                <w:color w:val="006600"/>
                <w:sz w:val="20"/>
                <w:szCs w:val="20"/>
              </w:rPr>
            </w:pPr>
            <w:r>
              <w:rPr>
                <w:noProof/>
                <w:color w:val="006100"/>
                <w:sz w:val="20"/>
              </w:rPr>
              <w:t>Siht</w:t>
            </w:r>
          </w:p>
        </w:tc>
        <w:tc>
          <w:tcPr>
            <w:tcW w:w="3865" w:type="dxa"/>
            <w:tcBorders>
              <w:top w:val="nil"/>
              <w:left w:val="nil"/>
              <w:bottom w:val="single" w:sz="4" w:space="0" w:color="auto"/>
              <w:right w:val="single" w:sz="4" w:space="0" w:color="auto"/>
            </w:tcBorders>
            <w:shd w:val="clear" w:color="auto" w:fill="C6EFCE"/>
            <w:noWrap/>
            <w:vAlign w:val="center"/>
          </w:tcPr>
          <w:p w14:paraId="4DFDE1AD" w14:textId="77777777" w:rsidR="00A612E2" w:rsidRPr="00246CC4" w:rsidRDefault="00A612E2" w:rsidP="00742B81">
            <w:pPr>
              <w:rPr>
                <w:noProof/>
                <w:color w:val="006600"/>
                <w:sz w:val="20"/>
                <w:szCs w:val="20"/>
              </w:rPr>
            </w:pPr>
            <w:r>
              <w:rPr>
                <w:noProof/>
                <w:color w:val="006100"/>
                <w:sz w:val="20"/>
              </w:rPr>
              <w:t>Riiklikud tööturuasutused rakendavad tugevdamise kavas ette nähtud meetmeid kolme aasta jooksul (2021-2023).</w:t>
            </w:r>
          </w:p>
        </w:tc>
      </w:tr>
      <w:tr w:rsidR="00A612E2" w:rsidRPr="00D90835" w14:paraId="6C8155C1"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605123C" w14:textId="77777777" w:rsidR="00A612E2" w:rsidRPr="00246CC4" w:rsidRDefault="00A612E2" w:rsidP="00742B81">
            <w:pPr>
              <w:jc w:val="center"/>
              <w:rPr>
                <w:noProof/>
                <w:color w:val="006100"/>
                <w:sz w:val="20"/>
                <w:szCs w:val="20"/>
              </w:rPr>
            </w:pPr>
            <w:r>
              <w:rPr>
                <w:noProof/>
                <w:color w:val="006100"/>
                <w:sz w:val="20"/>
              </w:rPr>
              <w:t xml:space="preserve">M5C1-8 </w:t>
            </w:r>
          </w:p>
        </w:tc>
        <w:tc>
          <w:tcPr>
            <w:tcW w:w="3118" w:type="dxa"/>
            <w:tcBorders>
              <w:top w:val="nil"/>
              <w:left w:val="nil"/>
              <w:bottom w:val="single" w:sz="4" w:space="0" w:color="auto"/>
              <w:right w:val="single" w:sz="4" w:space="0" w:color="auto"/>
            </w:tcBorders>
            <w:shd w:val="clear" w:color="auto" w:fill="C6EFCE"/>
            <w:noWrap/>
            <w:vAlign w:val="center"/>
          </w:tcPr>
          <w:p w14:paraId="4B997125" w14:textId="77777777" w:rsidR="00A612E2" w:rsidRPr="00246CC4" w:rsidRDefault="00A612E2" w:rsidP="00742B81">
            <w:pPr>
              <w:rPr>
                <w:noProof/>
                <w:color w:val="006100"/>
                <w:sz w:val="20"/>
                <w:szCs w:val="20"/>
              </w:rPr>
            </w:pPr>
            <w:r>
              <w:rPr>
                <w:noProof/>
                <w:color w:val="006100"/>
                <w:sz w:val="20"/>
              </w:rPr>
              <w:t>Reform 2. Deklareerimata töö</w:t>
            </w:r>
          </w:p>
        </w:tc>
        <w:tc>
          <w:tcPr>
            <w:tcW w:w="1418" w:type="dxa"/>
            <w:tcBorders>
              <w:top w:val="nil"/>
              <w:left w:val="nil"/>
              <w:bottom w:val="single" w:sz="4" w:space="0" w:color="auto"/>
              <w:right w:val="single" w:sz="4" w:space="0" w:color="auto"/>
            </w:tcBorders>
            <w:shd w:val="clear" w:color="auto" w:fill="C6EFCE"/>
            <w:noWrap/>
            <w:vAlign w:val="center"/>
          </w:tcPr>
          <w:p w14:paraId="5896811D" w14:textId="77777777" w:rsidR="00A612E2" w:rsidRPr="00246CC4" w:rsidRDefault="00A612E2" w:rsidP="00742B81">
            <w:pPr>
              <w:rPr>
                <w:noProof/>
                <w:color w:val="006600"/>
                <w:sz w:val="20"/>
                <w:szCs w:val="20"/>
              </w:rPr>
            </w:pPr>
            <w:r>
              <w:rPr>
                <w:noProof/>
                <w:color w:val="006100"/>
                <w:sz w:val="20"/>
              </w:rPr>
              <w:t>Eesmärk</w:t>
            </w:r>
          </w:p>
        </w:tc>
        <w:tc>
          <w:tcPr>
            <w:tcW w:w="3865" w:type="dxa"/>
            <w:tcBorders>
              <w:top w:val="nil"/>
              <w:left w:val="nil"/>
              <w:bottom w:val="single" w:sz="4" w:space="0" w:color="auto"/>
              <w:right w:val="single" w:sz="4" w:space="0" w:color="auto"/>
            </w:tcBorders>
            <w:shd w:val="clear" w:color="auto" w:fill="C6EFCE"/>
            <w:noWrap/>
            <w:vAlign w:val="center"/>
          </w:tcPr>
          <w:p w14:paraId="20E42C39" w14:textId="77777777" w:rsidR="00A612E2" w:rsidRPr="003B127D" w:rsidRDefault="00A612E2" w:rsidP="00742B81">
            <w:pPr>
              <w:rPr>
                <w:noProof/>
                <w:color w:val="006600"/>
                <w:sz w:val="20"/>
                <w:szCs w:val="20"/>
              </w:rPr>
            </w:pPr>
            <w:r>
              <w:rPr>
                <w:noProof/>
                <w:color w:val="006100"/>
                <w:sz w:val="20"/>
              </w:rPr>
              <w:t>Riikliku kava jõustumine ja tegevuskava rakendamine, et võidelda deklareerimata töö vastu kõigis majandussektorites.</w:t>
            </w:r>
          </w:p>
        </w:tc>
      </w:tr>
      <w:tr w:rsidR="00A612E2" w:rsidRPr="00D90835" w14:paraId="4C44247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8C3BF28" w14:textId="77777777" w:rsidR="00A612E2" w:rsidRPr="00246CC4" w:rsidRDefault="00A612E2" w:rsidP="00742B81">
            <w:pPr>
              <w:jc w:val="center"/>
              <w:rPr>
                <w:noProof/>
                <w:color w:val="006100"/>
                <w:sz w:val="20"/>
                <w:szCs w:val="20"/>
              </w:rPr>
            </w:pPr>
            <w:r>
              <w:rPr>
                <w:noProof/>
                <w:color w:val="006100"/>
                <w:sz w:val="20"/>
              </w:rPr>
              <w:t>M5C1-12</w:t>
            </w:r>
          </w:p>
        </w:tc>
        <w:tc>
          <w:tcPr>
            <w:tcW w:w="3118" w:type="dxa"/>
            <w:tcBorders>
              <w:top w:val="nil"/>
              <w:left w:val="nil"/>
              <w:bottom w:val="single" w:sz="4" w:space="0" w:color="auto"/>
              <w:right w:val="single" w:sz="4" w:space="0" w:color="auto"/>
            </w:tcBorders>
            <w:shd w:val="clear" w:color="auto" w:fill="C6EFCE"/>
            <w:noWrap/>
            <w:vAlign w:val="center"/>
          </w:tcPr>
          <w:p w14:paraId="488926B1" w14:textId="77777777" w:rsidR="00A612E2" w:rsidRPr="00246CC4" w:rsidRDefault="00A612E2" w:rsidP="00742B81">
            <w:pPr>
              <w:rPr>
                <w:noProof/>
                <w:color w:val="006100"/>
                <w:sz w:val="20"/>
                <w:szCs w:val="20"/>
              </w:rPr>
            </w:pPr>
            <w:r>
              <w:rPr>
                <w:noProof/>
                <w:color w:val="006100"/>
                <w:sz w:val="20"/>
              </w:rPr>
              <w:t>Investeering 2. Soolise võrdõiguslikkuse sertifitseerimise süsteem</w:t>
            </w:r>
          </w:p>
        </w:tc>
        <w:tc>
          <w:tcPr>
            <w:tcW w:w="1418" w:type="dxa"/>
            <w:tcBorders>
              <w:top w:val="nil"/>
              <w:left w:val="nil"/>
              <w:bottom w:val="single" w:sz="4" w:space="0" w:color="auto"/>
              <w:right w:val="single" w:sz="4" w:space="0" w:color="auto"/>
            </w:tcBorders>
            <w:shd w:val="clear" w:color="auto" w:fill="C6EFCE"/>
            <w:noWrap/>
            <w:vAlign w:val="center"/>
          </w:tcPr>
          <w:p w14:paraId="509E20E0" w14:textId="77777777" w:rsidR="00A612E2" w:rsidRPr="00246CC4" w:rsidRDefault="00A612E2" w:rsidP="00742B81">
            <w:pPr>
              <w:rPr>
                <w:noProof/>
                <w:color w:val="006600"/>
                <w:sz w:val="20"/>
                <w:szCs w:val="20"/>
              </w:rPr>
            </w:pPr>
            <w:r>
              <w:rPr>
                <w:noProof/>
                <w:color w:val="006100"/>
                <w:sz w:val="20"/>
              </w:rPr>
              <w:t>Eesmärk</w:t>
            </w:r>
          </w:p>
        </w:tc>
        <w:tc>
          <w:tcPr>
            <w:tcW w:w="3865" w:type="dxa"/>
            <w:tcBorders>
              <w:top w:val="nil"/>
              <w:left w:val="nil"/>
              <w:bottom w:val="single" w:sz="4" w:space="0" w:color="auto"/>
              <w:right w:val="single" w:sz="4" w:space="0" w:color="auto"/>
            </w:tcBorders>
            <w:shd w:val="clear" w:color="auto" w:fill="C6EFCE"/>
            <w:noWrap/>
            <w:vAlign w:val="center"/>
          </w:tcPr>
          <w:p w14:paraId="5D6023A4" w14:textId="77777777" w:rsidR="00A612E2" w:rsidRPr="00246CC4" w:rsidRDefault="00A612E2" w:rsidP="00742B81">
            <w:pPr>
              <w:rPr>
                <w:noProof/>
                <w:color w:val="006600"/>
                <w:sz w:val="20"/>
                <w:szCs w:val="20"/>
              </w:rPr>
            </w:pPr>
            <w:r>
              <w:rPr>
                <w:noProof/>
                <w:color w:val="006100"/>
                <w:sz w:val="20"/>
              </w:rPr>
              <w:t xml:space="preserve">Jõustub soolise võrdõiguslikkuse sertifitseerimise süsteem ja sellega kaasnevad ettevõtetele suunatud stimuleerimismehhanismid </w:t>
            </w:r>
          </w:p>
        </w:tc>
      </w:tr>
      <w:tr w:rsidR="00A612E2" w:rsidRPr="00D90835" w14:paraId="13DD56C1"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D38CE69" w14:textId="77777777" w:rsidR="00A612E2" w:rsidRPr="00246CC4" w:rsidRDefault="00A612E2" w:rsidP="00742B81">
            <w:pPr>
              <w:jc w:val="center"/>
              <w:rPr>
                <w:noProof/>
                <w:color w:val="006100"/>
                <w:sz w:val="20"/>
                <w:szCs w:val="20"/>
              </w:rPr>
            </w:pPr>
            <w:r>
              <w:rPr>
                <w:noProof/>
                <w:color w:val="006100"/>
                <w:sz w:val="20"/>
              </w:rPr>
              <w:t>M5C2-7</w:t>
            </w:r>
          </w:p>
        </w:tc>
        <w:tc>
          <w:tcPr>
            <w:tcW w:w="3118" w:type="dxa"/>
            <w:tcBorders>
              <w:top w:val="nil"/>
              <w:left w:val="nil"/>
              <w:bottom w:val="single" w:sz="4" w:space="0" w:color="auto"/>
              <w:right w:val="single" w:sz="4" w:space="0" w:color="auto"/>
            </w:tcBorders>
            <w:shd w:val="clear" w:color="auto" w:fill="C6EFCE"/>
            <w:noWrap/>
            <w:vAlign w:val="center"/>
          </w:tcPr>
          <w:p w14:paraId="37538DC7" w14:textId="77777777" w:rsidR="00A612E2" w:rsidRPr="00246CC4" w:rsidRDefault="00A612E2" w:rsidP="00742B81">
            <w:pPr>
              <w:rPr>
                <w:noProof/>
                <w:color w:val="006100"/>
                <w:sz w:val="20"/>
                <w:szCs w:val="20"/>
              </w:rPr>
            </w:pPr>
            <w:r>
              <w:rPr>
                <w:noProof/>
                <w:color w:val="006100"/>
                <w:sz w:val="20"/>
              </w:rPr>
              <w:t>Investeering 2. Autonoomsusmustrid puuetega inimeste jaoks</w:t>
            </w:r>
          </w:p>
        </w:tc>
        <w:tc>
          <w:tcPr>
            <w:tcW w:w="1418" w:type="dxa"/>
            <w:tcBorders>
              <w:top w:val="nil"/>
              <w:left w:val="nil"/>
              <w:bottom w:val="single" w:sz="4" w:space="0" w:color="auto"/>
              <w:right w:val="single" w:sz="4" w:space="0" w:color="auto"/>
            </w:tcBorders>
            <w:shd w:val="clear" w:color="auto" w:fill="C6EFCE"/>
            <w:noWrap/>
            <w:vAlign w:val="center"/>
          </w:tcPr>
          <w:p w14:paraId="1B72DA0C" w14:textId="77777777" w:rsidR="00A612E2" w:rsidRPr="00246CC4" w:rsidRDefault="00A612E2" w:rsidP="00742B81">
            <w:pPr>
              <w:rPr>
                <w:noProof/>
                <w:color w:val="006600"/>
                <w:sz w:val="20"/>
                <w:szCs w:val="20"/>
              </w:rPr>
            </w:pPr>
            <w:r>
              <w:rPr>
                <w:noProof/>
                <w:color w:val="006100"/>
                <w:sz w:val="20"/>
              </w:rPr>
              <w:t>Siht</w:t>
            </w:r>
          </w:p>
        </w:tc>
        <w:tc>
          <w:tcPr>
            <w:tcW w:w="3865" w:type="dxa"/>
            <w:tcBorders>
              <w:top w:val="nil"/>
              <w:left w:val="nil"/>
              <w:bottom w:val="single" w:sz="4" w:space="0" w:color="auto"/>
              <w:right w:val="single" w:sz="4" w:space="0" w:color="auto"/>
            </w:tcBorders>
            <w:shd w:val="clear" w:color="auto" w:fill="C6EFCE"/>
            <w:noWrap/>
            <w:vAlign w:val="center"/>
          </w:tcPr>
          <w:p w14:paraId="2023AE2A" w14:textId="77777777" w:rsidR="00A612E2" w:rsidRPr="00246CC4" w:rsidRDefault="00A612E2" w:rsidP="00742B81">
            <w:pPr>
              <w:rPr>
                <w:noProof/>
                <w:color w:val="006600"/>
                <w:sz w:val="20"/>
                <w:szCs w:val="20"/>
              </w:rPr>
            </w:pPr>
            <w:r>
              <w:rPr>
                <w:noProof/>
                <w:color w:val="006100"/>
                <w:sz w:val="20"/>
              </w:rPr>
              <w:t>Sotsiaalpiirkonnad on viinud ellu vähemalt ühe projekti, mis on seotud koduruumide renoveerimise ja/või puuetega inimestele IKT-seadmete pakkumisega, ning sellega on kaasnenud digioskuste alane koolitus.</w:t>
            </w:r>
          </w:p>
        </w:tc>
      </w:tr>
      <w:tr w:rsidR="00A612E2" w:rsidRPr="00D90835" w14:paraId="2D027E94"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D55E742" w14:textId="77777777" w:rsidR="00A612E2" w:rsidRPr="00246CC4" w:rsidRDefault="00A612E2" w:rsidP="00742B81">
            <w:pPr>
              <w:jc w:val="center"/>
              <w:rPr>
                <w:noProof/>
                <w:color w:val="006100"/>
                <w:sz w:val="20"/>
                <w:szCs w:val="20"/>
              </w:rPr>
            </w:pPr>
            <w:r>
              <w:rPr>
                <w:noProof/>
                <w:color w:val="006100"/>
                <w:sz w:val="20"/>
              </w:rPr>
              <w:t>M5C3-1</w:t>
            </w:r>
          </w:p>
        </w:tc>
        <w:tc>
          <w:tcPr>
            <w:tcW w:w="3118" w:type="dxa"/>
            <w:tcBorders>
              <w:top w:val="nil"/>
              <w:left w:val="nil"/>
              <w:bottom w:val="single" w:sz="4" w:space="0" w:color="auto"/>
              <w:right w:val="single" w:sz="4" w:space="0" w:color="auto"/>
            </w:tcBorders>
            <w:shd w:val="clear" w:color="auto" w:fill="C6EFCE"/>
            <w:noWrap/>
            <w:vAlign w:val="center"/>
          </w:tcPr>
          <w:p w14:paraId="53958AD8" w14:textId="77777777" w:rsidR="00A612E2" w:rsidRPr="003B127D" w:rsidRDefault="00A612E2" w:rsidP="00742B81">
            <w:pPr>
              <w:rPr>
                <w:noProof/>
                <w:color w:val="006100"/>
                <w:sz w:val="20"/>
                <w:szCs w:val="20"/>
              </w:rPr>
            </w:pPr>
            <w:r>
              <w:rPr>
                <w:noProof/>
                <w:color w:val="006100"/>
                <w:sz w:val="20"/>
              </w:rPr>
              <w:t>Investeering 1.1.1. Sisealade kogukondlike sotsiaalteenuste ja -infrastruktuuride edendamine</w:t>
            </w:r>
          </w:p>
        </w:tc>
        <w:tc>
          <w:tcPr>
            <w:tcW w:w="1418" w:type="dxa"/>
            <w:tcBorders>
              <w:top w:val="nil"/>
              <w:left w:val="nil"/>
              <w:bottom w:val="single" w:sz="4" w:space="0" w:color="auto"/>
              <w:right w:val="single" w:sz="4" w:space="0" w:color="auto"/>
            </w:tcBorders>
            <w:shd w:val="clear" w:color="auto" w:fill="C6EFCE"/>
            <w:noWrap/>
            <w:vAlign w:val="center"/>
          </w:tcPr>
          <w:p w14:paraId="2AFC5F54" w14:textId="77777777" w:rsidR="00A612E2" w:rsidRPr="00246CC4" w:rsidRDefault="00A612E2" w:rsidP="00742B81">
            <w:pPr>
              <w:rPr>
                <w:noProof/>
                <w:color w:val="006600"/>
                <w:sz w:val="20"/>
                <w:szCs w:val="20"/>
              </w:rPr>
            </w:pPr>
            <w:r>
              <w:rPr>
                <w:noProof/>
                <w:color w:val="006100"/>
                <w:sz w:val="20"/>
              </w:rPr>
              <w:t>Eesmärk</w:t>
            </w:r>
          </w:p>
        </w:tc>
        <w:tc>
          <w:tcPr>
            <w:tcW w:w="3865" w:type="dxa"/>
            <w:tcBorders>
              <w:top w:val="nil"/>
              <w:left w:val="nil"/>
              <w:bottom w:val="single" w:sz="4" w:space="0" w:color="auto"/>
              <w:right w:val="single" w:sz="4" w:space="0" w:color="auto"/>
            </w:tcBorders>
            <w:shd w:val="clear" w:color="auto" w:fill="C6EFCE"/>
            <w:noWrap/>
            <w:vAlign w:val="center"/>
          </w:tcPr>
          <w:p w14:paraId="2EE1F1B5" w14:textId="77777777" w:rsidR="00A612E2" w:rsidRPr="003B127D" w:rsidRDefault="00A612E2" w:rsidP="00742B81">
            <w:pPr>
              <w:rPr>
                <w:noProof/>
                <w:color w:val="006600"/>
                <w:sz w:val="20"/>
                <w:szCs w:val="20"/>
              </w:rPr>
            </w:pPr>
            <w:r>
              <w:rPr>
                <w:noProof/>
                <w:color w:val="006100"/>
                <w:sz w:val="20"/>
              </w:rPr>
              <w:t>Sisepiirkondades sotsiaalteenuste ja -infrastruktuuri parandamiseks võetavate sekkumismeetmete ning alla 3000 elanikuga omavalitsuste apteekide toetamise hankeleping</w:t>
            </w:r>
          </w:p>
        </w:tc>
      </w:tr>
      <w:tr w:rsidR="00A612E2" w:rsidRPr="00D90835" w14:paraId="341C38BC"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3BEB4BA" w14:textId="77777777" w:rsidR="00A612E2" w:rsidRPr="00246CC4" w:rsidRDefault="00A612E2" w:rsidP="00742B81">
            <w:pPr>
              <w:jc w:val="center"/>
              <w:rPr>
                <w:noProof/>
                <w:color w:val="006100"/>
                <w:sz w:val="20"/>
                <w:szCs w:val="20"/>
              </w:rPr>
            </w:pPr>
            <w:r>
              <w:rPr>
                <w:noProof/>
                <w:color w:val="006100"/>
                <w:sz w:val="20"/>
              </w:rPr>
              <w:t>M6C2-1</w:t>
            </w:r>
          </w:p>
        </w:tc>
        <w:tc>
          <w:tcPr>
            <w:tcW w:w="3118" w:type="dxa"/>
            <w:tcBorders>
              <w:top w:val="nil"/>
              <w:left w:val="nil"/>
              <w:bottom w:val="single" w:sz="4" w:space="0" w:color="auto"/>
              <w:right w:val="single" w:sz="4" w:space="0" w:color="auto"/>
            </w:tcBorders>
            <w:shd w:val="clear" w:color="auto" w:fill="C6EFCE"/>
            <w:noWrap/>
            <w:vAlign w:val="center"/>
          </w:tcPr>
          <w:p w14:paraId="56282FEA" w14:textId="77777777" w:rsidR="00A612E2" w:rsidRPr="003B127D" w:rsidRDefault="00A612E2" w:rsidP="00742B81">
            <w:pPr>
              <w:rPr>
                <w:noProof/>
                <w:color w:val="006100"/>
                <w:sz w:val="20"/>
                <w:szCs w:val="20"/>
              </w:rPr>
            </w:pPr>
            <w:r>
              <w:rPr>
                <w:noProof/>
                <w:color w:val="006100"/>
                <w:sz w:val="20"/>
              </w:rPr>
              <w:t>Reform 1. Vaadata läbi ja ajakohastada tervishoiuministeeriumi kliinikumi- ja hooldusalaste teadusinstituutide (IRCCS) ning teaduspoliitika kehtivat õigusraamistikku, et tugevdada teadusuuringute, innovatsiooni ja tervishoiu vahelist seost</w:t>
            </w:r>
          </w:p>
        </w:tc>
        <w:tc>
          <w:tcPr>
            <w:tcW w:w="1418" w:type="dxa"/>
            <w:tcBorders>
              <w:top w:val="nil"/>
              <w:left w:val="nil"/>
              <w:bottom w:val="single" w:sz="4" w:space="0" w:color="auto"/>
              <w:right w:val="single" w:sz="4" w:space="0" w:color="auto"/>
            </w:tcBorders>
            <w:shd w:val="clear" w:color="auto" w:fill="C6EFCE"/>
            <w:noWrap/>
            <w:vAlign w:val="center"/>
          </w:tcPr>
          <w:p w14:paraId="5EC316DF" w14:textId="77777777" w:rsidR="00A612E2" w:rsidRPr="00246CC4" w:rsidRDefault="00A612E2" w:rsidP="00742B81">
            <w:pPr>
              <w:rPr>
                <w:noProof/>
                <w:color w:val="006600"/>
                <w:sz w:val="20"/>
                <w:szCs w:val="20"/>
              </w:rPr>
            </w:pPr>
            <w:r>
              <w:rPr>
                <w:noProof/>
                <w:color w:val="006100"/>
                <w:sz w:val="20"/>
              </w:rPr>
              <w:t>Eesmärk</w:t>
            </w:r>
          </w:p>
        </w:tc>
        <w:tc>
          <w:tcPr>
            <w:tcW w:w="3865" w:type="dxa"/>
            <w:tcBorders>
              <w:top w:val="nil"/>
              <w:left w:val="nil"/>
              <w:bottom w:val="single" w:sz="4" w:space="0" w:color="auto"/>
              <w:right w:val="single" w:sz="4" w:space="0" w:color="auto"/>
            </w:tcBorders>
            <w:shd w:val="clear" w:color="auto" w:fill="C6EFCE"/>
            <w:noWrap/>
            <w:vAlign w:val="center"/>
          </w:tcPr>
          <w:p w14:paraId="7D51544E" w14:textId="77777777" w:rsidR="00A612E2" w:rsidRPr="003B127D" w:rsidRDefault="00A612E2" w:rsidP="00742B81">
            <w:pPr>
              <w:rPr>
                <w:noProof/>
                <w:color w:val="006600"/>
                <w:sz w:val="20"/>
                <w:szCs w:val="20"/>
              </w:rPr>
            </w:pPr>
            <w:r>
              <w:rPr>
                <w:noProof/>
                <w:color w:val="006100"/>
                <w:sz w:val="20"/>
              </w:rPr>
              <w:t>Jõustus seadusandlik dekreet, millega nähakse ette haiglaravi ja raviga tegelevate teadusinstituutide (IRCSS) eeskirjade ümberkorraldamine</w:t>
            </w:r>
          </w:p>
        </w:tc>
      </w:tr>
      <w:tr w:rsidR="00A612E2" w:rsidRPr="00246CC4" w14:paraId="6ED96AE4" w14:textId="77777777" w:rsidTr="00742B81">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39B95CA3" w14:textId="77777777" w:rsidR="00A612E2" w:rsidRPr="00F33804" w:rsidRDefault="00A612E2" w:rsidP="00742B81">
            <w:pPr>
              <w:jc w:val="center"/>
              <w:rPr>
                <w:noProof/>
                <w:color w:val="006100"/>
                <w:sz w:val="20"/>
                <w:szCs w:val="20"/>
              </w:rPr>
            </w:pPr>
          </w:p>
        </w:tc>
        <w:tc>
          <w:tcPr>
            <w:tcW w:w="3118" w:type="dxa"/>
            <w:tcBorders>
              <w:top w:val="single" w:sz="4" w:space="0" w:color="auto"/>
              <w:left w:val="nil"/>
              <w:bottom w:val="single" w:sz="4" w:space="0" w:color="auto"/>
              <w:right w:val="single" w:sz="4" w:space="0" w:color="auto"/>
            </w:tcBorders>
            <w:shd w:val="clear" w:color="auto" w:fill="C6EFCE"/>
            <w:noWrap/>
            <w:vAlign w:val="bottom"/>
          </w:tcPr>
          <w:p w14:paraId="1723B8FA" w14:textId="77777777" w:rsidR="00A612E2" w:rsidRPr="00F33804" w:rsidRDefault="00A612E2" w:rsidP="00742B81">
            <w:pPr>
              <w:rPr>
                <w:noProof/>
                <w:color w:val="006100"/>
                <w:sz w:val="20"/>
                <w:szCs w:val="20"/>
              </w:rPr>
            </w:pPr>
          </w:p>
        </w:tc>
        <w:tc>
          <w:tcPr>
            <w:tcW w:w="1418" w:type="dxa"/>
            <w:tcBorders>
              <w:top w:val="single" w:sz="4" w:space="0" w:color="auto"/>
              <w:left w:val="nil"/>
              <w:bottom w:val="single" w:sz="4" w:space="0" w:color="auto"/>
              <w:right w:val="single" w:sz="4" w:space="0" w:color="auto"/>
            </w:tcBorders>
            <w:shd w:val="clear" w:color="auto" w:fill="C6EFCE"/>
            <w:noWrap/>
            <w:vAlign w:val="bottom"/>
          </w:tcPr>
          <w:p w14:paraId="507C078A" w14:textId="77777777" w:rsidR="00A612E2" w:rsidRPr="00246CC4" w:rsidRDefault="00A612E2" w:rsidP="00742B81">
            <w:pPr>
              <w:rPr>
                <w:noProof/>
                <w:color w:val="006100"/>
                <w:sz w:val="20"/>
                <w:szCs w:val="20"/>
              </w:rPr>
            </w:pPr>
            <w:r>
              <w:rPr>
                <w:noProof/>
                <w:color w:val="006100"/>
                <w:sz w:val="20"/>
              </w:rPr>
              <w:t>Osamakse summa</w:t>
            </w:r>
          </w:p>
        </w:tc>
        <w:tc>
          <w:tcPr>
            <w:tcW w:w="3865" w:type="dxa"/>
            <w:tcBorders>
              <w:top w:val="single" w:sz="4" w:space="0" w:color="auto"/>
              <w:left w:val="nil"/>
              <w:bottom w:val="single" w:sz="4" w:space="0" w:color="auto"/>
              <w:right w:val="single" w:sz="4" w:space="0" w:color="auto"/>
            </w:tcBorders>
            <w:shd w:val="clear" w:color="auto" w:fill="C6EFCE"/>
            <w:noWrap/>
            <w:vAlign w:val="bottom"/>
          </w:tcPr>
          <w:p w14:paraId="413A263B" w14:textId="77777777" w:rsidR="00A612E2" w:rsidRPr="00246CC4" w:rsidRDefault="00A612E2" w:rsidP="00742B81">
            <w:pPr>
              <w:rPr>
                <w:noProof/>
                <w:color w:val="006100"/>
                <w:sz w:val="20"/>
                <w:szCs w:val="20"/>
              </w:rPr>
            </w:pPr>
            <w:r>
              <w:rPr>
                <w:noProof/>
                <w:color w:val="006100"/>
                <w:sz w:val="20"/>
              </w:rPr>
              <w:t>11</w:t>
            </w:r>
            <w:r>
              <w:rPr>
                <w:rFonts w:ascii="Arial Narrow" w:hAnsi="Arial Narrow"/>
                <w:noProof/>
                <w:color w:val="006100"/>
                <w:sz w:val="20"/>
              </w:rPr>
              <w:t xml:space="preserve"> </w:t>
            </w:r>
            <w:r>
              <w:rPr>
                <w:noProof/>
                <w:color w:val="006100"/>
                <w:sz w:val="20"/>
              </w:rPr>
              <w:t>494</w:t>
            </w:r>
            <w:r>
              <w:rPr>
                <w:rFonts w:ascii="Arial Narrow" w:hAnsi="Arial Narrow"/>
                <w:noProof/>
                <w:color w:val="006100"/>
                <w:sz w:val="20"/>
              </w:rPr>
              <w:t xml:space="preserve"> </w:t>
            </w:r>
            <w:r>
              <w:rPr>
                <w:noProof/>
                <w:color w:val="006100"/>
                <w:sz w:val="20"/>
              </w:rPr>
              <w:t>252</w:t>
            </w:r>
            <w:r>
              <w:rPr>
                <w:rFonts w:ascii="Arial Narrow" w:hAnsi="Arial Narrow"/>
                <w:noProof/>
                <w:color w:val="006100"/>
                <w:sz w:val="20"/>
              </w:rPr>
              <w:t xml:space="preserve"> </w:t>
            </w:r>
            <w:r>
              <w:rPr>
                <w:noProof/>
                <w:color w:val="006100"/>
                <w:sz w:val="20"/>
              </w:rPr>
              <w:t>874 eurot</w:t>
            </w:r>
          </w:p>
        </w:tc>
      </w:tr>
    </w:tbl>
    <w:p w14:paraId="25E69548" w14:textId="77777777" w:rsidR="00A612E2" w:rsidRPr="00246CC4" w:rsidRDefault="00A612E2" w:rsidP="00A612E2">
      <w:pPr>
        <w:numPr>
          <w:ilvl w:val="1"/>
          <w:numId w:val="6"/>
        </w:numPr>
        <w:spacing w:before="120" w:after="120"/>
        <w:jc w:val="both"/>
        <w:rPr>
          <w:rFonts w:eastAsia="Calibri"/>
          <w:noProof/>
        </w:rPr>
      </w:pPr>
      <w:r>
        <w:rPr>
          <w:noProof/>
        </w:rPr>
        <w:t>Neljas osamakse (tagastamatu toetus):</w:t>
      </w:r>
    </w:p>
    <w:tbl>
      <w:tblPr>
        <w:tblW w:w="9704" w:type="dxa"/>
        <w:tblInd w:w="113" w:type="dxa"/>
        <w:tblLook w:val="04A0" w:firstRow="1" w:lastRow="0" w:firstColumn="1" w:lastColumn="0" w:noHBand="0" w:noVBand="1"/>
      </w:tblPr>
      <w:tblGrid>
        <w:gridCol w:w="1827"/>
        <w:gridCol w:w="3118"/>
        <w:gridCol w:w="1418"/>
        <w:gridCol w:w="3755"/>
      </w:tblGrid>
      <w:tr w:rsidR="00A612E2" w:rsidRPr="00246CC4" w14:paraId="650CDACE" w14:textId="77777777" w:rsidTr="00742B81">
        <w:trPr>
          <w:trHeight w:val="906"/>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9F9A6BA" w14:textId="77777777" w:rsidR="00A612E2" w:rsidRPr="00246CC4" w:rsidRDefault="00A612E2" w:rsidP="00742B81">
            <w:pPr>
              <w:jc w:val="center"/>
              <w:rPr>
                <w:b/>
                <w:bCs/>
                <w:noProof/>
                <w:sz w:val="20"/>
                <w:szCs w:val="20"/>
              </w:rPr>
            </w:pPr>
            <w:r>
              <w:rPr>
                <w:b/>
                <w:noProof/>
                <w:sz w:val="20"/>
              </w:rPr>
              <w:t>Järjekorranumber</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97DF08F" w14:textId="77777777" w:rsidR="00A612E2" w:rsidRPr="003B127D" w:rsidRDefault="00A612E2" w:rsidP="00742B81">
            <w:pPr>
              <w:jc w:val="center"/>
              <w:rPr>
                <w:b/>
                <w:bCs/>
                <w:noProof/>
                <w:sz w:val="20"/>
                <w:szCs w:val="20"/>
              </w:rPr>
            </w:pPr>
            <w:r>
              <w:rPr>
                <w:b/>
                <w:noProof/>
                <w:sz w:val="20"/>
              </w:rPr>
              <w:t>Seotud meede (reform või investeering)</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F826044" w14:textId="77777777" w:rsidR="00A612E2" w:rsidRPr="00246CC4" w:rsidRDefault="00A612E2" w:rsidP="00742B81">
            <w:pPr>
              <w:jc w:val="center"/>
              <w:rPr>
                <w:b/>
                <w:bCs/>
                <w:noProof/>
                <w:sz w:val="20"/>
                <w:szCs w:val="20"/>
              </w:rPr>
            </w:pPr>
            <w:r>
              <w:rPr>
                <w:b/>
                <w:noProof/>
                <w:sz w:val="20"/>
              </w:rPr>
              <w:t>Eesmärk / siht</w:t>
            </w:r>
          </w:p>
        </w:tc>
        <w:tc>
          <w:tcPr>
            <w:tcW w:w="375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7B3BAAA" w14:textId="77777777" w:rsidR="00A612E2" w:rsidRPr="00246CC4" w:rsidRDefault="00A612E2" w:rsidP="00742B81">
            <w:pPr>
              <w:jc w:val="center"/>
              <w:rPr>
                <w:b/>
                <w:bCs/>
                <w:noProof/>
                <w:sz w:val="20"/>
                <w:szCs w:val="20"/>
              </w:rPr>
            </w:pPr>
            <w:r>
              <w:rPr>
                <w:b/>
                <w:noProof/>
                <w:sz w:val="20"/>
              </w:rPr>
              <w:t>Nimi</w:t>
            </w:r>
          </w:p>
        </w:tc>
      </w:tr>
      <w:tr w:rsidR="00A612E2" w:rsidRPr="00246CC4" w14:paraId="10613D33" w14:textId="77777777" w:rsidTr="00742B81">
        <w:trPr>
          <w:trHeight w:val="517"/>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93302E1" w14:textId="77777777" w:rsidR="00A612E2" w:rsidRPr="00246CC4" w:rsidRDefault="00A612E2" w:rsidP="00742B81">
            <w:pPr>
              <w:rPr>
                <w:b/>
                <w:bCs/>
                <w:noProof/>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750236BF" w14:textId="77777777" w:rsidR="00A612E2" w:rsidRPr="00246CC4" w:rsidRDefault="00A612E2" w:rsidP="00742B81">
            <w:pPr>
              <w:rPr>
                <w:b/>
                <w:bCs/>
                <w:noProof/>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0FB2263" w14:textId="77777777" w:rsidR="00A612E2" w:rsidRPr="00246CC4" w:rsidRDefault="00A612E2" w:rsidP="00742B81">
            <w:pPr>
              <w:rPr>
                <w:b/>
                <w:bCs/>
                <w:noProof/>
              </w:rPr>
            </w:pPr>
          </w:p>
        </w:tc>
        <w:tc>
          <w:tcPr>
            <w:tcW w:w="3755" w:type="dxa"/>
            <w:vMerge/>
            <w:tcBorders>
              <w:top w:val="single" w:sz="4" w:space="0" w:color="auto"/>
              <w:left w:val="single" w:sz="4" w:space="0" w:color="auto"/>
              <w:bottom w:val="single" w:sz="4" w:space="0" w:color="auto"/>
              <w:right w:val="single" w:sz="4" w:space="0" w:color="auto"/>
            </w:tcBorders>
            <w:vAlign w:val="center"/>
            <w:hideMark/>
          </w:tcPr>
          <w:p w14:paraId="6D632A78" w14:textId="77777777" w:rsidR="00A612E2" w:rsidRPr="00246CC4" w:rsidRDefault="00A612E2" w:rsidP="00742B81">
            <w:pPr>
              <w:rPr>
                <w:b/>
                <w:bCs/>
                <w:noProof/>
              </w:rPr>
            </w:pPr>
          </w:p>
        </w:tc>
      </w:tr>
      <w:tr w:rsidR="00A612E2" w:rsidRPr="00246CC4" w14:paraId="5D678EE9" w14:textId="77777777" w:rsidTr="00742B81">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D758DE3" w14:textId="77777777" w:rsidR="00A612E2" w:rsidRPr="00246CC4" w:rsidRDefault="00A612E2" w:rsidP="00742B81">
            <w:pPr>
              <w:jc w:val="center"/>
              <w:rPr>
                <w:noProof/>
                <w:color w:val="006100"/>
                <w:sz w:val="20"/>
                <w:szCs w:val="20"/>
              </w:rPr>
            </w:pPr>
            <w:r>
              <w:rPr>
                <w:noProof/>
                <w:color w:val="006100"/>
                <w:sz w:val="20"/>
              </w:rPr>
              <w:t>M1C1-11</w:t>
            </w:r>
          </w:p>
        </w:tc>
        <w:tc>
          <w:tcPr>
            <w:tcW w:w="3118" w:type="dxa"/>
            <w:tcBorders>
              <w:top w:val="single" w:sz="4" w:space="0" w:color="auto"/>
              <w:left w:val="nil"/>
              <w:bottom w:val="single" w:sz="4" w:space="0" w:color="auto"/>
              <w:right w:val="single" w:sz="4" w:space="0" w:color="auto"/>
            </w:tcBorders>
            <w:shd w:val="clear" w:color="auto" w:fill="C6EFCE"/>
            <w:noWrap/>
            <w:vAlign w:val="center"/>
          </w:tcPr>
          <w:p w14:paraId="21D13ECB" w14:textId="77777777" w:rsidR="00A612E2" w:rsidRPr="003B127D" w:rsidRDefault="00A612E2" w:rsidP="00742B81">
            <w:pPr>
              <w:rPr>
                <w:noProof/>
                <w:color w:val="006100"/>
                <w:sz w:val="20"/>
                <w:szCs w:val="20"/>
              </w:rPr>
            </w:pPr>
            <w:r>
              <w:rPr>
                <w:noProof/>
                <w:color w:val="006100"/>
                <w:sz w:val="20"/>
              </w:rPr>
              <w:t>Investeering 1.6.6. Finantspolitsei digiteerimine</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14:paraId="7362B900" w14:textId="77777777" w:rsidR="00A612E2" w:rsidRPr="00246CC4" w:rsidRDefault="00A612E2" w:rsidP="00742B81">
            <w:pPr>
              <w:rPr>
                <w:noProof/>
                <w:color w:val="006100"/>
                <w:sz w:val="20"/>
                <w:szCs w:val="20"/>
              </w:rPr>
            </w:pPr>
            <w:r>
              <w:rPr>
                <w:noProof/>
                <w:color w:val="006100"/>
                <w:sz w:val="20"/>
              </w:rPr>
              <w:t>Siht</w:t>
            </w:r>
          </w:p>
        </w:tc>
        <w:tc>
          <w:tcPr>
            <w:tcW w:w="3755" w:type="dxa"/>
            <w:tcBorders>
              <w:top w:val="single" w:sz="4" w:space="0" w:color="auto"/>
              <w:left w:val="nil"/>
              <w:bottom w:val="single" w:sz="4" w:space="0" w:color="auto"/>
              <w:right w:val="single" w:sz="4" w:space="0" w:color="auto"/>
            </w:tcBorders>
            <w:shd w:val="clear" w:color="auto" w:fill="C6EFCE"/>
            <w:noWrap/>
            <w:vAlign w:val="center"/>
          </w:tcPr>
          <w:p w14:paraId="2D602B3D" w14:textId="77777777" w:rsidR="00A612E2" w:rsidRPr="00246CC4" w:rsidRDefault="00A612E2" w:rsidP="00742B81">
            <w:pPr>
              <w:rPr>
                <w:noProof/>
                <w:color w:val="006100"/>
                <w:sz w:val="20"/>
                <w:szCs w:val="20"/>
              </w:rPr>
            </w:pPr>
            <w:r>
              <w:rPr>
                <w:noProof/>
                <w:color w:val="006100"/>
                <w:sz w:val="20"/>
              </w:rPr>
              <w:t>Finantspolitsei – professionaalsete andmeteadusteenuste ostmine T1</w:t>
            </w:r>
          </w:p>
        </w:tc>
      </w:tr>
      <w:tr w:rsidR="00A612E2" w:rsidRPr="00D90835" w14:paraId="787B2B97"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8E272FC" w14:textId="77777777" w:rsidR="00A612E2" w:rsidRPr="00246CC4" w:rsidRDefault="00A612E2" w:rsidP="00742B81">
            <w:pPr>
              <w:jc w:val="center"/>
              <w:rPr>
                <w:noProof/>
                <w:color w:val="006100"/>
                <w:sz w:val="20"/>
                <w:szCs w:val="20"/>
              </w:rPr>
            </w:pPr>
            <w:r>
              <w:rPr>
                <w:noProof/>
                <w:color w:val="006100"/>
                <w:sz w:val="20"/>
              </w:rPr>
              <w:t>M1C1-72</w:t>
            </w:r>
          </w:p>
        </w:tc>
        <w:tc>
          <w:tcPr>
            <w:tcW w:w="3118" w:type="dxa"/>
            <w:tcBorders>
              <w:top w:val="nil"/>
              <w:left w:val="nil"/>
              <w:bottom w:val="single" w:sz="4" w:space="0" w:color="auto"/>
              <w:right w:val="single" w:sz="4" w:space="0" w:color="auto"/>
            </w:tcBorders>
            <w:shd w:val="clear" w:color="auto" w:fill="C6EFCE"/>
            <w:noWrap/>
            <w:vAlign w:val="center"/>
          </w:tcPr>
          <w:p w14:paraId="52620E6E" w14:textId="77777777" w:rsidR="00A612E2" w:rsidRPr="003B127D" w:rsidRDefault="00A612E2" w:rsidP="00742B81">
            <w:pPr>
              <w:rPr>
                <w:noProof/>
                <w:color w:val="006100"/>
                <w:sz w:val="20"/>
                <w:szCs w:val="20"/>
              </w:rPr>
            </w:pPr>
            <w:r>
              <w:rPr>
                <w:noProof/>
                <w:color w:val="006100"/>
                <w:sz w:val="20"/>
              </w:rPr>
              <w:t>Reform 1.11. Avaliku halduse asutuste ja tervishoiuasutuste hilinenud maksete vähendamine</w:t>
            </w:r>
          </w:p>
        </w:tc>
        <w:tc>
          <w:tcPr>
            <w:tcW w:w="1418" w:type="dxa"/>
            <w:tcBorders>
              <w:top w:val="nil"/>
              <w:left w:val="nil"/>
              <w:bottom w:val="single" w:sz="4" w:space="0" w:color="auto"/>
              <w:right w:val="single" w:sz="4" w:space="0" w:color="auto"/>
            </w:tcBorders>
            <w:shd w:val="clear" w:color="auto" w:fill="C6EFCE"/>
            <w:noWrap/>
            <w:vAlign w:val="center"/>
          </w:tcPr>
          <w:p w14:paraId="16D0667C" w14:textId="77777777" w:rsidR="00A612E2" w:rsidRPr="00246CC4" w:rsidRDefault="00A612E2" w:rsidP="00742B81">
            <w:pPr>
              <w:rPr>
                <w:noProof/>
                <w:color w:val="006100"/>
                <w:sz w:val="20"/>
                <w:szCs w:val="20"/>
              </w:rPr>
            </w:pPr>
            <w:r>
              <w:rPr>
                <w:noProof/>
                <w:color w:val="006100"/>
                <w:sz w:val="20"/>
              </w:rPr>
              <w:t>Eesmärk</w:t>
            </w:r>
          </w:p>
        </w:tc>
        <w:tc>
          <w:tcPr>
            <w:tcW w:w="3755" w:type="dxa"/>
            <w:tcBorders>
              <w:top w:val="nil"/>
              <w:left w:val="nil"/>
              <w:bottom w:val="single" w:sz="4" w:space="0" w:color="auto"/>
              <w:right w:val="single" w:sz="4" w:space="0" w:color="auto"/>
            </w:tcBorders>
            <w:shd w:val="clear" w:color="auto" w:fill="C6EFCE"/>
            <w:noWrap/>
            <w:vAlign w:val="center"/>
          </w:tcPr>
          <w:p w14:paraId="53F85253" w14:textId="77777777" w:rsidR="00A612E2" w:rsidRPr="003B127D" w:rsidRDefault="00A612E2" w:rsidP="00742B81">
            <w:pPr>
              <w:rPr>
                <w:noProof/>
                <w:color w:val="006100"/>
                <w:sz w:val="20"/>
                <w:szCs w:val="20"/>
              </w:rPr>
            </w:pPr>
            <w:r>
              <w:rPr>
                <w:noProof/>
                <w:color w:val="006100"/>
                <w:sz w:val="20"/>
              </w:rPr>
              <w:t>Kiidetakse heaks meetmed, mille eesmärk on vähendada avaliku halduse asutuste hilinenud makseid ettevõtetele</w:t>
            </w:r>
          </w:p>
        </w:tc>
      </w:tr>
      <w:tr w:rsidR="00A612E2" w:rsidRPr="00D90835" w14:paraId="77C0A2E2"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8444036" w14:textId="77777777" w:rsidR="00A612E2" w:rsidRPr="00246CC4" w:rsidRDefault="00A612E2" w:rsidP="00742B81">
            <w:pPr>
              <w:jc w:val="center"/>
              <w:rPr>
                <w:noProof/>
                <w:color w:val="006100"/>
                <w:sz w:val="20"/>
                <w:szCs w:val="20"/>
              </w:rPr>
            </w:pPr>
            <w:r>
              <w:rPr>
                <w:noProof/>
                <w:color w:val="006100"/>
                <w:sz w:val="20"/>
              </w:rPr>
              <w:t>M1C1-73</w:t>
            </w:r>
          </w:p>
        </w:tc>
        <w:tc>
          <w:tcPr>
            <w:tcW w:w="3118" w:type="dxa"/>
            <w:tcBorders>
              <w:top w:val="nil"/>
              <w:left w:val="nil"/>
              <w:bottom w:val="single" w:sz="4" w:space="0" w:color="auto"/>
              <w:right w:val="single" w:sz="4" w:space="0" w:color="auto"/>
            </w:tcBorders>
            <w:shd w:val="clear" w:color="auto" w:fill="C6EFCE"/>
            <w:noWrap/>
            <w:vAlign w:val="center"/>
          </w:tcPr>
          <w:p w14:paraId="5D6010F0" w14:textId="77777777" w:rsidR="00A612E2" w:rsidRPr="003B127D" w:rsidRDefault="00A612E2" w:rsidP="00742B81">
            <w:pPr>
              <w:rPr>
                <w:noProof/>
                <w:color w:val="006100"/>
                <w:sz w:val="20"/>
                <w:szCs w:val="20"/>
              </w:rPr>
            </w:pPr>
            <w:r>
              <w:rPr>
                <w:noProof/>
                <w:color w:val="006100"/>
                <w:sz w:val="20"/>
              </w:rPr>
              <w:t>Reform 1.10. Riigihangete õigusraamistiku reform</w:t>
            </w:r>
          </w:p>
        </w:tc>
        <w:tc>
          <w:tcPr>
            <w:tcW w:w="1418" w:type="dxa"/>
            <w:tcBorders>
              <w:top w:val="nil"/>
              <w:left w:val="nil"/>
              <w:bottom w:val="single" w:sz="4" w:space="0" w:color="auto"/>
              <w:right w:val="single" w:sz="4" w:space="0" w:color="auto"/>
            </w:tcBorders>
            <w:shd w:val="clear" w:color="auto" w:fill="C6EFCE"/>
            <w:noWrap/>
            <w:vAlign w:val="center"/>
          </w:tcPr>
          <w:p w14:paraId="49769F4E" w14:textId="77777777" w:rsidR="00A612E2" w:rsidRPr="00246CC4" w:rsidRDefault="00A612E2" w:rsidP="00742B81">
            <w:pPr>
              <w:rPr>
                <w:noProof/>
                <w:color w:val="006100"/>
                <w:sz w:val="20"/>
                <w:szCs w:val="20"/>
              </w:rPr>
            </w:pPr>
            <w:r>
              <w:rPr>
                <w:noProof/>
                <w:color w:val="006100"/>
                <w:sz w:val="20"/>
              </w:rPr>
              <w:t>Eesmärk</w:t>
            </w:r>
          </w:p>
        </w:tc>
        <w:tc>
          <w:tcPr>
            <w:tcW w:w="3755" w:type="dxa"/>
            <w:tcBorders>
              <w:top w:val="nil"/>
              <w:left w:val="nil"/>
              <w:bottom w:val="single" w:sz="4" w:space="0" w:color="auto"/>
              <w:right w:val="single" w:sz="4" w:space="0" w:color="auto"/>
            </w:tcBorders>
            <w:shd w:val="clear" w:color="auto" w:fill="C6EFCE"/>
            <w:noWrap/>
            <w:vAlign w:val="center"/>
          </w:tcPr>
          <w:p w14:paraId="66CA3E30" w14:textId="77777777" w:rsidR="00A612E2" w:rsidRPr="003B127D" w:rsidRDefault="00A612E2" w:rsidP="00742B81">
            <w:pPr>
              <w:rPr>
                <w:noProof/>
                <w:color w:val="006100"/>
                <w:sz w:val="20"/>
                <w:szCs w:val="20"/>
              </w:rPr>
            </w:pPr>
            <w:r>
              <w:rPr>
                <w:noProof/>
                <w:color w:val="006100"/>
                <w:sz w:val="20"/>
              </w:rPr>
              <w:t>Riigihankeseadustiku reformi jõustumine</w:t>
            </w:r>
          </w:p>
        </w:tc>
      </w:tr>
      <w:tr w:rsidR="00A612E2" w:rsidRPr="00D90835" w14:paraId="63C052F3"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435A413" w14:textId="77777777" w:rsidR="00A612E2" w:rsidRPr="00246CC4" w:rsidRDefault="00A612E2" w:rsidP="00742B81">
            <w:pPr>
              <w:jc w:val="center"/>
              <w:rPr>
                <w:noProof/>
                <w:color w:val="006100"/>
                <w:sz w:val="20"/>
                <w:szCs w:val="20"/>
              </w:rPr>
            </w:pPr>
            <w:r>
              <w:rPr>
                <w:noProof/>
                <w:color w:val="006100"/>
                <w:sz w:val="20"/>
              </w:rPr>
              <w:t>M2C2-14</w:t>
            </w:r>
          </w:p>
        </w:tc>
        <w:tc>
          <w:tcPr>
            <w:tcW w:w="3118" w:type="dxa"/>
            <w:tcBorders>
              <w:top w:val="nil"/>
              <w:left w:val="nil"/>
              <w:bottom w:val="single" w:sz="4" w:space="0" w:color="auto"/>
              <w:right w:val="single" w:sz="4" w:space="0" w:color="auto"/>
            </w:tcBorders>
            <w:shd w:val="clear" w:color="auto" w:fill="C6EFCE"/>
            <w:noWrap/>
            <w:vAlign w:val="center"/>
          </w:tcPr>
          <w:p w14:paraId="08E43D01" w14:textId="77777777" w:rsidR="00A612E2" w:rsidRPr="003B127D" w:rsidRDefault="00A612E2" w:rsidP="00742B81">
            <w:pPr>
              <w:rPr>
                <w:noProof/>
                <w:color w:val="006100"/>
                <w:sz w:val="20"/>
                <w:szCs w:val="20"/>
              </w:rPr>
            </w:pPr>
            <w:r>
              <w:rPr>
                <w:noProof/>
                <w:color w:val="006100"/>
                <w:sz w:val="20"/>
              </w:rPr>
              <w:t>Investeering 3.3. Vesinikukatsed maanteetranspordis</w:t>
            </w:r>
          </w:p>
        </w:tc>
        <w:tc>
          <w:tcPr>
            <w:tcW w:w="1418" w:type="dxa"/>
            <w:tcBorders>
              <w:top w:val="nil"/>
              <w:left w:val="nil"/>
              <w:bottom w:val="single" w:sz="4" w:space="0" w:color="auto"/>
              <w:right w:val="single" w:sz="4" w:space="0" w:color="auto"/>
            </w:tcBorders>
            <w:shd w:val="clear" w:color="auto" w:fill="C6EFCE"/>
            <w:noWrap/>
            <w:vAlign w:val="center"/>
          </w:tcPr>
          <w:p w14:paraId="37050982" w14:textId="77777777" w:rsidR="00A612E2" w:rsidRPr="00246CC4" w:rsidRDefault="00A612E2" w:rsidP="00742B81">
            <w:pPr>
              <w:rPr>
                <w:noProof/>
                <w:color w:val="006100"/>
                <w:sz w:val="20"/>
                <w:szCs w:val="20"/>
              </w:rPr>
            </w:pPr>
            <w:r>
              <w:rPr>
                <w:noProof/>
                <w:color w:val="006100"/>
                <w:sz w:val="20"/>
              </w:rPr>
              <w:t>Eesmärk</w:t>
            </w:r>
          </w:p>
        </w:tc>
        <w:tc>
          <w:tcPr>
            <w:tcW w:w="3755" w:type="dxa"/>
            <w:tcBorders>
              <w:top w:val="nil"/>
              <w:left w:val="nil"/>
              <w:bottom w:val="single" w:sz="4" w:space="0" w:color="auto"/>
              <w:right w:val="single" w:sz="4" w:space="0" w:color="auto"/>
            </w:tcBorders>
            <w:shd w:val="clear" w:color="auto" w:fill="C6EFCE"/>
            <w:noWrap/>
            <w:vAlign w:val="center"/>
          </w:tcPr>
          <w:p w14:paraId="574A9844" w14:textId="77777777" w:rsidR="00A612E2" w:rsidRPr="003B127D" w:rsidRDefault="00A612E2" w:rsidP="00742B81">
            <w:pPr>
              <w:rPr>
                <w:noProof/>
                <w:color w:val="006100"/>
                <w:sz w:val="20"/>
                <w:szCs w:val="20"/>
              </w:rPr>
            </w:pPr>
            <w:r>
              <w:rPr>
                <w:noProof/>
                <w:color w:val="006100"/>
                <w:sz w:val="20"/>
              </w:rPr>
              <w:t>(Kõikide) riigihankelepingute sõlmimine vesinikul põhinevate laadimisjaamade ehitamiseks</w:t>
            </w:r>
          </w:p>
        </w:tc>
      </w:tr>
      <w:tr w:rsidR="00A612E2" w:rsidRPr="00D90835" w14:paraId="5C2CE033"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43B23D8" w14:textId="77777777" w:rsidR="00A612E2" w:rsidRPr="00246CC4" w:rsidRDefault="00A612E2" w:rsidP="00742B81">
            <w:pPr>
              <w:jc w:val="center"/>
              <w:rPr>
                <w:noProof/>
                <w:color w:val="006100"/>
                <w:sz w:val="20"/>
                <w:szCs w:val="20"/>
              </w:rPr>
            </w:pPr>
            <w:r>
              <w:rPr>
                <w:noProof/>
                <w:color w:val="006100"/>
                <w:sz w:val="20"/>
              </w:rPr>
              <w:t>M2C2-16</w:t>
            </w:r>
          </w:p>
        </w:tc>
        <w:tc>
          <w:tcPr>
            <w:tcW w:w="3118" w:type="dxa"/>
            <w:tcBorders>
              <w:top w:val="nil"/>
              <w:left w:val="nil"/>
              <w:bottom w:val="single" w:sz="4" w:space="0" w:color="auto"/>
              <w:right w:val="single" w:sz="4" w:space="0" w:color="auto"/>
            </w:tcBorders>
            <w:shd w:val="clear" w:color="auto" w:fill="C6EFCE"/>
            <w:noWrap/>
            <w:vAlign w:val="center"/>
          </w:tcPr>
          <w:p w14:paraId="4BDB0111" w14:textId="77777777" w:rsidR="00A612E2" w:rsidRPr="003B127D" w:rsidRDefault="00A612E2" w:rsidP="00742B81">
            <w:pPr>
              <w:rPr>
                <w:noProof/>
                <w:color w:val="006100"/>
                <w:sz w:val="20"/>
                <w:szCs w:val="20"/>
              </w:rPr>
            </w:pPr>
            <w:r>
              <w:rPr>
                <w:noProof/>
                <w:color w:val="006100"/>
                <w:sz w:val="20"/>
              </w:rPr>
              <w:t>Investeering 3.4. Vesinikukatsed raudteetranspordi valdkonnas</w:t>
            </w:r>
          </w:p>
        </w:tc>
        <w:tc>
          <w:tcPr>
            <w:tcW w:w="1418" w:type="dxa"/>
            <w:tcBorders>
              <w:top w:val="nil"/>
              <w:left w:val="nil"/>
              <w:bottom w:val="single" w:sz="4" w:space="0" w:color="auto"/>
              <w:right w:val="single" w:sz="4" w:space="0" w:color="auto"/>
            </w:tcBorders>
            <w:shd w:val="clear" w:color="auto" w:fill="C6EFCE"/>
            <w:noWrap/>
            <w:vAlign w:val="center"/>
          </w:tcPr>
          <w:p w14:paraId="2BC4BCB9" w14:textId="77777777" w:rsidR="00A612E2" w:rsidRPr="00246CC4" w:rsidRDefault="00A612E2" w:rsidP="00742B81">
            <w:pPr>
              <w:rPr>
                <w:noProof/>
                <w:color w:val="006100"/>
                <w:sz w:val="20"/>
                <w:szCs w:val="20"/>
              </w:rPr>
            </w:pPr>
            <w:r>
              <w:rPr>
                <w:noProof/>
                <w:color w:val="006100"/>
                <w:sz w:val="20"/>
              </w:rPr>
              <w:t>Eesmärk</w:t>
            </w:r>
          </w:p>
        </w:tc>
        <w:tc>
          <w:tcPr>
            <w:tcW w:w="3755" w:type="dxa"/>
            <w:tcBorders>
              <w:top w:val="nil"/>
              <w:left w:val="nil"/>
              <w:bottom w:val="single" w:sz="4" w:space="0" w:color="auto"/>
              <w:right w:val="single" w:sz="4" w:space="0" w:color="auto"/>
            </w:tcBorders>
            <w:shd w:val="clear" w:color="auto" w:fill="C6EFCE"/>
            <w:noWrap/>
            <w:vAlign w:val="center"/>
          </w:tcPr>
          <w:p w14:paraId="3588CCFD" w14:textId="77777777" w:rsidR="00A612E2" w:rsidRPr="003B127D" w:rsidRDefault="00A612E2" w:rsidP="00742B81">
            <w:pPr>
              <w:rPr>
                <w:noProof/>
                <w:color w:val="006100"/>
                <w:sz w:val="20"/>
                <w:szCs w:val="20"/>
              </w:rPr>
            </w:pPr>
            <w:r>
              <w:rPr>
                <w:noProof/>
                <w:color w:val="006100"/>
                <w:sz w:val="20"/>
              </w:rPr>
              <w:t>Vahendite eraldamine vesiniku katsetamiseks raudteetranspordi valdkonnas</w:t>
            </w:r>
          </w:p>
        </w:tc>
      </w:tr>
      <w:tr w:rsidR="00A612E2" w:rsidRPr="00D90835" w14:paraId="2E1DAB32"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0A1D9A5" w14:textId="77777777" w:rsidR="00A612E2" w:rsidRPr="00246CC4" w:rsidRDefault="00A612E2" w:rsidP="00742B81">
            <w:pPr>
              <w:jc w:val="center"/>
              <w:rPr>
                <w:noProof/>
                <w:color w:val="006100"/>
                <w:sz w:val="20"/>
                <w:szCs w:val="20"/>
              </w:rPr>
            </w:pPr>
            <w:r>
              <w:rPr>
                <w:noProof/>
                <w:color w:val="006100"/>
                <w:sz w:val="20"/>
              </w:rPr>
              <w:t>M2C2-20</w:t>
            </w:r>
          </w:p>
        </w:tc>
        <w:tc>
          <w:tcPr>
            <w:tcW w:w="3118" w:type="dxa"/>
            <w:tcBorders>
              <w:top w:val="nil"/>
              <w:left w:val="nil"/>
              <w:bottom w:val="single" w:sz="4" w:space="0" w:color="auto"/>
              <w:right w:val="single" w:sz="4" w:space="0" w:color="auto"/>
            </w:tcBorders>
            <w:shd w:val="clear" w:color="auto" w:fill="C6EFCE"/>
            <w:noWrap/>
            <w:vAlign w:val="center"/>
          </w:tcPr>
          <w:p w14:paraId="1C2775F8" w14:textId="77777777" w:rsidR="00A612E2" w:rsidRPr="003B127D" w:rsidRDefault="00A612E2" w:rsidP="00742B81">
            <w:pPr>
              <w:rPr>
                <w:noProof/>
                <w:color w:val="006100"/>
                <w:sz w:val="20"/>
                <w:szCs w:val="20"/>
              </w:rPr>
            </w:pPr>
            <w:r>
              <w:rPr>
                <w:noProof/>
                <w:color w:val="006100"/>
                <w:sz w:val="20"/>
              </w:rPr>
              <w:t>Reform 3. Halduslik lihtsustamine ja regulatiivsete tõkete vähendamine vesiniku kasutuselevõtul</w:t>
            </w:r>
          </w:p>
        </w:tc>
        <w:tc>
          <w:tcPr>
            <w:tcW w:w="1418" w:type="dxa"/>
            <w:tcBorders>
              <w:top w:val="nil"/>
              <w:left w:val="nil"/>
              <w:bottom w:val="single" w:sz="4" w:space="0" w:color="auto"/>
              <w:right w:val="single" w:sz="4" w:space="0" w:color="auto"/>
            </w:tcBorders>
            <w:shd w:val="clear" w:color="auto" w:fill="C6EFCE"/>
            <w:noWrap/>
            <w:vAlign w:val="center"/>
          </w:tcPr>
          <w:p w14:paraId="30E57B91" w14:textId="77777777" w:rsidR="00A612E2" w:rsidRPr="00246CC4" w:rsidRDefault="00A612E2" w:rsidP="00742B81">
            <w:pPr>
              <w:rPr>
                <w:noProof/>
                <w:color w:val="006100"/>
                <w:sz w:val="20"/>
                <w:szCs w:val="20"/>
              </w:rPr>
            </w:pPr>
            <w:r>
              <w:rPr>
                <w:noProof/>
                <w:color w:val="006100"/>
                <w:sz w:val="20"/>
              </w:rPr>
              <w:t>Eesmärk</w:t>
            </w:r>
          </w:p>
        </w:tc>
        <w:tc>
          <w:tcPr>
            <w:tcW w:w="3755" w:type="dxa"/>
            <w:tcBorders>
              <w:top w:val="nil"/>
              <w:left w:val="nil"/>
              <w:bottom w:val="single" w:sz="4" w:space="0" w:color="auto"/>
              <w:right w:val="single" w:sz="4" w:space="0" w:color="auto"/>
            </w:tcBorders>
            <w:shd w:val="clear" w:color="auto" w:fill="C6EFCE"/>
            <w:noWrap/>
            <w:vAlign w:val="center"/>
          </w:tcPr>
          <w:p w14:paraId="6EC246A9" w14:textId="77777777" w:rsidR="00A612E2" w:rsidRPr="003B127D" w:rsidRDefault="00A612E2" w:rsidP="00742B81">
            <w:pPr>
              <w:rPr>
                <w:noProof/>
                <w:color w:val="006100"/>
                <w:sz w:val="20"/>
                <w:szCs w:val="20"/>
              </w:rPr>
            </w:pPr>
            <w:r>
              <w:rPr>
                <w:noProof/>
                <w:color w:val="006100"/>
                <w:sz w:val="20"/>
              </w:rPr>
              <w:t>Vajalike seadusandlike meetmete jõustumine</w:t>
            </w:r>
          </w:p>
        </w:tc>
      </w:tr>
      <w:tr w:rsidR="00A612E2" w:rsidRPr="00D90835" w14:paraId="48A266A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33D62EC" w14:textId="77777777" w:rsidR="00A612E2" w:rsidRPr="00246CC4" w:rsidRDefault="00A612E2" w:rsidP="00742B81">
            <w:pPr>
              <w:jc w:val="center"/>
              <w:rPr>
                <w:noProof/>
                <w:color w:val="006100"/>
                <w:sz w:val="20"/>
                <w:szCs w:val="20"/>
              </w:rPr>
            </w:pPr>
            <w:r>
              <w:rPr>
                <w:noProof/>
                <w:color w:val="006100"/>
                <w:sz w:val="20"/>
              </w:rPr>
              <w:t>M5C2-3</w:t>
            </w:r>
          </w:p>
        </w:tc>
        <w:tc>
          <w:tcPr>
            <w:tcW w:w="3118" w:type="dxa"/>
            <w:tcBorders>
              <w:top w:val="nil"/>
              <w:left w:val="nil"/>
              <w:bottom w:val="single" w:sz="4" w:space="0" w:color="auto"/>
              <w:right w:val="single" w:sz="4" w:space="0" w:color="auto"/>
            </w:tcBorders>
            <w:shd w:val="clear" w:color="auto" w:fill="C6EFCE"/>
            <w:noWrap/>
            <w:vAlign w:val="center"/>
          </w:tcPr>
          <w:p w14:paraId="2508D5B2" w14:textId="77777777" w:rsidR="00A612E2" w:rsidRPr="003B127D" w:rsidRDefault="00A612E2" w:rsidP="00742B81">
            <w:pPr>
              <w:rPr>
                <w:noProof/>
                <w:color w:val="006100"/>
                <w:sz w:val="20"/>
                <w:szCs w:val="20"/>
              </w:rPr>
            </w:pPr>
            <w:r>
              <w:rPr>
                <w:noProof/>
                <w:color w:val="006100"/>
                <w:sz w:val="20"/>
              </w:rPr>
              <w:t>Reform 2. Reform mittesõltuvate eakate jaoks</w:t>
            </w:r>
          </w:p>
        </w:tc>
        <w:tc>
          <w:tcPr>
            <w:tcW w:w="1418" w:type="dxa"/>
            <w:tcBorders>
              <w:top w:val="nil"/>
              <w:left w:val="nil"/>
              <w:bottom w:val="single" w:sz="4" w:space="0" w:color="auto"/>
              <w:right w:val="single" w:sz="4" w:space="0" w:color="auto"/>
            </w:tcBorders>
            <w:shd w:val="clear" w:color="auto" w:fill="C6EFCE"/>
            <w:noWrap/>
            <w:vAlign w:val="center"/>
          </w:tcPr>
          <w:p w14:paraId="5EFADEF6" w14:textId="77777777" w:rsidR="00A612E2" w:rsidRPr="00246CC4" w:rsidRDefault="00A612E2" w:rsidP="00742B81">
            <w:pPr>
              <w:rPr>
                <w:noProof/>
                <w:color w:val="006100"/>
                <w:sz w:val="20"/>
                <w:szCs w:val="20"/>
              </w:rPr>
            </w:pPr>
            <w:r>
              <w:rPr>
                <w:noProof/>
                <w:color w:val="006100"/>
                <w:sz w:val="20"/>
              </w:rPr>
              <w:t>Eesmärk</w:t>
            </w:r>
          </w:p>
        </w:tc>
        <w:tc>
          <w:tcPr>
            <w:tcW w:w="3755" w:type="dxa"/>
            <w:tcBorders>
              <w:top w:val="nil"/>
              <w:left w:val="nil"/>
              <w:bottom w:val="single" w:sz="4" w:space="0" w:color="auto"/>
              <w:right w:val="single" w:sz="4" w:space="0" w:color="auto"/>
            </w:tcBorders>
            <w:shd w:val="clear" w:color="auto" w:fill="C6EFCE"/>
            <w:noWrap/>
            <w:vAlign w:val="center"/>
          </w:tcPr>
          <w:p w14:paraId="59486047" w14:textId="77777777" w:rsidR="00A612E2" w:rsidRPr="003B127D" w:rsidRDefault="00A612E2" w:rsidP="00742B81">
            <w:pPr>
              <w:rPr>
                <w:noProof/>
                <w:color w:val="006100"/>
                <w:sz w:val="20"/>
                <w:szCs w:val="20"/>
              </w:rPr>
            </w:pPr>
            <w:r>
              <w:rPr>
                <w:noProof/>
                <w:color w:val="006100"/>
                <w:sz w:val="20"/>
              </w:rPr>
              <w:t>Jõustus raamseadus, millega tugevdatakse meetmeid, mis on suunatud mittesõltumatutele eakatele inimestele</w:t>
            </w:r>
          </w:p>
        </w:tc>
      </w:tr>
      <w:tr w:rsidR="00A612E2" w:rsidRPr="00D90835" w14:paraId="0E7AF8D5"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947D202" w14:textId="77777777" w:rsidR="00A612E2" w:rsidRPr="00246CC4" w:rsidRDefault="00A612E2" w:rsidP="00742B81">
            <w:pPr>
              <w:jc w:val="center"/>
              <w:rPr>
                <w:noProof/>
                <w:color w:val="006100"/>
                <w:sz w:val="20"/>
                <w:szCs w:val="20"/>
              </w:rPr>
            </w:pPr>
            <w:r>
              <w:rPr>
                <w:noProof/>
                <w:color w:val="006100"/>
                <w:sz w:val="20"/>
              </w:rPr>
              <w:t>M1C1-37</w:t>
            </w:r>
          </w:p>
        </w:tc>
        <w:tc>
          <w:tcPr>
            <w:tcW w:w="3118" w:type="dxa"/>
            <w:tcBorders>
              <w:top w:val="nil"/>
              <w:left w:val="nil"/>
              <w:bottom w:val="single" w:sz="4" w:space="0" w:color="auto"/>
              <w:right w:val="single" w:sz="4" w:space="0" w:color="auto"/>
            </w:tcBorders>
            <w:shd w:val="clear" w:color="auto" w:fill="C6EFCE"/>
            <w:noWrap/>
            <w:vAlign w:val="center"/>
          </w:tcPr>
          <w:p w14:paraId="73504DF2" w14:textId="77777777" w:rsidR="00A612E2" w:rsidRPr="003B127D" w:rsidRDefault="00A612E2" w:rsidP="00742B81">
            <w:pPr>
              <w:rPr>
                <w:noProof/>
                <w:color w:val="006100"/>
                <w:sz w:val="20"/>
                <w:szCs w:val="20"/>
              </w:rPr>
            </w:pPr>
            <w:r>
              <w:rPr>
                <w:noProof/>
                <w:color w:val="006100"/>
                <w:sz w:val="20"/>
              </w:rPr>
              <w:t>Reformid 1.4 ja 1.5. Tsiviil- ja kriminaalõiguse reform</w:t>
            </w:r>
          </w:p>
        </w:tc>
        <w:tc>
          <w:tcPr>
            <w:tcW w:w="1418" w:type="dxa"/>
            <w:tcBorders>
              <w:top w:val="nil"/>
              <w:left w:val="nil"/>
              <w:bottom w:val="single" w:sz="4" w:space="0" w:color="auto"/>
              <w:right w:val="single" w:sz="4" w:space="0" w:color="auto"/>
            </w:tcBorders>
            <w:shd w:val="clear" w:color="auto" w:fill="C6EFCE"/>
            <w:noWrap/>
            <w:vAlign w:val="center"/>
          </w:tcPr>
          <w:p w14:paraId="6ACB3818" w14:textId="77777777" w:rsidR="00A612E2" w:rsidRPr="00246CC4" w:rsidRDefault="00A612E2" w:rsidP="00742B81">
            <w:pPr>
              <w:rPr>
                <w:noProof/>
                <w:color w:val="006100"/>
                <w:sz w:val="20"/>
                <w:szCs w:val="20"/>
              </w:rPr>
            </w:pPr>
            <w:r>
              <w:rPr>
                <w:noProof/>
                <w:color w:val="006100"/>
                <w:sz w:val="20"/>
              </w:rPr>
              <w:t>Eesmärk</w:t>
            </w:r>
          </w:p>
        </w:tc>
        <w:tc>
          <w:tcPr>
            <w:tcW w:w="3755" w:type="dxa"/>
            <w:tcBorders>
              <w:top w:val="nil"/>
              <w:left w:val="nil"/>
              <w:bottom w:val="single" w:sz="4" w:space="0" w:color="auto"/>
              <w:right w:val="single" w:sz="4" w:space="0" w:color="auto"/>
            </w:tcBorders>
            <w:shd w:val="clear" w:color="auto" w:fill="C6EFCE"/>
            <w:noWrap/>
            <w:vAlign w:val="center"/>
          </w:tcPr>
          <w:p w14:paraId="1133E23D" w14:textId="77777777" w:rsidR="00A612E2" w:rsidRPr="003B127D" w:rsidRDefault="00A612E2" w:rsidP="00742B81">
            <w:pPr>
              <w:rPr>
                <w:noProof/>
                <w:color w:val="006100"/>
                <w:sz w:val="20"/>
                <w:szCs w:val="20"/>
              </w:rPr>
            </w:pPr>
            <w:r>
              <w:rPr>
                <w:noProof/>
                <w:color w:val="006100"/>
                <w:sz w:val="20"/>
              </w:rPr>
              <w:t>Tsiviil- ja kriminaalõiguse reformi jõustumine</w:t>
            </w:r>
          </w:p>
        </w:tc>
      </w:tr>
      <w:tr w:rsidR="00A612E2" w:rsidRPr="00D90835" w14:paraId="54C473ED"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EA8BF79" w14:textId="77777777" w:rsidR="00A612E2" w:rsidRPr="00246CC4" w:rsidRDefault="00A612E2" w:rsidP="00742B81">
            <w:pPr>
              <w:jc w:val="center"/>
              <w:rPr>
                <w:noProof/>
                <w:color w:val="006100"/>
                <w:sz w:val="20"/>
                <w:szCs w:val="20"/>
              </w:rPr>
            </w:pPr>
            <w:r>
              <w:rPr>
                <w:noProof/>
                <w:color w:val="006100"/>
                <w:sz w:val="20"/>
              </w:rPr>
              <w:t>M1C1-58</w:t>
            </w:r>
          </w:p>
        </w:tc>
        <w:tc>
          <w:tcPr>
            <w:tcW w:w="3118" w:type="dxa"/>
            <w:tcBorders>
              <w:top w:val="nil"/>
              <w:left w:val="nil"/>
              <w:bottom w:val="single" w:sz="4" w:space="0" w:color="auto"/>
              <w:right w:val="single" w:sz="4" w:space="0" w:color="auto"/>
            </w:tcBorders>
            <w:shd w:val="clear" w:color="auto" w:fill="C6EFCE"/>
            <w:noWrap/>
            <w:vAlign w:val="center"/>
          </w:tcPr>
          <w:p w14:paraId="4AC6525C" w14:textId="77777777" w:rsidR="00A612E2" w:rsidRPr="003B127D" w:rsidRDefault="00A612E2" w:rsidP="00742B81">
            <w:pPr>
              <w:rPr>
                <w:noProof/>
                <w:color w:val="006100"/>
                <w:sz w:val="20"/>
                <w:szCs w:val="20"/>
              </w:rPr>
            </w:pPr>
            <w:r>
              <w:rPr>
                <w:noProof/>
                <w:color w:val="006100"/>
                <w:sz w:val="20"/>
              </w:rPr>
              <w:t>Reform 1.9. Avaliku halduse reform</w:t>
            </w:r>
          </w:p>
        </w:tc>
        <w:tc>
          <w:tcPr>
            <w:tcW w:w="1418" w:type="dxa"/>
            <w:tcBorders>
              <w:top w:val="nil"/>
              <w:left w:val="nil"/>
              <w:bottom w:val="single" w:sz="4" w:space="0" w:color="auto"/>
              <w:right w:val="single" w:sz="4" w:space="0" w:color="auto"/>
            </w:tcBorders>
            <w:shd w:val="clear" w:color="auto" w:fill="C6EFCE"/>
            <w:noWrap/>
            <w:vAlign w:val="center"/>
          </w:tcPr>
          <w:p w14:paraId="35525F40" w14:textId="77777777" w:rsidR="00A612E2" w:rsidRPr="00246CC4" w:rsidRDefault="00A612E2" w:rsidP="00742B81">
            <w:pPr>
              <w:rPr>
                <w:noProof/>
                <w:color w:val="006100"/>
                <w:sz w:val="20"/>
                <w:szCs w:val="20"/>
              </w:rPr>
            </w:pPr>
            <w:r>
              <w:rPr>
                <w:noProof/>
                <w:color w:val="006100"/>
                <w:sz w:val="20"/>
              </w:rPr>
              <w:t>Eesmärk</w:t>
            </w:r>
          </w:p>
        </w:tc>
        <w:tc>
          <w:tcPr>
            <w:tcW w:w="3755" w:type="dxa"/>
            <w:tcBorders>
              <w:top w:val="nil"/>
              <w:left w:val="nil"/>
              <w:bottom w:val="single" w:sz="4" w:space="0" w:color="auto"/>
              <w:right w:val="single" w:sz="4" w:space="0" w:color="auto"/>
            </w:tcBorders>
            <w:shd w:val="clear" w:color="auto" w:fill="C6EFCE"/>
            <w:noWrap/>
            <w:vAlign w:val="center"/>
          </w:tcPr>
          <w:p w14:paraId="341CED32" w14:textId="77777777" w:rsidR="00A612E2" w:rsidRPr="003B127D" w:rsidRDefault="00A612E2" w:rsidP="00742B81">
            <w:pPr>
              <w:rPr>
                <w:noProof/>
                <w:color w:val="006100"/>
                <w:sz w:val="20"/>
                <w:szCs w:val="20"/>
              </w:rPr>
            </w:pPr>
            <w:r>
              <w:rPr>
                <w:noProof/>
                <w:color w:val="006100"/>
                <w:sz w:val="20"/>
              </w:rPr>
              <w:t>Avaliku sektori tööhõive reformi käsitlevate õigusaktide jõustumine</w:t>
            </w:r>
          </w:p>
        </w:tc>
      </w:tr>
      <w:tr w:rsidR="00A612E2" w:rsidRPr="00D90835" w14:paraId="31778048"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FA01FFF" w14:textId="77777777" w:rsidR="00A612E2" w:rsidRPr="00246CC4" w:rsidRDefault="00A612E2" w:rsidP="00742B81">
            <w:pPr>
              <w:jc w:val="center"/>
              <w:rPr>
                <w:noProof/>
                <w:color w:val="006100"/>
                <w:sz w:val="20"/>
                <w:szCs w:val="20"/>
              </w:rPr>
            </w:pPr>
            <w:r>
              <w:rPr>
                <w:noProof/>
                <w:color w:val="006100"/>
                <w:sz w:val="20"/>
              </w:rPr>
              <w:t>M1C1-74</w:t>
            </w:r>
          </w:p>
        </w:tc>
        <w:tc>
          <w:tcPr>
            <w:tcW w:w="3118" w:type="dxa"/>
            <w:tcBorders>
              <w:top w:val="nil"/>
              <w:left w:val="nil"/>
              <w:bottom w:val="single" w:sz="4" w:space="0" w:color="auto"/>
              <w:right w:val="single" w:sz="4" w:space="0" w:color="auto"/>
            </w:tcBorders>
            <w:shd w:val="clear" w:color="auto" w:fill="C6EFCE"/>
            <w:noWrap/>
            <w:vAlign w:val="center"/>
          </w:tcPr>
          <w:p w14:paraId="0CF82566" w14:textId="77777777" w:rsidR="00A612E2" w:rsidRPr="003B127D" w:rsidRDefault="00A612E2" w:rsidP="00742B81">
            <w:pPr>
              <w:rPr>
                <w:noProof/>
                <w:color w:val="006100"/>
                <w:sz w:val="20"/>
                <w:szCs w:val="20"/>
              </w:rPr>
            </w:pPr>
            <w:r>
              <w:rPr>
                <w:noProof/>
                <w:color w:val="006100"/>
                <w:sz w:val="20"/>
              </w:rPr>
              <w:t>Reform 1.10. Riigihangete õigusraamistiku reform</w:t>
            </w:r>
          </w:p>
        </w:tc>
        <w:tc>
          <w:tcPr>
            <w:tcW w:w="1418" w:type="dxa"/>
            <w:tcBorders>
              <w:top w:val="nil"/>
              <w:left w:val="nil"/>
              <w:bottom w:val="single" w:sz="4" w:space="0" w:color="auto"/>
              <w:right w:val="single" w:sz="4" w:space="0" w:color="auto"/>
            </w:tcBorders>
            <w:shd w:val="clear" w:color="auto" w:fill="C6EFCE"/>
            <w:noWrap/>
            <w:vAlign w:val="center"/>
          </w:tcPr>
          <w:p w14:paraId="26BF7088" w14:textId="77777777" w:rsidR="00A612E2" w:rsidRPr="00246CC4" w:rsidRDefault="00A612E2" w:rsidP="00742B81">
            <w:pPr>
              <w:rPr>
                <w:noProof/>
                <w:color w:val="006100"/>
                <w:sz w:val="20"/>
                <w:szCs w:val="20"/>
              </w:rPr>
            </w:pPr>
            <w:r>
              <w:rPr>
                <w:noProof/>
                <w:color w:val="006100"/>
                <w:sz w:val="20"/>
              </w:rPr>
              <w:t>Eesmärk</w:t>
            </w:r>
          </w:p>
        </w:tc>
        <w:tc>
          <w:tcPr>
            <w:tcW w:w="3755" w:type="dxa"/>
            <w:tcBorders>
              <w:top w:val="nil"/>
              <w:left w:val="nil"/>
              <w:bottom w:val="single" w:sz="4" w:space="0" w:color="auto"/>
              <w:right w:val="single" w:sz="4" w:space="0" w:color="auto"/>
            </w:tcBorders>
            <w:shd w:val="clear" w:color="auto" w:fill="C6EFCE"/>
            <w:noWrap/>
            <w:vAlign w:val="center"/>
          </w:tcPr>
          <w:p w14:paraId="194CC6E8" w14:textId="77777777" w:rsidR="00A612E2" w:rsidRPr="003B127D" w:rsidRDefault="00A612E2" w:rsidP="00742B81">
            <w:pPr>
              <w:rPr>
                <w:noProof/>
                <w:color w:val="006100"/>
                <w:sz w:val="20"/>
                <w:szCs w:val="20"/>
              </w:rPr>
            </w:pPr>
            <w:r>
              <w:rPr>
                <w:noProof/>
                <w:color w:val="006100"/>
                <w:sz w:val="20"/>
              </w:rPr>
              <w:t>Kõigi riigihankeseadustiku lihtsustamise reformiks vajalike rakendusmeetmete ja teiseste õigusaktide jõustumine</w:t>
            </w:r>
          </w:p>
        </w:tc>
      </w:tr>
      <w:tr w:rsidR="00A612E2" w:rsidRPr="00D90835" w14:paraId="60E4267C"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081275E" w14:textId="77777777" w:rsidR="00A612E2" w:rsidRPr="00246CC4" w:rsidRDefault="00A612E2" w:rsidP="00742B81">
            <w:pPr>
              <w:jc w:val="center"/>
              <w:rPr>
                <w:noProof/>
                <w:color w:val="006100"/>
                <w:sz w:val="20"/>
                <w:szCs w:val="20"/>
              </w:rPr>
            </w:pPr>
            <w:r>
              <w:rPr>
                <w:noProof/>
                <w:color w:val="006100"/>
                <w:sz w:val="20"/>
              </w:rPr>
              <w:t>M1C1-109</w:t>
            </w:r>
          </w:p>
        </w:tc>
        <w:tc>
          <w:tcPr>
            <w:tcW w:w="3118" w:type="dxa"/>
            <w:tcBorders>
              <w:top w:val="nil"/>
              <w:left w:val="nil"/>
              <w:bottom w:val="single" w:sz="4" w:space="0" w:color="auto"/>
              <w:right w:val="single" w:sz="4" w:space="0" w:color="auto"/>
            </w:tcBorders>
            <w:shd w:val="clear" w:color="auto" w:fill="C6EFCE"/>
            <w:noWrap/>
            <w:vAlign w:val="center"/>
          </w:tcPr>
          <w:p w14:paraId="05D0197E" w14:textId="77777777" w:rsidR="00A612E2" w:rsidRPr="003B127D" w:rsidRDefault="00A612E2" w:rsidP="00742B81">
            <w:pPr>
              <w:rPr>
                <w:noProof/>
                <w:color w:val="006100"/>
                <w:sz w:val="20"/>
                <w:szCs w:val="20"/>
              </w:rPr>
            </w:pPr>
            <w:r>
              <w:rPr>
                <w:noProof/>
                <w:color w:val="006100"/>
                <w:sz w:val="20"/>
              </w:rPr>
              <w:t>Reform 1.12. Maksuhalduse reform</w:t>
            </w:r>
          </w:p>
        </w:tc>
        <w:tc>
          <w:tcPr>
            <w:tcW w:w="1418" w:type="dxa"/>
            <w:tcBorders>
              <w:top w:val="nil"/>
              <w:left w:val="nil"/>
              <w:bottom w:val="single" w:sz="4" w:space="0" w:color="auto"/>
              <w:right w:val="single" w:sz="4" w:space="0" w:color="auto"/>
            </w:tcBorders>
            <w:shd w:val="clear" w:color="auto" w:fill="C6EFCE"/>
            <w:noWrap/>
            <w:vAlign w:val="center"/>
          </w:tcPr>
          <w:p w14:paraId="1B6EB02C" w14:textId="77777777" w:rsidR="00A612E2" w:rsidRPr="00246CC4" w:rsidRDefault="00A612E2" w:rsidP="00742B81">
            <w:pPr>
              <w:rPr>
                <w:noProof/>
                <w:color w:val="006100"/>
                <w:sz w:val="20"/>
                <w:szCs w:val="20"/>
              </w:rPr>
            </w:pPr>
            <w:r>
              <w:rPr>
                <w:noProof/>
                <w:color w:val="006100"/>
                <w:sz w:val="20"/>
              </w:rPr>
              <w:t>Siht</w:t>
            </w:r>
          </w:p>
        </w:tc>
        <w:tc>
          <w:tcPr>
            <w:tcW w:w="3755" w:type="dxa"/>
            <w:tcBorders>
              <w:top w:val="nil"/>
              <w:left w:val="nil"/>
              <w:bottom w:val="single" w:sz="4" w:space="0" w:color="auto"/>
              <w:right w:val="single" w:sz="4" w:space="0" w:color="auto"/>
            </w:tcBorders>
            <w:shd w:val="clear" w:color="auto" w:fill="C6EFCE"/>
            <w:noWrap/>
            <w:vAlign w:val="center"/>
          </w:tcPr>
          <w:p w14:paraId="006940B6" w14:textId="77777777" w:rsidR="00A612E2" w:rsidRPr="003B127D" w:rsidRDefault="00A612E2" w:rsidP="00742B81">
            <w:pPr>
              <w:rPr>
                <w:noProof/>
                <w:color w:val="006100"/>
                <w:sz w:val="20"/>
                <w:szCs w:val="20"/>
              </w:rPr>
            </w:pPr>
            <w:r>
              <w:rPr>
                <w:noProof/>
                <w:color w:val="006100"/>
                <w:sz w:val="20"/>
              </w:rPr>
              <w:t>Esimese eelnevalt kokkupandud käibemaksudeklaratsiooni saatmine</w:t>
            </w:r>
          </w:p>
        </w:tc>
      </w:tr>
      <w:tr w:rsidR="00A612E2" w:rsidRPr="00D90835" w14:paraId="43A34862"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BA54EDF" w14:textId="77777777" w:rsidR="00A612E2" w:rsidRPr="00246CC4" w:rsidRDefault="00A612E2" w:rsidP="00742B81">
            <w:pPr>
              <w:jc w:val="center"/>
              <w:rPr>
                <w:noProof/>
                <w:color w:val="006100"/>
                <w:sz w:val="20"/>
                <w:szCs w:val="20"/>
              </w:rPr>
            </w:pPr>
            <w:r>
              <w:rPr>
                <w:noProof/>
                <w:color w:val="006100"/>
                <w:sz w:val="20"/>
              </w:rPr>
              <w:t>M2C2-27</w:t>
            </w:r>
          </w:p>
        </w:tc>
        <w:tc>
          <w:tcPr>
            <w:tcW w:w="3118" w:type="dxa"/>
            <w:tcBorders>
              <w:top w:val="nil"/>
              <w:left w:val="nil"/>
              <w:bottom w:val="single" w:sz="4" w:space="0" w:color="auto"/>
              <w:right w:val="single" w:sz="4" w:space="0" w:color="auto"/>
            </w:tcBorders>
            <w:shd w:val="clear" w:color="auto" w:fill="C6EFCE"/>
            <w:noWrap/>
            <w:vAlign w:val="center"/>
          </w:tcPr>
          <w:p w14:paraId="7FCF917B" w14:textId="77777777" w:rsidR="00A612E2" w:rsidRPr="003B127D" w:rsidRDefault="00A612E2" w:rsidP="00742B81">
            <w:pPr>
              <w:rPr>
                <w:noProof/>
                <w:color w:val="006100"/>
                <w:sz w:val="20"/>
                <w:szCs w:val="20"/>
              </w:rPr>
            </w:pPr>
            <w:r>
              <w:rPr>
                <w:noProof/>
                <w:color w:val="006100"/>
                <w:sz w:val="20"/>
              </w:rPr>
              <w:t>Investeering 4.3. Laadimistaristu paigaldamine</w:t>
            </w:r>
          </w:p>
        </w:tc>
        <w:tc>
          <w:tcPr>
            <w:tcW w:w="1418" w:type="dxa"/>
            <w:tcBorders>
              <w:top w:val="nil"/>
              <w:left w:val="nil"/>
              <w:bottom w:val="single" w:sz="4" w:space="0" w:color="auto"/>
              <w:right w:val="single" w:sz="4" w:space="0" w:color="auto"/>
            </w:tcBorders>
            <w:shd w:val="clear" w:color="auto" w:fill="C6EFCE"/>
            <w:noWrap/>
            <w:vAlign w:val="center"/>
          </w:tcPr>
          <w:p w14:paraId="590D1F08" w14:textId="77777777" w:rsidR="00A612E2" w:rsidRPr="00246CC4" w:rsidRDefault="00A612E2" w:rsidP="00742B81">
            <w:pPr>
              <w:rPr>
                <w:noProof/>
                <w:color w:val="006100"/>
                <w:sz w:val="20"/>
                <w:szCs w:val="20"/>
              </w:rPr>
            </w:pPr>
            <w:r>
              <w:rPr>
                <w:noProof/>
                <w:color w:val="006100"/>
                <w:sz w:val="20"/>
              </w:rPr>
              <w:t>Eesmärk</w:t>
            </w:r>
          </w:p>
        </w:tc>
        <w:tc>
          <w:tcPr>
            <w:tcW w:w="3755" w:type="dxa"/>
            <w:tcBorders>
              <w:top w:val="nil"/>
              <w:left w:val="nil"/>
              <w:bottom w:val="single" w:sz="4" w:space="0" w:color="auto"/>
              <w:right w:val="single" w:sz="4" w:space="0" w:color="auto"/>
            </w:tcBorders>
            <w:shd w:val="clear" w:color="auto" w:fill="C6EFCE"/>
            <w:noWrap/>
            <w:vAlign w:val="center"/>
          </w:tcPr>
          <w:p w14:paraId="676C5FC7" w14:textId="77777777" w:rsidR="00A612E2" w:rsidRPr="003B127D" w:rsidRDefault="00A612E2" w:rsidP="00742B81">
            <w:pPr>
              <w:rPr>
                <w:noProof/>
                <w:color w:val="006100"/>
                <w:sz w:val="20"/>
                <w:szCs w:val="20"/>
              </w:rPr>
            </w:pPr>
            <w:r>
              <w:rPr>
                <w:noProof/>
                <w:color w:val="006100"/>
                <w:sz w:val="20"/>
              </w:rPr>
              <w:t>Kõigi riigihankelepingute sõlmimine laadimistaristute paigaldamiseks M1</w:t>
            </w:r>
          </w:p>
        </w:tc>
      </w:tr>
      <w:tr w:rsidR="00A612E2" w:rsidRPr="00D90835" w14:paraId="4BC5A2F4"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A1CB170" w14:textId="77777777" w:rsidR="00A612E2" w:rsidRPr="00246CC4" w:rsidRDefault="00A612E2" w:rsidP="00742B81">
            <w:pPr>
              <w:jc w:val="center"/>
              <w:rPr>
                <w:noProof/>
                <w:color w:val="006100"/>
                <w:sz w:val="20"/>
                <w:szCs w:val="20"/>
              </w:rPr>
            </w:pPr>
            <w:r>
              <w:rPr>
                <w:noProof/>
                <w:color w:val="006100"/>
                <w:sz w:val="20"/>
              </w:rPr>
              <w:t>M2C2-33</w:t>
            </w:r>
          </w:p>
        </w:tc>
        <w:tc>
          <w:tcPr>
            <w:tcW w:w="3118" w:type="dxa"/>
            <w:tcBorders>
              <w:top w:val="nil"/>
              <w:left w:val="nil"/>
              <w:bottom w:val="single" w:sz="4" w:space="0" w:color="auto"/>
              <w:right w:val="single" w:sz="4" w:space="0" w:color="auto"/>
            </w:tcBorders>
            <w:shd w:val="clear" w:color="auto" w:fill="C6EFCE"/>
            <w:noWrap/>
            <w:vAlign w:val="center"/>
          </w:tcPr>
          <w:p w14:paraId="69D00DB8" w14:textId="77777777" w:rsidR="00A612E2" w:rsidRPr="00246CC4" w:rsidRDefault="00A612E2" w:rsidP="00742B81">
            <w:pPr>
              <w:rPr>
                <w:noProof/>
                <w:color w:val="006100"/>
                <w:sz w:val="20"/>
                <w:szCs w:val="20"/>
              </w:rPr>
            </w:pPr>
            <w:r>
              <w:rPr>
                <w:noProof/>
                <w:color w:val="006100"/>
                <w:sz w:val="20"/>
              </w:rPr>
              <w:t xml:space="preserve">Investeering 4.4.2. </w:t>
            </w:r>
            <w:r>
              <w:rPr>
                <w:rStyle w:val="font71"/>
                <w:noProof/>
              </w:rPr>
              <w:t xml:space="preserve"> </w:t>
            </w:r>
            <w:r>
              <w:rPr>
                <w:rStyle w:val="font81"/>
                <w:noProof/>
              </w:rPr>
              <w:t>Heitevabade rongide ja universaalteenusega piirkondliku ühistranspordi raudteepargi tugevdamine</w:t>
            </w:r>
          </w:p>
        </w:tc>
        <w:tc>
          <w:tcPr>
            <w:tcW w:w="1418" w:type="dxa"/>
            <w:tcBorders>
              <w:top w:val="nil"/>
              <w:left w:val="nil"/>
              <w:bottom w:val="single" w:sz="4" w:space="0" w:color="auto"/>
              <w:right w:val="single" w:sz="4" w:space="0" w:color="auto"/>
            </w:tcBorders>
            <w:shd w:val="clear" w:color="auto" w:fill="C6EFCE"/>
            <w:noWrap/>
            <w:vAlign w:val="center"/>
          </w:tcPr>
          <w:p w14:paraId="6DAB4B98" w14:textId="77777777" w:rsidR="00A612E2" w:rsidRPr="00246CC4" w:rsidRDefault="00A612E2" w:rsidP="00742B81">
            <w:pPr>
              <w:rPr>
                <w:noProof/>
                <w:color w:val="006600"/>
                <w:sz w:val="20"/>
                <w:szCs w:val="20"/>
              </w:rPr>
            </w:pPr>
            <w:r>
              <w:rPr>
                <w:noProof/>
                <w:color w:val="006100"/>
                <w:sz w:val="20"/>
              </w:rPr>
              <w:t>Eesmärk</w:t>
            </w:r>
          </w:p>
        </w:tc>
        <w:tc>
          <w:tcPr>
            <w:tcW w:w="3755" w:type="dxa"/>
            <w:tcBorders>
              <w:top w:val="nil"/>
              <w:left w:val="nil"/>
              <w:bottom w:val="single" w:sz="4" w:space="0" w:color="auto"/>
              <w:right w:val="single" w:sz="4" w:space="0" w:color="auto"/>
            </w:tcBorders>
            <w:shd w:val="clear" w:color="auto" w:fill="C6EFCE"/>
            <w:noWrap/>
            <w:vAlign w:val="center"/>
          </w:tcPr>
          <w:p w14:paraId="5F7FFACE" w14:textId="77777777" w:rsidR="00A612E2" w:rsidRPr="00246CC4" w:rsidRDefault="00A612E2" w:rsidP="00742B81">
            <w:pPr>
              <w:rPr>
                <w:noProof/>
                <w:color w:val="006600"/>
                <w:sz w:val="20"/>
                <w:szCs w:val="20"/>
              </w:rPr>
            </w:pPr>
            <w:r>
              <w:rPr>
                <w:noProof/>
                <w:color w:val="006100"/>
                <w:sz w:val="20"/>
              </w:rPr>
              <w:t>Kõigi riigihankelepingute sõlmimine piirkondliku ühistranspordisüsteemi tugevdamiseks heitevabade rongide ja universaalteenusega</w:t>
            </w:r>
          </w:p>
        </w:tc>
      </w:tr>
      <w:tr w:rsidR="00A612E2" w:rsidRPr="00246CC4" w14:paraId="535D7AB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809369D" w14:textId="77777777" w:rsidR="00A612E2" w:rsidRPr="00246CC4" w:rsidRDefault="00A612E2" w:rsidP="00742B81">
            <w:pPr>
              <w:jc w:val="center"/>
              <w:rPr>
                <w:noProof/>
                <w:color w:val="006100"/>
                <w:sz w:val="20"/>
                <w:szCs w:val="20"/>
              </w:rPr>
            </w:pPr>
            <w:r>
              <w:rPr>
                <w:noProof/>
                <w:color w:val="006100"/>
                <w:sz w:val="20"/>
              </w:rPr>
              <w:t>M2C3-2</w:t>
            </w:r>
          </w:p>
        </w:tc>
        <w:tc>
          <w:tcPr>
            <w:tcW w:w="3118" w:type="dxa"/>
            <w:tcBorders>
              <w:top w:val="nil"/>
              <w:left w:val="nil"/>
              <w:bottom w:val="single" w:sz="4" w:space="0" w:color="auto"/>
              <w:right w:val="single" w:sz="4" w:space="0" w:color="auto"/>
            </w:tcBorders>
            <w:shd w:val="clear" w:color="auto" w:fill="C6EFCE"/>
            <w:noWrap/>
            <w:vAlign w:val="center"/>
          </w:tcPr>
          <w:p w14:paraId="14812C49" w14:textId="77777777" w:rsidR="00A612E2" w:rsidRPr="00246CC4" w:rsidRDefault="00A612E2" w:rsidP="00742B81">
            <w:pPr>
              <w:rPr>
                <w:noProof/>
                <w:color w:val="006100"/>
                <w:sz w:val="20"/>
                <w:szCs w:val="20"/>
              </w:rPr>
            </w:pPr>
            <w:r>
              <w:rPr>
                <w:noProof/>
                <w:color w:val="006100"/>
                <w:sz w:val="20"/>
              </w:rPr>
              <w:t xml:space="preserve">Investeering 2.1. Energiatõhususe ökoboonuse tugevdamine </w:t>
            </w:r>
          </w:p>
        </w:tc>
        <w:tc>
          <w:tcPr>
            <w:tcW w:w="1418" w:type="dxa"/>
            <w:tcBorders>
              <w:top w:val="nil"/>
              <w:left w:val="nil"/>
              <w:bottom w:val="single" w:sz="4" w:space="0" w:color="auto"/>
              <w:right w:val="single" w:sz="4" w:space="0" w:color="auto"/>
            </w:tcBorders>
            <w:shd w:val="clear" w:color="auto" w:fill="C6EFCE"/>
            <w:noWrap/>
            <w:vAlign w:val="center"/>
          </w:tcPr>
          <w:p w14:paraId="3A8C9AC0" w14:textId="77777777" w:rsidR="00A612E2" w:rsidRPr="00246CC4" w:rsidRDefault="00A612E2" w:rsidP="00742B81">
            <w:pPr>
              <w:rPr>
                <w:noProof/>
                <w:color w:val="006600"/>
                <w:sz w:val="20"/>
                <w:szCs w:val="20"/>
              </w:rPr>
            </w:pPr>
            <w:r>
              <w:rPr>
                <w:noProof/>
                <w:color w:val="006100"/>
                <w:sz w:val="20"/>
              </w:rPr>
              <w:t>Siht</w:t>
            </w:r>
          </w:p>
        </w:tc>
        <w:tc>
          <w:tcPr>
            <w:tcW w:w="3755" w:type="dxa"/>
            <w:tcBorders>
              <w:top w:val="nil"/>
              <w:left w:val="nil"/>
              <w:bottom w:val="single" w:sz="4" w:space="0" w:color="auto"/>
              <w:right w:val="single" w:sz="4" w:space="0" w:color="auto"/>
            </w:tcBorders>
            <w:shd w:val="clear" w:color="auto" w:fill="C6EFCE"/>
            <w:noWrap/>
            <w:vAlign w:val="center"/>
          </w:tcPr>
          <w:p w14:paraId="3F19945D" w14:textId="77777777" w:rsidR="00A612E2" w:rsidRPr="00246CC4" w:rsidRDefault="00A612E2" w:rsidP="00742B81">
            <w:pPr>
              <w:rPr>
                <w:noProof/>
                <w:color w:val="006600"/>
                <w:sz w:val="20"/>
                <w:szCs w:val="20"/>
              </w:rPr>
            </w:pPr>
            <w:r>
              <w:rPr>
                <w:noProof/>
                <w:color w:val="006100"/>
                <w:sz w:val="20"/>
              </w:rPr>
              <w:t>Hoonete renoveerimine Superbonus T1</w:t>
            </w:r>
          </w:p>
        </w:tc>
      </w:tr>
      <w:tr w:rsidR="00A612E2" w:rsidRPr="00D90835" w14:paraId="5D0FB5B5"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43AA563" w14:textId="77777777" w:rsidR="00A612E2" w:rsidRPr="00246CC4" w:rsidRDefault="00A612E2" w:rsidP="00742B81">
            <w:pPr>
              <w:jc w:val="center"/>
              <w:rPr>
                <w:noProof/>
                <w:color w:val="006100"/>
                <w:sz w:val="20"/>
                <w:szCs w:val="20"/>
              </w:rPr>
            </w:pPr>
            <w:r>
              <w:rPr>
                <w:noProof/>
                <w:color w:val="006100"/>
                <w:sz w:val="20"/>
              </w:rPr>
              <w:t>M4C1-9</w:t>
            </w:r>
          </w:p>
        </w:tc>
        <w:tc>
          <w:tcPr>
            <w:tcW w:w="3118" w:type="dxa"/>
            <w:tcBorders>
              <w:top w:val="nil"/>
              <w:left w:val="nil"/>
              <w:bottom w:val="single" w:sz="4" w:space="0" w:color="auto"/>
              <w:right w:val="single" w:sz="4" w:space="0" w:color="auto"/>
            </w:tcBorders>
            <w:shd w:val="clear" w:color="auto" w:fill="C6EFCE"/>
            <w:noWrap/>
            <w:vAlign w:val="center"/>
          </w:tcPr>
          <w:p w14:paraId="18E7A30E" w14:textId="77777777" w:rsidR="00A612E2" w:rsidRPr="00246CC4" w:rsidRDefault="00A612E2" w:rsidP="00742B81">
            <w:pPr>
              <w:rPr>
                <w:noProof/>
                <w:color w:val="006100"/>
                <w:sz w:val="20"/>
                <w:szCs w:val="20"/>
              </w:rPr>
            </w:pPr>
            <w:r>
              <w:rPr>
                <w:noProof/>
                <w:color w:val="006100"/>
                <w:sz w:val="20"/>
              </w:rPr>
              <w:t>Investeering 1.1. Lasteaedu, eelkoole ning alusharidust ja lastehoiuteenuseid käsitlev kava</w:t>
            </w:r>
          </w:p>
        </w:tc>
        <w:tc>
          <w:tcPr>
            <w:tcW w:w="1418" w:type="dxa"/>
            <w:tcBorders>
              <w:top w:val="nil"/>
              <w:left w:val="nil"/>
              <w:bottom w:val="single" w:sz="4" w:space="0" w:color="auto"/>
              <w:right w:val="single" w:sz="4" w:space="0" w:color="auto"/>
            </w:tcBorders>
            <w:shd w:val="clear" w:color="auto" w:fill="C6EFCE"/>
            <w:noWrap/>
            <w:vAlign w:val="center"/>
          </w:tcPr>
          <w:p w14:paraId="09670CA2" w14:textId="77777777" w:rsidR="00A612E2" w:rsidRPr="00246CC4" w:rsidRDefault="00A612E2" w:rsidP="00742B81">
            <w:pPr>
              <w:rPr>
                <w:noProof/>
                <w:color w:val="006600"/>
                <w:sz w:val="20"/>
                <w:szCs w:val="20"/>
              </w:rPr>
            </w:pPr>
            <w:r>
              <w:rPr>
                <w:noProof/>
                <w:color w:val="006100"/>
                <w:sz w:val="20"/>
              </w:rPr>
              <w:t>Eesmärk</w:t>
            </w:r>
          </w:p>
        </w:tc>
        <w:tc>
          <w:tcPr>
            <w:tcW w:w="3755" w:type="dxa"/>
            <w:tcBorders>
              <w:top w:val="nil"/>
              <w:left w:val="nil"/>
              <w:bottom w:val="single" w:sz="4" w:space="0" w:color="auto"/>
              <w:right w:val="single" w:sz="4" w:space="0" w:color="auto"/>
            </w:tcBorders>
            <w:shd w:val="clear" w:color="auto" w:fill="C6EFCE"/>
            <w:noWrap/>
            <w:vAlign w:val="center"/>
          </w:tcPr>
          <w:p w14:paraId="515C4D56" w14:textId="77777777" w:rsidR="00A612E2" w:rsidRPr="00246CC4" w:rsidRDefault="00A612E2" w:rsidP="00742B81">
            <w:pPr>
              <w:rPr>
                <w:noProof/>
                <w:color w:val="006600"/>
                <w:sz w:val="20"/>
                <w:szCs w:val="20"/>
              </w:rPr>
            </w:pPr>
            <w:r>
              <w:rPr>
                <w:noProof/>
                <w:color w:val="006100"/>
                <w:sz w:val="20"/>
              </w:rPr>
              <w:t>Lasteaedade ja eelkoolide ning alushariduse ja lastehoiuteenuste ehitamist, renoveerimist ja nende turvalisuse tagamist käsitlevate lepingute sõlmimine</w:t>
            </w:r>
          </w:p>
        </w:tc>
      </w:tr>
      <w:tr w:rsidR="00A612E2" w:rsidRPr="00D90835" w14:paraId="3BE5A41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EBAB5F3" w14:textId="77777777" w:rsidR="00A612E2" w:rsidRPr="00246CC4" w:rsidRDefault="00A612E2" w:rsidP="00742B81">
            <w:pPr>
              <w:jc w:val="center"/>
              <w:rPr>
                <w:noProof/>
                <w:color w:val="006100"/>
                <w:sz w:val="20"/>
                <w:szCs w:val="20"/>
              </w:rPr>
            </w:pPr>
            <w:r>
              <w:rPr>
                <w:noProof/>
                <w:color w:val="006100"/>
                <w:sz w:val="20"/>
              </w:rPr>
              <w:t>M5C3-8</w:t>
            </w:r>
          </w:p>
        </w:tc>
        <w:tc>
          <w:tcPr>
            <w:tcW w:w="3118" w:type="dxa"/>
            <w:tcBorders>
              <w:top w:val="nil"/>
              <w:left w:val="nil"/>
              <w:bottom w:val="single" w:sz="4" w:space="0" w:color="auto"/>
              <w:right w:val="single" w:sz="4" w:space="0" w:color="auto"/>
            </w:tcBorders>
            <w:shd w:val="clear" w:color="auto" w:fill="C6EFCE"/>
            <w:noWrap/>
            <w:vAlign w:val="center"/>
          </w:tcPr>
          <w:p w14:paraId="1BE2F2E9" w14:textId="77777777" w:rsidR="00A612E2" w:rsidRPr="00246CC4" w:rsidRDefault="00A612E2" w:rsidP="00742B81">
            <w:pPr>
              <w:rPr>
                <w:noProof/>
                <w:color w:val="006100"/>
                <w:sz w:val="20"/>
                <w:szCs w:val="20"/>
              </w:rPr>
            </w:pPr>
            <w:r>
              <w:rPr>
                <w:noProof/>
                <w:color w:val="006100"/>
                <w:sz w:val="20"/>
              </w:rPr>
              <w:t>Investeering 1.3. Struktureeritud sotsiaal-haridusmeetmed haridusvaesuse vastu võitlemiseks lõunas, millega toetatakse kolmandat sektorit</w:t>
            </w:r>
          </w:p>
        </w:tc>
        <w:tc>
          <w:tcPr>
            <w:tcW w:w="1418" w:type="dxa"/>
            <w:tcBorders>
              <w:top w:val="nil"/>
              <w:left w:val="nil"/>
              <w:bottom w:val="single" w:sz="4" w:space="0" w:color="auto"/>
              <w:right w:val="single" w:sz="4" w:space="0" w:color="auto"/>
            </w:tcBorders>
            <w:shd w:val="clear" w:color="auto" w:fill="C6EFCE"/>
            <w:noWrap/>
            <w:vAlign w:val="center"/>
          </w:tcPr>
          <w:p w14:paraId="6C8DA0FE" w14:textId="77777777" w:rsidR="00A612E2" w:rsidRPr="00246CC4" w:rsidRDefault="00A612E2" w:rsidP="00742B81">
            <w:pPr>
              <w:rPr>
                <w:noProof/>
                <w:color w:val="006600"/>
                <w:sz w:val="20"/>
                <w:szCs w:val="20"/>
              </w:rPr>
            </w:pPr>
            <w:r>
              <w:rPr>
                <w:noProof/>
                <w:color w:val="006100"/>
                <w:sz w:val="20"/>
              </w:rPr>
              <w:t>Siht</w:t>
            </w:r>
          </w:p>
        </w:tc>
        <w:tc>
          <w:tcPr>
            <w:tcW w:w="3755" w:type="dxa"/>
            <w:tcBorders>
              <w:top w:val="nil"/>
              <w:left w:val="nil"/>
              <w:bottom w:val="single" w:sz="4" w:space="0" w:color="auto"/>
              <w:right w:val="single" w:sz="4" w:space="0" w:color="auto"/>
            </w:tcBorders>
            <w:shd w:val="clear" w:color="auto" w:fill="C6EFCE"/>
            <w:noWrap/>
            <w:vAlign w:val="center"/>
          </w:tcPr>
          <w:p w14:paraId="10663400" w14:textId="77777777" w:rsidR="00A612E2" w:rsidRPr="00246CC4" w:rsidRDefault="00A612E2" w:rsidP="00742B81">
            <w:pPr>
              <w:rPr>
                <w:noProof/>
                <w:color w:val="006600"/>
                <w:sz w:val="20"/>
                <w:szCs w:val="20"/>
              </w:rPr>
            </w:pPr>
            <w:r>
              <w:rPr>
                <w:noProof/>
                <w:color w:val="006100"/>
                <w:sz w:val="20"/>
              </w:rPr>
              <w:t>Alaealistele mõeldud haridustoetus (esimene osa)</w:t>
            </w:r>
          </w:p>
        </w:tc>
      </w:tr>
      <w:tr w:rsidR="00A612E2" w:rsidRPr="00246CC4" w14:paraId="4C751B1F" w14:textId="77777777" w:rsidTr="00742B81">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73D3DF43" w14:textId="77777777" w:rsidR="00A612E2" w:rsidRPr="003B127D" w:rsidRDefault="00A612E2" w:rsidP="00742B81">
            <w:pPr>
              <w:jc w:val="center"/>
              <w:rPr>
                <w:noProof/>
                <w:color w:val="006100"/>
                <w:sz w:val="20"/>
                <w:szCs w:val="20"/>
                <w:lang w:val="en-IE"/>
              </w:rPr>
            </w:pPr>
          </w:p>
        </w:tc>
        <w:tc>
          <w:tcPr>
            <w:tcW w:w="3118" w:type="dxa"/>
            <w:tcBorders>
              <w:top w:val="single" w:sz="4" w:space="0" w:color="auto"/>
              <w:left w:val="nil"/>
              <w:bottom w:val="single" w:sz="4" w:space="0" w:color="auto"/>
              <w:right w:val="single" w:sz="4" w:space="0" w:color="auto"/>
            </w:tcBorders>
            <w:shd w:val="clear" w:color="auto" w:fill="C6EFCE"/>
            <w:noWrap/>
            <w:vAlign w:val="bottom"/>
          </w:tcPr>
          <w:p w14:paraId="22290B4C" w14:textId="77777777" w:rsidR="00A612E2" w:rsidRPr="003B127D" w:rsidRDefault="00A612E2" w:rsidP="00742B81">
            <w:pPr>
              <w:rPr>
                <w:noProof/>
                <w:color w:val="006100"/>
                <w:sz w:val="20"/>
                <w:szCs w:val="20"/>
                <w:lang w:val="en-IE"/>
              </w:rPr>
            </w:pPr>
          </w:p>
        </w:tc>
        <w:tc>
          <w:tcPr>
            <w:tcW w:w="1418" w:type="dxa"/>
            <w:tcBorders>
              <w:top w:val="single" w:sz="4" w:space="0" w:color="auto"/>
              <w:left w:val="nil"/>
              <w:bottom w:val="single" w:sz="4" w:space="0" w:color="auto"/>
              <w:right w:val="single" w:sz="4" w:space="0" w:color="auto"/>
            </w:tcBorders>
            <w:shd w:val="clear" w:color="auto" w:fill="C6EFCE"/>
            <w:noWrap/>
            <w:vAlign w:val="bottom"/>
          </w:tcPr>
          <w:p w14:paraId="1BA32320" w14:textId="77777777" w:rsidR="00A612E2" w:rsidRPr="00246CC4" w:rsidRDefault="00A612E2" w:rsidP="00742B81">
            <w:pPr>
              <w:rPr>
                <w:noProof/>
                <w:color w:val="006100"/>
                <w:sz w:val="20"/>
                <w:szCs w:val="20"/>
              </w:rPr>
            </w:pPr>
            <w:r>
              <w:rPr>
                <w:noProof/>
                <w:color w:val="006100"/>
                <w:sz w:val="20"/>
              </w:rPr>
              <w:t>Osamakse summa</w:t>
            </w:r>
          </w:p>
        </w:tc>
        <w:tc>
          <w:tcPr>
            <w:tcW w:w="3755" w:type="dxa"/>
            <w:tcBorders>
              <w:top w:val="single" w:sz="4" w:space="0" w:color="auto"/>
              <w:left w:val="nil"/>
              <w:bottom w:val="single" w:sz="4" w:space="0" w:color="auto"/>
              <w:right w:val="single" w:sz="4" w:space="0" w:color="auto"/>
            </w:tcBorders>
            <w:shd w:val="clear" w:color="auto" w:fill="C6EFCE"/>
            <w:noWrap/>
            <w:vAlign w:val="bottom"/>
          </w:tcPr>
          <w:p w14:paraId="5C874529" w14:textId="77777777" w:rsidR="00A612E2" w:rsidRPr="00246CC4" w:rsidRDefault="00A612E2" w:rsidP="00742B81">
            <w:pPr>
              <w:rPr>
                <w:noProof/>
                <w:color w:val="006100"/>
                <w:sz w:val="20"/>
                <w:szCs w:val="20"/>
              </w:rPr>
            </w:pPr>
            <w:r>
              <w:rPr>
                <w:noProof/>
                <w:color w:val="006100"/>
                <w:sz w:val="20"/>
              </w:rPr>
              <w:t>2</w:t>
            </w:r>
            <w:r>
              <w:rPr>
                <w:rFonts w:ascii="Arial Narrow" w:hAnsi="Arial Narrow"/>
                <w:noProof/>
                <w:color w:val="006100"/>
                <w:sz w:val="20"/>
              </w:rPr>
              <w:t xml:space="preserve"> </w:t>
            </w:r>
            <w:r>
              <w:rPr>
                <w:noProof/>
                <w:color w:val="006100"/>
                <w:sz w:val="20"/>
              </w:rPr>
              <w:t>315</w:t>
            </w:r>
            <w:r>
              <w:rPr>
                <w:rFonts w:ascii="Arial Narrow" w:hAnsi="Arial Narrow"/>
                <w:noProof/>
                <w:color w:val="006100"/>
                <w:sz w:val="20"/>
              </w:rPr>
              <w:t xml:space="preserve"> </w:t>
            </w:r>
            <w:r>
              <w:rPr>
                <w:noProof/>
                <w:color w:val="006100"/>
                <w:sz w:val="20"/>
              </w:rPr>
              <w:t>646</w:t>
            </w:r>
            <w:r>
              <w:rPr>
                <w:rFonts w:ascii="Arial Narrow" w:hAnsi="Arial Narrow"/>
                <w:noProof/>
                <w:color w:val="006100"/>
                <w:sz w:val="20"/>
              </w:rPr>
              <w:t xml:space="preserve"> </w:t>
            </w:r>
            <w:r>
              <w:rPr>
                <w:noProof/>
                <w:color w:val="006100"/>
                <w:sz w:val="20"/>
              </w:rPr>
              <w:t>882 eurot</w:t>
            </w:r>
          </w:p>
        </w:tc>
      </w:tr>
    </w:tbl>
    <w:p w14:paraId="439E5D50" w14:textId="77777777" w:rsidR="00A612E2" w:rsidRPr="00246CC4" w:rsidRDefault="00A612E2" w:rsidP="00A612E2">
      <w:pPr>
        <w:numPr>
          <w:ilvl w:val="1"/>
          <w:numId w:val="6"/>
        </w:numPr>
        <w:spacing w:before="120" w:after="120"/>
        <w:jc w:val="both"/>
        <w:rPr>
          <w:rFonts w:eastAsia="Calibri"/>
          <w:noProof/>
        </w:rPr>
      </w:pPr>
      <w:r>
        <w:rPr>
          <w:noProof/>
        </w:rPr>
        <w:t>Viies osamakse (tagastamatu toetus):</w:t>
      </w:r>
    </w:p>
    <w:tbl>
      <w:tblPr>
        <w:tblW w:w="9776" w:type="dxa"/>
        <w:tblInd w:w="113" w:type="dxa"/>
        <w:tblLook w:val="04A0" w:firstRow="1" w:lastRow="0" w:firstColumn="1" w:lastColumn="0" w:noHBand="0" w:noVBand="1"/>
      </w:tblPr>
      <w:tblGrid>
        <w:gridCol w:w="1827"/>
        <w:gridCol w:w="3118"/>
        <w:gridCol w:w="1418"/>
        <w:gridCol w:w="3837"/>
      </w:tblGrid>
      <w:tr w:rsidR="00A612E2" w:rsidRPr="00246CC4" w14:paraId="51086915" w14:textId="77777777" w:rsidTr="00742B81">
        <w:trPr>
          <w:trHeight w:val="1423"/>
          <w:tblHeader/>
        </w:trPr>
        <w:tc>
          <w:tcPr>
            <w:tcW w:w="1413"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2D6E92DE" w14:textId="77777777" w:rsidR="00A612E2" w:rsidRPr="00246CC4" w:rsidRDefault="00A612E2" w:rsidP="00742B81">
            <w:pPr>
              <w:jc w:val="center"/>
              <w:rPr>
                <w:b/>
                <w:bCs/>
                <w:noProof/>
                <w:sz w:val="20"/>
                <w:szCs w:val="20"/>
              </w:rPr>
            </w:pPr>
            <w:r>
              <w:rPr>
                <w:b/>
                <w:noProof/>
                <w:sz w:val="20"/>
              </w:rPr>
              <w:t>Järjekorranumber</w:t>
            </w:r>
          </w:p>
        </w:tc>
        <w:tc>
          <w:tcPr>
            <w:tcW w:w="3118"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06050919" w14:textId="77777777" w:rsidR="00A612E2" w:rsidRPr="003B127D" w:rsidRDefault="00A612E2" w:rsidP="00742B81">
            <w:pPr>
              <w:jc w:val="center"/>
              <w:rPr>
                <w:b/>
                <w:bCs/>
                <w:noProof/>
                <w:sz w:val="20"/>
                <w:szCs w:val="20"/>
              </w:rPr>
            </w:pPr>
            <w:r>
              <w:rPr>
                <w:b/>
                <w:noProof/>
                <w:sz w:val="20"/>
              </w:rPr>
              <w:t>Seotud meede (reform või investeering)</w:t>
            </w:r>
          </w:p>
        </w:tc>
        <w:tc>
          <w:tcPr>
            <w:tcW w:w="1418"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0A3AAB46" w14:textId="77777777" w:rsidR="00A612E2" w:rsidRPr="00246CC4" w:rsidRDefault="00A612E2" w:rsidP="00742B81">
            <w:pPr>
              <w:jc w:val="center"/>
              <w:rPr>
                <w:b/>
                <w:bCs/>
                <w:noProof/>
                <w:sz w:val="20"/>
                <w:szCs w:val="20"/>
              </w:rPr>
            </w:pPr>
            <w:r>
              <w:rPr>
                <w:b/>
                <w:noProof/>
                <w:sz w:val="20"/>
              </w:rPr>
              <w:t>Eesmärk / siht</w:t>
            </w:r>
          </w:p>
        </w:tc>
        <w:tc>
          <w:tcPr>
            <w:tcW w:w="3827"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07C94FD6" w14:textId="77777777" w:rsidR="00A612E2" w:rsidRPr="00246CC4" w:rsidRDefault="00A612E2" w:rsidP="00742B81">
            <w:pPr>
              <w:jc w:val="center"/>
              <w:rPr>
                <w:b/>
                <w:bCs/>
                <w:noProof/>
                <w:sz w:val="20"/>
                <w:szCs w:val="20"/>
              </w:rPr>
            </w:pPr>
            <w:r>
              <w:rPr>
                <w:b/>
                <w:noProof/>
                <w:sz w:val="20"/>
              </w:rPr>
              <w:t>Nimi</w:t>
            </w:r>
          </w:p>
        </w:tc>
      </w:tr>
      <w:tr w:rsidR="00A612E2" w:rsidRPr="00D90835" w14:paraId="67E1557D" w14:textId="77777777" w:rsidTr="00742B81">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B42824" w14:textId="77777777" w:rsidR="00A612E2" w:rsidRPr="00246CC4" w:rsidRDefault="00A612E2" w:rsidP="00742B81">
            <w:pPr>
              <w:jc w:val="center"/>
              <w:rPr>
                <w:noProof/>
                <w:color w:val="006100"/>
                <w:sz w:val="20"/>
                <w:szCs w:val="20"/>
              </w:rPr>
            </w:pPr>
            <w:r>
              <w:rPr>
                <w:noProof/>
                <w:color w:val="006100"/>
                <w:sz w:val="20"/>
              </w:rPr>
              <w:t>M1C2-4</w:t>
            </w:r>
          </w:p>
        </w:tc>
        <w:tc>
          <w:tcPr>
            <w:tcW w:w="3118" w:type="dxa"/>
            <w:tcBorders>
              <w:top w:val="single" w:sz="4" w:space="0" w:color="auto"/>
              <w:left w:val="nil"/>
              <w:bottom w:val="single" w:sz="4" w:space="0" w:color="auto"/>
              <w:right w:val="single" w:sz="4" w:space="0" w:color="auto"/>
            </w:tcBorders>
            <w:shd w:val="clear" w:color="auto" w:fill="C6EFCE"/>
            <w:noWrap/>
            <w:vAlign w:val="center"/>
          </w:tcPr>
          <w:p w14:paraId="7C74BAED" w14:textId="77777777" w:rsidR="00A612E2" w:rsidRPr="003B127D" w:rsidRDefault="00A612E2" w:rsidP="00742B81">
            <w:pPr>
              <w:rPr>
                <w:noProof/>
                <w:color w:val="006100"/>
                <w:sz w:val="20"/>
                <w:szCs w:val="20"/>
              </w:rPr>
            </w:pPr>
            <w:r>
              <w:rPr>
                <w:noProof/>
                <w:color w:val="006100"/>
                <w:sz w:val="20"/>
              </w:rPr>
              <w:t>Reform 1. Tööstusomandi süsteemi reform</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14:paraId="25340BBD" w14:textId="77777777" w:rsidR="00A612E2" w:rsidRPr="00246CC4" w:rsidRDefault="00A612E2" w:rsidP="00742B81">
            <w:pPr>
              <w:rPr>
                <w:noProof/>
                <w:color w:val="006100"/>
                <w:sz w:val="20"/>
                <w:szCs w:val="20"/>
              </w:rPr>
            </w:pPr>
            <w:r>
              <w:rPr>
                <w:noProof/>
                <w:color w:val="006100"/>
                <w:sz w:val="20"/>
              </w:rPr>
              <w:t>Eesmärk</w:t>
            </w:r>
          </w:p>
        </w:tc>
        <w:tc>
          <w:tcPr>
            <w:tcW w:w="3827" w:type="dxa"/>
            <w:tcBorders>
              <w:top w:val="single" w:sz="4" w:space="0" w:color="auto"/>
              <w:left w:val="nil"/>
              <w:bottom w:val="single" w:sz="4" w:space="0" w:color="auto"/>
              <w:right w:val="single" w:sz="4" w:space="0" w:color="auto"/>
            </w:tcBorders>
            <w:shd w:val="clear" w:color="auto" w:fill="C6EFCE"/>
            <w:noWrap/>
            <w:vAlign w:val="center"/>
          </w:tcPr>
          <w:p w14:paraId="58B30C07" w14:textId="77777777" w:rsidR="00A612E2" w:rsidRPr="003B127D" w:rsidRDefault="00A612E2" w:rsidP="00742B81">
            <w:pPr>
              <w:rPr>
                <w:noProof/>
                <w:color w:val="006100"/>
                <w:sz w:val="20"/>
                <w:szCs w:val="20"/>
              </w:rPr>
            </w:pPr>
            <w:r>
              <w:rPr>
                <w:noProof/>
                <w:color w:val="006100"/>
                <w:sz w:val="20"/>
              </w:rPr>
              <w:t>Itaalia tööstusomandi seadustiku ja asjakohaste rakendusaktide reformimiseks vastu võetud seadusandliku dekreedi jõustumine</w:t>
            </w:r>
          </w:p>
        </w:tc>
      </w:tr>
      <w:tr w:rsidR="00A612E2" w:rsidRPr="00D90835" w14:paraId="1421E6D2"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A997A4C" w14:textId="77777777" w:rsidR="00A612E2" w:rsidRPr="00246CC4" w:rsidRDefault="00A612E2" w:rsidP="00742B81">
            <w:pPr>
              <w:jc w:val="center"/>
              <w:rPr>
                <w:noProof/>
                <w:color w:val="006100"/>
                <w:sz w:val="20"/>
                <w:szCs w:val="20"/>
              </w:rPr>
            </w:pPr>
            <w:r>
              <w:rPr>
                <w:noProof/>
                <w:color w:val="006100"/>
                <w:sz w:val="20"/>
              </w:rPr>
              <w:t>M1C3-4</w:t>
            </w:r>
          </w:p>
        </w:tc>
        <w:tc>
          <w:tcPr>
            <w:tcW w:w="3118" w:type="dxa"/>
            <w:tcBorders>
              <w:top w:val="nil"/>
              <w:left w:val="nil"/>
              <w:bottom w:val="single" w:sz="4" w:space="0" w:color="auto"/>
              <w:right w:val="single" w:sz="4" w:space="0" w:color="auto"/>
            </w:tcBorders>
            <w:shd w:val="clear" w:color="auto" w:fill="C6EFCE"/>
            <w:noWrap/>
            <w:vAlign w:val="center"/>
          </w:tcPr>
          <w:p w14:paraId="7CF57FEF" w14:textId="77777777" w:rsidR="00A612E2" w:rsidRPr="003B127D" w:rsidRDefault="00A612E2" w:rsidP="00742B81">
            <w:pPr>
              <w:rPr>
                <w:noProof/>
                <w:color w:val="006100"/>
                <w:sz w:val="20"/>
                <w:szCs w:val="20"/>
              </w:rPr>
            </w:pPr>
            <w:r>
              <w:rPr>
                <w:noProof/>
                <w:color w:val="006100"/>
                <w:sz w:val="20"/>
              </w:rPr>
              <w:t>Investeering 1.3. Energiatõhususe parandamine kinodes, teatrites ja muuseumides</w:t>
            </w:r>
          </w:p>
        </w:tc>
        <w:tc>
          <w:tcPr>
            <w:tcW w:w="1418" w:type="dxa"/>
            <w:tcBorders>
              <w:top w:val="nil"/>
              <w:left w:val="nil"/>
              <w:bottom w:val="single" w:sz="4" w:space="0" w:color="auto"/>
              <w:right w:val="single" w:sz="4" w:space="0" w:color="auto"/>
            </w:tcBorders>
            <w:shd w:val="clear" w:color="auto" w:fill="C6EFCE"/>
            <w:noWrap/>
            <w:vAlign w:val="center"/>
          </w:tcPr>
          <w:p w14:paraId="7139FB38" w14:textId="77777777" w:rsidR="00A612E2" w:rsidRPr="00246CC4" w:rsidRDefault="00A612E2" w:rsidP="00742B81">
            <w:pPr>
              <w:rPr>
                <w:noProof/>
                <w:color w:val="006100"/>
                <w:sz w:val="20"/>
                <w:szCs w:val="20"/>
              </w:rPr>
            </w:pPr>
            <w:r>
              <w:rPr>
                <w:noProof/>
                <w:color w:val="006100"/>
                <w:sz w:val="20"/>
              </w:rPr>
              <w:t>Siht</w:t>
            </w:r>
          </w:p>
        </w:tc>
        <w:tc>
          <w:tcPr>
            <w:tcW w:w="3827" w:type="dxa"/>
            <w:tcBorders>
              <w:top w:val="nil"/>
              <w:left w:val="nil"/>
              <w:bottom w:val="single" w:sz="4" w:space="0" w:color="auto"/>
              <w:right w:val="single" w:sz="4" w:space="0" w:color="auto"/>
            </w:tcBorders>
            <w:shd w:val="clear" w:color="auto" w:fill="C6EFCE"/>
            <w:noWrap/>
            <w:vAlign w:val="center"/>
          </w:tcPr>
          <w:p w14:paraId="586775E0" w14:textId="77777777" w:rsidR="00A612E2" w:rsidRPr="003B127D" w:rsidRDefault="00A612E2" w:rsidP="00742B81">
            <w:pPr>
              <w:rPr>
                <w:noProof/>
                <w:color w:val="006100"/>
                <w:sz w:val="20"/>
                <w:szCs w:val="20"/>
              </w:rPr>
            </w:pPr>
            <w:r>
              <w:rPr>
                <w:noProof/>
                <w:color w:val="006100"/>
                <w:sz w:val="20"/>
              </w:rPr>
              <w:t>Sõnavõtud riigimuuseumide ja kultuuriobjektide, teatrihallide ja kinode kohta on lõpule viidud (esimene osa)</w:t>
            </w:r>
          </w:p>
        </w:tc>
      </w:tr>
      <w:tr w:rsidR="00A612E2" w:rsidRPr="00246CC4" w14:paraId="0024806D"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3A0D4F6" w14:textId="77777777" w:rsidR="00A612E2" w:rsidRPr="00246CC4" w:rsidRDefault="00A612E2" w:rsidP="00742B81">
            <w:pPr>
              <w:jc w:val="center"/>
              <w:rPr>
                <w:noProof/>
                <w:color w:val="006100"/>
                <w:sz w:val="20"/>
                <w:szCs w:val="20"/>
              </w:rPr>
            </w:pPr>
            <w:r>
              <w:rPr>
                <w:noProof/>
                <w:color w:val="006100"/>
                <w:sz w:val="20"/>
              </w:rPr>
              <w:t>M1C1-12</w:t>
            </w:r>
          </w:p>
        </w:tc>
        <w:tc>
          <w:tcPr>
            <w:tcW w:w="3118" w:type="dxa"/>
            <w:tcBorders>
              <w:top w:val="nil"/>
              <w:left w:val="nil"/>
              <w:bottom w:val="single" w:sz="4" w:space="0" w:color="auto"/>
              <w:right w:val="single" w:sz="4" w:space="0" w:color="auto"/>
            </w:tcBorders>
            <w:shd w:val="clear" w:color="auto" w:fill="C6EFCE"/>
            <w:noWrap/>
            <w:vAlign w:val="center"/>
          </w:tcPr>
          <w:p w14:paraId="7C16D6ED" w14:textId="77777777" w:rsidR="00A612E2" w:rsidRPr="00246CC4" w:rsidRDefault="00A612E2" w:rsidP="00742B81">
            <w:pPr>
              <w:rPr>
                <w:noProof/>
                <w:color w:val="006100"/>
                <w:sz w:val="20"/>
                <w:szCs w:val="20"/>
              </w:rPr>
            </w:pPr>
            <w:r>
              <w:rPr>
                <w:noProof/>
                <w:color w:val="006100"/>
                <w:sz w:val="20"/>
              </w:rPr>
              <w:t>Investeering 1.3.2. Ühtne digivärav</w:t>
            </w:r>
          </w:p>
        </w:tc>
        <w:tc>
          <w:tcPr>
            <w:tcW w:w="1418" w:type="dxa"/>
            <w:tcBorders>
              <w:top w:val="nil"/>
              <w:left w:val="nil"/>
              <w:bottom w:val="single" w:sz="4" w:space="0" w:color="auto"/>
              <w:right w:val="single" w:sz="4" w:space="0" w:color="auto"/>
            </w:tcBorders>
            <w:shd w:val="clear" w:color="auto" w:fill="C6EFCE"/>
            <w:noWrap/>
            <w:vAlign w:val="center"/>
          </w:tcPr>
          <w:p w14:paraId="13404227" w14:textId="77777777" w:rsidR="00A612E2" w:rsidRPr="00246CC4" w:rsidRDefault="00A612E2" w:rsidP="00742B81">
            <w:pPr>
              <w:rPr>
                <w:noProof/>
                <w:color w:val="006100"/>
                <w:sz w:val="20"/>
                <w:szCs w:val="20"/>
              </w:rPr>
            </w:pPr>
            <w:r>
              <w:rPr>
                <w:noProof/>
                <w:color w:val="006100"/>
                <w:sz w:val="20"/>
              </w:rPr>
              <w:t>Siht</w:t>
            </w:r>
          </w:p>
        </w:tc>
        <w:tc>
          <w:tcPr>
            <w:tcW w:w="3827" w:type="dxa"/>
            <w:tcBorders>
              <w:top w:val="nil"/>
              <w:left w:val="nil"/>
              <w:bottom w:val="single" w:sz="4" w:space="0" w:color="auto"/>
              <w:right w:val="single" w:sz="4" w:space="0" w:color="auto"/>
            </w:tcBorders>
            <w:shd w:val="clear" w:color="auto" w:fill="C6EFCE"/>
            <w:noWrap/>
            <w:vAlign w:val="center"/>
          </w:tcPr>
          <w:p w14:paraId="233695FB" w14:textId="77777777" w:rsidR="00A612E2" w:rsidRPr="00246CC4" w:rsidRDefault="00A612E2" w:rsidP="00742B81">
            <w:pPr>
              <w:rPr>
                <w:noProof/>
                <w:color w:val="006100"/>
                <w:sz w:val="20"/>
                <w:szCs w:val="20"/>
              </w:rPr>
            </w:pPr>
            <w:r>
              <w:rPr>
                <w:noProof/>
                <w:color w:val="006100"/>
                <w:sz w:val="20"/>
              </w:rPr>
              <w:t>Ühtne digivärav</w:t>
            </w:r>
          </w:p>
        </w:tc>
      </w:tr>
      <w:tr w:rsidR="00A612E2" w:rsidRPr="00D90835" w14:paraId="3C5F4F9C"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35F7898" w14:textId="77777777" w:rsidR="00A612E2" w:rsidRPr="00246CC4" w:rsidRDefault="00A612E2" w:rsidP="00742B81">
            <w:pPr>
              <w:jc w:val="center"/>
              <w:rPr>
                <w:noProof/>
                <w:color w:val="006100"/>
                <w:sz w:val="20"/>
                <w:szCs w:val="20"/>
              </w:rPr>
            </w:pPr>
            <w:r>
              <w:rPr>
                <w:noProof/>
                <w:color w:val="006100"/>
                <w:sz w:val="20"/>
              </w:rPr>
              <w:t>M1C1-13</w:t>
            </w:r>
          </w:p>
        </w:tc>
        <w:tc>
          <w:tcPr>
            <w:tcW w:w="3118" w:type="dxa"/>
            <w:tcBorders>
              <w:top w:val="nil"/>
              <w:left w:val="nil"/>
              <w:bottom w:val="single" w:sz="4" w:space="0" w:color="auto"/>
              <w:right w:val="single" w:sz="4" w:space="0" w:color="auto"/>
            </w:tcBorders>
            <w:shd w:val="clear" w:color="auto" w:fill="C6EFCE"/>
            <w:noWrap/>
            <w:vAlign w:val="center"/>
          </w:tcPr>
          <w:p w14:paraId="50A20C07" w14:textId="77777777" w:rsidR="00A612E2" w:rsidRPr="003B127D" w:rsidRDefault="00A612E2" w:rsidP="00742B81">
            <w:pPr>
              <w:rPr>
                <w:noProof/>
                <w:color w:val="006100"/>
                <w:sz w:val="20"/>
                <w:szCs w:val="20"/>
              </w:rPr>
            </w:pPr>
            <w:r>
              <w:rPr>
                <w:noProof/>
                <w:color w:val="006100"/>
                <w:sz w:val="20"/>
              </w:rPr>
              <w:t>Investeering 1.4.6. Liikuvus kui teenus Itaalia jaoks</w:t>
            </w:r>
          </w:p>
        </w:tc>
        <w:tc>
          <w:tcPr>
            <w:tcW w:w="1418" w:type="dxa"/>
            <w:tcBorders>
              <w:top w:val="nil"/>
              <w:left w:val="nil"/>
              <w:bottom w:val="single" w:sz="4" w:space="0" w:color="auto"/>
              <w:right w:val="single" w:sz="4" w:space="0" w:color="auto"/>
            </w:tcBorders>
            <w:shd w:val="clear" w:color="auto" w:fill="C6EFCE"/>
            <w:noWrap/>
            <w:vAlign w:val="center"/>
          </w:tcPr>
          <w:p w14:paraId="73B44236" w14:textId="77777777" w:rsidR="00A612E2" w:rsidRPr="00246CC4" w:rsidRDefault="00A612E2" w:rsidP="00742B81">
            <w:pPr>
              <w:rPr>
                <w:noProof/>
                <w:color w:val="006100"/>
                <w:sz w:val="20"/>
                <w:szCs w:val="20"/>
              </w:rPr>
            </w:pPr>
            <w:r>
              <w:rPr>
                <w:noProof/>
                <w:color w:val="006100"/>
                <w:sz w:val="20"/>
              </w:rPr>
              <w:t>Eesmärk</w:t>
            </w:r>
          </w:p>
        </w:tc>
        <w:tc>
          <w:tcPr>
            <w:tcW w:w="3827" w:type="dxa"/>
            <w:tcBorders>
              <w:top w:val="nil"/>
              <w:left w:val="nil"/>
              <w:bottom w:val="single" w:sz="4" w:space="0" w:color="auto"/>
              <w:right w:val="single" w:sz="4" w:space="0" w:color="auto"/>
            </w:tcBorders>
            <w:shd w:val="clear" w:color="auto" w:fill="C6EFCE"/>
            <w:noWrap/>
            <w:vAlign w:val="center"/>
          </w:tcPr>
          <w:p w14:paraId="655D0395" w14:textId="77777777" w:rsidR="00A612E2" w:rsidRPr="003B127D" w:rsidRDefault="00A612E2" w:rsidP="00742B81">
            <w:pPr>
              <w:rPr>
                <w:noProof/>
                <w:color w:val="006100"/>
                <w:sz w:val="20"/>
                <w:szCs w:val="20"/>
              </w:rPr>
            </w:pPr>
            <w:r>
              <w:rPr>
                <w:noProof/>
                <w:color w:val="006100"/>
                <w:sz w:val="20"/>
              </w:rPr>
              <w:t>Liikuvus kui teenuselahendus M1</w:t>
            </w:r>
          </w:p>
        </w:tc>
      </w:tr>
      <w:tr w:rsidR="00A612E2" w:rsidRPr="00D90835" w14:paraId="397E0B5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F7DDD67" w14:textId="77777777" w:rsidR="00A612E2" w:rsidRPr="00246CC4" w:rsidRDefault="00A612E2" w:rsidP="00742B81">
            <w:pPr>
              <w:jc w:val="center"/>
              <w:rPr>
                <w:noProof/>
                <w:color w:val="006100"/>
                <w:sz w:val="20"/>
                <w:szCs w:val="20"/>
              </w:rPr>
            </w:pPr>
            <w:r>
              <w:rPr>
                <w:noProof/>
                <w:color w:val="006100"/>
                <w:sz w:val="20"/>
              </w:rPr>
              <w:t>M1C1-38</w:t>
            </w:r>
          </w:p>
        </w:tc>
        <w:tc>
          <w:tcPr>
            <w:tcW w:w="3118" w:type="dxa"/>
            <w:tcBorders>
              <w:top w:val="nil"/>
              <w:left w:val="nil"/>
              <w:bottom w:val="single" w:sz="4" w:space="0" w:color="auto"/>
              <w:right w:val="single" w:sz="4" w:space="0" w:color="auto"/>
            </w:tcBorders>
            <w:shd w:val="clear" w:color="auto" w:fill="C6EFCE"/>
            <w:noWrap/>
            <w:vAlign w:val="center"/>
          </w:tcPr>
          <w:p w14:paraId="0AA38812" w14:textId="77777777" w:rsidR="00A612E2" w:rsidRPr="00246CC4" w:rsidRDefault="00A612E2" w:rsidP="00742B81">
            <w:pPr>
              <w:rPr>
                <w:noProof/>
                <w:color w:val="006100"/>
                <w:sz w:val="20"/>
                <w:szCs w:val="20"/>
              </w:rPr>
            </w:pPr>
            <w:r>
              <w:rPr>
                <w:noProof/>
                <w:color w:val="006100"/>
                <w:sz w:val="20"/>
              </w:rPr>
              <w:t>Reform 1.8. Õiguse digiteerimine</w:t>
            </w:r>
          </w:p>
        </w:tc>
        <w:tc>
          <w:tcPr>
            <w:tcW w:w="1418" w:type="dxa"/>
            <w:tcBorders>
              <w:top w:val="nil"/>
              <w:left w:val="nil"/>
              <w:bottom w:val="single" w:sz="4" w:space="0" w:color="auto"/>
              <w:right w:val="single" w:sz="4" w:space="0" w:color="auto"/>
            </w:tcBorders>
            <w:shd w:val="clear" w:color="auto" w:fill="C6EFCE"/>
            <w:noWrap/>
            <w:vAlign w:val="center"/>
          </w:tcPr>
          <w:p w14:paraId="3EA7D13D" w14:textId="77777777" w:rsidR="00A612E2" w:rsidRPr="00246CC4" w:rsidRDefault="00A612E2" w:rsidP="00742B81">
            <w:pPr>
              <w:rPr>
                <w:noProof/>
                <w:color w:val="006100"/>
                <w:sz w:val="20"/>
                <w:szCs w:val="20"/>
              </w:rPr>
            </w:pPr>
            <w:r>
              <w:rPr>
                <w:noProof/>
                <w:color w:val="006100"/>
                <w:sz w:val="20"/>
              </w:rPr>
              <w:t>Eesmärk</w:t>
            </w:r>
          </w:p>
        </w:tc>
        <w:tc>
          <w:tcPr>
            <w:tcW w:w="3827" w:type="dxa"/>
            <w:tcBorders>
              <w:top w:val="nil"/>
              <w:left w:val="nil"/>
              <w:bottom w:val="single" w:sz="4" w:space="0" w:color="auto"/>
              <w:right w:val="single" w:sz="4" w:space="0" w:color="auto"/>
            </w:tcBorders>
            <w:shd w:val="clear" w:color="auto" w:fill="C6EFCE"/>
            <w:noWrap/>
            <w:vAlign w:val="center"/>
          </w:tcPr>
          <w:p w14:paraId="4712DB90" w14:textId="77777777" w:rsidR="00A612E2" w:rsidRPr="003B127D" w:rsidRDefault="00A612E2" w:rsidP="00742B81">
            <w:pPr>
              <w:rPr>
                <w:noProof/>
                <w:color w:val="006100"/>
                <w:sz w:val="20"/>
                <w:szCs w:val="20"/>
              </w:rPr>
            </w:pPr>
            <w:r>
              <w:rPr>
                <w:noProof/>
                <w:color w:val="006100"/>
                <w:sz w:val="20"/>
              </w:rPr>
              <w:t>Kohtusüsteemi digiteerimine</w:t>
            </w:r>
          </w:p>
        </w:tc>
      </w:tr>
      <w:tr w:rsidR="00A612E2" w:rsidRPr="00D90835" w14:paraId="07E95B6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384DA66" w14:textId="77777777" w:rsidR="00A612E2" w:rsidRPr="00246CC4" w:rsidRDefault="00A612E2" w:rsidP="00742B81">
            <w:pPr>
              <w:jc w:val="center"/>
              <w:rPr>
                <w:noProof/>
                <w:color w:val="006100"/>
                <w:sz w:val="20"/>
                <w:szCs w:val="20"/>
              </w:rPr>
            </w:pPr>
            <w:r>
              <w:rPr>
                <w:noProof/>
                <w:color w:val="006100"/>
                <w:sz w:val="20"/>
              </w:rPr>
              <w:t>M1C1-59</w:t>
            </w:r>
          </w:p>
        </w:tc>
        <w:tc>
          <w:tcPr>
            <w:tcW w:w="3118" w:type="dxa"/>
            <w:tcBorders>
              <w:top w:val="nil"/>
              <w:left w:val="nil"/>
              <w:bottom w:val="single" w:sz="4" w:space="0" w:color="auto"/>
              <w:right w:val="single" w:sz="4" w:space="0" w:color="auto"/>
            </w:tcBorders>
            <w:shd w:val="clear" w:color="auto" w:fill="C6EFCE"/>
            <w:noWrap/>
            <w:vAlign w:val="center"/>
          </w:tcPr>
          <w:p w14:paraId="0ABB48D5" w14:textId="77777777" w:rsidR="00A612E2" w:rsidRPr="003B127D" w:rsidRDefault="00A612E2" w:rsidP="00742B81">
            <w:pPr>
              <w:rPr>
                <w:noProof/>
                <w:color w:val="006100"/>
                <w:sz w:val="20"/>
                <w:szCs w:val="20"/>
              </w:rPr>
            </w:pPr>
            <w:r>
              <w:rPr>
                <w:noProof/>
                <w:color w:val="006100"/>
                <w:sz w:val="20"/>
              </w:rPr>
              <w:t>Reform 1.9. Avaliku halduse reform</w:t>
            </w:r>
          </w:p>
        </w:tc>
        <w:tc>
          <w:tcPr>
            <w:tcW w:w="1418" w:type="dxa"/>
            <w:tcBorders>
              <w:top w:val="nil"/>
              <w:left w:val="nil"/>
              <w:bottom w:val="single" w:sz="4" w:space="0" w:color="auto"/>
              <w:right w:val="single" w:sz="4" w:space="0" w:color="auto"/>
            </w:tcBorders>
            <w:shd w:val="clear" w:color="auto" w:fill="C6EFCE"/>
            <w:noWrap/>
            <w:vAlign w:val="center"/>
          </w:tcPr>
          <w:p w14:paraId="4DE5DBAF" w14:textId="77777777" w:rsidR="00A612E2" w:rsidRPr="00246CC4" w:rsidRDefault="00A612E2" w:rsidP="00742B81">
            <w:pPr>
              <w:rPr>
                <w:noProof/>
                <w:color w:val="006100"/>
                <w:sz w:val="20"/>
                <w:szCs w:val="20"/>
              </w:rPr>
            </w:pPr>
            <w:r>
              <w:rPr>
                <w:noProof/>
                <w:color w:val="006100"/>
                <w:sz w:val="20"/>
              </w:rPr>
              <w:t>Eesmärk</w:t>
            </w:r>
          </w:p>
        </w:tc>
        <w:tc>
          <w:tcPr>
            <w:tcW w:w="3827" w:type="dxa"/>
            <w:tcBorders>
              <w:top w:val="nil"/>
              <w:left w:val="nil"/>
              <w:bottom w:val="single" w:sz="4" w:space="0" w:color="auto"/>
              <w:right w:val="single" w:sz="4" w:space="0" w:color="auto"/>
            </w:tcBorders>
            <w:shd w:val="clear" w:color="auto" w:fill="C6EFCE"/>
            <w:noWrap/>
            <w:vAlign w:val="center"/>
          </w:tcPr>
          <w:p w14:paraId="0629AD48" w14:textId="77777777" w:rsidR="00A612E2" w:rsidRPr="003B127D" w:rsidRDefault="00A612E2" w:rsidP="00742B81">
            <w:pPr>
              <w:rPr>
                <w:noProof/>
                <w:color w:val="006100"/>
                <w:sz w:val="20"/>
                <w:szCs w:val="20"/>
              </w:rPr>
            </w:pPr>
            <w:r>
              <w:rPr>
                <w:noProof/>
                <w:color w:val="006100"/>
                <w:sz w:val="20"/>
              </w:rPr>
              <w:t>Strateegilise personalijuhtimise jõustumine avalikus halduses</w:t>
            </w:r>
          </w:p>
        </w:tc>
      </w:tr>
      <w:tr w:rsidR="00A612E2" w:rsidRPr="00D90835" w14:paraId="29ACDAFF"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E654E40" w14:textId="77777777" w:rsidR="00A612E2" w:rsidRPr="00246CC4" w:rsidRDefault="00A612E2" w:rsidP="00742B81">
            <w:pPr>
              <w:jc w:val="center"/>
              <w:rPr>
                <w:noProof/>
                <w:color w:val="006100"/>
                <w:sz w:val="20"/>
                <w:szCs w:val="20"/>
              </w:rPr>
            </w:pPr>
            <w:r>
              <w:rPr>
                <w:noProof/>
                <w:color w:val="006100"/>
                <w:sz w:val="20"/>
              </w:rPr>
              <w:t>M1C1–73quater</w:t>
            </w:r>
          </w:p>
        </w:tc>
        <w:tc>
          <w:tcPr>
            <w:tcW w:w="3118" w:type="dxa"/>
            <w:tcBorders>
              <w:top w:val="nil"/>
              <w:left w:val="nil"/>
              <w:bottom w:val="single" w:sz="4" w:space="0" w:color="auto"/>
              <w:right w:val="single" w:sz="4" w:space="0" w:color="auto"/>
            </w:tcBorders>
            <w:shd w:val="clear" w:color="auto" w:fill="C6EFCE"/>
            <w:noWrap/>
            <w:vAlign w:val="center"/>
          </w:tcPr>
          <w:p w14:paraId="2F77A513" w14:textId="77777777" w:rsidR="00A612E2" w:rsidRPr="003B127D" w:rsidRDefault="00A612E2" w:rsidP="00742B81">
            <w:pPr>
              <w:rPr>
                <w:noProof/>
                <w:color w:val="006100"/>
                <w:sz w:val="20"/>
                <w:szCs w:val="20"/>
              </w:rPr>
            </w:pPr>
            <w:r>
              <w:rPr>
                <w:noProof/>
                <w:color w:val="006100"/>
                <w:sz w:val="20"/>
              </w:rPr>
              <w:t>Reform 1.10. Riigihangete õigusraamistiku reform</w:t>
            </w:r>
          </w:p>
        </w:tc>
        <w:tc>
          <w:tcPr>
            <w:tcW w:w="1418" w:type="dxa"/>
            <w:tcBorders>
              <w:top w:val="nil"/>
              <w:left w:val="nil"/>
              <w:bottom w:val="single" w:sz="4" w:space="0" w:color="auto"/>
              <w:right w:val="single" w:sz="4" w:space="0" w:color="auto"/>
            </w:tcBorders>
            <w:shd w:val="clear" w:color="auto" w:fill="C6EFCE"/>
            <w:noWrap/>
            <w:vAlign w:val="center"/>
          </w:tcPr>
          <w:p w14:paraId="1C0489BE" w14:textId="77777777" w:rsidR="00A612E2" w:rsidRPr="00246CC4" w:rsidRDefault="00A612E2" w:rsidP="00742B81">
            <w:pPr>
              <w:rPr>
                <w:noProof/>
                <w:color w:val="006100"/>
                <w:sz w:val="20"/>
                <w:szCs w:val="20"/>
              </w:rPr>
            </w:pPr>
            <w:r>
              <w:rPr>
                <w:noProof/>
                <w:color w:val="006100"/>
                <w:sz w:val="20"/>
              </w:rPr>
              <w:t>Eesmärk</w:t>
            </w:r>
          </w:p>
        </w:tc>
        <w:tc>
          <w:tcPr>
            <w:tcW w:w="3827" w:type="dxa"/>
            <w:tcBorders>
              <w:top w:val="nil"/>
              <w:left w:val="nil"/>
              <w:bottom w:val="single" w:sz="4" w:space="0" w:color="auto"/>
              <w:right w:val="single" w:sz="4" w:space="0" w:color="auto"/>
            </w:tcBorders>
            <w:shd w:val="clear" w:color="auto" w:fill="C6EFCE"/>
            <w:noWrap/>
            <w:vAlign w:val="center"/>
          </w:tcPr>
          <w:p w14:paraId="75250E92" w14:textId="77777777" w:rsidR="00A612E2" w:rsidRPr="003B127D" w:rsidRDefault="00A612E2" w:rsidP="00742B81">
            <w:pPr>
              <w:rPr>
                <w:noProof/>
                <w:color w:val="006100"/>
                <w:sz w:val="20"/>
                <w:szCs w:val="20"/>
              </w:rPr>
            </w:pPr>
            <w:r>
              <w:rPr>
                <w:noProof/>
                <w:color w:val="006100"/>
                <w:sz w:val="20"/>
              </w:rPr>
              <w:t>ELi piirmäärast allapoole jäävate hangete suuniste jõustumine</w:t>
            </w:r>
          </w:p>
        </w:tc>
      </w:tr>
      <w:tr w:rsidR="00A612E2" w:rsidRPr="00D90835" w14:paraId="30DB886A"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75A2819" w14:textId="77777777" w:rsidR="00A612E2" w:rsidRPr="00246CC4" w:rsidRDefault="00A612E2" w:rsidP="00742B81">
            <w:pPr>
              <w:jc w:val="center"/>
              <w:rPr>
                <w:noProof/>
                <w:color w:val="006100"/>
                <w:sz w:val="20"/>
                <w:szCs w:val="20"/>
              </w:rPr>
            </w:pPr>
            <w:r>
              <w:rPr>
                <w:noProof/>
                <w:color w:val="006100"/>
                <w:sz w:val="20"/>
              </w:rPr>
              <w:t>M1C1-75</w:t>
            </w:r>
          </w:p>
        </w:tc>
        <w:tc>
          <w:tcPr>
            <w:tcW w:w="3118" w:type="dxa"/>
            <w:tcBorders>
              <w:top w:val="nil"/>
              <w:left w:val="nil"/>
              <w:bottom w:val="single" w:sz="4" w:space="0" w:color="auto"/>
              <w:right w:val="single" w:sz="4" w:space="0" w:color="auto"/>
            </w:tcBorders>
            <w:shd w:val="clear" w:color="auto" w:fill="C6EFCE"/>
            <w:noWrap/>
            <w:vAlign w:val="center"/>
          </w:tcPr>
          <w:p w14:paraId="08C14185" w14:textId="77777777" w:rsidR="00A612E2" w:rsidRPr="003B127D" w:rsidRDefault="00A612E2" w:rsidP="00742B81">
            <w:pPr>
              <w:rPr>
                <w:noProof/>
                <w:color w:val="006100"/>
                <w:sz w:val="20"/>
                <w:szCs w:val="20"/>
              </w:rPr>
            </w:pPr>
            <w:r>
              <w:rPr>
                <w:noProof/>
                <w:color w:val="006100"/>
                <w:sz w:val="20"/>
              </w:rPr>
              <w:t>Reform 1.10. Riigihangete õigusraamistiku reform</w:t>
            </w:r>
          </w:p>
        </w:tc>
        <w:tc>
          <w:tcPr>
            <w:tcW w:w="1418" w:type="dxa"/>
            <w:tcBorders>
              <w:top w:val="nil"/>
              <w:left w:val="nil"/>
              <w:bottom w:val="single" w:sz="4" w:space="0" w:color="auto"/>
              <w:right w:val="single" w:sz="4" w:space="0" w:color="auto"/>
            </w:tcBorders>
            <w:shd w:val="clear" w:color="auto" w:fill="C6EFCE"/>
            <w:noWrap/>
            <w:vAlign w:val="center"/>
          </w:tcPr>
          <w:p w14:paraId="78FB3725" w14:textId="2384B78F" w:rsidR="00A612E2" w:rsidRPr="00246CC4" w:rsidRDefault="00BA10AF" w:rsidP="00742B81">
            <w:pPr>
              <w:rPr>
                <w:noProof/>
                <w:color w:val="006100"/>
                <w:sz w:val="20"/>
                <w:szCs w:val="20"/>
              </w:rPr>
            </w:pPr>
            <w:r>
              <w:rPr>
                <w:noProof/>
                <w:color w:val="006100"/>
                <w:sz w:val="20"/>
              </w:rPr>
              <w:t>Eesmärk</w:t>
            </w:r>
          </w:p>
        </w:tc>
        <w:tc>
          <w:tcPr>
            <w:tcW w:w="3827" w:type="dxa"/>
            <w:tcBorders>
              <w:top w:val="nil"/>
              <w:left w:val="nil"/>
              <w:bottom w:val="single" w:sz="4" w:space="0" w:color="auto"/>
              <w:right w:val="single" w:sz="4" w:space="0" w:color="auto"/>
            </w:tcBorders>
            <w:shd w:val="clear" w:color="auto" w:fill="C6EFCE"/>
            <w:noWrap/>
            <w:vAlign w:val="center"/>
          </w:tcPr>
          <w:p w14:paraId="587F909C" w14:textId="77777777" w:rsidR="00A612E2" w:rsidRPr="003B127D" w:rsidRDefault="00A612E2" w:rsidP="00742B81">
            <w:pPr>
              <w:rPr>
                <w:noProof/>
                <w:color w:val="006100"/>
                <w:sz w:val="20"/>
                <w:szCs w:val="20"/>
              </w:rPr>
            </w:pPr>
            <w:r>
              <w:rPr>
                <w:noProof/>
                <w:color w:val="006100"/>
                <w:sz w:val="20"/>
              </w:rPr>
              <w:t>Riikliku e-riigihangete süsteemi täielik toimimine</w:t>
            </w:r>
          </w:p>
        </w:tc>
      </w:tr>
      <w:tr w:rsidR="00A612E2" w:rsidRPr="00D90835" w14:paraId="3D747CCB"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10D18E1" w14:textId="77777777" w:rsidR="00A612E2" w:rsidRPr="00246CC4" w:rsidRDefault="00A612E2" w:rsidP="00742B81">
            <w:pPr>
              <w:jc w:val="center"/>
              <w:rPr>
                <w:noProof/>
                <w:color w:val="006100"/>
                <w:sz w:val="20"/>
                <w:szCs w:val="20"/>
              </w:rPr>
            </w:pPr>
            <w:r>
              <w:rPr>
                <w:noProof/>
                <w:color w:val="006100"/>
                <w:sz w:val="20"/>
              </w:rPr>
              <w:t>M1C1-84</w:t>
            </w:r>
          </w:p>
        </w:tc>
        <w:tc>
          <w:tcPr>
            <w:tcW w:w="3118" w:type="dxa"/>
            <w:tcBorders>
              <w:top w:val="nil"/>
              <w:left w:val="nil"/>
              <w:bottom w:val="single" w:sz="4" w:space="0" w:color="auto"/>
              <w:right w:val="single" w:sz="4" w:space="0" w:color="auto"/>
            </w:tcBorders>
            <w:shd w:val="clear" w:color="auto" w:fill="C6EFCE"/>
            <w:noWrap/>
            <w:vAlign w:val="center"/>
          </w:tcPr>
          <w:p w14:paraId="1E806FCB" w14:textId="77777777" w:rsidR="00A612E2" w:rsidRPr="003B127D" w:rsidRDefault="00A612E2" w:rsidP="00742B81">
            <w:pPr>
              <w:rPr>
                <w:noProof/>
                <w:color w:val="006100"/>
                <w:sz w:val="20"/>
                <w:szCs w:val="20"/>
              </w:rPr>
            </w:pPr>
            <w:r>
              <w:rPr>
                <w:noProof/>
                <w:color w:val="006100"/>
                <w:sz w:val="20"/>
              </w:rPr>
              <w:t>Reform 1.10. Riigihangete õigusraamistiku reform</w:t>
            </w:r>
          </w:p>
        </w:tc>
        <w:tc>
          <w:tcPr>
            <w:tcW w:w="1418" w:type="dxa"/>
            <w:tcBorders>
              <w:top w:val="nil"/>
              <w:left w:val="nil"/>
              <w:bottom w:val="single" w:sz="4" w:space="0" w:color="auto"/>
              <w:right w:val="single" w:sz="4" w:space="0" w:color="auto"/>
            </w:tcBorders>
            <w:shd w:val="clear" w:color="auto" w:fill="C6EFCE"/>
            <w:noWrap/>
            <w:vAlign w:val="center"/>
          </w:tcPr>
          <w:p w14:paraId="404D828E" w14:textId="77777777" w:rsidR="00A612E2" w:rsidRPr="00246CC4" w:rsidRDefault="00A612E2" w:rsidP="00742B81">
            <w:pPr>
              <w:rPr>
                <w:noProof/>
                <w:color w:val="006100"/>
                <w:sz w:val="20"/>
                <w:szCs w:val="20"/>
              </w:rPr>
            </w:pPr>
            <w:r>
              <w:rPr>
                <w:noProof/>
                <w:color w:val="006100"/>
                <w:sz w:val="20"/>
              </w:rPr>
              <w:t>Siht</w:t>
            </w:r>
          </w:p>
        </w:tc>
        <w:tc>
          <w:tcPr>
            <w:tcW w:w="3827" w:type="dxa"/>
            <w:tcBorders>
              <w:top w:val="nil"/>
              <w:left w:val="nil"/>
              <w:bottom w:val="single" w:sz="4" w:space="0" w:color="auto"/>
              <w:right w:val="single" w:sz="4" w:space="0" w:color="auto"/>
            </w:tcBorders>
            <w:shd w:val="clear" w:color="auto" w:fill="C6EFCE"/>
            <w:noWrap/>
            <w:vAlign w:val="center"/>
          </w:tcPr>
          <w:p w14:paraId="78966A2F" w14:textId="77777777" w:rsidR="00A612E2" w:rsidRPr="003B127D" w:rsidRDefault="00A612E2" w:rsidP="00742B81">
            <w:pPr>
              <w:rPr>
                <w:noProof/>
                <w:color w:val="006100"/>
                <w:sz w:val="20"/>
                <w:szCs w:val="20"/>
              </w:rPr>
            </w:pPr>
            <w:r>
              <w:rPr>
                <w:noProof/>
                <w:color w:val="006100"/>
                <w:sz w:val="20"/>
              </w:rPr>
              <w:t>Keskmine aeg avaldamise ja lepingu sõlmimise vahel</w:t>
            </w:r>
          </w:p>
        </w:tc>
      </w:tr>
      <w:tr w:rsidR="00A612E2" w:rsidRPr="00D90835" w14:paraId="36043BB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8E44AFE" w14:textId="77777777" w:rsidR="00A612E2" w:rsidRPr="00246CC4" w:rsidRDefault="00A612E2" w:rsidP="00742B81">
            <w:pPr>
              <w:jc w:val="center"/>
              <w:rPr>
                <w:noProof/>
                <w:color w:val="006100"/>
                <w:sz w:val="20"/>
                <w:szCs w:val="20"/>
              </w:rPr>
            </w:pPr>
            <w:r>
              <w:rPr>
                <w:noProof/>
                <w:color w:val="006100"/>
                <w:sz w:val="20"/>
              </w:rPr>
              <w:t>M1C1-85</w:t>
            </w:r>
          </w:p>
        </w:tc>
        <w:tc>
          <w:tcPr>
            <w:tcW w:w="3118" w:type="dxa"/>
            <w:tcBorders>
              <w:top w:val="nil"/>
              <w:left w:val="nil"/>
              <w:bottom w:val="single" w:sz="4" w:space="0" w:color="auto"/>
              <w:right w:val="single" w:sz="4" w:space="0" w:color="auto"/>
            </w:tcBorders>
            <w:shd w:val="clear" w:color="auto" w:fill="C6EFCE"/>
            <w:noWrap/>
            <w:vAlign w:val="center"/>
          </w:tcPr>
          <w:p w14:paraId="291DC48C" w14:textId="77777777" w:rsidR="00A612E2" w:rsidRPr="003B127D" w:rsidRDefault="00A612E2" w:rsidP="00742B81">
            <w:pPr>
              <w:rPr>
                <w:noProof/>
                <w:color w:val="006100"/>
                <w:sz w:val="20"/>
                <w:szCs w:val="20"/>
              </w:rPr>
            </w:pPr>
            <w:r>
              <w:rPr>
                <w:noProof/>
                <w:color w:val="006100"/>
                <w:sz w:val="20"/>
              </w:rPr>
              <w:t>Reform 1.10. Riigihangete õigusraamistiku reform</w:t>
            </w:r>
          </w:p>
        </w:tc>
        <w:tc>
          <w:tcPr>
            <w:tcW w:w="1418" w:type="dxa"/>
            <w:tcBorders>
              <w:top w:val="nil"/>
              <w:left w:val="nil"/>
              <w:bottom w:val="single" w:sz="4" w:space="0" w:color="auto"/>
              <w:right w:val="single" w:sz="4" w:space="0" w:color="auto"/>
            </w:tcBorders>
            <w:shd w:val="clear" w:color="auto" w:fill="C6EFCE"/>
            <w:noWrap/>
            <w:vAlign w:val="center"/>
          </w:tcPr>
          <w:p w14:paraId="7609F344" w14:textId="77777777" w:rsidR="00A612E2" w:rsidRPr="00246CC4" w:rsidRDefault="00A612E2" w:rsidP="00742B81">
            <w:pPr>
              <w:rPr>
                <w:noProof/>
                <w:color w:val="006100"/>
                <w:sz w:val="20"/>
                <w:szCs w:val="20"/>
              </w:rPr>
            </w:pPr>
            <w:r>
              <w:rPr>
                <w:noProof/>
                <w:color w:val="006100"/>
                <w:sz w:val="20"/>
              </w:rPr>
              <w:t>Siht</w:t>
            </w:r>
          </w:p>
        </w:tc>
        <w:tc>
          <w:tcPr>
            <w:tcW w:w="3827" w:type="dxa"/>
            <w:tcBorders>
              <w:top w:val="nil"/>
              <w:left w:val="nil"/>
              <w:bottom w:val="single" w:sz="4" w:space="0" w:color="auto"/>
              <w:right w:val="single" w:sz="4" w:space="0" w:color="auto"/>
            </w:tcBorders>
            <w:shd w:val="clear" w:color="auto" w:fill="C6EFCE"/>
            <w:noWrap/>
            <w:vAlign w:val="center"/>
          </w:tcPr>
          <w:p w14:paraId="76C671AF" w14:textId="77777777" w:rsidR="00A612E2" w:rsidRPr="003B127D" w:rsidRDefault="00A612E2" w:rsidP="00742B81">
            <w:pPr>
              <w:rPr>
                <w:noProof/>
                <w:color w:val="006100"/>
                <w:sz w:val="20"/>
                <w:szCs w:val="20"/>
              </w:rPr>
            </w:pPr>
            <w:r>
              <w:rPr>
                <w:noProof/>
                <w:color w:val="006100"/>
                <w:sz w:val="20"/>
              </w:rPr>
              <w:t>Keskmine lepingu sõlmimise ja infrastruktuuri realiseerimise vaheline aeg</w:t>
            </w:r>
          </w:p>
        </w:tc>
      </w:tr>
      <w:tr w:rsidR="00A612E2" w:rsidRPr="00D90835" w14:paraId="510FC873"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B72A52E" w14:textId="77777777" w:rsidR="00A612E2" w:rsidRPr="00246CC4" w:rsidRDefault="00A612E2" w:rsidP="00742B81">
            <w:pPr>
              <w:jc w:val="center"/>
              <w:rPr>
                <w:noProof/>
                <w:color w:val="006100"/>
                <w:sz w:val="20"/>
                <w:szCs w:val="20"/>
              </w:rPr>
            </w:pPr>
            <w:r>
              <w:rPr>
                <w:noProof/>
                <w:color w:val="006100"/>
                <w:sz w:val="20"/>
              </w:rPr>
              <w:t>M1C1-86</w:t>
            </w:r>
          </w:p>
        </w:tc>
        <w:tc>
          <w:tcPr>
            <w:tcW w:w="3118" w:type="dxa"/>
            <w:tcBorders>
              <w:top w:val="nil"/>
              <w:left w:val="nil"/>
              <w:bottom w:val="single" w:sz="4" w:space="0" w:color="auto"/>
              <w:right w:val="single" w:sz="4" w:space="0" w:color="auto"/>
            </w:tcBorders>
            <w:shd w:val="clear" w:color="auto" w:fill="C6EFCE"/>
            <w:noWrap/>
            <w:vAlign w:val="center"/>
          </w:tcPr>
          <w:p w14:paraId="5837B22C" w14:textId="77777777" w:rsidR="00A612E2" w:rsidRPr="003B127D" w:rsidRDefault="00A612E2" w:rsidP="00742B81">
            <w:pPr>
              <w:rPr>
                <w:noProof/>
                <w:color w:val="006100"/>
                <w:sz w:val="20"/>
                <w:szCs w:val="20"/>
              </w:rPr>
            </w:pPr>
            <w:r>
              <w:rPr>
                <w:noProof/>
                <w:color w:val="006100"/>
                <w:sz w:val="20"/>
              </w:rPr>
              <w:t>Reform 1.10. Riigihangete õigusraamistiku reform</w:t>
            </w:r>
          </w:p>
        </w:tc>
        <w:tc>
          <w:tcPr>
            <w:tcW w:w="1418" w:type="dxa"/>
            <w:tcBorders>
              <w:top w:val="nil"/>
              <w:left w:val="nil"/>
              <w:bottom w:val="single" w:sz="4" w:space="0" w:color="auto"/>
              <w:right w:val="single" w:sz="4" w:space="0" w:color="auto"/>
            </w:tcBorders>
            <w:shd w:val="clear" w:color="auto" w:fill="C6EFCE"/>
            <w:noWrap/>
            <w:vAlign w:val="center"/>
          </w:tcPr>
          <w:p w14:paraId="6BBB215E" w14:textId="77777777" w:rsidR="00A612E2" w:rsidRPr="00246CC4" w:rsidRDefault="00A612E2" w:rsidP="00742B81">
            <w:pPr>
              <w:rPr>
                <w:noProof/>
                <w:color w:val="006100"/>
                <w:sz w:val="20"/>
                <w:szCs w:val="20"/>
              </w:rPr>
            </w:pPr>
            <w:r>
              <w:rPr>
                <w:noProof/>
                <w:color w:val="006100"/>
                <w:sz w:val="20"/>
              </w:rPr>
              <w:t>Siht</w:t>
            </w:r>
          </w:p>
        </w:tc>
        <w:tc>
          <w:tcPr>
            <w:tcW w:w="3827" w:type="dxa"/>
            <w:tcBorders>
              <w:top w:val="nil"/>
              <w:left w:val="nil"/>
              <w:bottom w:val="single" w:sz="4" w:space="0" w:color="auto"/>
              <w:right w:val="single" w:sz="4" w:space="0" w:color="auto"/>
            </w:tcBorders>
            <w:shd w:val="clear" w:color="auto" w:fill="C6EFCE"/>
            <w:noWrap/>
            <w:vAlign w:val="center"/>
          </w:tcPr>
          <w:p w14:paraId="04FBF5C2" w14:textId="77777777" w:rsidR="00A612E2" w:rsidRPr="003B127D" w:rsidRDefault="00A612E2" w:rsidP="00742B81">
            <w:pPr>
              <w:rPr>
                <w:noProof/>
                <w:color w:val="006100"/>
                <w:sz w:val="20"/>
                <w:szCs w:val="20"/>
              </w:rPr>
            </w:pPr>
            <w:r>
              <w:rPr>
                <w:noProof/>
                <w:color w:val="006100"/>
                <w:sz w:val="20"/>
              </w:rPr>
              <w:t>Avaliku sektori hankijad, keda on koolitatud avaliku sektori hankijate kutseliseks muutmise strateegia raames</w:t>
            </w:r>
          </w:p>
        </w:tc>
      </w:tr>
      <w:tr w:rsidR="00A612E2" w:rsidRPr="00D90835" w14:paraId="54E78F19"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589CDB9" w14:textId="77777777" w:rsidR="00A612E2" w:rsidRPr="00246CC4" w:rsidRDefault="00A612E2" w:rsidP="00742B81">
            <w:pPr>
              <w:jc w:val="center"/>
              <w:rPr>
                <w:noProof/>
                <w:color w:val="006100"/>
                <w:sz w:val="20"/>
                <w:szCs w:val="20"/>
              </w:rPr>
            </w:pPr>
            <w:r>
              <w:rPr>
                <w:noProof/>
                <w:color w:val="006100"/>
                <w:sz w:val="20"/>
              </w:rPr>
              <w:t>M1C1-87</w:t>
            </w:r>
          </w:p>
        </w:tc>
        <w:tc>
          <w:tcPr>
            <w:tcW w:w="3118" w:type="dxa"/>
            <w:tcBorders>
              <w:top w:val="nil"/>
              <w:left w:val="nil"/>
              <w:bottom w:val="single" w:sz="4" w:space="0" w:color="auto"/>
              <w:right w:val="single" w:sz="4" w:space="0" w:color="auto"/>
            </w:tcBorders>
            <w:shd w:val="clear" w:color="auto" w:fill="C6EFCE"/>
            <w:noWrap/>
            <w:vAlign w:val="center"/>
          </w:tcPr>
          <w:p w14:paraId="72A62C43" w14:textId="77777777" w:rsidR="00A612E2" w:rsidRPr="003B127D" w:rsidRDefault="00A612E2" w:rsidP="00742B81">
            <w:pPr>
              <w:rPr>
                <w:noProof/>
                <w:color w:val="006100"/>
                <w:sz w:val="20"/>
                <w:szCs w:val="20"/>
              </w:rPr>
            </w:pPr>
            <w:r>
              <w:rPr>
                <w:noProof/>
                <w:color w:val="006100"/>
                <w:sz w:val="20"/>
              </w:rPr>
              <w:t>Reform 1.10. Riigihangete õigusraamistiku reform</w:t>
            </w:r>
          </w:p>
        </w:tc>
        <w:tc>
          <w:tcPr>
            <w:tcW w:w="1418" w:type="dxa"/>
            <w:tcBorders>
              <w:top w:val="nil"/>
              <w:left w:val="nil"/>
              <w:bottom w:val="single" w:sz="4" w:space="0" w:color="auto"/>
              <w:right w:val="single" w:sz="4" w:space="0" w:color="auto"/>
            </w:tcBorders>
            <w:shd w:val="clear" w:color="auto" w:fill="C6EFCE"/>
            <w:noWrap/>
            <w:vAlign w:val="center"/>
          </w:tcPr>
          <w:p w14:paraId="6BFD026B" w14:textId="77777777" w:rsidR="00A612E2" w:rsidRPr="00246CC4" w:rsidRDefault="00A612E2" w:rsidP="00742B81">
            <w:pPr>
              <w:rPr>
                <w:noProof/>
                <w:color w:val="006100"/>
                <w:sz w:val="20"/>
                <w:szCs w:val="20"/>
              </w:rPr>
            </w:pPr>
            <w:r>
              <w:rPr>
                <w:noProof/>
                <w:color w:val="006100"/>
                <w:sz w:val="20"/>
              </w:rPr>
              <w:t>Siht</w:t>
            </w:r>
          </w:p>
        </w:tc>
        <w:tc>
          <w:tcPr>
            <w:tcW w:w="3827" w:type="dxa"/>
            <w:tcBorders>
              <w:top w:val="nil"/>
              <w:left w:val="nil"/>
              <w:bottom w:val="single" w:sz="4" w:space="0" w:color="auto"/>
              <w:right w:val="single" w:sz="4" w:space="0" w:color="auto"/>
            </w:tcBorders>
            <w:shd w:val="clear" w:color="auto" w:fill="C6EFCE"/>
            <w:noWrap/>
            <w:vAlign w:val="center"/>
          </w:tcPr>
          <w:p w14:paraId="6452BB47" w14:textId="77777777" w:rsidR="00A612E2" w:rsidRPr="003B127D" w:rsidRDefault="00A612E2" w:rsidP="00742B81">
            <w:pPr>
              <w:rPr>
                <w:noProof/>
                <w:color w:val="006100"/>
                <w:sz w:val="20"/>
                <w:szCs w:val="20"/>
              </w:rPr>
            </w:pPr>
            <w:r>
              <w:rPr>
                <w:noProof/>
                <w:color w:val="006100"/>
                <w:sz w:val="20"/>
              </w:rPr>
              <w:t>Dünaamiliseid hankesüsteeme kasutavad avaliku sektori hankijad</w:t>
            </w:r>
          </w:p>
        </w:tc>
      </w:tr>
      <w:tr w:rsidR="00A612E2" w:rsidRPr="00D90835" w14:paraId="7B3EB7F1"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2699908" w14:textId="77777777" w:rsidR="00A612E2" w:rsidRPr="00246CC4" w:rsidRDefault="00A612E2" w:rsidP="00742B81">
            <w:pPr>
              <w:jc w:val="center"/>
              <w:rPr>
                <w:noProof/>
                <w:color w:val="006100"/>
                <w:sz w:val="20"/>
                <w:szCs w:val="20"/>
              </w:rPr>
            </w:pPr>
            <w:r>
              <w:rPr>
                <w:noProof/>
                <w:color w:val="006100"/>
                <w:sz w:val="20"/>
              </w:rPr>
              <w:t>M1C1-110</w:t>
            </w:r>
          </w:p>
        </w:tc>
        <w:tc>
          <w:tcPr>
            <w:tcW w:w="3118" w:type="dxa"/>
            <w:tcBorders>
              <w:top w:val="nil"/>
              <w:left w:val="nil"/>
              <w:bottom w:val="single" w:sz="4" w:space="0" w:color="auto"/>
              <w:right w:val="single" w:sz="4" w:space="0" w:color="auto"/>
            </w:tcBorders>
            <w:shd w:val="clear" w:color="auto" w:fill="C6EFCE"/>
            <w:noWrap/>
            <w:vAlign w:val="center"/>
          </w:tcPr>
          <w:p w14:paraId="3820B7C6" w14:textId="77777777" w:rsidR="00A612E2" w:rsidRPr="003B127D" w:rsidRDefault="00A612E2" w:rsidP="00742B81">
            <w:pPr>
              <w:rPr>
                <w:noProof/>
                <w:color w:val="006100"/>
                <w:sz w:val="20"/>
                <w:szCs w:val="20"/>
              </w:rPr>
            </w:pPr>
            <w:r>
              <w:rPr>
                <w:noProof/>
                <w:color w:val="006100"/>
                <w:sz w:val="20"/>
              </w:rPr>
              <w:t>Reform 1.13. Kulude läbivaatamise raamistiku reform</w:t>
            </w:r>
          </w:p>
        </w:tc>
        <w:tc>
          <w:tcPr>
            <w:tcW w:w="1418" w:type="dxa"/>
            <w:tcBorders>
              <w:top w:val="nil"/>
              <w:left w:val="nil"/>
              <w:bottom w:val="single" w:sz="4" w:space="0" w:color="auto"/>
              <w:right w:val="single" w:sz="4" w:space="0" w:color="auto"/>
            </w:tcBorders>
            <w:shd w:val="clear" w:color="auto" w:fill="C6EFCE"/>
            <w:noWrap/>
            <w:vAlign w:val="center"/>
          </w:tcPr>
          <w:p w14:paraId="5A370809" w14:textId="77777777" w:rsidR="00A612E2" w:rsidRPr="00246CC4" w:rsidRDefault="00A612E2" w:rsidP="00742B81">
            <w:pPr>
              <w:rPr>
                <w:noProof/>
                <w:color w:val="006100"/>
                <w:sz w:val="20"/>
                <w:szCs w:val="20"/>
              </w:rPr>
            </w:pPr>
            <w:r>
              <w:rPr>
                <w:noProof/>
                <w:color w:val="006100"/>
                <w:sz w:val="20"/>
              </w:rPr>
              <w:t>Eesmärk</w:t>
            </w:r>
          </w:p>
        </w:tc>
        <w:tc>
          <w:tcPr>
            <w:tcW w:w="3827" w:type="dxa"/>
            <w:tcBorders>
              <w:top w:val="nil"/>
              <w:left w:val="nil"/>
              <w:bottom w:val="single" w:sz="4" w:space="0" w:color="auto"/>
              <w:right w:val="single" w:sz="4" w:space="0" w:color="auto"/>
            </w:tcBorders>
            <w:shd w:val="clear" w:color="auto" w:fill="C6EFCE"/>
            <w:noWrap/>
            <w:vAlign w:val="center"/>
          </w:tcPr>
          <w:p w14:paraId="0C3C2AB2" w14:textId="77777777" w:rsidR="00A612E2" w:rsidRPr="003B127D" w:rsidRDefault="00A612E2" w:rsidP="00742B81">
            <w:pPr>
              <w:rPr>
                <w:noProof/>
                <w:color w:val="006100"/>
                <w:sz w:val="20"/>
                <w:szCs w:val="20"/>
              </w:rPr>
            </w:pPr>
            <w:r>
              <w:rPr>
                <w:noProof/>
                <w:color w:val="006100"/>
                <w:sz w:val="20"/>
              </w:rPr>
              <w:t>Riigieelarve ümberliigitamine seoses keskkonnakulude ja soolist võrdõiguslikkust edendavate kuludega</w:t>
            </w:r>
          </w:p>
        </w:tc>
      </w:tr>
      <w:tr w:rsidR="00A612E2" w:rsidRPr="00D90835" w14:paraId="1D6CDE5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0238B1E" w14:textId="77777777" w:rsidR="00A612E2" w:rsidRPr="00246CC4" w:rsidRDefault="00A612E2" w:rsidP="00742B81">
            <w:pPr>
              <w:jc w:val="center"/>
              <w:rPr>
                <w:noProof/>
                <w:color w:val="006100"/>
                <w:sz w:val="20"/>
                <w:szCs w:val="20"/>
              </w:rPr>
            </w:pPr>
            <w:r>
              <w:rPr>
                <w:noProof/>
                <w:color w:val="006100"/>
                <w:sz w:val="20"/>
              </w:rPr>
              <w:t>M1C2-9</w:t>
            </w:r>
          </w:p>
        </w:tc>
        <w:tc>
          <w:tcPr>
            <w:tcW w:w="3118" w:type="dxa"/>
            <w:tcBorders>
              <w:top w:val="nil"/>
              <w:left w:val="nil"/>
              <w:bottom w:val="single" w:sz="4" w:space="0" w:color="auto"/>
              <w:right w:val="single" w:sz="4" w:space="0" w:color="auto"/>
            </w:tcBorders>
            <w:shd w:val="clear" w:color="auto" w:fill="C6EFCE"/>
            <w:noWrap/>
            <w:vAlign w:val="center"/>
          </w:tcPr>
          <w:p w14:paraId="5E9CCD65" w14:textId="77777777" w:rsidR="00A612E2" w:rsidRPr="00246CC4" w:rsidRDefault="00A612E2" w:rsidP="00742B81">
            <w:pPr>
              <w:rPr>
                <w:noProof/>
                <w:color w:val="006100"/>
                <w:sz w:val="20"/>
                <w:szCs w:val="20"/>
              </w:rPr>
            </w:pPr>
            <w:r>
              <w:rPr>
                <w:noProof/>
                <w:color w:val="006100"/>
                <w:sz w:val="20"/>
              </w:rPr>
              <w:t>Reform 2. Iga-aastased konkurentsiseadused</w:t>
            </w:r>
          </w:p>
        </w:tc>
        <w:tc>
          <w:tcPr>
            <w:tcW w:w="1418" w:type="dxa"/>
            <w:tcBorders>
              <w:top w:val="nil"/>
              <w:left w:val="nil"/>
              <w:bottom w:val="single" w:sz="4" w:space="0" w:color="auto"/>
              <w:right w:val="single" w:sz="4" w:space="0" w:color="auto"/>
            </w:tcBorders>
            <w:shd w:val="clear" w:color="auto" w:fill="C6EFCE"/>
            <w:noWrap/>
            <w:vAlign w:val="center"/>
          </w:tcPr>
          <w:p w14:paraId="4080912E" w14:textId="77777777" w:rsidR="00A612E2" w:rsidRPr="00246CC4" w:rsidRDefault="00A612E2" w:rsidP="00742B81">
            <w:pPr>
              <w:rPr>
                <w:noProof/>
                <w:color w:val="006100"/>
                <w:sz w:val="20"/>
                <w:szCs w:val="20"/>
              </w:rPr>
            </w:pPr>
            <w:r>
              <w:rPr>
                <w:noProof/>
                <w:color w:val="006100"/>
                <w:sz w:val="20"/>
              </w:rPr>
              <w:t>Eesmärk</w:t>
            </w:r>
          </w:p>
        </w:tc>
        <w:tc>
          <w:tcPr>
            <w:tcW w:w="3827" w:type="dxa"/>
            <w:tcBorders>
              <w:top w:val="nil"/>
              <w:left w:val="nil"/>
              <w:bottom w:val="single" w:sz="4" w:space="0" w:color="auto"/>
              <w:right w:val="single" w:sz="4" w:space="0" w:color="auto"/>
            </w:tcBorders>
            <w:shd w:val="clear" w:color="auto" w:fill="C6EFCE"/>
            <w:noWrap/>
            <w:vAlign w:val="center"/>
          </w:tcPr>
          <w:p w14:paraId="1F4E645C" w14:textId="77777777" w:rsidR="00A612E2" w:rsidRPr="003B127D" w:rsidRDefault="00A612E2" w:rsidP="00742B81">
            <w:pPr>
              <w:rPr>
                <w:noProof/>
                <w:color w:val="006100"/>
                <w:sz w:val="20"/>
                <w:szCs w:val="20"/>
              </w:rPr>
            </w:pPr>
            <w:r>
              <w:rPr>
                <w:noProof/>
                <w:color w:val="006100"/>
                <w:sz w:val="20"/>
              </w:rPr>
              <w:t>2022. aasta konkurentsiseaduse jõustumine</w:t>
            </w:r>
          </w:p>
        </w:tc>
      </w:tr>
      <w:tr w:rsidR="00A612E2" w:rsidRPr="00D90835" w14:paraId="06570A31"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4996213" w14:textId="77777777" w:rsidR="00A612E2" w:rsidRPr="00246CC4" w:rsidRDefault="00A612E2" w:rsidP="00742B81">
            <w:pPr>
              <w:jc w:val="center"/>
              <w:rPr>
                <w:noProof/>
                <w:color w:val="006100"/>
                <w:sz w:val="20"/>
                <w:szCs w:val="20"/>
              </w:rPr>
            </w:pPr>
            <w:r>
              <w:rPr>
                <w:noProof/>
                <w:color w:val="006100"/>
                <w:sz w:val="20"/>
              </w:rPr>
              <w:t>M1C2-10</w:t>
            </w:r>
          </w:p>
        </w:tc>
        <w:tc>
          <w:tcPr>
            <w:tcW w:w="3118" w:type="dxa"/>
            <w:tcBorders>
              <w:top w:val="nil"/>
              <w:left w:val="nil"/>
              <w:bottom w:val="single" w:sz="4" w:space="0" w:color="auto"/>
              <w:right w:val="single" w:sz="4" w:space="0" w:color="auto"/>
            </w:tcBorders>
            <w:shd w:val="clear" w:color="auto" w:fill="C6EFCE"/>
            <w:noWrap/>
            <w:vAlign w:val="center"/>
          </w:tcPr>
          <w:p w14:paraId="3B5469E4" w14:textId="77777777" w:rsidR="00A612E2" w:rsidRPr="00246CC4" w:rsidRDefault="00A612E2" w:rsidP="00742B81">
            <w:pPr>
              <w:rPr>
                <w:noProof/>
                <w:color w:val="006100"/>
                <w:sz w:val="20"/>
                <w:szCs w:val="20"/>
              </w:rPr>
            </w:pPr>
            <w:r>
              <w:rPr>
                <w:noProof/>
                <w:color w:val="006100"/>
                <w:sz w:val="20"/>
              </w:rPr>
              <w:t>Reform 2. Iga-aastased konkurentsiseadused</w:t>
            </w:r>
          </w:p>
        </w:tc>
        <w:tc>
          <w:tcPr>
            <w:tcW w:w="1418" w:type="dxa"/>
            <w:tcBorders>
              <w:top w:val="nil"/>
              <w:left w:val="nil"/>
              <w:bottom w:val="single" w:sz="4" w:space="0" w:color="auto"/>
              <w:right w:val="single" w:sz="4" w:space="0" w:color="auto"/>
            </w:tcBorders>
            <w:shd w:val="clear" w:color="auto" w:fill="C6EFCE"/>
            <w:noWrap/>
            <w:vAlign w:val="center"/>
          </w:tcPr>
          <w:p w14:paraId="306F1464" w14:textId="77777777" w:rsidR="00A612E2" w:rsidRPr="00246CC4" w:rsidRDefault="00A612E2" w:rsidP="00742B81">
            <w:pPr>
              <w:rPr>
                <w:noProof/>
                <w:color w:val="006100"/>
                <w:sz w:val="20"/>
                <w:szCs w:val="20"/>
              </w:rPr>
            </w:pPr>
            <w:r>
              <w:rPr>
                <w:noProof/>
                <w:color w:val="006100"/>
                <w:sz w:val="20"/>
              </w:rPr>
              <w:t>Eesmärk</w:t>
            </w:r>
          </w:p>
        </w:tc>
        <w:tc>
          <w:tcPr>
            <w:tcW w:w="3827" w:type="dxa"/>
            <w:tcBorders>
              <w:top w:val="nil"/>
              <w:left w:val="nil"/>
              <w:bottom w:val="single" w:sz="4" w:space="0" w:color="auto"/>
              <w:right w:val="single" w:sz="4" w:space="0" w:color="auto"/>
            </w:tcBorders>
            <w:shd w:val="clear" w:color="auto" w:fill="C6EFCE"/>
            <w:noWrap/>
            <w:vAlign w:val="center"/>
          </w:tcPr>
          <w:p w14:paraId="306DFB86" w14:textId="77777777" w:rsidR="00A612E2" w:rsidRPr="003B127D" w:rsidRDefault="00A612E2" w:rsidP="00742B81">
            <w:pPr>
              <w:rPr>
                <w:noProof/>
                <w:color w:val="006100"/>
                <w:sz w:val="20"/>
                <w:szCs w:val="20"/>
              </w:rPr>
            </w:pPr>
            <w:r>
              <w:rPr>
                <w:noProof/>
                <w:color w:val="006100"/>
                <w:sz w:val="20"/>
              </w:rPr>
              <w:t>Kõigi rakendusmeetmete (sealhulgas vajaduse korral teiseste õigusaktide) jõustumine 2022. aasta konkurentsiseadusest tulenevate meetmete tõhusaks rakendamiseks ja kohaldamiseks</w:t>
            </w:r>
          </w:p>
        </w:tc>
      </w:tr>
      <w:tr w:rsidR="00A612E2" w:rsidRPr="00D90835" w14:paraId="1406874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42EAA5A" w14:textId="77777777" w:rsidR="00A612E2" w:rsidRPr="00246CC4" w:rsidRDefault="00A612E2" w:rsidP="00742B81">
            <w:pPr>
              <w:jc w:val="center"/>
              <w:rPr>
                <w:noProof/>
                <w:color w:val="006100"/>
                <w:sz w:val="20"/>
                <w:szCs w:val="20"/>
              </w:rPr>
            </w:pPr>
            <w:r>
              <w:rPr>
                <w:noProof/>
                <w:color w:val="006100"/>
                <w:sz w:val="20"/>
              </w:rPr>
              <w:t>M1C3-7</w:t>
            </w:r>
          </w:p>
        </w:tc>
        <w:tc>
          <w:tcPr>
            <w:tcW w:w="3118" w:type="dxa"/>
            <w:tcBorders>
              <w:top w:val="nil"/>
              <w:left w:val="nil"/>
              <w:bottom w:val="single" w:sz="4" w:space="0" w:color="auto"/>
              <w:right w:val="single" w:sz="4" w:space="0" w:color="auto"/>
            </w:tcBorders>
            <w:shd w:val="clear" w:color="auto" w:fill="C6EFCE"/>
            <w:noWrap/>
            <w:vAlign w:val="center"/>
          </w:tcPr>
          <w:p w14:paraId="1D4A3383" w14:textId="77777777" w:rsidR="00A612E2" w:rsidRPr="003B127D" w:rsidRDefault="00A612E2" w:rsidP="00742B81">
            <w:pPr>
              <w:rPr>
                <w:noProof/>
                <w:color w:val="006100"/>
                <w:sz w:val="20"/>
                <w:szCs w:val="20"/>
              </w:rPr>
            </w:pPr>
            <w:r>
              <w:rPr>
                <w:noProof/>
                <w:color w:val="006100"/>
                <w:sz w:val="20"/>
              </w:rPr>
              <w:t>Investeering 3.3. Kultuurivaldkonna ettevõtjate suutlikkuse suurendamine, et juhtida digiüleminekut ja rohelist üleminekut.</w:t>
            </w:r>
          </w:p>
        </w:tc>
        <w:tc>
          <w:tcPr>
            <w:tcW w:w="1418" w:type="dxa"/>
            <w:tcBorders>
              <w:top w:val="nil"/>
              <w:left w:val="nil"/>
              <w:bottom w:val="single" w:sz="4" w:space="0" w:color="auto"/>
              <w:right w:val="single" w:sz="4" w:space="0" w:color="auto"/>
            </w:tcBorders>
            <w:shd w:val="clear" w:color="auto" w:fill="C6EFCE"/>
            <w:noWrap/>
            <w:vAlign w:val="center"/>
          </w:tcPr>
          <w:p w14:paraId="42A6E2E2" w14:textId="77777777" w:rsidR="00A612E2" w:rsidRPr="00246CC4" w:rsidRDefault="00A612E2" w:rsidP="00742B81">
            <w:pPr>
              <w:rPr>
                <w:noProof/>
                <w:color w:val="006100"/>
                <w:sz w:val="20"/>
                <w:szCs w:val="20"/>
              </w:rPr>
            </w:pPr>
            <w:r>
              <w:rPr>
                <w:noProof/>
                <w:color w:val="006100"/>
                <w:sz w:val="20"/>
              </w:rPr>
              <w:t>Eesmärk</w:t>
            </w:r>
          </w:p>
        </w:tc>
        <w:tc>
          <w:tcPr>
            <w:tcW w:w="3827" w:type="dxa"/>
            <w:tcBorders>
              <w:top w:val="nil"/>
              <w:left w:val="nil"/>
              <w:bottom w:val="single" w:sz="4" w:space="0" w:color="auto"/>
              <w:right w:val="single" w:sz="4" w:space="0" w:color="auto"/>
            </w:tcBorders>
            <w:shd w:val="clear" w:color="auto" w:fill="C6EFCE"/>
            <w:noWrap/>
            <w:vAlign w:val="center"/>
          </w:tcPr>
          <w:p w14:paraId="175ADE15" w14:textId="77777777" w:rsidR="00A612E2" w:rsidRPr="003B127D" w:rsidRDefault="00A612E2" w:rsidP="00742B81">
            <w:pPr>
              <w:rPr>
                <w:noProof/>
                <w:color w:val="006100"/>
                <w:sz w:val="20"/>
                <w:szCs w:val="20"/>
              </w:rPr>
            </w:pPr>
            <w:r>
              <w:rPr>
                <w:noProof/>
                <w:color w:val="006100"/>
                <w:sz w:val="20"/>
              </w:rPr>
              <w:t>Kõigi riigihankelepingute sõlmimine rakendusorganisatsiooni(de)/toetusesaajatega kõigi sekkumiste jaoks, et juhtida kultuurivaldkonnas tegutsejate üleminekut digitehnoloogiale ja keskkonnahoidlikule majandusele</w:t>
            </w:r>
          </w:p>
        </w:tc>
      </w:tr>
      <w:tr w:rsidR="00A612E2" w:rsidRPr="00D90835" w14:paraId="3F9BF1C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9805262" w14:textId="77777777" w:rsidR="00A612E2" w:rsidRPr="00246CC4" w:rsidRDefault="00A612E2" w:rsidP="00742B81">
            <w:pPr>
              <w:jc w:val="center"/>
              <w:rPr>
                <w:noProof/>
                <w:color w:val="006100"/>
                <w:sz w:val="20"/>
                <w:szCs w:val="20"/>
              </w:rPr>
            </w:pPr>
            <w:r>
              <w:rPr>
                <w:noProof/>
                <w:color w:val="006100"/>
                <w:sz w:val="20"/>
              </w:rPr>
              <w:t>M2C1-5</w:t>
            </w:r>
          </w:p>
        </w:tc>
        <w:tc>
          <w:tcPr>
            <w:tcW w:w="3118" w:type="dxa"/>
            <w:tcBorders>
              <w:top w:val="nil"/>
              <w:left w:val="nil"/>
              <w:bottom w:val="single" w:sz="4" w:space="0" w:color="auto"/>
              <w:right w:val="single" w:sz="4" w:space="0" w:color="auto"/>
            </w:tcBorders>
            <w:shd w:val="clear" w:color="auto" w:fill="C6EFCE"/>
            <w:noWrap/>
            <w:vAlign w:val="center"/>
          </w:tcPr>
          <w:p w14:paraId="2AE55E28" w14:textId="77777777" w:rsidR="00A612E2" w:rsidRPr="00246CC4" w:rsidRDefault="00A612E2" w:rsidP="00742B81">
            <w:pPr>
              <w:rPr>
                <w:noProof/>
                <w:color w:val="006100"/>
                <w:sz w:val="20"/>
                <w:szCs w:val="20"/>
              </w:rPr>
            </w:pPr>
            <w:r>
              <w:rPr>
                <w:noProof/>
                <w:color w:val="006100"/>
                <w:sz w:val="20"/>
              </w:rPr>
              <w:t>Investeering 2.2. Põllumajanduslik päikesepark</w:t>
            </w:r>
          </w:p>
        </w:tc>
        <w:tc>
          <w:tcPr>
            <w:tcW w:w="1418" w:type="dxa"/>
            <w:tcBorders>
              <w:top w:val="nil"/>
              <w:left w:val="nil"/>
              <w:bottom w:val="single" w:sz="4" w:space="0" w:color="auto"/>
              <w:right w:val="single" w:sz="4" w:space="0" w:color="auto"/>
            </w:tcBorders>
            <w:shd w:val="clear" w:color="auto" w:fill="C6EFCE"/>
            <w:noWrap/>
            <w:vAlign w:val="center"/>
          </w:tcPr>
          <w:p w14:paraId="3C59F53B" w14:textId="77777777" w:rsidR="00A612E2" w:rsidRPr="00246CC4" w:rsidRDefault="00A612E2" w:rsidP="00742B81">
            <w:pPr>
              <w:rPr>
                <w:noProof/>
                <w:color w:val="006100"/>
                <w:sz w:val="20"/>
                <w:szCs w:val="20"/>
              </w:rPr>
            </w:pPr>
            <w:r>
              <w:rPr>
                <w:noProof/>
                <w:color w:val="006100"/>
                <w:sz w:val="20"/>
              </w:rPr>
              <w:t>Siht</w:t>
            </w:r>
          </w:p>
        </w:tc>
        <w:tc>
          <w:tcPr>
            <w:tcW w:w="3827" w:type="dxa"/>
            <w:tcBorders>
              <w:top w:val="nil"/>
              <w:left w:val="nil"/>
              <w:bottom w:val="single" w:sz="4" w:space="0" w:color="auto"/>
              <w:right w:val="single" w:sz="4" w:space="0" w:color="auto"/>
            </w:tcBorders>
            <w:shd w:val="clear" w:color="auto" w:fill="C6EFCE"/>
            <w:noWrap/>
            <w:vAlign w:val="center"/>
          </w:tcPr>
          <w:p w14:paraId="6221A3F6" w14:textId="77777777" w:rsidR="00A612E2" w:rsidRPr="003B127D" w:rsidRDefault="00A612E2" w:rsidP="00742B81">
            <w:pPr>
              <w:rPr>
                <w:noProof/>
                <w:color w:val="006100"/>
                <w:sz w:val="20"/>
                <w:szCs w:val="20"/>
              </w:rPr>
            </w:pPr>
            <w:r>
              <w:rPr>
                <w:noProof/>
                <w:color w:val="006100"/>
                <w:sz w:val="20"/>
              </w:rPr>
              <w:t>Vahendite eraldamine toetusesaajatele protsendina investeeringule eraldatud rahaliste vahendite kogusummast</w:t>
            </w:r>
          </w:p>
        </w:tc>
      </w:tr>
      <w:tr w:rsidR="00A612E2" w:rsidRPr="00246CC4" w14:paraId="33D8F395"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C9832B7" w14:textId="77777777" w:rsidR="00A612E2" w:rsidRPr="00246CC4" w:rsidRDefault="00A612E2" w:rsidP="00742B81">
            <w:pPr>
              <w:jc w:val="center"/>
              <w:rPr>
                <w:noProof/>
                <w:color w:val="006100"/>
                <w:sz w:val="20"/>
                <w:szCs w:val="20"/>
              </w:rPr>
            </w:pPr>
            <w:r>
              <w:rPr>
                <w:noProof/>
                <w:color w:val="006100"/>
                <w:sz w:val="20"/>
              </w:rPr>
              <w:t>M2C2-22</w:t>
            </w:r>
          </w:p>
        </w:tc>
        <w:tc>
          <w:tcPr>
            <w:tcW w:w="3118" w:type="dxa"/>
            <w:tcBorders>
              <w:top w:val="nil"/>
              <w:left w:val="nil"/>
              <w:bottom w:val="single" w:sz="4" w:space="0" w:color="auto"/>
              <w:right w:val="single" w:sz="4" w:space="0" w:color="auto"/>
            </w:tcBorders>
            <w:shd w:val="clear" w:color="auto" w:fill="C6EFCE"/>
            <w:noWrap/>
            <w:vAlign w:val="center"/>
          </w:tcPr>
          <w:p w14:paraId="55DE903D" w14:textId="77777777" w:rsidR="00A612E2" w:rsidRPr="003B127D" w:rsidRDefault="00A612E2" w:rsidP="00742B81">
            <w:pPr>
              <w:rPr>
                <w:noProof/>
                <w:color w:val="006100"/>
                <w:sz w:val="20"/>
                <w:szCs w:val="20"/>
              </w:rPr>
            </w:pPr>
            <w:r>
              <w:rPr>
                <w:noProof/>
                <w:color w:val="006100"/>
                <w:sz w:val="20"/>
              </w:rPr>
              <w:t>Investeering 4.1. Investeeringud pehmesse liikuvusse (riiklik jalgrattateede kava)</w:t>
            </w:r>
          </w:p>
        </w:tc>
        <w:tc>
          <w:tcPr>
            <w:tcW w:w="1418" w:type="dxa"/>
            <w:tcBorders>
              <w:top w:val="nil"/>
              <w:left w:val="nil"/>
              <w:bottom w:val="single" w:sz="4" w:space="0" w:color="auto"/>
              <w:right w:val="single" w:sz="4" w:space="0" w:color="auto"/>
            </w:tcBorders>
            <w:shd w:val="clear" w:color="auto" w:fill="C6EFCE"/>
            <w:noWrap/>
            <w:vAlign w:val="center"/>
          </w:tcPr>
          <w:p w14:paraId="5650545E" w14:textId="77777777" w:rsidR="00A612E2" w:rsidRPr="00246CC4" w:rsidRDefault="00A612E2" w:rsidP="00742B81">
            <w:pPr>
              <w:rPr>
                <w:noProof/>
                <w:color w:val="006100"/>
                <w:sz w:val="20"/>
                <w:szCs w:val="20"/>
              </w:rPr>
            </w:pPr>
            <w:r>
              <w:rPr>
                <w:noProof/>
                <w:color w:val="006100"/>
                <w:sz w:val="20"/>
              </w:rPr>
              <w:t>Eesmärk:</w:t>
            </w:r>
          </w:p>
        </w:tc>
        <w:tc>
          <w:tcPr>
            <w:tcW w:w="3827" w:type="dxa"/>
            <w:tcBorders>
              <w:top w:val="nil"/>
              <w:left w:val="nil"/>
              <w:bottom w:val="single" w:sz="4" w:space="0" w:color="auto"/>
              <w:right w:val="single" w:sz="4" w:space="0" w:color="auto"/>
            </w:tcBorders>
            <w:shd w:val="clear" w:color="auto" w:fill="C6EFCE"/>
            <w:noWrap/>
            <w:vAlign w:val="center"/>
          </w:tcPr>
          <w:p w14:paraId="62C17CAD" w14:textId="77777777" w:rsidR="00A612E2" w:rsidRPr="00246CC4" w:rsidRDefault="00A612E2" w:rsidP="00742B81">
            <w:pPr>
              <w:rPr>
                <w:noProof/>
                <w:color w:val="006100"/>
                <w:sz w:val="20"/>
                <w:szCs w:val="20"/>
              </w:rPr>
            </w:pPr>
            <w:r>
              <w:rPr>
                <w:noProof/>
                <w:color w:val="006100"/>
                <w:sz w:val="20"/>
              </w:rPr>
              <w:t>Jalgrattateed T1</w:t>
            </w:r>
          </w:p>
        </w:tc>
      </w:tr>
      <w:tr w:rsidR="00A612E2" w:rsidRPr="00D90835" w14:paraId="121C66B9"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D341F3E" w14:textId="77777777" w:rsidR="00A612E2" w:rsidRPr="00246CC4" w:rsidRDefault="00A612E2" w:rsidP="00742B81">
            <w:pPr>
              <w:jc w:val="center"/>
              <w:rPr>
                <w:noProof/>
                <w:color w:val="006100"/>
                <w:sz w:val="20"/>
                <w:szCs w:val="20"/>
              </w:rPr>
            </w:pPr>
            <w:r>
              <w:rPr>
                <w:noProof/>
                <w:color w:val="006100"/>
                <w:sz w:val="20"/>
              </w:rPr>
              <w:t>M4C1-10</w:t>
            </w:r>
          </w:p>
        </w:tc>
        <w:tc>
          <w:tcPr>
            <w:tcW w:w="3118" w:type="dxa"/>
            <w:tcBorders>
              <w:top w:val="nil"/>
              <w:left w:val="nil"/>
              <w:bottom w:val="single" w:sz="4" w:space="0" w:color="auto"/>
              <w:right w:val="single" w:sz="4" w:space="0" w:color="auto"/>
            </w:tcBorders>
            <w:shd w:val="clear" w:color="auto" w:fill="C6EFCE"/>
            <w:noWrap/>
            <w:vAlign w:val="center"/>
          </w:tcPr>
          <w:p w14:paraId="439F4F16" w14:textId="77777777" w:rsidR="00A612E2" w:rsidRPr="003B127D" w:rsidRDefault="00A612E2" w:rsidP="00742B81">
            <w:pPr>
              <w:rPr>
                <w:noProof/>
                <w:color w:val="006100"/>
                <w:sz w:val="20"/>
                <w:szCs w:val="20"/>
              </w:rPr>
            </w:pPr>
            <w:r>
              <w:rPr>
                <w:noProof/>
                <w:color w:val="006100"/>
                <w:sz w:val="20"/>
              </w:rPr>
              <w:t>Reform 2.1. Õpetajate värbamine; Reform 1.3. Koolisüsteemi ümberkorraldamine; Reform 1.2. Kolmanda taseme kutseõppesüsteemi reform; Reform 1.4. „Suunitluse“ süsteemi reform; Reform 1.5. Ülikoolikraadiga rühmade reform; Reform 1.6. Ülikoolidiplomite reformi võimaldamine</w:t>
            </w:r>
          </w:p>
        </w:tc>
        <w:tc>
          <w:tcPr>
            <w:tcW w:w="1418" w:type="dxa"/>
            <w:tcBorders>
              <w:top w:val="nil"/>
              <w:left w:val="nil"/>
              <w:bottom w:val="single" w:sz="4" w:space="0" w:color="auto"/>
              <w:right w:val="single" w:sz="4" w:space="0" w:color="auto"/>
            </w:tcBorders>
            <w:shd w:val="clear" w:color="auto" w:fill="C6EFCE"/>
            <w:noWrap/>
            <w:vAlign w:val="center"/>
          </w:tcPr>
          <w:p w14:paraId="51A9D65C" w14:textId="77777777" w:rsidR="00A612E2" w:rsidRPr="00246CC4" w:rsidRDefault="00A612E2" w:rsidP="00742B81">
            <w:pPr>
              <w:rPr>
                <w:noProof/>
                <w:color w:val="006100"/>
                <w:sz w:val="20"/>
                <w:szCs w:val="20"/>
              </w:rPr>
            </w:pPr>
            <w:r>
              <w:rPr>
                <w:noProof/>
                <w:color w:val="006100"/>
                <w:sz w:val="20"/>
              </w:rPr>
              <w:t>Eesmärk</w:t>
            </w:r>
          </w:p>
        </w:tc>
        <w:tc>
          <w:tcPr>
            <w:tcW w:w="3827" w:type="dxa"/>
            <w:tcBorders>
              <w:top w:val="nil"/>
              <w:left w:val="nil"/>
              <w:bottom w:val="single" w:sz="4" w:space="0" w:color="auto"/>
              <w:right w:val="single" w:sz="4" w:space="0" w:color="auto"/>
            </w:tcBorders>
            <w:shd w:val="clear" w:color="auto" w:fill="C6EFCE"/>
            <w:noWrap/>
            <w:vAlign w:val="center"/>
          </w:tcPr>
          <w:p w14:paraId="7B915951" w14:textId="77777777" w:rsidR="00A612E2" w:rsidRPr="003B127D" w:rsidRDefault="00A612E2" w:rsidP="00742B81">
            <w:pPr>
              <w:rPr>
                <w:noProof/>
                <w:color w:val="006100"/>
                <w:sz w:val="20"/>
                <w:szCs w:val="20"/>
              </w:rPr>
            </w:pPr>
            <w:r>
              <w:rPr>
                <w:noProof/>
                <w:color w:val="006100"/>
                <w:sz w:val="20"/>
              </w:rPr>
              <w:t>Määruste jõustumine, et vajaduse korral tõhusalt rakendada ja kohaldada kõiki meetmeid, mis on seotud alg-, kesk- ja kolmanda taseme hariduse reformidega</w:t>
            </w:r>
          </w:p>
        </w:tc>
      </w:tr>
      <w:tr w:rsidR="00A612E2" w:rsidRPr="00246CC4" w14:paraId="5143676A"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69D8911" w14:textId="77777777" w:rsidR="00A612E2" w:rsidRPr="00246CC4" w:rsidRDefault="00A612E2" w:rsidP="00742B81">
            <w:pPr>
              <w:jc w:val="center"/>
              <w:rPr>
                <w:noProof/>
                <w:color w:val="006100"/>
                <w:sz w:val="20"/>
                <w:szCs w:val="20"/>
              </w:rPr>
            </w:pPr>
            <w:r>
              <w:rPr>
                <w:noProof/>
                <w:color w:val="006100"/>
                <w:sz w:val="20"/>
              </w:rPr>
              <w:t>M4C1-11</w:t>
            </w:r>
          </w:p>
        </w:tc>
        <w:tc>
          <w:tcPr>
            <w:tcW w:w="3118" w:type="dxa"/>
            <w:tcBorders>
              <w:top w:val="nil"/>
              <w:left w:val="nil"/>
              <w:bottom w:val="single" w:sz="4" w:space="0" w:color="auto"/>
              <w:right w:val="single" w:sz="4" w:space="0" w:color="auto"/>
            </w:tcBorders>
            <w:shd w:val="clear" w:color="auto" w:fill="C6EFCE"/>
            <w:noWrap/>
            <w:vAlign w:val="center"/>
          </w:tcPr>
          <w:p w14:paraId="44A0446A" w14:textId="77777777" w:rsidR="00A612E2" w:rsidRPr="003B127D" w:rsidRDefault="00A612E2" w:rsidP="00742B81">
            <w:pPr>
              <w:rPr>
                <w:noProof/>
                <w:color w:val="006100"/>
                <w:sz w:val="20"/>
                <w:szCs w:val="20"/>
              </w:rPr>
            </w:pPr>
            <w:r>
              <w:rPr>
                <w:noProof/>
                <w:color w:val="006100"/>
                <w:sz w:val="20"/>
              </w:rPr>
              <w:t>Investeering 1.7. Stipendiumid ülikoolidesse pääsemiseks</w:t>
            </w:r>
          </w:p>
        </w:tc>
        <w:tc>
          <w:tcPr>
            <w:tcW w:w="1418" w:type="dxa"/>
            <w:tcBorders>
              <w:top w:val="nil"/>
              <w:left w:val="nil"/>
              <w:bottom w:val="single" w:sz="4" w:space="0" w:color="auto"/>
              <w:right w:val="single" w:sz="4" w:space="0" w:color="auto"/>
            </w:tcBorders>
            <w:shd w:val="clear" w:color="auto" w:fill="C6EFCE"/>
            <w:noWrap/>
            <w:vAlign w:val="center"/>
          </w:tcPr>
          <w:p w14:paraId="536D7E48" w14:textId="77777777" w:rsidR="00A612E2" w:rsidRPr="00246CC4" w:rsidRDefault="00A612E2" w:rsidP="00742B81">
            <w:pPr>
              <w:rPr>
                <w:noProof/>
                <w:color w:val="006100"/>
                <w:sz w:val="20"/>
                <w:szCs w:val="20"/>
              </w:rPr>
            </w:pPr>
            <w:r>
              <w:rPr>
                <w:noProof/>
                <w:color w:val="006100"/>
                <w:sz w:val="20"/>
              </w:rPr>
              <w:t>Siht</w:t>
            </w:r>
          </w:p>
        </w:tc>
        <w:tc>
          <w:tcPr>
            <w:tcW w:w="3827" w:type="dxa"/>
            <w:tcBorders>
              <w:top w:val="nil"/>
              <w:left w:val="nil"/>
              <w:bottom w:val="single" w:sz="4" w:space="0" w:color="auto"/>
              <w:right w:val="single" w:sz="4" w:space="0" w:color="auto"/>
            </w:tcBorders>
            <w:shd w:val="clear" w:color="auto" w:fill="C6EFCE"/>
            <w:noWrap/>
            <w:vAlign w:val="center"/>
          </w:tcPr>
          <w:p w14:paraId="2A927FF3" w14:textId="77777777" w:rsidR="00A612E2" w:rsidRPr="00246CC4" w:rsidRDefault="00A612E2" w:rsidP="00742B81">
            <w:pPr>
              <w:rPr>
                <w:noProof/>
                <w:color w:val="006100"/>
                <w:sz w:val="20"/>
                <w:szCs w:val="20"/>
              </w:rPr>
            </w:pPr>
            <w:r>
              <w:rPr>
                <w:noProof/>
                <w:color w:val="006100"/>
                <w:sz w:val="20"/>
              </w:rPr>
              <w:t>Ülikooli stipendium</w:t>
            </w:r>
          </w:p>
        </w:tc>
      </w:tr>
      <w:tr w:rsidR="00A612E2" w:rsidRPr="00D90835" w14:paraId="6E797F67"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1E33B0E" w14:textId="77777777" w:rsidR="00A612E2" w:rsidRPr="00246CC4" w:rsidRDefault="00A612E2" w:rsidP="00742B81">
            <w:pPr>
              <w:jc w:val="center"/>
              <w:rPr>
                <w:noProof/>
                <w:color w:val="006100"/>
                <w:sz w:val="20"/>
                <w:szCs w:val="20"/>
              </w:rPr>
            </w:pPr>
            <w:r>
              <w:rPr>
                <w:noProof/>
                <w:color w:val="006100"/>
                <w:sz w:val="20"/>
              </w:rPr>
              <w:t>M5C3-3</w:t>
            </w:r>
          </w:p>
        </w:tc>
        <w:tc>
          <w:tcPr>
            <w:tcW w:w="3118" w:type="dxa"/>
            <w:tcBorders>
              <w:top w:val="nil"/>
              <w:left w:val="nil"/>
              <w:bottom w:val="single" w:sz="4" w:space="0" w:color="auto"/>
              <w:right w:val="single" w:sz="4" w:space="0" w:color="auto"/>
            </w:tcBorders>
            <w:shd w:val="clear" w:color="auto" w:fill="C6EFCE"/>
            <w:noWrap/>
            <w:vAlign w:val="center"/>
          </w:tcPr>
          <w:p w14:paraId="255D50FE" w14:textId="77777777" w:rsidR="00A612E2" w:rsidRPr="003B127D" w:rsidRDefault="00A612E2" w:rsidP="00742B81">
            <w:pPr>
              <w:rPr>
                <w:noProof/>
                <w:color w:val="006100"/>
                <w:sz w:val="20"/>
                <w:szCs w:val="20"/>
              </w:rPr>
            </w:pPr>
            <w:r>
              <w:rPr>
                <w:noProof/>
                <w:color w:val="006100"/>
                <w:sz w:val="20"/>
              </w:rPr>
              <w:t>Investeering 2. Territoriaalse läheduse tervishoiuasutused</w:t>
            </w:r>
          </w:p>
        </w:tc>
        <w:tc>
          <w:tcPr>
            <w:tcW w:w="1418" w:type="dxa"/>
            <w:tcBorders>
              <w:top w:val="nil"/>
              <w:left w:val="nil"/>
              <w:bottom w:val="single" w:sz="4" w:space="0" w:color="auto"/>
              <w:right w:val="single" w:sz="4" w:space="0" w:color="auto"/>
            </w:tcBorders>
            <w:shd w:val="clear" w:color="auto" w:fill="C6EFCE"/>
            <w:noWrap/>
            <w:vAlign w:val="center"/>
          </w:tcPr>
          <w:p w14:paraId="07F8F000" w14:textId="77777777" w:rsidR="00A612E2" w:rsidRPr="00246CC4" w:rsidRDefault="00A612E2" w:rsidP="00742B81">
            <w:pPr>
              <w:rPr>
                <w:noProof/>
                <w:color w:val="006100"/>
                <w:sz w:val="20"/>
                <w:szCs w:val="20"/>
              </w:rPr>
            </w:pPr>
            <w:r>
              <w:rPr>
                <w:noProof/>
                <w:color w:val="006100"/>
                <w:sz w:val="20"/>
              </w:rPr>
              <w:t>Siht</w:t>
            </w:r>
          </w:p>
        </w:tc>
        <w:tc>
          <w:tcPr>
            <w:tcW w:w="3827" w:type="dxa"/>
            <w:tcBorders>
              <w:top w:val="nil"/>
              <w:left w:val="nil"/>
              <w:bottom w:val="single" w:sz="4" w:space="0" w:color="auto"/>
              <w:right w:val="single" w:sz="4" w:space="0" w:color="auto"/>
            </w:tcBorders>
            <w:shd w:val="clear" w:color="auto" w:fill="C6EFCE"/>
            <w:noWrap/>
            <w:vAlign w:val="center"/>
          </w:tcPr>
          <w:p w14:paraId="741BEDAA" w14:textId="77777777" w:rsidR="00A612E2" w:rsidRPr="003B127D" w:rsidRDefault="00A612E2" w:rsidP="00742B81">
            <w:pPr>
              <w:rPr>
                <w:noProof/>
                <w:color w:val="006100"/>
                <w:sz w:val="20"/>
                <w:szCs w:val="20"/>
              </w:rPr>
            </w:pPr>
            <w:r>
              <w:rPr>
                <w:noProof/>
                <w:color w:val="006100"/>
                <w:sz w:val="20"/>
              </w:rPr>
              <w:t>Toetus maapiirkondade apteekidele vähem kui 5 000 elanikuga omavalitsusüksustes, hamlettides või asulates (esimene partii)</w:t>
            </w:r>
          </w:p>
        </w:tc>
      </w:tr>
      <w:tr w:rsidR="00A612E2" w:rsidRPr="00D90835" w14:paraId="0555731C"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6197AF1" w14:textId="77777777" w:rsidR="00A612E2" w:rsidRDefault="00A612E2" w:rsidP="00742B81">
            <w:pPr>
              <w:jc w:val="center"/>
              <w:rPr>
                <w:noProof/>
                <w:color w:val="006100"/>
                <w:sz w:val="20"/>
                <w:szCs w:val="20"/>
              </w:rPr>
            </w:pPr>
            <w:r>
              <w:rPr>
                <w:noProof/>
                <w:color w:val="006100"/>
                <w:sz w:val="20"/>
              </w:rPr>
              <w:t>M1C1-113</w:t>
            </w:r>
          </w:p>
        </w:tc>
        <w:tc>
          <w:tcPr>
            <w:tcW w:w="3118" w:type="dxa"/>
            <w:tcBorders>
              <w:top w:val="nil"/>
              <w:left w:val="nil"/>
              <w:bottom w:val="single" w:sz="4" w:space="0" w:color="auto"/>
              <w:right w:val="single" w:sz="4" w:space="0" w:color="auto"/>
            </w:tcBorders>
            <w:shd w:val="clear" w:color="auto" w:fill="C6EFCE"/>
            <w:noWrap/>
            <w:vAlign w:val="center"/>
          </w:tcPr>
          <w:p w14:paraId="5A8E5860" w14:textId="77777777" w:rsidR="00A612E2" w:rsidRDefault="00A612E2" w:rsidP="00742B81">
            <w:pPr>
              <w:rPr>
                <w:noProof/>
                <w:color w:val="006100"/>
                <w:sz w:val="20"/>
                <w:szCs w:val="20"/>
              </w:rPr>
            </w:pPr>
            <w:r>
              <w:rPr>
                <w:noProof/>
                <w:color w:val="006100"/>
                <w:sz w:val="20"/>
              </w:rPr>
              <w:t>Reform 1.12. Maksuhalduse reform</w:t>
            </w:r>
          </w:p>
        </w:tc>
        <w:tc>
          <w:tcPr>
            <w:tcW w:w="1418" w:type="dxa"/>
            <w:tcBorders>
              <w:top w:val="nil"/>
              <w:left w:val="nil"/>
              <w:bottom w:val="single" w:sz="4" w:space="0" w:color="auto"/>
              <w:right w:val="single" w:sz="4" w:space="0" w:color="auto"/>
            </w:tcBorders>
            <w:shd w:val="clear" w:color="auto" w:fill="C6EFCE"/>
            <w:noWrap/>
            <w:vAlign w:val="center"/>
          </w:tcPr>
          <w:p w14:paraId="21E13923" w14:textId="77777777" w:rsidR="00A612E2" w:rsidRDefault="00A612E2" w:rsidP="00742B81">
            <w:pPr>
              <w:rPr>
                <w:noProof/>
                <w:color w:val="006100"/>
                <w:sz w:val="20"/>
                <w:szCs w:val="20"/>
              </w:rPr>
            </w:pPr>
            <w:r>
              <w:rPr>
                <w:noProof/>
                <w:color w:val="006100"/>
                <w:sz w:val="20"/>
              </w:rPr>
              <w:t>Siht</w:t>
            </w:r>
          </w:p>
        </w:tc>
        <w:tc>
          <w:tcPr>
            <w:tcW w:w="3827" w:type="dxa"/>
            <w:tcBorders>
              <w:top w:val="nil"/>
              <w:left w:val="nil"/>
              <w:bottom w:val="single" w:sz="4" w:space="0" w:color="auto"/>
              <w:right w:val="single" w:sz="4" w:space="0" w:color="auto"/>
            </w:tcBorders>
            <w:shd w:val="clear" w:color="auto" w:fill="C6EFCE"/>
            <w:noWrap/>
            <w:vAlign w:val="center"/>
          </w:tcPr>
          <w:p w14:paraId="5859BA85" w14:textId="77777777" w:rsidR="00A612E2" w:rsidRDefault="00A612E2" w:rsidP="00742B81">
            <w:pPr>
              <w:rPr>
                <w:noProof/>
                <w:color w:val="006100"/>
                <w:sz w:val="20"/>
                <w:szCs w:val="20"/>
              </w:rPr>
            </w:pPr>
            <w:r>
              <w:rPr>
                <w:noProof/>
                <w:color w:val="006100"/>
                <w:sz w:val="20"/>
              </w:rPr>
              <w:t>Suurem „vastavuskirjade“ arv</w:t>
            </w:r>
          </w:p>
        </w:tc>
      </w:tr>
      <w:tr w:rsidR="00A612E2" w:rsidRPr="00D90835" w14:paraId="17CAD3E2"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A2DB723" w14:textId="77777777" w:rsidR="00A612E2" w:rsidRDefault="00A612E2" w:rsidP="00742B81">
            <w:pPr>
              <w:jc w:val="center"/>
              <w:rPr>
                <w:noProof/>
                <w:color w:val="006100"/>
                <w:sz w:val="20"/>
                <w:szCs w:val="20"/>
              </w:rPr>
            </w:pPr>
            <w:r>
              <w:rPr>
                <w:noProof/>
                <w:color w:val="006100"/>
                <w:sz w:val="20"/>
              </w:rPr>
              <w:t>M1C1-114</w:t>
            </w:r>
          </w:p>
        </w:tc>
        <w:tc>
          <w:tcPr>
            <w:tcW w:w="3118" w:type="dxa"/>
            <w:tcBorders>
              <w:top w:val="nil"/>
              <w:left w:val="nil"/>
              <w:bottom w:val="single" w:sz="4" w:space="0" w:color="auto"/>
              <w:right w:val="single" w:sz="4" w:space="0" w:color="auto"/>
            </w:tcBorders>
            <w:shd w:val="clear" w:color="auto" w:fill="C6EFCE"/>
            <w:noWrap/>
            <w:vAlign w:val="center"/>
          </w:tcPr>
          <w:p w14:paraId="06D79BE0" w14:textId="77777777" w:rsidR="00A612E2" w:rsidRDefault="00A612E2" w:rsidP="00742B81">
            <w:pPr>
              <w:rPr>
                <w:noProof/>
                <w:color w:val="006100"/>
                <w:sz w:val="20"/>
                <w:szCs w:val="20"/>
              </w:rPr>
            </w:pPr>
            <w:r>
              <w:rPr>
                <w:noProof/>
                <w:color w:val="006100"/>
                <w:sz w:val="20"/>
              </w:rPr>
              <w:t>Reform 1.12. Maksuhalduse reform</w:t>
            </w:r>
          </w:p>
        </w:tc>
        <w:tc>
          <w:tcPr>
            <w:tcW w:w="1418" w:type="dxa"/>
            <w:tcBorders>
              <w:top w:val="nil"/>
              <w:left w:val="nil"/>
              <w:bottom w:val="single" w:sz="4" w:space="0" w:color="auto"/>
              <w:right w:val="single" w:sz="4" w:space="0" w:color="auto"/>
            </w:tcBorders>
            <w:shd w:val="clear" w:color="auto" w:fill="C6EFCE"/>
            <w:noWrap/>
            <w:vAlign w:val="center"/>
          </w:tcPr>
          <w:p w14:paraId="188391E8" w14:textId="77777777" w:rsidR="00A612E2" w:rsidRDefault="00A612E2" w:rsidP="00742B81">
            <w:pPr>
              <w:rPr>
                <w:noProof/>
                <w:color w:val="006100"/>
                <w:sz w:val="20"/>
                <w:szCs w:val="20"/>
              </w:rPr>
            </w:pPr>
            <w:r>
              <w:rPr>
                <w:noProof/>
                <w:color w:val="006100"/>
                <w:sz w:val="20"/>
              </w:rPr>
              <w:t>Siht</w:t>
            </w:r>
          </w:p>
        </w:tc>
        <w:tc>
          <w:tcPr>
            <w:tcW w:w="3827" w:type="dxa"/>
            <w:tcBorders>
              <w:top w:val="nil"/>
              <w:left w:val="nil"/>
              <w:bottom w:val="single" w:sz="4" w:space="0" w:color="auto"/>
              <w:right w:val="single" w:sz="4" w:space="0" w:color="auto"/>
            </w:tcBorders>
            <w:shd w:val="clear" w:color="auto" w:fill="C6EFCE"/>
            <w:noWrap/>
            <w:vAlign w:val="center"/>
          </w:tcPr>
          <w:p w14:paraId="0A81273C" w14:textId="77777777" w:rsidR="00A612E2" w:rsidRDefault="00A612E2" w:rsidP="00742B81">
            <w:pPr>
              <w:rPr>
                <w:noProof/>
                <w:color w:val="006100"/>
                <w:sz w:val="20"/>
                <w:szCs w:val="20"/>
              </w:rPr>
            </w:pPr>
            <w:r>
              <w:rPr>
                <w:noProof/>
                <w:color w:val="006100"/>
                <w:sz w:val="20"/>
              </w:rPr>
              <w:t>Vastavuskirjadest tuleneva maksutulu suurenemine</w:t>
            </w:r>
          </w:p>
        </w:tc>
      </w:tr>
      <w:tr w:rsidR="00A612E2" w:rsidRPr="00246CC4" w14:paraId="2EC4044A" w14:textId="77777777" w:rsidTr="00742B81">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5B2F4996" w14:textId="77777777" w:rsidR="00A612E2" w:rsidRPr="003B127D" w:rsidRDefault="00A612E2" w:rsidP="00742B81">
            <w:pPr>
              <w:jc w:val="center"/>
              <w:rPr>
                <w:noProof/>
                <w:color w:val="006100"/>
                <w:sz w:val="20"/>
                <w:szCs w:val="20"/>
                <w:lang w:val="en-IE"/>
              </w:rPr>
            </w:pPr>
          </w:p>
        </w:tc>
        <w:tc>
          <w:tcPr>
            <w:tcW w:w="3118" w:type="dxa"/>
            <w:tcBorders>
              <w:top w:val="single" w:sz="4" w:space="0" w:color="auto"/>
              <w:left w:val="nil"/>
              <w:bottom w:val="single" w:sz="4" w:space="0" w:color="auto"/>
              <w:right w:val="single" w:sz="4" w:space="0" w:color="auto"/>
            </w:tcBorders>
            <w:shd w:val="clear" w:color="auto" w:fill="C6EFCE"/>
            <w:noWrap/>
            <w:vAlign w:val="bottom"/>
          </w:tcPr>
          <w:p w14:paraId="4026DA15" w14:textId="77777777" w:rsidR="00A612E2" w:rsidRPr="003B127D" w:rsidRDefault="00A612E2" w:rsidP="00742B81">
            <w:pPr>
              <w:rPr>
                <w:noProof/>
                <w:color w:val="006100"/>
                <w:sz w:val="20"/>
                <w:szCs w:val="20"/>
                <w:lang w:val="en-IE"/>
              </w:rPr>
            </w:pPr>
          </w:p>
        </w:tc>
        <w:tc>
          <w:tcPr>
            <w:tcW w:w="1418" w:type="dxa"/>
            <w:tcBorders>
              <w:top w:val="single" w:sz="4" w:space="0" w:color="auto"/>
              <w:left w:val="nil"/>
              <w:bottom w:val="single" w:sz="4" w:space="0" w:color="auto"/>
              <w:right w:val="single" w:sz="4" w:space="0" w:color="auto"/>
            </w:tcBorders>
            <w:shd w:val="clear" w:color="auto" w:fill="C6EFCE"/>
            <w:noWrap/>
            <w:vAlign w:val="bottom"/>
          </w:tcPr>
          <w:p w14:paraId="2D892242" w14:textId="77777777" w:rsidR="00A612E2" w:rsidRPr="00246CC4" w:rsidRDefault="00A612E2" w:rsidP="00742B81">
            <w:pPr>
              <w:rPr>
                <w:noProof/>
                <w:color w:val="006100"/>
                <w:sz w:val="20"/>
                <w:szCs w:val="20"/>
              </w:rPr>
            </w:pPr>
            <w:r>
              <w:rPr>
                <w:noProof/>
                <w:color w:val="006100"/>
                <w:sz w:val="20"/>
              </w:rPr>
              <w:t>Osamakse summa</w:t>
            </w:r>
          </w:p>
        </w:tc>
        <w:tc>
          <w:tcPr>
            <w:tcW w:w="3827" w:type="dxa"/>
            <w:tcBorders>
              <w:top w:val="single" w:sz="4" w:space="0" w:color="auto"/>
              <w:left w:val="nil"/>
              <w:bottom w:val="single" w:sz="4" w:space="0" w:color="auto"/>
              <w:right w:val="single" w:sz="4" w:space="0" w:color="auto"/>
            </w:tcBorders>
            <w:shd w:val="clear" w:color="auto" w:fill="C6EFCE"/>
            <w:noWrap/>
            <w:vAlign w:val="bottom"/>
          </w:tcPr>
          <w:p w14:paraId="00F41486" w14:textId="77777777" w:rsidR="00A612E2" w:rsidRPr="00246CC4" w:rsidRDefault="00A612E2" w:rsidP="00742B81">
            <w:pPr>
              <w:rPr>
                <w:noProof/>
                <w:color w:val="006100"/>
                <w:sz w:val="20"/>
                <w:szCs w:val="20"/>
              </w:rPr>
            </w:pPr>
            <w:r>
              <w:rPr>
                <w:noProof/>
                <w:color w:val="006100"/>
                <w:sz w:val="20"/>
              </w:rPr>
              <w:t>3</w:t>
            </w:r>
            <w:r>
              <w:rPr>
                <w:rFonts w:ascii="Arial Narrow" w:hAnsi="Arial Narrow"/>
                <w:noProof/>
                <w:color w:val="006100"/>
                <w:sz w:val="20"/>
              </w:rPr>
              <w:t xml:space="preserve"> </w:t>
            </w:r>
            <w:r>
              <w:rPr>
                <w:noProof/>
                <w:color w:val="006100"/>
                <w:sz w:val="20"/>
              </w:rPr>
              <w:t>731</w:t>
            </w:r>
            <w:r>
              <w:rPr>
                <w:rFonts w:ascii="Arial Narrow" w:hAnsi="Arial Narrow"/>
                <w:noProof/>
                <w:color w:val="006100"/>
                <w:sz w:val="20"/>
              </w:rPr>
              <w:t xml:space="preserve"> </w:t>
            </w:r>
            <w:r>
              <w:rPr>
                <w:noProof/>
                <w:color w:val="006100"/>
                <w:sz w:val="20"/>
              </w:rPr>
              <w:t>584</w:t>
            </w:r>
            <w:r>
              <w:rPr>
                <w:rFonts w:ascii="Arial Narrow" w:hAnsi="Arial Narrow"/>
                <w:noProof/>
                <w:color w:val="006100"/>
                <w:sz w:val="20"/>
              </w:rPr>
              <w:t xml:space="preserve"> </w:t>
            </w:r>
            <w:r>
              <w:rPr>
                <w:noProof/>
                <w:color w:val="006100"/>
                <w:sz w:val="20"/>
              </w:rPr>
              <w:t>874 eurot</w:t>
            </w:r>
          </w:p>
        </w:tc>
      </w:tr>
    </w:tbl>
    <w:p w14:paraId="30E559C9" w14:textId="77777777" w:rsidR="00A612E2" w:rsidRPr="00246CC4" w:rsidRDefault="00A612E2" w:rsidP="00A612E2">
      <w:pPr>
        <w:numPr>
          <w:ilvl w:val="1"/>
          <w:numId w:val="6"/>
        </w:numPr>
        <w:spacing w:before="120" w:after="120"/>
        <w:jc w:val="both"/>
        <w:rPr>
          <w:rFonts w:eastAsia="Calibri"/>
          <w:noProof/>
        </w:rPr>
      </w:pPr>
      <w:r>
        <w:rPr>
          <w:noProof/>
        </w:rPr>
        <w:t>Kuues osamakse (tagastamatu toetus):</w:t>
      </w:r>
    </w:p>
    <w:tbl>
      <w:tblPr>
        <w:tblW w:w="9998" w:type="dxa"/>
        <w:tblInd w:w="113" w:type="dxa"/>
        <w:tblLook w:val="04A0" w:firstRow="1" w:lastRow="0" w:firstColumn="1" w:lastColumn="0" w:noHBand="0" w:noVBand="1"/>
      </w:tblPr>
      <w:tblGrid>
        <w:gridCol w:w="1827"/>
        <w:gridCol w:w="3118"/>
        <w:gridCol w:w="1418"/>
        <w:gridCol w:w="4049"/>
      </w:tblGrid>
      <w:tr w:rsidR="00A612E2" w:rsidRPr="00246CC4" w14:paraId="6CB24018" w14:textId="77777777" w:rsidTr="00BC5B0E">
        <w:trPr>
          <w:trHeight w:val="906"/>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9B23D42" w14:textId="77777777" w:rsidR="00A612E2" w:rsidRPr="00246CC4" w:rsidRDefault="00A612E2" w:rsidP="00742B81">
            <w:pPr>
              <w:jc w:val="center"/>
              <w:rPr>
                <w:b/>
                <w:bCs/>
                <w:noProof/>
                <w:sz w:val="20"/>
                <w:szCs w:val="20"/>
              </w:rPr>
            </w:pPr>
            <w:r>
              <w:rPr>
                <w:b/>
                <w:noProof/>
                <w:sz w:val="20"/>
              </w:rPr>
              <w:t>Järjekorranumber</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5E50F3D" w14:textId="77777777" w:rsidR="00A612E2" w:rsidRPr="003B127D" w:rsidRDefault="00A612E2" w:rsidP="00742B81">
            <w:pPr>
              <w:jc w:val="center"/>
              <w:rPr>
                <w:b/>
                <w:bCs/>
                <w:noProof/>
                <w:sz w:val="20"/>
                <w:szCs w:val="20"/>
              </w:rPr>
            </w:pPr>
            <w:r>
              <w:rPr>
                <w:b/>
                <w:noProof/>
                <w:sz w:val="20"/>
              </w:rPr>
              <w:t>Seotud meede (reform või investeering)</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F867BDC" w14:textId="77777777" w:rsidR="00A612E2" w:rsidRPr="00246CC4" w:rsidRDefault="00A612E2" w:rsidP="00742B81">
            <w:pPr>
              <w:jc w:val="center"/>
              <w:rPr>
                <w:b/>
                <w:bCs/>
                <w:noProof/>
                <w:sz w:val="20"/>
                <w:szCs w:val="20"/>
              </w:rPr>
            </w:pPr>
            <w:r>
              <w:rPr>
                <w:b/>
                <w:noProof/>
                <w:sz w:val="20"/>
              </w:rPr>
              <w:t>Eesmärk / siht</w:t>
            </w:r>
          </w:p>
        </w:tc>
        <w:tc>
          <w:tcPr>
            <w:tcW w:w="404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54AABEC" w14:textId="77777777" w:rsidR="00A612E2" w:rsidRPr="00246CC4" w:rsidRDefault="00A612E2" w:rsidP="00742B81">
            <w:pPr>
              <w:jc w:val="center"/>
              <w:rPr>
                <w:b/>
                <w:bCs/>
                <w:noProof/>
                <w:sz w:val="20"/>
                <w:szCs w:val="20"/>
              </w:rPr>
            </w:pPr>
            <w:r>
              <w:rPr>
                <w:b/>
                <w:noProof/>
                <w:sz w:val="20"/>
              </w:rPr>
              <w:t>Nimi</w:t>
            </w:r>
          </w:p>
        </w:tc>
      </w:tr>
      <w:tr w:rsidR="00A612E2" w:rsidRPr="00246CC4" w14:paraId="4FB64791" w14:textId="77777777" w:rsidTr="00BC5B0E">
        <w:trPr>
          <w:trHeight w:val="517"/>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51BDE0" w14:textId="77777777" w:rsidR="00A612E2" w:rsidRPr="00246CC4" w:rsidRDefault="00A612E2" w:rsidP="00742B81">
            <w:pPr>
              <w:rPr>
                <w:b/>
                <w:bCs/>
                <w:noProof/>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13EDF63F" w14:textId="77777777" w:rsidR="00A612E2" w:rsidRPr="00246CC4" w:rsidRDefault="00A612E2" w:rsidP="00742B81">
            <w:pPr>
              <w:rPr>
                <w:b/>
                <w:bCs/>
                <w:noProof/>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B0C8762" w14:textId="77777777" w:rsidR="00A612E2" w:rsidRPr="00246CC4" w:rsidRDefault="00A612E2" w:rsidP="00742B81">
            <w:pPr>
              <w:rPr>
                <w:b/>
                <w:bCs/>
                <w:noProof/>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14:paraId="1AB292CB" w14:textId="77777777" w:rsidR="00A612E2" w:rsidRPr="00246CC4" w:rsidRDefault="00A612E2" w:rsidP="00742B81">
            <w:pPr>
              <w:rPr>
                <w:b/>
                <w:bCs/>
                <w:noProof/>
              </w:rPr>
            </w:pPr>
          </w:p>
        </w:tc>
      </w:tr>
      <w:tr w:rsidR="00A612E2" w:rsidRPr="00D90835" w14:paraId="76CBD3E1" w14:textId="77777777" w:rsidTr="00BC5B0E">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E46D01" w14:textId="77777777" w:rsidR="00A612E2" w:rsidRPr="00246CC4" w:rsidRDefault="00A612E2" w:rsidP="00742B81">
            <w:pPr>
              <w:jc w:val="center"/>
              <w:rPr>
                <w:noProof/>
                <w:color w:val="006100"/>
                <w:sz w:val="20"/>
                <w:szCs w:val="20"/>
              </w:rPr>
            </w:pPr>
            <w:r>
              <w:rPr>
                <w:noProof/>
                <w:color w:val="006100"/>
                <w:sz w:val="20"/>
              </w:rPr>
              <w:t>M1C1–14a</w:t>
            </w:r>
          </w:p>
        </w:tc>
        <w:tc>
          <w:tcPr>
            <w:tcW w:w="3118" w:type="dxa"/>
            <w:tcBorders>
              <w:top w:val="single" w:sz="4" w:space="0" w:color="auto"/>
              <w:left w:val="nil"/>
              <w:bottom w:val="single" w:sz="4" w:space="0" w:color="auto"/>
              <w:right w:val="single" w:sz="4" w:space="0" w:color="auto"/>
            </w:tcBorders>
            <w:shd w:val="clear" w:color="auto" w:fill="C6EFCE"/>
            <w:noWrap/>
            <w:vAlign w:val="center"/>
          </w:tcPr>
          <w:p w14:paraId="3C368559" w14:textId="77777777" w:rsidR="00A612E2" w:rsidRPr="003B127D" w:rsidRDefault="00A612E2" w:rsidP="00742B81">
            <w:pPr>
              <w:rPr>
                <w:noProof/>
                <w:color w:val="006100"/>
                <w:sz w:val="20"/>
                <w:szCs w:val="20"/>
              </w:rPr>
            </w:pPr>
            <w:r>
              <w:rPr>
                <w:noProof/>
                <w:color w:val="006100"/>
                <w:sz w:val="20"/>
              </w:rPr>
              <w:t>Reform 1.9bis. Reform ühtekuuluvuspoliitika rakendamise kiirendamiseks</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14:paraId="12A673D6" w14:textId="77777777" w:rsidR="00A612E2" w:rsidRPr="00246CC4" w:rsidRDefault="00A612E2" w:rsidP="00742B81">
            <w:pPr>
              <w:rPr>
                <w:noProof/>
                <w:color w:val="006100"/>
                <w:sz w:val="20"/>
                <w:szCs w:val="20"/>
              </w:rPr>
            </w:pPr>
            <w:r>
              <w:rPr>
                <w:noProof/>
                <w:color w:val="006100"/>
                <w:sz w:val="20"/>
              </w:rPr>
              <w:t xml:space="preserve">Eesmärk </w:t>
            </w:r>
          </w:p>
        </w:tc>
        <w:tc>
          <w:tcPr>
            <w:tcW w:w="4049" w:type="dxa"/>
            <w:tcBorders>
              <w:top w:val="single" w:sz="4" w:space="0" w:color="auto"/>
              <w:left w:val="nil"/>
              <w:bottom w:val="single" w:sz="4" w:space="0" w:color="auto"/>
              <w:right w:val="single" w:sz="4" w:space="0" w:color="auto"/>
            </w:tcBorders>
            <w:shd w:val="clear" w:color="auto" w:fill="C6EFCE"/>
            <w:noWrap/>
            <w:vAlign w:val="center"/>
          </w:tcPr>
          <w:p w14:paraId="16B69DAE" w14:textId="77777777" w:rsidR="00A612E2" w:rsidRPr="003B127D" w:rsidRDefault="00A612E2" w:rsidP="00742B81">
            <w:pPr>
              <w:rPr>
                <w:noProof/>
                <w:color w:val="006100"/>
                <w:sz w:val="20"/>
                <w:szCs w:val="20"/>
              </w:rPr>
            </w:pPr>
            <w:r>
              <w:rPr>
                <w:noProof/>
                <w:color w:val="006100"/>
                <w:sz w:val="20"/>
              </w:rPr>
              <w:t>Riiklike õigusaktide jõustumine ühtekuuluvuspoliitika rakendamise kiirendamiseks</w:t>
            </w:r>
          </w:p>
        </w:tc>
      </w:tr>
      <w:tr w:rsidR="00A612E2" w:rsidRPr="00246CC4" w14:paraId="3B27BE1C"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48C5D5F" w14:textId="77777777" w:rsidR="00A612E2" w:rsidRPr="00246CC4" w:rsidRDefault="00A612E2" w:rsidP="00742B81">
            <w:pPr>
              <w:jc w:val="center"/>
              <w:rPr>
                <w:noProof/>
                <w:color w:val="006100"/>
                <w:sz w:val="20"/>
                <w:szCs w:val="20"/>
              </w:rPr>
            </w:pPr>
            <w:r>
              <w:rPr>
                <w:noProof/>
                <w:color w:val="006100"/>
                <w:sz w:val="20"/>
              </w:rPr>
              <w:t>M1C1-15</w:t>
            </w:r>
          </w:p>
        </w:tc>
        <w:tc>
          <w:tcPr>
            <w:tcW w:w="3118" w:type="dxa"/>
            <w:tcBorders>
              <w:top w:val="nil"/>
              <w:left w:val="nil"/>
              <w:bottom w:val="single" w:sz="4" w:space="0" w:color="auto"/>
              <w:right w:val="single" w:sz="4" w:space="0" w:color="auto"/>
            </w:tcBorders>
            <w:shd w:val="clear" w:color="auto" w:fill="C6EFCE"/>
            <w:noWrap/>
            <w:vAlign w:val="center"/>
          </w:tcPr>
          <w:p w14:paraId="17E6B817" w14:textId="77777777" w:rsidR="00A612E2" w:rsidRPr="003B127D" w:rsidRDefault="00A612E2" w:rsidP="00742B81">
            <w:pPr>
              <w:rPr>
                <w:noProof/>
                <w:color w:val="006100"/>
                <w:sz w:val="20"/>
                <w:szCs w:val="20"/>
              </w:rPr>
            </w:pPr>
            <w:r>
              <w:rPr>
                <w:noProof/>
                <w:color w:val="006100"/>
                <w:sz w:val="20"/>
              </w:rPr>
              <w:t>Investeering 1.6.6. Finantspolitsei digiteerimine</w:t>
            </w:r>
          </w:p>
        </w:tc>
        <w:tc>
          <w:tcPr>
            <w:tcW w:w="1418" w:type="dxa"/>
            <w:tcBorders>
              <w:top w:val="nil"/>
              <w:left w:val="nil"/>
              <w:bottom w:val="single" w:sz="4" w:space="0" w:color="auto"/>
              <w:right w:val="single" w:sz="4" w:space="0" w:color="auto"/>
            </w:tcBorders>
            <w:shd w:val="clear" w:color="auto" w:fill="C6EFCE"/>
            <w:noWrap/>
            <w:vAlign w:val="center"/>
          </w:tcPr>
          <w:p w14:paraId="09311523" w14:textId="77777777" w:rsidR="00A612E2" w:rsidRPr="00246CC4" w:rsidRDefault="00A612E2" w:rsidP="00742B81">
            <w:pPr>
              <w:rPr>
                <w:noProof/>
                <w:color w:val="006100"/>
                <w:sz w:val="20"/>
                <w:szCs w:val="20"/>
              </w:rPr>
            </w:pPr>
            <w:r>
              <w:rPr>
                <w:noProof/>
                <w:color w:val="006100"/>
                <w:sz w:val="20"/>
              </w:rPr>
              <w:t>Siht</w:t>
            </w:r>
          </w:p>
        </w:tc>
        <w:tc>
          <w:tcPr>
            <w:tcW w:w="4049" w:type="dxa"/>
            <w:tcBorders>
              <w:top w:val="nil"/>
              <w:left w:val="nil"/>
              <w:bottom w:val="single" w:sz="4" w:space="0" w:color="auto"/>
              <w:right w:val="single" w:sz="4" w:space="0" w:color="auto"/>
            </w:tcBorders>
            <w:shd w:val="clear" w:color="auto" w:fill="C6EFCE"/>
            <w:noWrap/>
            <w:vAlign w:val="center"/>
          </w:tcPr>
          <w:p w14:paraId="3B049DD5" w14:textId="77777777" w:rsidR="00A612E2" w:rsidRPr="00246CC4" w:rsidRDefault="00A612E2" w:rsidP="00742B81">
            <w:pPr>
              <w:rPr>
                <w:noProof/>
                <w:color w:val="006100"/>
                <w:sz w:val="20"/>
                <w:szCs w:val="20"/>
              </w:rPr>
            </w:pPr>
            <w:r>
              <w:rPr>
                <w:noProof/>
                <w:color w:val="006100"/>
                <w:sz w:val="20"/>
              </w:rPr>
              <w:t>Finantspolitsei – professionaalsete andmeteadusteenuste ostmine T2</w:t>
            </w:r>
          </w:p>
        </w:tc>
      </w:tr>
      <w:tr w:rsidR="00A612E2" w:rsidRPr="00D90835" w14:paraId="4D61B8BF"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EB507D1" w14:textId="77777777" w:rsidR="00A612E2" w:rsidRPr="00246CC4" w:rsidRDefault="00A612E2" w:rsidP="00742B81">
            <w:pPr>
              <w:jc w:val="center"/>
              <w:rPr>
                <w:noProof/>
                <w:color w:val="006100"/>
                <w:sz w:val="20"/>
                <w:szCs w:val="20"/>
              </w:rPr>
            </w:pPr>
            <w:r>
              <w:rPr>
                <w:noProof/>
                <w:color w:val="006100"/>
                <w:sz w:val="20"/>
              </w:rPr>
              <w:t>M1C1–37bis</w:t>
            </w:r>
          </w:p>
        </w:tc>
        <w:tc>
          <w:tcPr>
            <w:tcW w:w="3118" w:type="dxa"/>
            <w:tcBorders>
              <w:top w:val="nil"/>
              <w:left w:val="nil"/>
              <w:bottom w:val="single" w:sz="4" w:space="0" w:color="auto"/>
              <w:right w:val="single" w:sz="4" w:space="0" w:color="auto"/>
            </w:tcBorders>
            <w:shd w:val="clear" w:color="auto" w:fill="C6EFCE"/>
            <w:noWrap/>
            <w:vAlign w:val="center"/>
          </w:tcPr>
          <w:p w14:paraId="01F9E05B" w14:textId="77777777" w:rsidR="00A612E2" w:rsidRPr="003B127D" w:rsidRDefault="00A612E2" w:rsidP="00742B81">
            <w:pPr>
              <w:rPr>
                <w:noProof/>
                <w:color w:val="006100"/>
                <w:sz w:val="20"/>
                <w:szCs w:val="20"/>
              </w:rPr>
            </w:pPr>
            <w:r>
              <w:rPr>
                <w:noProof/>
                <w:color w:val="006100"/>
                <w:sz w:val="20"/>
              </w:rPr>
              <w:t>Reform 1.4. Tsiviilõiguse reform</w:t>
            </w:r>
          </w:p>
        </w:tc>
        <w:tc>
          <w:tcPr>
            <w:tcW w:w="1418" w:type="dxa"/>
            <w:tcBorders>
              <w:top w:val="nil"/>
              <w:left w:val="nil"/>
              <w:bottom w:val="single" w:sz="4" w:space="0" w:color="auto"/>
              <w:right w:val="single" w:sz="4" w:space="0" w:color="auto"/>
            </w:tcBorders>
            <w:shd w:val="clear" w:color="auto" w:fill="C6EFCE"/>
            <w:noWrap/>
            <w:vAlign w:val="center"/>
          </w:tcPr>
          <w:p w14:paraId="6A20A73F" w14:textId="77777777" w:rsidR="00A612E2" w:rsidRPr="00246CC4" w:rsidRDefault="00A612E2" w:rsidP="00742B81">
            <w:pPr>
              <w:rPr>
                <w:noProof/>
                <w:color w:val="006100"/>
                <w:sz w:val="20"/>
                <w:szCs w:val="20"/>
              </w:rPr>
            </w:pPr>
            <w:r>
              <w:rPr>
                <w:noProof/>
                <w:color w:val="006100"/>
                <w:sz w:val="20"/>
              </w:rPr>
              <w:t>Eesmärk</w:t>
            </w:r>
          </w:p>
        </w:tc>
        <w:tc>
          <w:tcPr>
            <w:tcW w:w="4049" w:type="dxa"/>
            <w:tcBorders>
              <w:top w:val="nil"/>
              <w:left w:val="nil"/>
              <w:bottom w:val="single" w:sz="4" w:space="0" w:color="auto"/>
              <w:right w:val="single" w:sz="4" w:space="0" w:color="auto"/>
            </w:tcBorders>
            <w:shd w:val="clear" w:color="auto" w:fill="C6EFCE"/>
            <w:noWrap/>
            <w:vAlign w:val="center"/>
          </w:tcPr>
          <w:p w14:paraId="01BD11D5" w14:textId="77777777" w:rsidR="00A612E2" w:rsidRPr="00141A9C" w:rsidRDefault="00A612E2" w:rsidP="00742B81">
            <w:pPr>
              <w:rPr>
                <w:noProof/>
                <w:color w:val="006100"/>
                <w:sz w:val="20"/>
                <w:szCs w:val="20"/>
              </w:rPr>
            </w:pPr>
            <w:r>
              <w:rPr>
                <w:noProof/>
                <w:color w:val="006100"/>
                <w:sz w:val="20"/>
              </w:rPr>
              <w:t>Mahajäämuse vähendamiseks võetud meetmete jõustumine</w:t>
            </w:r>
          </w:p>
        </w:tc>
      </w:tr>
      <w:tr w:rsidR="00A612E2" w:rsidRPr="00D90835" w14:paraId="531C0BDB"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8F96336" w14:textId="77777777" w:rsidR="00A612E2" w:rsidRPr="00246CC4" w:rsidRDefault="00A612E2" w:rsidP="00742B81">
            <w:pPr>
              <w:jc w:val="center"/>
              <w:rPr>
                <w:noProof/>
                <w:color w:val="006100"/>
                <w:sz w:val="20"/>
                <w:szCs w:val="20"/>
              </w:rPr>
            </w:pPr>
            <w:r>
              <w:rPr>
                <w:noProof/>
                <w:color w:val="006100"/>
                <w:sz w:val="20"/>
              </w:rPr>
              <w:t>M1C1–72bis</w:t>
            </w:r>
          </w:p>
        </w:tc>
        <w:tc>
          <w:tcPr>
            <w:tcW w:w="3118" w:type="dxa"/>
            <w:tcBorders>
              <w:top w:val="nil"/>
              <w:left w:val="nil"/>
              <w:bottom w:val="single" w:sz="4" w:space="0" w:color="auto"/>
              <w:right w:val="single" w:sz="4" w:space="0" w:color="auto"/>
            </w:tcBorders>
            <w:shd w:val="clear" w:color="auto" w:fill="C6EFCE"/>
            <w:noWrap/>
            <w:vAlign w:val="center"/>
          </w:tcPr>
          <w:p w14:paraId="525FE7B5" w14:textId="77777777" w:rsidR="00A612E2" w:rsidRPr="003B127D" w:rsidRDefault="00A612E2" w:rsidP="00742B81">
            <w:pPr>
              <w:rPr>
                <w:noProof/>
                <w:color w:val="006100"/>
                <w:sz w:val="20"/>
                <w:szCs w:val="20"/>
              </w:rPr>
            </w:pPr>
            <w:r>
              <w:rPr>
                <w:noProof/>
                <w:color w:val="006100"/>
                <w:sz w:val="20"/>
              </w:rPr>
              <w:t>Reform 1.11. Avaliku halduse asutuste ja tervishoiuasutuste hilinenud maksete vähendamine</w:t>
            </w:r>
          </w:p>
        </w:tc>
        <w:tc>
          <w:tcPr>
            <w:tcW w:w="1418" w:type="dxa"/>
            <w:tcBorders>
              <w:top w:val="nil"/>
              <w:left w:val="nil"/>
              <w:bottom w:val="single" w:sz="4" w:space="0" w:color="auto"/>
              <w:right w:val="single" w:sz="4" w:space="0" w:color="auto"/>
            </w:tcBorders>
            <w:shd w:val="clear" w:color="auto" w:fill="C6EFCE"/>
            <w:noWrap/>
            <w:vAlign w:val="center"/>
          </w:tcPr>
          <w:p w14:paraId="4448E378" w14:textId="77777777" w:rsidR="00A612E2" w:rsidRPr="00246CC4" w:rsidRDefault="00A612E2" w:rsidP="00742B81">
            <w:pPr>
              <w:rPr>
                <w:noProof/>
                <w:color w:val="006100"/>
                <w:sz w:val="20"/>
                <w:szCs w:val="20"/>
              </w:rPr>
            </w:pPr>
            <w:r>
              <w:rPr>
                <w:noProof/>
                <w:color w:val="006100"/>
                <w:sz w:val="20"/>
              </w:rPr>
              <w:t>Eesmärk</w:t>
            </w:r>
          </w:p>
        </w:tc>
        <w:tc>
          <w:tcPr>
            <w:tcW w:w="4049" w:type="dxa"/>
            <w:tcBorders>
              <w:top w:val="nil"/>
              <w:left w:val="nil"/>
              <w:bottom w:val="single" w:sz="4" w:space="0" w:color="auto"/>
              <w:right w:val="single" w:sz="4" w:space="0" w:color="auto"/>
            </w:tcBorders>
            <w:shd w:val="clear" w:color="auto" w:fill="C6EFCE"/>
            <w:noWrap/>
            <w:vAlign w:val="center"/>
          </w:tcPr>
          <w:p w14:paraId="3B4B4ED5" w14:textId="77777777" w:rsidR="00A612E2" w:rsidRPr="003B127D" w:rsidRDefault="00A612E2" w:rsidP="00742B81">
            <w:pPr>
              <w:rPr>
                <w:noProof/>
                <w:color w:val="006100"/>
                <w:sz w:val="20"/>
                <w:szCs w:val="20"/>
              </w:rPr>
            </w:pPr>
            <w:r>
              <w:rPr>
                <w:noProof/>
                <w:color w:val="006100"/>
                <w:sz w:val="20"/>
              </w:rPr>
              <w:t>Seadusandlikud ja erimeetmed hilinenud maksete vähendamiseks kesksel/kohalikul tasandil</w:t>
            </w:r>
          </w:p>
        </w:tc>
      </w:tr>
      <w:tr w:rsidR="00A612E2" w:rsidRPr="00D90835" w14:paraId="693716B3"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26FBAF1" w14:textId="77777777" w:rsidR="00A612E2" w:rsidRPr="00246CC4" w:rsidRDefault="00A612E2" w:rsidP="00742B81">
            <w:pPr>
              <w:jc w:val="center"/>
              <w:rPr>
                <w:noProof/>
                <w:color w:val="006100"/>
                <w:sz w:val="20"/>
                <w:szCs w:val="20"/>
              </w:rPr>
            </w:pPr>
            <w:r>
              <w:rPr>
                <w:noProof/>
                <w:color w:val="006100"/>
                <w:sz w:val="20"/>
              </w:rPr>
              <w:t>M2C2-6</w:t>
            </w:r>
          </w:p>
        </w:tc>
        <w:tc>
          <w:tcPr>
            <w:tcW w:w="3118" w:type="dxa"/>
            <w:tcBorders>
              <w:top w:val="nil"/>
              <w:left w:val="nil"/>
              <w:bottom w:val="single" w:sz="4" w:space="0" w:color="auto"/>
              <w:right w:val="single" w:sz="4" w:space="0" w:color="auto"/>
            </w:tcBorders>
            <w:shd w:val="clear" w:color="auto" w:fill="C6EFCE"/>
            <w:noWrap/>
            <w:vAlign w:val="center"/>
          </w:tcPr>
          <w:p w14:paraId="536387F7" w14:textId="77777777" w:rsidR="00A612E2" w:rsidRPr="003B127D" w:rsidRDefault="00A612E2" w:rsidP="00742B81">
            <w:pPr>
              <w:rPr>
                <w:noProof/>
                <w:color w:val="006100"/>
                <w:sz w:val="20"/>
                <w:szCs w:val="20"/>
              </w:rPr>
            </w:pPr>
            <w:r>
              <w:rPr>
                <w:noProof/>
                <w:color w:val="006100"/>
                <w:sz w:val="20"/>
              </w:rPr>
              <w:t>Reform 1. Taastuvate maismaa- ja avamererajatiste loamenetluste lihtsustamine ning uus õigusraamistik taastuvatest energiaallikatest tootmise säilitamiseks ning praeguste toetuskavade kestuse ja abikõlblikkuse pikendamine</w:t>
            </w:r>
          </w:p>
        </w:tc>
        <w:tc>
          <w:tcPr>
            <w:tcW w:w="1418" w:type="dxa"/>
            <w:tcBorders>
              <w:top w:val="nil"/>
              <w:left w:val="nil"/>
              <w:bottom w:val="single" w:sz="4" w:space="0" w:color="auto"/>
              <w:right w:val="single" w:sz="4" w:space="0" w:color="auto"/>
            </w:tcBorders>
            <w:shd w:val="clear" w:color="auto" w:fill="C6EFCE"/>
            <w:noWrap/>
            <w:vAlign w:val="center"/>
          </w:tcPr>
          <w:p w14:paraId="2C63F575" w14:textId="77777777" w:rsidR="00A612E2" w:rsidRPr="00246CC4" w:rsidRDefault="00A612E2" w:rsidP="00742B81">
            <w:pPr>
              <w:rPr>
                <w:noProof/>
                <w:color w:val="006100"/>
                <w:sz w:val="20"/>
                <w:szCs w:val="20"/>
              </w:rPr>
            </w:pPr>
            <w:r>
              <w:rPr>
                <w:noProof/>
                <w:color w:val="006100"/>
                <w:sz w:val="20"/>
              </w:rPr>
              <w:t>Eesmärk</w:t>
            </w:r>
          </w:p>
        </w:tc>
        <w:tc>
          <w:tcPr>
            <w:tcW w:w="4049" w:type="dxa"/>
            <w:tcBorders>
              <w:top w:val="nil"/>
              <w:left w:val="nil"/>
              <w:bottom w:val="single" w:sz="4" w:space="0" w:color="auto"/>
              <w:right w:val="single" w:sz="4" w:space="0" w:color="auto"/>
            </w:tcBorders>
            <w:shd w:val="clear" w:color="auto" w:fill="C6EFCE"/>
            <w:noWrap/>
            <w:vAlign w:val="center"/>
          </w:tcPr>
          <w:p w14:paraId="11CC6478" w14:textId="77777777" w:rsidR="00A612E2" w:rsidRPr="003B127D" w:rsidRDefault="00A612E2" w:rsidP="00742B81">
            <w:pPr>
              <w:rPr>
                <w:noProof/>
                <w:color w:val="006100"/>
                <w:sz w:val="20"/>
                <w:szCs w:val="20"/>
              </w:rPr>
            </w:pPr>
            <w:r>
              <w:rPr>
                <w:noProof/>
                <w:color w:val="006100"/>
                <w:sz w:val="20"/>
              </w:rPr>
              <w:t>Maismaal ja avamerel toodetavate taastuvate energiaallikate jaoks rajatiste ehitamiseks loa andmise menetluste lihtsustamist käsitleva õigusraamistiku jõustumine</w:t>
            </w:r>
          </w:p>
        </w:tc>
      </w:tr>
      <w:tr w:rsidR="00A612E2" w:rsidRPr="00D90835" w14:paraId="6E28BA4D"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16EB955" w14:textId="77777777" w:rsidR="00A612E2" w:rsidRPr="00246CC4" w:rsidRDefault="00A612E2" w:rsidP="00742B81">
            <w:pPr>
              <w:jc w:val="center"/>
              <w:rPr>
                <w:noProof/>
                <w:color w:val="006100"/>
                <w:sz w:val="20"/>
                <w:szCs w:val="20"/>
              </w:rPr>
            </w:pPr>
            <w:r>
              <w:rPr>
                <w:noProof/>
                <w:color w:val="006100"/>
                <w:sz w:val="20"/>
              </w:rPr>
              <w:t>M4C1-8</w:t>
            </w:r>
          </w:p>
        </w:tc>
        <w:tc>
          <w:tcPr>
            <w:tcW w:w="3118" w:type="dxa"/>
            <w:tcBorders>
              <w:top w:val="nil"/>
              <w:left w:val="nil"/>
              <w:bottom w:val="single" w:sz="4" w:space="0" w:color="auto"/>
              <w:right w:val="single" w:sz="4" w:space="0" w:color="auto"/>
            </w:tcBorders>
            <w:shd w:val="clear" w:color="auto" w:fill="C6EFCE"/>
            <w:noWrap/>
            <w:vAlign w:val="center"/>
          </w:tcPr>
          <w:p w14:paraId="0FC89F5D" w14:textId="77777777" w:rsidR="00A612E2" w:rsidRPr="00246CC4" w:rsidRDefault="00A612E2" w:rsidP="00742B81">
            <w:pPr>
              <w:rPr>
                <w:noProof/>
                <w:color w:val="006100"/>
                <w:sz w:val="20"/>
                <w:szCs w:val="20"/>
              </w:rPr>
            </w:pPr>
            <w:r>
              <w:rPr>
                <w:noProof/>
                <w:color w:val="006100"/>
                <w:sz w:val="20"/>
              </w:rPr>
              <w:t>Investeering 1.3. Koolispordi infrastruktuuri edendamise kava</w:t>
            </w:r>
          </w:p>
        </w:tc>
        <w:tc>
          <w:tcPr>
            <w:tcW w:w="1418" w:type="dxa"/>
            <w:tcBorders>
              <w:top w:val="nil"/>
              <w:left w:val="nil"/>
              <w:bottom w:val="single" w:sz="4" w:space="0" w:color="auto"/>
              <w:right w:val="single" w:sz="4" w:space="0" w:color="auto"/>
            </w:tcBorders>
            <w:shd w:val="clear" w:color="auto" w:fill="C6EFCE"/>
            <w:noWrap/>
            <w:vAlign w:val="center"/>
          </w:tcPr>
          <w:p w14:paraId="1E967014" w14:textId="77777777" w:rsidR="00A612E2" w:rsidRPr="00246CC4" w:rsidRDefault="00A612E2" w:rsidP="00742B81">
            <w:pPr>
              <w:rPr>
                <w:noProof/>
                <w:color w:val="006100"/>
                <w:sz w:val="20"/>
                <w:szCs w:val="20"/>
              </w:rPr>
            </w:pPr>
            <w:r>
              <w:rPr>
                <w:noProof/>
                <w:color w:val="006100"/>
                <w:sz w:val="20"/>
              </w:rPr>
              <w:t>Eesmärk</w:t>
            </w:r>
          </w:p>
        </w:tc>
        <w:tc>
          <w:tcPr>
            <w:tcW w:w="4049" w:type="dxa"/>
            <w:tcBorders>
              <w:top w:val="nil"/>
              <w:left w:val="nil"/>
              <w:bottom w:val="single" w:sz="4" w:space="0" w:color="auto"/>
              <w:right w:val="single" w:sz="4" w:space="0" w:color="auto"/>
            </w:tcBorders>
            <w:shd w:val="clear" w:color="auto" w:fill="C6EFCE"/>
            <w:noWrap/>
            <w:vAlign w:val="center"/>
          </w:tcPr>
          <w:p w14:paraId="0C568493" w14:textId="77777777" w:rsidR="00A612E2" w:rsidRPr="003B127D" w:rsidRDefault="00A612E2" w:rsidP="00742B81">
            <w:pPr>
              <w:rPr>
                <w:noProof/>
                <w:color w:val="006100"/>
                <w:sz w:val="20"/>
                <w:szCs w:val="20"/>
              </w:rPr>
            </w:pPr>
            <w:r>
              <w:rPr>
                <w:noProof/>
                <w:color w:val="006100"/>
                <w:sz w:val="20"/>
              </w:rPr>
              <w:t>Haridusministeeriumi dekreedis ette nähtud spordirajatiste ja spordivõimurite ehitamiseks ja renoveerimiseks võetavate sekkumismeetmete lepingute sõlmimine</w:t>
            </w:r>
          </w:p>
        </w:tc>
      </w:tr>
      <w:tr w:rsidR="00A612E2" w:rsidRPr="00D90835" w14:paraId="1D442A9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B801BB1" w14:textId="77777777" w:rsidR="00A612E2" w:rsidRPr="00246CC4" w:rsidRDefault="00A612E2" w:rsidP="00742B81">
            <w:pPr>
              <w:jc w:val="center"/>
              <w:rPr>
                <w:noProof/>
                <w:color w:val="006100"/>
                <w:sz w:val="20"/>
                <w:szCs w:val="20"/>
              </w:rPr>
            </w:pPr>
            <w:r>
              <w:rPr>
                <w:noProof/>
                <w:color w:val="006100"/>
                <w:sz w:val="20"/>
              </w:rPr>
              <w:t xml:space="preserve">M5C1-9 </w:t>
            </w:r>
          </w:p>
        </w:tc>
        <w:tc>
          <w:tcPr>
            <w:tcW w:w="3118" w:type="dxa"/>
            <w:tcBorders>
              <w:top w:val="nil"/>
              <w:left w:val="nil"/>
              <w:bottom w:val="single" w:sz="4" w:space="0" w:color="auto"/>
              <w:right w:val="single" w:sz="4" w:space="0" w:color="auto"/>
            </w:tcBorders>
            <w:shd w:val="clear" w:color="auto" w:fill="C6EFCE"/>
            <w:noWrap/>
            <w:vAlign w:val="center"/>
          </w:tcPr>
          <w:p w14:paraId="6CB30CF8" w14:textId="77777777" w:rsidR="00A612E2" w:rsidRPr="00246CC4" w:rsidRDefault="00A612E2" w:rsidP="00742B81">
            <w:pPr>
              <w:rPr>
                <w:noProof/>
                <w:color w:val="006100"/>
                <w:sz w:val="20"/>
                <w:szCs w:val="20"/>
              </w:rPr>
            </w:pPr>
            <w:r>
              <w:rPr>
                <w:noProof/>
                <w:color w:val="006100"/>
                <w:sz w:val="20"/>
              </w:rPr>
              <w:t>Reform 2. Deklareerimata töö</w:t>
            </w:r>
          </w:p>
        </w:tc>
        <w:tc>
          <w:tcPr>
            <w:tcW w:w="1418" w:type="dxa"/>
            <w:tcBorders>
              <w:top w:val="nil"/>
              <w:left w:val="nil"/>
              <w:bottom w:val="single" w:sz="4" w:space="0" w:color="auto"/>
              <w:right w:val="single" w:sz="4" w:space="0" w:color="auto"/>
            </w:tcBorders>
            <w:shd w:val="clear" w:color="auto" w:fill="C6EFCE"/>
            <w:noWrap/>
            <w:vAlign w:val="center"/>
          </w:tcPr>
          <w:p w14:paraId="2C0584B9" w14:textId="77777777" w:rsidR="00A612E2" w:rsidRPr="00246CC4" w:rsidRDefault="00A612E2" w:rsidP="00742B81">
            <w:pPr>
              <w:rPr>
                <w:noProof/>
                <w:color w:val="006100"/>
                <w:sz w:val="20"/>
                <w:szCs w:val="20"/>
              </w:rPr>
            </w:pPr>
            <w:r>
              <w:rPr>
                <w:noProof/>
                <w:color w:val="006100"/>
                <w:sz w:val="20"/>
              </w:rPr>
              <w:t>Eesmärk</w:t>
            </w:r>
          </w:p>
        </w:tc>
        <w:tc>
          <w:tcPr>
            <w:tcW w:w="4049" w:type="dxa"/>
            <w:tcBorders>
              <w:top w:val="nil"/>
              <w:left w:val="nil"/>
              <w:bottom w:val="single" w:sz="4" w:space="0" w:color="auto"/>
              <w:right w:val="single" w:sz="4" w:space="0" w:color="auto"/>
            </w:tcBorders>
            <w:shd w:val="clear" w:color="auto" w:fill="C6EFCE"/>
            <w:noWrap/>
            <w:vAlign w:val="center"/>
          </w:tcPr>
          <w:p w14:paraId="6AC18625" w14:textId="77777777" w:rsidR="00A612E2" w:rsidRPr="003B127D" w:rsidRDefault="00A612E2" w:rsidP="00742B81">
            <w:pPr>
              <w:rPr>
                <w:noProof/>
                <w:color w:val="006100"/>
                <w:sz w:val="20"/>
                <w:szCs w:val="20"/>
              </w:rPr>
            </w:pPr>
            <w:r>
              <w:rPr>
                <w:noProof/>
                <w:color w:val="006100"/>
                <w:sz w:val="20"/>
              </w:rPr>
              <w:t>Riiklikus kavas sisalduvate meetmete täielik rakendamine kooskõlas tegevuskavaga</w:t>
            </w:r>
          </w:p>
        </w:tc>
      </w:tr>
      <w:tr w:rsidR="00A612E2" w:rsidRPr="00D90835" w14:paraId="4AB5F69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B227A9B" w14:textId="77777777" w:rsidR="00A612E2" w:rsidRPr="00246CC4" w:rsidRDefault="00A612E2" w:rsidP="00742B81">
            <w:pPr>
              <w:jc w:val="center"/>
              <w:rPr>
                <w:noProof/>
                <w:color w:val="006100"/>
                <w:sz w:val="20"/>
                <w:szCs w:val="20"/>
              </w:rPr>
            </w:pPr>
            <w:r>
              <w:rPr>
                <w:noProof/>
                <w:color w:val="006100"/>
                <w:sz w:val="20"/>
              </w:rPr>
              <w:t>M5C2-4</w:t>
            </w:r>
          </w:p>
        </w:tc>
        <w:tc>
          <w:tcPr>
            <w:tcW w:w="3118" w:type="dxa"/>
            <w:tcBorders>
              <w:top w:val="nil"/>
              <w:left w:val="nil"/>
              <w:bottom w:val="single" w:sz="4" w:space="0" w:color="auto"/>
              <w:right w:val="single" w:sz="4" w:space="0" w:color="auto"/>
            </w:tcBorders>
            <w:shd w:val="clear" w:color="auto" w:fill="C6EFCE"/>
            <w:noWrap/>
            <w:vAlign w:val="center"/>
          </w:tcPr>
          <w:p w14:paraId="54C67C66" w14:textId="77777777" w:rsidR="00A612E2" w:rsidRPr="003B127D" w:rsidRDefault="00A612E2" w:rsidP="00742B81">
            <w:pPr>
              <w:rPr>
                <w:noProof/>
                <w:color w:val="006100"/>
                <w:sz w:val="20"/>
                <w:szCs w:val="20"/>
              </w:rPr>
            </w:pPr>
            <w:r>
              <w:rPr>
                <w:noProof/>
                <w:color w:val="006100"/>
                <w:sz w:val="20"/>
              </w:rPr>
              <w:t>Reform 2. Reform mittesõltuvate eakate jaoks</w:t>
            </w:r>
          </w:p>
        </w:tc>
        <w:tc>
          <w:tcPr>
            <w:tcW w:w="1418" w:type="dxa"/>
            <w:tcBorders>
              <w:top w:val="nil"/>
              <w:left w:val="nil"/>
              <w:bottom w:val="single" w:sz="4" w:space="0" w:color="auto"/>
              <w:right w:val="single" w:sz="4" w:space="0" w:color="auto"/>
            </w:tcBorders>
            <w:shd w:val="clear" w:color="auto" w:fill="C6EFCE"/>
            <w:noWrap/>
            <w:vAlign w:val="center"/>
          </w:tcPr>
          <w:p w14:paraId="5D9F4B11" w14:textId="77777777" w:rsidR="00A612E2" w:rsidRPr="00246CC4" w:rsidRDefault="00A612E2" w:rsidP="00742B81">
            <w:pPr>
              <w:rPr>
                <w:noProof/>
                <w:color w:val="006100"/>
                <w:sz w:val="20"/>
                <w:szCs w:val="20"/>
              </w:rPr>
            </w:pPr>
            <w:r>
              <w:rPr>
                <w:noProof/>
                <w:color w:val="006100"/>
                <w:sz w:val="20"/>
              </w:rPr>
              <w:t>Eesmärk</w:t>
            </w:r>
          </w:p>
        </w:tc>
        <w:tc>
          <w:tcPr>
            <w:tcW w:w="4049" w:type="dxa"/>
            <w:tcBorders>
              <w:top w:val="nil"/>
              <w:left w:val="nil"/>
              <w:bottom w:val="single" w:sz="4" w:space="0" w:color="auto"/>
              <w:right w:val="single" w:sz="4" w:space="0" w:color="auto"/>
            </w:tcBorders>
            <w:shd w:val="clear" w:color="auto" w:fill="C6EFCE"/>
            <w:noWrap/>
            <w:vAlign w:val="center"/>
          </w:tcPr>
          <w:p w14:paraId="430FA83D" w14:textId="77777777" w:rsidR="00A612E2" w:rsidRPr="003B127D" w:rsidRDefault="00A612E2" w:rsidP="00742B81">
            <w:pPr>
              <w:rPr>
                <w:noProof/>
                <w:color w:val="006100"/>
                <w:sz w:val="20"/>
                <w:szCs w:val="20"/>
              </w:rPr>
            </w:pPr>
            <w:r>
              <w:rPr>
                <w:noProof/>
                <w:color w:val="006100"/>
                <w:sz w:val="20"/>
              </w:rPr>
              <w:t>Jõustuvad seadusandlikud dekreedid, millega arendatakse edasi raamseaduse sätteid, et tugevdada meetmeid, mis on suunatud mittesõltumatutele eakatele inimestele.</w:t>
            </w:r>
          </w:p>
        </w:tc>
      </w:tr>
      <w:tr w:rsidR="00A612E2" w:rsidRPr="00D90835" w14:paraId="05FDAC48"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1C0DA50" w14:textId="77777777" w:rsidR="00A612E2" w:rsidRPr="00246CC4" w:rsidRDefault="00A612E2" w:rsidP="00742B81">
            <w:pPr>
              <w:jc w:val="center"/>
              <w:rPr>
                <w:noProof/>
                <w:color w:val="006100"/>
                <w:sz w:val="20"/>
                <w:szCs w:val="20"/>
              </w:rPr>
            </w:pPr>
            <w:r>
              <w:rPr>
                <w:noProof/>
                <w:color w:val="006100"/>
                <w:sz w:val="20"/>
              </w:rPr>
              <w:t>M7-9</w:t>
            </w:r>
          </w:p>
        </w:tc>
        <w:tc>
          <w:tcPr>
            <w:tcW w:w="3118" w:type="dxa"/>
            <w:tcBorders>
              <w:top w:val="nil"/>
              <w:left w:val="nil"/>
              <w:bottom w:val="single" w:sz="4" w:space="0" w:color="auto"/>
              <w:right w:val="single" w:sz="4" w:space="0" w:color="auto"/>
            </w:tcBorders>
            <w:shd w:val="clear" w:color="auto" w:fill="C6EFCE"/>
            <w:noWrap/>
            <w:vAlign w:val="center"/>
          </w:tcPr>
          <w:p w14:paraId="1E840D66" w14:textId="77777777" w:rsidR="00A612E2" w:rsidRPr="003B127D" w:rsidRDefault="00A612E2" w:rsidP="00742B81">
            <w:pPr>
              <w:rPr>
                <w:noProof/>
                <w:color w:val="006100"/>
                <w:sz w:val="20"/>
                <w:szCs w:val="20"/>
              </w:rPr>
            </w:pPr>
            <w:r>
              <w:rPr>
                <w:noProof/>
                <w:color w:val="006100"/>
                <w:sz w:val="20"/>
              </w:rPr>
              <w:t>Reform 5. Uute oskuste kava – üleminekud</w:t>
            </w:r>
          </w:p>
        </w:tc>
        <w:tc>
          <w:tcPr>
            <w:tcW w:w="1418" w:type="dxa"/>
            <w:tcBorders>
              <w:top w:val="nil"/>
              <w:left w:val="nil"/>
              <w:bottom w:val="single" w:sz="4" w:space="0" w:color="auto"/>
              <w:right w:val="single" w:sz="4" w:space="0" w:color="auto"/>
            </w:tcBorders>
            <w:shd w:val="clear" w:color="auto" w:fill="C6EFCE"/>
            <w:noWrap/>
            <w:vAlign w:val="center"/>
          </w:tcPr>
          <w:p w14:paraId="4B02CFD4" w14:textId="77777777" w:rsidR="00A612E2" w:rsidRPr="00246CC4" w:rsidRDefault="00A612E2" w:rsidP="00742B81">
            <w:pPr>
              <w:rPr>
                <w:noProof/>
                <w:color w:val="006100"/>
                <w:sz w:val="20"/>
                <w:szCs w:val="20"/>
              </w:rPr>
            </w:pPr>
            <w:r>
              <w:rPr>
                <w:noProof/>
                <w:color w:val="006100"/>
                <w:sz w:val="20"/>
              </w:rPr>
              <w:t>Eesmärk</w:t>
            </w:r>
          </w:p>
        </w:tc>
        <w:tc>
          <w:tcPr>
            <w:tcW w:w="4049" w:type="dxa"/>
            <w:tcBorders>
              <w:top w:val="nil"/>
              <w:left w:val="nil"/>
              <w:bottom w:val="single" w:sz="4" w:space="0" w:color="auto"/>
              <w:right w:val="single" w:sz="4" w:space="0" w:color="auto"/>
            </w:tcBorders>
            <w:shd w:val="clear" w:color="auto" w:fill="C6EFCE"/>
            <w:noWrap/>
            <w:vAlign w:val="center"/>
          </w:tcPr>
          <w:p w14:paraId="45EBE6AF" w14:textId="77777777" w:rsidR="00A612E2" w:rsidRPr="003B127D" w:rsidRDefault="00A612E2" w:rsidP="00742B81">
            <w:pPr>
              <w:rPr>
                <w:noProof/>
                <w:color w:val="006100"/>
                <w:sz w:val="20"/>
                <w:szCs w:val="20"/>
              </w:rPr>
            </w:pPr>
            <w:r>
              <w:rPr>
                <w:noProof/>
                <w:color w:val="006100"/>
                <w:sz w:val="20"/>
              </w:rPr>
              <w:t>Uue oskuste kava vastuvõtmine ja avaldamine – üleminekud ja rakendamise tegevuskava</w:t>
            </w:r>
          </w:p>
        </w:tc>
      </w:tr>
      <w:tr w:rsidR="00A612E2" w:rsidRPr="00246CC4" w14:paraId="2A38F581"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FC6FE6D" w14:textId="77777777" w:rsidR="00A612E2" w:rsidRPr="00246CC4" w:rsidRDefault="00A612E2" w:rsidP="00742B81">
            <w:pPr>
              <w:jc w:val="center"/>
              <w:rPr>
                <w:noProof/>
                <w:color w:val="006100"/>
                <w:sz w:val="20"/>
                <w:szCs w:val="20"/>
              </w:rPr>
            </w:pPr>
            <w:r>
              <w:rPr>
                <w:noProof/>
                <w:color w:val="006100"/>
                <w:sz w:val="20"/>
              </w:rPr>
              <w:t>M7-32</w:t>
            </w:r>
          </w:p>
        </w:tc>
        <w:tc>
          <w:tcPr>
            <w:tcW w:w="3118" w:type="dxa"/>
            <w:tcBorders>
              <w:top w:val="nil"/>
              <w:left w:val="nil"/>
              <w:bottom w:val="single" w:sz="4" w:space="0" w:color="auto"/>
              <w:right w:val="single" w:sz="4" w:space="0" w:color="auto"/>
            </w:tcBorders>
            <w:shd w:val="clear" w:color="auto" w:fill="C6EFCE"/>
            <w:noWrap/>
            <w:vAlign w:val="center"/>
          </w:tcPr>
          <w:p w14:paraId="401B853F" w14:textId="77777777" w:rsidR="00A612E2" w:rsidRPr="003B127D" w:rsidRDefault="00A612E2" w:rsidP="00742B81">
            <w:pPr>
              <w:rPr>
                <w:noProof/>
                <w:color w:val="006100"/>
                <w:sz w:val="20"/>
                <w:szCs w:val="20"/>
              </w:rPr>
            </w:pPr>
            <w:r>
              <w:rPr>
                <w:noProof/>
                <w:color w:val="006100"/>
                <w:sz w:val="20"/>
              </w:rPr>
              <w:t>Investeering 12. Toetuskava rahvusvahelise, tööstusliku ning teadus- ja arendustegevuse alase juhtpositsiooni arendamiseks heitevabade busside valdkonnas</w:t>
            </w:r>
          </w:p>
        </w:tc>
        <w:tc>
          <w:tcPr>
            <w:tcW w:w="1418" w:type="dxa"/>
            <w:tcBorders>
              <w:top w:val="nil"/>
              <w:left w:val="nil"/>
              <w:bottom w:val="single" w:sz="4" w:space="0" w:color="auto"/>
              <w:right w:val="single" w:sz="4" w:space="0" w:color="auto"/>
            </w:tcBorders>
            <w:shd w:val="clear" w:color="auto" w:fill="C6EFCE"/>
            <w:noWrap/>
            <w:vAlign w:val="center"/>
          </w:tcPr>
          <w:p w14:paraId="7AD3A038" w14:textId="77777777" w:rsidR="00A612E2" w:rsidRPr="00246CC4" w:rsidRDefault="00A612E2" w:rsidP="00742B81">
            <w:pPr>
              <w:rPr>
                <w:noProof/>
                <w:color w:val="006100"/>
                <w:sz w:val="20"/>
                <w:szCs w:val="20"/>
              </w:rPr>
            </w:pPr>
            <w:r>
              <w:rPr>
                <w:noProof/>
                <w:color w:val="006100"/>
                <w:sz w:val="20"/>
              </w:rPr>
              <w:t>Eesmärk</w:t>
            </w:r>
          </w:p>
        </w:tc>
        <w:tc>
          <w:tcPr>
            <w:tcW w:w="4049" w:type="dxa"/>
            <w:tcBorders>
              <w:top w:val="nil"/>
              <w:left w:val="nil"/>
              <w:bottom w:val="single" w:sz="4" w:space="0" w:color="auto"/>
              <w:right w:val="single" w:sz="4" w:space="0" w:color="auto"/>
            </w:tcBorders>
            <w:shd w:val="clear" w:color="auto" w:fill="C6EFCE"/>
            <w:noWrap/>
            <w:vAlign w:val="center"/>
          </w:tcPr>
          <w:p w14:paraId="23B6787C" w14:textId="77777777" w:rsidR="00A612E2" w:rsidRPr="00246CC4" w:rsidRDefault="00A612E2" w:rsidP="00742B81">
            <w:pPr>
              <w:rPr>
                <w:noProof/>
                <w:color w:val="006100"/>
                <w:sz w:val="20"/>
                <w:szCs w:val="20"/>
              </w:rPr>
            </w:pPr>
            <w:r>
              <w:rPr>
                <w:noProof/>
                <w:color w:val="006100"/>
                <w:sz w:val="20"/>
              </w:rPr>
              <w:t>Rakendusleping</w:t>
            </w:r>
          </w:p>
        </w:tc>
      </w:tr>
      <w:tr w:rsidR="00A612E2" w:rsidRPr="00D90835" w14:paraId="09D366D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62F2223" w14:textId="77777777" w:rsidR="00A612E2" w:rsidRPr="00246CC4" w:rsidRDefault="00A612E2" w:rsidP="00742B81">
            <w:pPr>
              <w:jc w:val="center"/>
              <w:rPr>
                <w:noProof/>
                <w:color w:val="006100"/>
                <w:sz w:val="20"/>
                <w:szCs w:val="20"/>
              </w:rPr>
            </w:pPr>
            <w:r>
              <w:rPr>
                <w:noProof/>
                <w:color w:val="006100"/>
                <w:sz w:val="20"/>
              </w:rPr>
              <w:t>M1C1-39</w:t>
            </w:r>
          </w:p>
        </w:tc>
        <w:tc>
          <w:tcPr>
            <w:tcW w:w="3118" w:type="dxa"/>
            <w:tcBorders>
              <w:top w:val="nil"/>
              <w:left w:val="nil"/>
              <w:bottom w:val="single" w:sz="4" w:space="0" w:color="auto"/>
              <w:right w:val="single" w:sz="4" w:space="0" w:color="auto"/>
            </w:tcBorders>
            <w:shd w:val="clear" w:color="auto" w:fill="C6EFCE"/>
            <w:noWrap/>
            <w:vAlign w:val="center"/>
          </w:tcPr>
          <w:p w14:paraId="393D9579" w14:textId="77777777" w:rsidR="00A612E2" w:rsidRPr="003B127D" w:rsidRDefault="00A612E2" w:rsidP="00742B81">
            <w:pPr>
              <w:rPr>
                <w:noProof/>
                <w:color w:val="006100"/>
                <w:sz w:val="20"/>
                <w:szCs w:val="20"/>
              </w:rPr>
            </w:pPr>
            <w:r>
              <w:rPr>
                <w:noProof/>
                <w:color w:val="006100"/>
                <w:sz w:val="20"/>
              </w:rPr>
              <w:t>Investeering 1.8. Tsiviil- ja kriminaalkohtute värbamismenetlused</w:t>
            </w:r>
          </w:p>
        </w:tc>
        <w:tc>
          <w:tcPr>
            <w:tcW w:w="1418" w:type="dxa"/>
            <w:tcBorders>
              <w:top w:val="nil"/>
              <w:left w:val="nil"/>
              <w:bottom w:val="single" w:sz="4" w:space="0" w:color="auto"/>
              <w:right w:val="single" w:sz="4" w:space="0" w:color="auto"/>
            </w:tcBorders>
            <w:shd w:val="clear" w:color="auto" w:fill="C6EFCE"/>
            <w:noWrap/>
            <w:vAlign w:val="center"/>
          </w:tcPr>
          <w:p w14:paraId="0A9C06FF" w14:textId="77777777" w:rsidR="00A612E2" w:rsidRPr="00246CC4" w:rsidRDefault="00A612E2" w:rsidP="00742B81">
            <w:pPr>
              <w:rPr>
                <w:noProof/>
                <w:color w:val="006100"/>
                <w:sz w:val="20"/>
                <w:szCs w:val="20"/>
              </w:rPr>
            </w:pPr>
            <w:r>
              <w:rPr>
                <w:noProof/>
                <w:color w:val="006100"/>
                <w:sz w:val="20"/>
              </w:rPr>
              <w:t>Siht</w:t>
            </w:r>
          </w:p>
        </w:tc>
        <w:tc>
          <w:tcPr>
            <w:tcW w:w="4049" w:type="dxa"/>
            <w:tcBorders>
              <w:top w:val="nil"/>
              <w:left w:val="nil"/>
              <w:bottom w:val="single" w:sz="4" w:space="0" w:color="auto"/>
              <w:right w:val="single" w:sz="4" w:space="0" w:color="auto"/>
            </w:tcBorders>
            <w:shd w:val="clear" w:color="auto" w:fill="C6EFCE"/>
            <w:noWrap/>
            <w:vAlign w:val="center"/>
          </w:tcPr>
          <w:p w14:paraId="1EC5156B" w14:textId="77777777" w:rsidR="00A612E2" w:rsidRPr="003B127D" w:rsidRDefault="00A612E2" w:rsidP="00742B81">
            <w:pPr>
              <w:rPr>
                <w:noProof/>
                <w:color w:val="006100"/>
                <w:sz w:val="20"/>
                <w:szCs w:val="20"/>
              </w:rPr>
            </w:pPr>
            <w:r>
              <w:rPr>
                <w:noProof/>
                <w:color w:val="006100"/>
                <w:sz w:val="20"/>
              </w:rPr>
              <w:t>Tsiviil- ja kriminaalkohtute ning justiitsministeeriumi piirkondlike ja kesktalituste värbamismenetluste lõpuleviimine, kes vastutavad taaste- ja vastupidavuskava rakendamise eest</w:t>
            </w:r>
          </w:p>
        </w:tc>
      </w:tr>
      <w:tr w:rsidR="00A612E2" w:rsidRPr="00D90835" w14:paraId="24CFED85"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E1E0095" w14:textId="77777777" w:rsidR="00A612E2" w:rsidRPr="00246CC4" w:rsidRDefault="00A612E2" w:rsidP="00742B81">
            <w:pPr>
              <w:jc w:val="center"/>
              <w:rPr>
                <w:noProof/>
                <w:color w:val="006100"/>
                <w:sz w:val="20"/>
                <w:szCs w:val="20"/>
              </w:rPr>
            </w:pPr>
            <w:r>
              <w:rPr>
                <w:noProof/>
                <w:color w:val="006100"/>
                <w:sz w:val="20"/>
              </w:rPr>
              <w:t>M1C1-40</w:t>
            </w:r>
          </w:p>
        </w:tc>
        <w:tc>
          <w:tcPr>
            <w:tcW w:w="3118" w:type="dxa"/>
            <w:tcBorders>
              <w:top w:val="nil"/>
              <w:left w:val="nil"/>
              <w:bottom w:val="single" w:sz="4" w:space="0" w:color="auto"/>
              <w:right w:val="single" w:sz="4" w:space="0" w:color="auto"/>
            </w:tcBorders>
            <w:shd w:val="clear" w:color="auto" w:fill="C6EFCE"/>
            <w:noWrap/>
            <w:vAlign w:val="center"/>
          </w:tcPr>
          <w:p w14:paraId="300914DE" w14:textId="77777777" w:rsidR="00A612E2" w:rsidRPr="003B127D" w:rsidRDefault="00A612E2" w:rsidP="00742B81">
            <w:pPr>
              <w:rPr>
                <w:noProof/>
                <w:color w:val="006100"/>
                <w:sz w:val="20"/>
                <w:szCs w:val="20"/>
              </w:rPr>
            </w:pPr>
            <w:r>
              <w:rPr>
                <w:noProof/>
                <w:color w:val="006100"/>
                <w:sz w:val="20"/>
              </w:rPr>
              <w:t>Investeering 1.8. Halduskohtute värbamismenetlused</w:t>
            </w:r>
          </w:p>
        </w:tc>
        <w:tc>
          <w:tcPr>
            <w:tcW w:w="1418" w:type="dxa"/>
            <w:tcBorders>
              <w:top w:val="nil"/>
              <w:left w:val="nil"/>
              <w:bottom w:val="single" w:sz="4" w:space="0" w:color="auto"/>
              <w:right w:val="single" w:sz="4" w:space="0" w:color="auto"/>
            </w:tcBorders>
            <w:shd w:val="clear" w:color="auto" w:fill="C6EFCE"/>
            <w:noWrap/>
            <w:vAlign w:val="center"/>
          </w:tcPr>
          <w:p w14:paraId="67726016" w14:textId="77777777" w:rsidR="00A612E2" w:rsidRPr="00246CC4" w:rsidRDefault="00A612E2" w:rsidP="00742B81">
            <w:pPr>
              <w:rPr>
                <w:noProof/>
                <w:color w:val="006100"/>
                <w:sz w:val="20"/>
                <w:szCs w:val="20"/>
              </w:rPr>
            </w:pPr>
            <w:r>
              <w:rPr>
                <w:noProof/>
                <w:color w:val="006100"/>
                <w:sz w:val="20"/>
              </w:rPr>
              <w:t>Siht</w:t>
            </w:r>
          </w:p>
        </w:tc>
        <w:tc>
          <w:tcPr>
            <w:tcW w:w="4049" w:type="dxa"/>
            <w:tcBorders>
              <w:top w:val="nil"/>
              <w:left w:val="nil"/>
              <w:bottom w:val="single" w:sz="4" w:space="0" w:color="auto"/>
              <w:right w:val="single" w:sz="4" w:space="0" w:color="auto"/>
            </w:tcBorders>
            <w:shd w:val="clear" w:color="auto" w:fill="C6EFCE"/>
            <w:noWrap/>
            <w:vAlign w:val="center"/>
          </w:tcPr>
          <w:p w14:paraId="29DD2B39" w14:textId="77777777" w:rsidR="00A612E2" w:rsidRPr="003B127D" w:rsidRDefault="00A612E2" w:rsidP="00742B81">
            <w:pPr>
              <w:rPr>
                <w:noProof/>
                <w:color w:val="006100"/>
                <w:sz w:val="20"/>
                <w:szCs w:val="20"/>
              </w:rPr>
            </w:pPr>
            <w:r>
              <w:rPr>
                <w:noProof/>
                <w:color w:val="006100"/>
                <w:sz w:val="20"/>
              </w:rPr>
              <w:t>Halduskohtute värbamismenetluste lõpuleviimine</w:t>
            </w:r>
          </w:p>
        </w:tc>
      </w:tr>
      <w:tr w:rsidR="00A612E2" w:rsidRPr="00D90835" w14:paraId="0441372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7D7C98D" w14:textId="77777777" w:rsidR="00A612E2" w:rsidRPr="00246CC4" w:rsidRDefault="00A612E2" w:rsidP="00742B81">
            <w:pPr>
              <w:jc w:val="center"/>
              <w:rPr>
                <w:noProof/>
                <w:color w:val="006100"/>
                <w:sz w:val="20"/>
                <w:szCs w:val="20"/>
              </w:rPr>
            </w:pPr>
            <w:r>
              <w:rPr>
                <w:noProof/>
                <w:color w:val="006100"/>
                <w:sz w:val="20"/>
              </w:rPr>
              <w:t>M1C1-41</w:t>
            </w:r>
          </w:p>
        </w:tc>
        <w:tc>
          <w:tcPr>
            <w:tcW w:w="3118" w:type="dxa"/>
            <w:tcBorders>
              <w:top w:val="nil"/>
              <w:left w:val="nil"/>
              <w:bottom w:val="single" w:sz="4" w:space="0" w:color="auto"/>
              <w:right w:val="single" w:sz="4" w:space="0" w:color="auto"/>
            </w:tcBorders>
            <w:shd w:val="clear" w:color="auto" w:fill="C6EFCE"/>
            <w:noWrap/>
            <w:vAlign w:val="center"/>
          </w:tcPr>
          <w:p w14:paraId="0C5C15F2" w14:textId="77777777" w:rsidR="00A612E2" w:rsidRPr="00246CC4" w:rsidRDefault="00A612E2" w:rsidP="00742B81">
            <w:pPr>
              <w:rPr>
                <w:noProof/>
                <w:color w:val="006100"/>
                <w:sz w:val="20"/>
                <w:szCs w:val="20"/>
              </w:rPr>
            </w:pPr>
            <w:r>
              <w:rPr>
                <w:noProof/>
                <w:color w:val="006100"/>
                <w:sz w:val="20"/>
              </w:rPr>
              <w:t>Investeering 1.8. Halduskohtute värbamismenetlused</w:t>
            </w:r>
          </w:p>
        </w:tc>
        <w:tc>
          <w:tcPr>
            <w:tcW w:w="1418" w:type="dxa"/>
            <w:tcBorders>
              <w:top w:val="nil"/>
              <w:left w:val="nil"/>
              <w:bottom w:val="single" w:sz="4" w:space="0" w:color="auto"/>
              <w:right w:val="single" w:sz="4" w:space="0" w:color="auto"/>
            </w:tcBorders>
            <w:shd w:val="clear" w:color="auto" w:fill="C6EFCE"/>
            <w:noWrap/>
            <w:vAlign w:val="center"/>
          </w:tcPr>
          <w:p w14:paraId="43C291B9" w14:textId="77777777" w:rsidR="00A612E2" w:rsidRPr="00246CC4" w:rsidRDefault="00A612E2" w:rsidP="00742B81">
            <w:pPr>
              <w:rPr>
                <w:noProof/>
                <w:color w:val="006100"/>
                <w:sz w:val="20"/>
                <w:szCs w:val="20"/>
              </w:rPr>
            </w:pPr>
            <w:r>
              <w:rPr>
                <w:noProof/>
                <w:color w:val="006100"/>
                <w:sz w:val="20"/>
              </w:rPr>
              <w:t>Siht</w:t>
            </w:r>
          </w:p>
        </w:tc>
        <w:tc>
          <w:tcPr>
            <w:tcW w:w="4049" w:type="dxa"/>
            <w:tcBorders>
              <w:top w:val="nil"/>
              <w:left w:val="nil"/>
              <w:bottom w:val="single" w:sz="4" w:space="0" w:color="auto"/>
              <w:right w:val="single" w:sz="4" w:space="0" w:color="auto"/>
            </w:tcBorders>
            <w:shd w:val="clear" w:color="auto" w:fill="C6EFCE"/>
            <w:noWrap/>
            <w:vAlign w:val="center"/>
          </w:tcPr>
          <w:p w14:paraId="1A5D3183" w14:textId="77777777" w:rsidR="00A612E2" w:rsidRPr="00246CC4" w:rsidRDefault="00A612E2" w:rsidP="00742B81">
            <w:pPr>
              <w:rPr>
                <w:noProof/>
                <w:color w:val="006100"/>
                <w:sz w:val="20"/>
                <w:szCs w:val="20"/>
              </w:rPr>
            </w:pPr>
            <w:r>
              <w:rPr>
                <w:noProof/>
                <w:color w:val="006100"/>
                <w:sz w:val="20"/>
              </w:rPr>
              <w:t>Piirkondlike halduskohtute kohtuasjade kuhjumise vähendamine</w:t>
            </w:r>
          </w:p>
        </w:tc>
      </w:tr>
      <w:tr w:rsidR="00A612E2" w:rsidRPr="00D90835" w14:paraId="137A6B75"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4EC7382" w14:textId="77777777" w:rsidR="00A612E2" w:rsidRPr="00246CC4" w:rsidRDefault="00A612E2" w:rsidP="00742B81">
            <w:pPr>
              <w:jc w:val="center"/>
              <w:rPr>
                <w:noProof/>
                <w:color w:val="006100"/>
                <w:sz w:val="20"/>
                <w:szCs w:val="20"/>
              </w:rPr>
            </w:pPr>
            <w:r>
              <w:rPr>
                <w:noProof/>
                <w:color w:val="006100"/>
                <w:sz w:val="20"/>
              </w:rPr>
              <w:t>M1C1-42</w:t>
            </w:r>
          </w:p>
        </w:tc>
        <w:tc>
          <w:tcPr>
            <w:tcW w:w="3118" w:type="dxa"/>
            <w:tcBorders>
              <w:top w:val="nil"/>
              <w:left w:val="nil"/>
              <w:bottom w:val="single" w:sz="4" w:space="0" w:color="auto"/>
              <w:right w:val="single" w:sz="4" w:space="0" w:color="auto"/>
            </w:tcBorders>
            <w:shd w:val="clear" w:color="auto" w:fill="C6EFCE"/>
            <w:noWrap/>
            <w:vAlign w:val="center"/>
          </w:tcPr>
          <w:p w14:paraId="0E181480" w14:textId="77777777" w:rsidR="00A612E2" w:rsidRPr="00246CC4" w:rsidRDefault="00A612E2" w:rsidP="00742B81">
            <w:pPr>
              <w:rPr>
                <w:noProof/>
                <w:color w:val="006100"/>
                <w:sz w:val="20"/>
                <w:szCs w:val="20"/>
              </w:rPr>
            </w:pPr>
            <w:r>
              <w:rPr>
                <w:noProof/>
                <w:color w:val="006100"/>
                <w:sz w:val="20"/>
              </w:rPr>
              <w:t>Investeering 1.8. Halduskohtute värbamismenetlused</w:t>
            </w:r>
          </w:p>
        </w:tc>
        <w:tc>
          <w:tcPr>
            <w:tcW w:w="1418" w:type="dxa"/>
            <w:tcBorders>
              <w:top w:val="nil"/>
              <w:left w:val="nil"/>
              <w:bottom w:val="single" w:sz="4" w:space="0" w:color="auto"/>
              <w:right w:val="single" w:sz="4" w:space="0" w:color="auto"/>
            </w:tcBorders>
            <w:shd w:val="clear" w:color="auto" w:fill="C6EFCE"/>
            <w:noWrap/>
            <w:vAlign w:val="center"/>
          </w:tcPr>
          <w:p w14:paraId="4CD736E9" w14:textId="77777777" w:rsidR="00A612E2" w:rsidRPr="00246CC4" w:rsidRDefault="00A612E2" w:rsidP="00742B81">
            <w:pPr>
              <w:rPr>
                <w:noProof/>
                <w:color w:val="006100"/>
                <w:sz w:val="20"/>
                <w:szCs w:val="20"/>
              </w:rPr>
            </w:pPr>
            <w:r>
              <w:rPr>
                <w:noProof/>
                <w:color w:val="006100"/>
                <w:sz w:val="20"/>
              </w:rPr>
              <w:t>Siht</w:t>
            </w:r>
          </w:p>
        </w:tc>
        <w:tc>
          <w:tcPr>
            <w:tcW w:w="4049" w:type="dxa"/>
            <w:tcBorders>
              <w:top w:val="nil"/>
              <w:left w:val="nil"/>
              <w:bottom w:val="single" w:sz="4" w:space="0" w:color="auto"/>
              <w:right w:val="single" w:sz="4" w:space="0" w:color="auto"/>
            </w:tcBorders>
            <w:shd w:val="clear" w:color="auto" w:fill="C6EFCE"/>
            <w:noWrap/>
            <w:vAlign w:val="center"/>
          </w:tcPr>
          <w:p w14:paraId="77625C43" w14:textId="77777777" w:rsidR="00A612E2" w:rsidRPr="00246CC4" w:rsidRDefault="00A612E2" w:rsidP="00742B81">
            <w:pPr>
              <w:rPr>
                <w:noProof/>
                <w:color w:val="006100"/>
                <w:sz w:val="20"/>
                <w:szCs w:val="20"/>
              </w:rPr>
            </w:pPr>
            <w:r>
              <w:rPr>
                <w:noProof/>
                <w:color w:val="006100"/>
                <w:sz w:val="20"/>
              </w:rPr>
              <w:t>Kuhjunud kohtuasjade arvu vähendamine riiginõukogus</w:t>
            </w:r>
          </w:p>
        </w:tc>
      </w:tr>
      <w:tr w:rsidR="00A612E2" w:rsidRPr="00D90835" w14:paraId="5DC8D0C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A791762" w14:textId="77777777" w:rsidR="00A612E2" w:rsidRPr="00246CC4" w:rsidRDefault="00A612E2" w:rsidP="00742B81">
            <w:pPr>
              <w:jc w:val="center"/>
              <w:rPr>
                <w:noProof/>
                <w:color w:val="006100"/>
                <w:sz w:val="20"/>
                <w:szCs w:val="20"/>
              </w:rPr>
            </w:pPr>
            <w:r>
              <w:rPr>
                <w:noProof/>
                <w:color w:val="006100"/>
                <w:sz w:val="20"/>
              </w:rPr>
              <w:t>M1C1–59A</w:t>
            </w:r>
          </w:p>
        </w:tc>
        <w:tc>
          <w:tcPr>
            <w:tcW w:w="3118" w:type="dxa"/>
            <w:tcBorders>
              <w:top w:val="nil"/>
              <w:left w:val="nil"/>
              <w:bottom w:val="single" w:sz="4" w:space="0" w:color="auto"/>
              <w:right w:val="single" w:sz="4" w:space="0" w:color="auto"/>
            </w:tcBorders>
            <w:shd w:val="clear" w:color="auto" w:fill="C6EFCE"/>
            <w:noWrap/>
            <w:vAlign w:val="center"/>
          </w:tcPr>
          <w:p w14:paraId="7282E70F" w14:textId="77777777" w:rsidR="00A612E2" w:rsidRPr="00246CC4" w:rsidRDefault="00A612E2" w:rsidP="00742B81">
            <w:pPr>
              <w:rPr>
                <w:noProof/>
                <w:color w:val="006100"/>
                <w:sz w:val="20"/>
                <w:szCs w:val="20"/>
              </w:rPr>
            </w:pPr>
            <w:r>
              <w:rPr>
                <w:noProof/>
                <w:color w:val="006100"/>
                <w:sz w:val="20"/>
              </w:rPr>
              <w:t xml:space="preserve">Reform 1.9. Avaliku halduse reform </w:t>
            </w:r>
          </w:p>
        </w:tc>
        <w:tc>
          <w:tcPr>
            <w:tcW w:w="1418" w:type="dxa"/>
            <w:tcBorders>
              <w:top w:val="nil"/>
              <w:left w:val="nil"/>
              <w:bottom w:val="single" w:sz="4" w:space="0" w:color="auto"/>
              <w:right w:val="single" w:sz="4" w:space="0" w:color="auto"/>
            </w:tcBorders>
            <w:shd w:val="clear" w:color="auto" w:fill="C6EFCE"/>
            <w:noWrap/>
            <w:vAlign w:val="center"/>
          </w:tcPr>
          <w:p w14:paraId="22E73033" w14:textId="77777777" w:rsidR="00A612E2" w:rsidRPr="00246CC4" w:rsidRDefault="00A612E2" w:rsidP="00742B81">
            <w:pPr>
              <w:rPr>
                <w:noProof/>
                <w:color w:val="006100"/>
                <w:sz w:val="20"/>
                <w:szCs w:val="20"/>
              </w:rPr>
            </w:pPr>
            <w:r>
              <w:rPr>
                <w:noProof/>
                <w:color w:val="006100"/>
                <w:sz w:val="20"/>
              </w:rPr>
              <w:t>Eesmärk</w:t>
            </w:r>
          </w:p>
        </w:tc>
        <w:tc>
          <w:tcPr>
            <w:tcW w:w="4049" w:type="dxa"/>
            <w:tcBorders>
              <w:top w:val="nil"/>
              <w:left w:val="nil"/>
              <w:bottom w:val="single" w:sz="4" w:space="0" w:color="auto"/>
              <w:right w:val="single" w:sz="4" w:space="0" w:color="auto"/>
            </w:tcBorders>
            <w:shd w:val="clear" w:color="auto" w:fill="C6EFCE"/>
            <w:noWrap/>
            <w:vAlign w:val="center"/>
          </w:tcPr>
          <w:p w14:paraId="1A30D0D9" w14:textId="77777777" w:rsidR="00A612E2" w:rsidRPr="00246CC4" w:rsidRDefault="00A612E2" w:rsidP="00742B81">
            <w:pPr>
              <w:rPr>
                <w:noProof/>
                <w:color w:val="006100"/>
                <w:sz w:val="20"/>
                <w:szCs w:val="20"/>
              </w:rPr>
            </w:pPr>
            <w:r>
              <w:rPr>
                <w:noProof/>
                <w:color w:val="006100"/>
                <w:sz w:val="20"/>
              </w:rPr>
              <w:t>Strateegilise personalijuhtimise rakendamine avalikus halduses</w:t>
            </w:r>
          </w:p>
        </w:tc>
      </w:tr>
      <w:tr w:rsidR="00A612E2" w:rsidRPr="00D90835" w14:paraId="29B9C65A"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BFE21C1" w14:textId="77777777" w:rsidR="00A612E2" w:rsidRPr="00246CC4" w:rsidRDefault="00A612E2" w:rsidP="00742B81">
            <w:pPr>
              <w:jc w:val="center"/>
              <w:rPr>
                <w:noProof/>
                <w:color w:val="006100"/>
                <w:sz w:val="20"/>
                <w:szCs w:val="20"/>
              </w:rPr>
            </w:pPr>
            <w:r>
              <w:rPr>
                <w:noProof/>
                <w:color w:val="006100"/>
                <w:sz w:val="20"/>
              </w:rPr>
              <w:t>M1C1–73bis</w:t>
            </w:r>
          </w:p>
        </w:tc>
        <w:tc>
          <w:tcPr>
            <w:tcW w:w="3118" w:type="dxa"/>
            <w:tcBorders>
              <w:top w:val="nil"/>
              <w:left w:val="nil"/>
              <w:bottom w:val="single" w:sz="4" w:space="0" w:color="auto"/>
              <w:right w:val="single" w:sz="4" w:space="0" w:color="auto"/>
            </w:tcBorders>
            <w:shd w:val="clear" w:color="auto" w:fill="C6EFCE"/>
            <w:noWrap/>
            <w:vAlign w:val="center"/>
          </w:tcPr>
          <w:p w14:paraId="5F61E38B" w14:textId="77777777" w:rsidR="00A612E2" w:rsidRPr="00246CC4" w:rsidRDefault="00A612E2" w:rsidP="00742B81">
            <w:pPr>
              <w:rPr>
                <w:noProof/>
                <w:color w:val="006100"/>
                <w:sz w:val="20"/>
                <w:szCs w:val="20"/>
              </w:rPr>
            </w:pPr>
            <w:r>
              <w:rPr>
                <w:noProof/>
                <w:color w:val="006100"/>
                <w:sz w:val="20"/>
              </w:rPr>
              <w:t>Reform 1.10. Riigihangete õigusraamistiku reform</w:t>
            </w:r>
          </w:p>
        </w:tc>
        <w:tc>
          <w:tcPr>
            <w:tcW w:w="1418" w:type="dxa"/>
            <w:tcBorders>
              <w:top w:val="nil"/>
              <w:left w:val="nil"/>
              <w:bottom w:val="single" w:sz="4" w:space="0" w:color="auto"/>
              <w:right w:val="single" w:sz="4" w:space="0" w:color="auto"/>
            </w:tcBorders>
            <w:shd w:val="clear" w:color="auto" w:fill="C6EFCE"/>
            <w:noWrap/>
            <w:vAlign w:val="center"/>
          </w:tcPr>
          <w:p w14:paraId="49634435" w14:textId="77777777" w:rsidR="00A612E2" w:rsidRPr="00246CC4" w:rsidRDefault="00A612E2" w:rsidP="00742B81">
            <w:pPr>
              <w:rPr>
                <w:noProof/>
                <w:color w:val="006100"/>
                <w:sz w:val="20"/>
                <w:szCs w:val="20"/>
              </w:rPr>
            </w:pPr>
            <w:r>
              <w:rPr>
                <w:noProof/>
                <w:color w:val="006100"/>
                <w:sz w:val="20"/>
              </w:rPr>
              <w:t>Eesmärk</w:t>
            </w:r>
          </w:p>
        </w:tc>
        <w:tc>
          <w:tcPr>
            <w:tcW w:w="4049" w:type="dxa"/>
            <w:tcBorders>
              <w:top w:val="nil"/>
              <w:left w:val="nil"/>
              <w:bottom w:val="single" w:sz="4" w:space="0" w:color="auto"/>
              <w:right w:val="single" w:sz="4" w:space="0" w:color="auto"/>
            </w:tcBorders>
            <w:shd w:val="clear" w:color="auto" w:fill="C6EFCE"/>
            <w:noWrap/>
            <w:vAlign w:val="center"/>
          </w:tcPr>
          <w:p w14:paraId="003C70A3" w14:textId="77777777" w:rsidR="00A612E2" w:rsidRPr="003B127D" w:rsidRDefault="00A612E2" w:rsidP="00742B81">
            <w:pPr>
              <w:rPr>
                <w:noProof/>
                <w:color w:val="006100"/>
                <w:sz w:val="20"/>
                <w:szCs w:val="20"/>
              </w:rPr>
            </w:pPr>
            <w:r>
              <w:rPr>
                <w:noProof/>
                <w:color w:val="006100"/>
                <w:sz w:val="20"/>
              </w:rPr>
              <w:t>Avaliku sektori hankijate kvalifitseerimissüsteemi rakendamist käsitlevate suuniste vastuvõtmine.</w:t>
            </w:r>
          </w:p>
        </w:tc>
      </w:tr>
      <w:tr w:rsidR="00A612E2" w:rsidRPr="00D90835" w14:paraId="2F13FA74"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6FB39D2" w14:textId="77777777" w:rsidR="00A612E2" w:rsidRPr="00246CC4" w:rsidRDefault="00A612E2" w:rsidP="00742B81">
            <w:pPr>
              <w:jc w:val="center"/>
              <w:rPr>
                <w:noProof/>
                <w:color w:val="006100"/>
                <w:sz w:val="20"/>
                <w:szCs w:val="20"/>
              </w:rPr>
            </w:pPr>
            <w:r>
              <w:rPr>
                <w:noProof/>
                <w:color w:val="006100"/>
                <w:sz w:val="20"/>
              </w:rPr>
              <w:t>M1C1-108</w:t>
            </w:r>
          </w:p>
        </w:tc>
        <w:tc>
          <w:tcPr>
            <w:tcW w:w="3118" w:type="dxa"/>
            <w:tcBorders>
              <w:top w:val="nil"/>
              <w:left w:val="nil"/>
              <w:bottom w:val="single" w:sz="4" w:space="0" w:color="auto"/>
              <w:right w:val="single" w:sz="4" w:space="0" w:color="auto"/>
            </w:tcBorders>
            <w:shd w:val="clear" w:color="auto" w:fill="C6EFCE"/>
            <w:noWrap/>
            <w:vAlign w:val="center"/>
          </w:tcPr>
          <w:p w14:paraId="7EE60E51" w14:textId="77777777" w:rsidR="00A612E2" w:rsidRPr="003B127D" w:rsidRDefault="00A612E2" w:rsidP="00742B81">
            <w:pPr>
              <w:rPr>
                <w:noProof/>
                <w:color w:val="006100"/>
                <w:sz w:val="20"/>
                <w:szCs w:val="20"/>
              </w:rPr>
            </w:pPr>
            <w:r>
              <w:rPr>
                <w:noProof/>
                <w:color w:val="006100"/>
                <w:sz w:val="20"/>
              </w:rPr>
              <w:t>Reform 1.15. Avaliku sektori raamatupidamiseeskirjade reform</w:t>
            </w:r>
          </w:p>
        </w:tc>
        <w:tc>
          <w:tcPr>
            <w:tcW w:w="1418" w:type="dxa"/>
            <w:tcBorders>
              <w:top w:val="nil"/>
              <w:left w:val="nil"/>
              <w:bottom w:val="single" w:sz="4" w:space="0" w:color="auto"/>
              <w:right w:val="single" w:sz="4" w:space="0" w:color="auto"/>
            </w:tcBorders>
            <w:shd w:val="clear" w:color="auto" w:fill="C6EFCE"/>
            <w:noWrap/>
            <w:vAlign w:val="center"/>
          </w:tcPr>
          <w:p w14:paraId="5AC0423E" w14:textId="77777777" w:rsidR="00A612E2" w:rsidRPr="00246CC4" w:rsidRDefault="00A612E2" w:rsidP="00742B81">
            <w:pPr>
              <w:rPr>
                <w:noProof/>
                <w:color w:val="006100"/>
                <w:sz w:val="20"/>
                <w:szCs w:val="20"/>
              </w:rPr>
            </w:pPr>
            <w:r>
              <w:rPr>
                <w:noProof/>
                <w:color w:val="006100"/>
                <w:sz w:val="20"/>
              </w:rPr>
              <w:t>Eesmärk</w:t>
            </w:r>
          </w:p>
        </w:tc>
        <w:tc>
          <w:tcPr>
            <w:tcW w:w="4049" w:type="dxa"/>
            <w:tcBorders>
              <w:top w:val="nil"/>
              <w:left w:val="nil"/>
              <w:bottom w:val="single" w:sz="4" w:space="0" w:color="auto"/>
              <w:right w:val="single" w:sz="4" w:space="0" w:color="auto"/>
            </w:tcBorders>
            <w:shd w:val="clear" w:color="auto" w:fill="C6EFCE"/>
            <w:noWrap/>
            <w:vAlign w:val="center"/>
          </w:tcPr>
          <w:p w14:paraId="1CBA3871" w14:textId="77777777" w:rsidR="00A612E2" w:rsidRPr="003B127D" w:rsidRDefault="00A612E2" w:rsidP="00742B81">
            <w:pPr>
              <w:rPr>
                <w:noProof/>
                <w:color w:val="006100"/>
                <w:sz w:val="20"/>
                <w:szCs w:val="20"/>
              </w:rPr>
            </w:pPr>
            <w:r>
              <w:rPr>
                <w:noProof/>
                <w:color w:val="006100"/>
                <w:sz w:val="20"/>
              </w:rPr>
              <w:t>Kontseptuaalse raamistiku, tekkepõhise raamatupidamisarvestuse standardite kogumi ja mitmemõõtmelise kontoplaani heakskiitmine</w:t>
            </w:r>
          </w:p>
        </w:tc>
      </w:tr>
      <w:tr w:rsidR="00A612E2" w:rsidRPr="00D90835" w14:paraId="6531C514"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C7BFED8" w14:textId="77777777" w:rsidR="00A612E2" w:rsidRPr="00246CC4" w:rsidRDefault="00A612E2" w:rsidP="00742B81">
            <w:pPr>
              <w:jc w:val="center"/>
              <w:rPr>
                <w:noProof/>
                <w:color w:val="006100"/>
                <w:sz w:val="20"/>
                <w:szCs w:val="20"/>
              </w:rPr>
            </w:pPr>
            <w:r>
              <w:rPr>
                <w:noProof/>
                <w:color w:val="006100"/>
                <w:sz w:val="20"/>
              </w:rPr>
              <w:t>M1C1-111</w:t>
            </w:r>
          </w:p>
        </w:tc>
        <w:tc>
          <w:tcPr>
            <w:tcW w:w="3118" w:type="dxa"/>
            <w:tcBorders>
              <w:top w:val="nil"/>
              <w:left w:val="nil"/>
              <w:bottom w:val="single" w:sz="4" w:space="0" w:color="auto"/>
              <w:right w:val="single" w:sz="4" w:space="0" w:color="auto"/>
            </w:tcBorders>
            <w:shd w:val="clear" w:color="auto" w:fill="C6EFCE"/>
            <w:noWrap/>
            <w:vAlign w:val="center"/>
          </w:tcPr>
          <w:p w14:paraId="2BEC81FB" w14:textId="77777777" w:rsidR="00A612E2" w:rsidRPr="003B127D" w:rsidRDefault="00A612E2" w:rsidP="00742B81">
            <w:pPr>
              <w:rPr>
                <w:noProof/>
                <w:color w:val="006100"/>
                <w:sz w:val="20"/>
                <w:szCs w:val="20"/>
              </w:rPr>
            </w:pPr>
            <w:r>
              <w:rPr>
                <w:noProof/>
                <w:color w:val="006100"/>
                <w:sz w:val="20"/>
              </w:rPr>
              <w:t>Reform 1.13. Kulude läbivaatamise raamistiku reform</w:t>
            </w:r>
          </w:p>
        </w:tc>
        <w:tc>
          <w:tcPr>
            <w:tcW w:w="1418" w:type="dxa"/>
            <w:tcBorders>
              <w:top w:val="nil"/>
              <w:left w:val="nil"/>
              <w:bottom w:val="single" w:sz="4" w:space="0" w:color="auto"/>
              <w:right w:val="single" w:sz="4" w:space="0" w:color="auto"/>
            </w:tcBorders>
            <w:shd w:val="clear" w:color="auto" w:fill="C6EFCE"/>
            <w:noWrap/>
            <w:vAlign w:val="center"/>
          </w:tcPr>
          <w:p w14:paraId="2B434809" w14:textId="77777777" w:rsidR="00A612E2" w:rsidRPr="00246CC4" w:rsidRDefault="00A612E2" w:rsidP="00742B81">
            <w:pPr>
              <w:rPr>
                <w:noProof/>
                <w:color w:val="006100"/>
                <w:sz w:val="20"/>
                <w:szCs w:val="20"/>
              </w:rPr>
            </w:pPr>
            <w:r>
              <w:rPr>
                <w:noProof/>
                <w:color w:val="006100"/>
                <w:sz w:val="20"/>
              </w:rPr>
              <w:t>Eesmärk</w:t>
            </w:r>
          </w:p>
        </w:tc>
        <w:tc>
          <w:tcPr>
            <w:tcW w:w="4049" w:type="dxa"/>
            <w:tcBorders>
              <w:top w:val="nil"/>
              <w:left w:val="nil"/>
              <w:bottom w:val="single" w:sz="4" w:space="0" w:color="auto"/>
              <w:right w:val="single" w:sz="4" w:space="0" w:color="auto"/>
            </w:tcBorders>
            <w:shd w:val="clear" w:color="auto" w:fill="C6EFCE"/>
            <w:noWrap/>
            <w:vAlign w:val="center"/>
          </w:tcPr>
          <w:p w14:paraId="4F2F508B" w14:textId="77777777" w:rsidR="00A612E2" w:rsidRPr="003B127D" w:rsidRDefault="00A612E2" w:rsidP="00742B81">
            <w:pPr>
              <w:rPr>
                <w:noProof/>
                <w:color w:val="006100"/>
                <w:sz w:val="20"/>
                <w:szCs w:val="20"/>
              </w:rPr>
            </w:pPr>
            <w:r>
              <w:rPr>
                <w:noProof/>
                <w:color w:val="006100"/>
                <w:sz w:val="20"/>
              </w:rPr>
              <w:t>Iga-aastase kulude läbivaatamise lõpuleviimine 2023. aastaks, võttes arvesse 2022. aastaks 2023. aastaks seatud säästueesmärki</w:t>
            </w:r>
          </w:p>
        </w:tc>
      </w:tr>
      <w:tr w:rsidR="00A612E2" w:rsidRPr="00D90835" w14:paraId="3C9D97F2"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1626F46" w14:textId="77777777" w:rsidR="00A612E2" w:rsidRPr="00246CC4" w:rsidRDefault="00A612E2" w:rsidP="00742B81">
            <w:pPr>
              <w:jc w:val="center"/>
              <w:rPr>
                <w:noProof/>
                <w:color w:val="006100"/>
                <w:sz w:val="20"/>
                <w:szCs w:val="20"/>
              </w:rPr>
            </w:pPr>
            <w:r>
              <w:rPr>
                <w:noProof/>
                <w:color w:val="006100"/>
                <w:sz w:val="20"/>
              </w:rPr>
              <w:t>M1C1-112</w:t>
            </w:r>
          </w:p>
        </w:tc>
        <w:tc>
          <w:tcPr>
            <w:tcW w:w="3118" w:type="dxa"/>
            <w:tcBorders>
              <w:top w:val="nil"/>
              <w:left w:val="nil"/>
              <w:bottom w:val="single" w:sz="4" w:space="0" w:color="auto"/>
              <w:right w:val="single" w:sz="4" w:space="0" w:color="auto"/>
            </w:tcBorders>
            <w:shd w:val="clear" w:color="auto" w:fill="C6EFCE"/>
            <w:noWrap/>
            <w:vAlign w:val="center"/>
          </w:tcPr>
          <w:p w14:paraId="7853B68E" w14:textId="77777777" w:rsidR="00A612E2" w:rsidRPr="003B127D" w:rsidRDefault="00A612E2" w:rsidP="00742B81">
            <w:pPr>
              <w:rPr>
                <w:noProof/>
                <w:color w:val="006100"/>
                <w:sz w:val="20"/>
                <w:szCs w:val="20"/>
              </w:rPr>
            </w:pPr>
            <w:r>
              <w:rPr>
                <w:noProof/>
                <w:color w:val="006100"/>
                <w:sz w:val="20"/>
              </w:rPr>
              <w:t>Reform 1.12. Maksuhalduse reform</w:t>
            </w:r>
          </w:p>
        </w:tc>
        <w:tc>
          <w:tcPr>
            <w:tcW w:w="1418" w:type="dxa"/>
            <w:tcBorders>
              <w:top w:val="nil"/>
              <w:left w:val="nil"/>
              <w:bottom w:val="single" w:sz="4" w:space="0" w:color="auto"/>
              <w:right w:val="single" w:sz="4" w:space="0" w:color="auto"/>
            </w:tcBorders>
            <w:shd w:val="clear" w:color="auto" w:fill="C6EFCE"/>
            <w:noWrap/>
            <w:vAlign w:val="center"/>
          </w:tcPr>
          <w:p w14:paraId="3E8F5587" w14:textId="77777777" w:rsidR="00A612E2" w:rsidRPr="00246CC4" w:rsidRDefault="00A612E2" w:rsidP="00742B81">
            <w:pPr>
              <w:rPr>
                <w:noProof/>
                <w:color w:val="006100"/>
                <w:sz w:val="20"/>
                <w:szCs w:val="20"/>
              </w:rPr>
            </w:pPr>
            <w:r>
              <w:rPr>
                <w:noProof/>
                <w:color w:val="006100"/>
                <w:sz w:val="20"/>
              </w:rPr>
              <w:t>Siht</w:t>
            </w:r>
          </w:p>
        </w:tc>
        <w:tc>
          <w:tcPr>
            <w:tcW w:w="4049" w:type="dxa"/>
            <w:tcBorders>
              <w:top w:val="nil"/>
              <w:left w:val="nil"/>
              <w:bottom w:val="single" w:sz="4" w:space="0" w:color="auto"/>
              <w:right w:val="single" w:sz="4" w:space="0" w:color="auto"/>
            </w:tcBorders>
            <w:shd w:val="clear" w:color="auto" w:fill="C6EFCE"/>
            <w:noWrap/>
            <w:vAlign w:val="center"/>
          </w:tcPr>
          <w:p w14:paraId="1BD10445" w14:textId="77777777" w:rsidR="00A612E2" w:rsidRPr="003B127D" w:rsidRDefault="00A612E2" w:rsidP="00742B81">
            <w:pPr>
              <w:rPr>
                <w:noProof/>
                <w:color w:val="006100"/>
                <w:sz w:val="20"/>
                <w:szCs w:val="20"/>
              </w:rPr>
            </w:pPr>
            <w:r>
              <w:rPr>
                <w:noProof/>
                <w:color w:val="006100"/>
                <w:sz w:val="20"/>
              </w:rPr>
              <w:t>Parandada maksuameti tegevussuutlikkust, nagu on osutatud maksuameti tulemuslikkuse kavas aastateks 2021-2023.</w:t>
            </w:r>
          </w:p>
        </w:tc>
      </w:tr>
      <w:tr w:rsidR="00A612E2" w:rsidRPr="00D90835" w14:paraId="50FCC8F9"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4DAE055" w14:textId="77777777" w:rsidR="00A612E2" w:rsidRPr="00246CC4" w:rsidRDefault="00A612E2" w:rsidP="00742B81">
            <w:pPr>
              <w:jc w:val="center"/>
              <w:rPr>
                <w:noProof/>
                <w:color w:val="006100"/>
                <w:sz w:val="20"/>
                <w:szCs w:val="20"/>
              </w:rPr>
            </w:pPr>
            <w:r>
              <w:rPr>
                <w:noProof/>
                <w:color w:val="006100"/>
                <w:sz w:val="20"/>
              </w:rPr>
              <w:t>M1C2-2</w:t>
            </w:r>
          </w:p>
        </w:tc>
        <w:tc>
          <w:tcPr>
            <w:tcW w:w="3118" w:type="dxa"/>
            <w:tcBorders>
              <w:top w:val="nil"/>
              <w:left w:val="nil"/>
              <w:bottom w:val="single" w:sz="4" w:space="0" w:color="auto"/>
              <w:right w:val="single" w:sz="4" w:space="0" w:color="auto"/>
            </w:tcBorders>
            <w:shd w:val="clear" w:color="auto" w:fill="C6EFCE"/>
            <w:noWrap/>
            <w:vAlign w:val="center"/>
          </w:tcPr>
          <w:p w14:paraId="5BDCBFF2" w14:textId="77777777" w:rsidR="00A612E2" w:rsidRPr="00246CC4" w:rsidRDefault="00A612E2" w:rsidP="00742B81">
            <w:pPr>
              <w:rPr>
                <w:noProof/>
                <w:color w:val="006100"/>
                <w:sz w:val="20"/>
                <w:szCs w:val="20"/>
              </w:rPr>
            </w:pPr>
            <w:r>
              <w:rPr>
                <w:noProof/>
                <w:color w:val="006100"/>
                <w:sz w:val="20"/>
              </w:rPr>
              <w:t>Investeering 1. Üleminek 4.0</w:t>
            </w:r>
          </w:p>
        </w:tc>
        <w:tc>
          <w:tcPr>
            <w:tcW w:w="1418" w:type="dxa"/>
            <w:tcBorders>
              <w:top w:val="nil"/>
              <w:left w:val="nil"/>
              <w:bottom w:val="single" w:sz="4" w:space="0" w:color="auto"/>
              <w:right w:val="single" w:sz="4" w:space="0" w:color="auto"/>
            </w:tcBorders>
            <w:shd w:val="clear" w:color="auto" w:fill="C6EFCE"/>
            <w:noWrap/>
            <w:vAlign w:val="center"/>
          </w:tcPr>
          <w:p w14:paraId="3EBC810E" w14:textId="77777777" w:rsidR="00A612E2" w:rsidRPr="00246CC4" w:rsidRDefault="00A612E2" w:rsidP="00742B81">
            <w:pPr>
              <w:rPr>
                <w:noProof/>
                <w:color w:val="006100"/>
                <w:sz w:val="20"/>
                <w:szCs w:val="20"/>
              </w:rPr>
            </w:pPr>
            <w:r>
              <w:rPr>
                <w:noProof/>
                <w:color w:val="006100"/>
                <w:sz w:val="20"/>
              </w:rPr>
              <w:t>Siht</w:t>
            </w:r>
          </w:p>
        </w:tc>
        <w:tc>
          <w:tcPr>
            <w:tcW w:w="4049" w:type="dxa"/>
            <w:tcBorders>
              <w:top w:val="nil"/>
              <w:left w:val="nil"/>
              <w:bottom w:val="single" w:sz="4" w:space="0" w:color="auto"/>
              <w:right w:val="single" w:sz="4" w:space="0" w:color="auto"/>
            </w:tcBorders>
            <w:shd w:val="clear" w:color="auto" w:fill="C6EFCE"/>
            <w:noWrap/>
            <w:vAlign w:val="center"/>
          </w:tcPr>
          <w:p w14:paraId="60AFBD44" w14:textId="77777777" w:rsidR="00A612E2" w:rsidRPr="003B127D" w:rsidRDefault="00A612E2" w:rsidP="00742B81">
            <w:pPr>
              <w:rPr>
                <w:noProof/>
                <w:color w:val="006100"/>
                <w:sz w:val="20"/>
                <w:szCs w:val="20"/>
              </w:rPr>
            </w:pPr>
            <w:r>
              <w:rPr>
                <w:noProof/>
                <w:color w:val="006100"/>
                <w:sz w:val="20"/>
              </w:rPr>
              <w:t>Üleminekuperioodil 4.0 äriühingutele aastatel 2021-2022 esitatud maksudeklaratsioonide alusel antud maksukrediidid</w:t>
            </w:r>
          </w:p>
        </w:tc>
      </w:tr>
      <w:tr w:rsidR="00A612E2" w:rsidRPr="00D90835" w14:paraId="20E0FFEF"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CB6C82F" w14:textId="77777777" w:rsidR="00A612E2" w:rsidRPr="00246CC4" w:rsidRDefault="00A612E2" w:rsidP="00742B81">
            <w:pPr>
              <w:jc w:val="center"/>
              <w:rPr>
                <w:noProof/>
                <w:color w:val="006100"/>
                <w:sz w:val="20"/>
                <w:szCs w:val="20"/>
              </w:rPr>
            </w:pPr>
            <w:r>
              <w:rPr>
                <w:noProof/>
                <w:color w:val="006100"/>
                <w:sz w:val="20"/>
              </w:rPr>
              <w:t>M1C3-9</w:t>
            </w:r>
          </w:p>
        </w:tc>
        <w:tc>
          <w:tcPr>
            <w:tcW w:w="3118" w:type="dxa"/>
            <w:tcBorders>
              <w:top w:val="nil"/>
              <w:left w:val="nil"/>
              <w:bottom w:val="single" w:sz="4" w:space="0" w:color="auto"/>
              <w:right w:val="single" w:sz="4" w:space="0" w:color="auto"/>
            </w:tcBorders>
            <w:shd w:val="clear" w:color="auto" w:fill="C6EFCE"/>
            <w:noWrap/>
            <w:vAlign w:val="center"/>
          </w:tcPr>
          <w:p w14:paraId="5B2A70BD" w14:textId="77777777" w:rsidR="00A612E2" w:rsidRPr="00246CC4" w:rsidRDefault="00A612E2" w:rsidP="00742B81">
            <w:pPr>
              <w:rPr>
                <w:noProof/>
                <w:color w:val="006100"/>
                <w:sz w:val="20"/>
                <w:szCs w:val="20"/>
              </w:rPr>
            </w:pPr>
            <w:r>
              <w:rPr>
                <w:noProof/>
                <w:color w:val="006100"/>
                <w:sz w:val="20"/>
              </w:rPr>
              <w:t>Investeering 4.1. Digitaalne turismikeskus</w:t>
            </w:r>
          </w:p>
        </w:tc>
        <w:tc>
          <w:tcPr>
            <w:tcW w:w="1418" w:type="dxa"/>
            <w:tcBorders>
              <w:top w:val="nil"/>
              <w:left w:val="nil"/>
              <w:bottom w:val="single" w:sz="4" w:space="0" w:color="auto"/>
              <w:right w:val="single" w:sz="4" w:space="0" w:color="auto"/>
            </w:tcBorders>
            <w:shd w:val="clear" w:color="auto" w:fill="C6EFCE"/>
            <w:noWrap/>
            <w:vAlign w:val="center"/>
          </w:tcPr>
          <w:p w14:paraId="0633EF4F" w14:textId="77777777" w:rsidR="00A612E2" w:rsidRPr="00246CC4" w:rsidRDefault="00A612E2" w:rsidP="00742B81">
            <w:pPr>
              <w:rPr>
                <w:noProof/>
                <w:color w:val="006100"/>
                <w:sz w:val="20"/>
                <w:szCs w:val="20"/>
              </w:rPr>
            </w:pPr>
            <w:r>
              <w:rPr>
                <w:noProof/>
                <w:color w:val="006100"/>
                <w:sz w:val="20"/>
              </w:rPr>
              <w:t>Siht</w:t>
            </w:r>
          </w:p>
        </w:tc>
        <w:tc>
          <w:tcPr>
            <w:tcW w:w="4049" w:type="dxa"/>
            <w:tcBorders>
              <w:top w:val="nil"/>
              <w:left w:val="nil"/>
              <w:bottom w:val="single" w:sz="4" w:space="0" w:color="auto"/>
              <w:right w:val="single" w:sz="4" w:space="0" w:color="auto"/>
            </w:tcBorders>
            <w:shd w:val="clear" w:color="auto" w:fill="C6EFCE"/>
            <w:noWrap/>
            <w:vAlign w:val="center"/>
          </w:tcPr>
          <w:p w14:paraId="11706BB7" w14:textId="77777777" w:rsidR="00A612E2" w:rsidRPr="003B127D" w:rsidRDefault="00A612E2" w:rsidP="00742B81">
            <w:pPr>
              <w:rPr>
                <w:noProof/>
                <w:color w:val="006100"/>
                <w:sz w:val="20"/>
                <w:szCs w:val="20"/>
              </w:rPr>
            </w:pPr>
            <w:r>
              <w:rPr>
                <w:noProof/>
                <w:color w:val="006100"/>
                <w:sz w:val="20"/>
              </w:rPr>
              <w:t>Turismiettevõtjate kaasamine digitaalse turismi keskuse tegevusse</w:t>
            </w:r>
          </w:p>
        </w:tc>
      </w:tr>
      <w:tr w:rsidR="00A612E2" w:rsidRPr="00D90835" w14:paraId="12282364"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2C72CFE" w14:textId="77777777" w:rsidR="00A612E2" w:rsidRPr="00246CC4" w:rsidRDefault="00A612E2" w:rsidP="00742B81">
            <w:pPr>
              <w:jc w:val="center"/>
              <w:rPr>
                <w:noProof/>
                <w:color w:val="006100"/>
                <w:sz w:val="20"/>
                <w:szCs w:val="20"/>
              </w:rPr>
            </w:pPr>
            <w:r>
              <w:rPr>
                <w:noProof/>
                <w:color w:val="006100"/>
                <w:sz w:val="20"/>
              </w:rPr>
              <w:t>M1C3-10</w:t>
            </w:r>
          </w:p>
        </w:tc>
        <w:tc>
          <w:tcPr>
            <w:tcW w:w="3118" w:type="dxa"/>
            <w:tcBorders>
              <w:top w:val="nil"/>
              <w:left w:val="nil"/>
              <w:bottom w:val="single" w:sz="4" w:space="0" w:color="auto"/>
              <w:right w:val="single" w:sz="4" w:space="0" w:color="auto"/>
            </w:tcBorders>
            <w:shd w:val="clear" w:color="auto" w:fill="C6EFCE"/>
            <w:noWrap/>
            <w:vAlign w:val="center"/>
          </w:tcPr>
          <w:p w14:paraId="5E15FCD0" w14:textId="77777777" w:rsidR="00A612E2" w:rsidRPr="003B127D" w:rsidRDefault="00A612E2" w:rsidP="00742B81">
            <w:pPr>
              <w:rPr>
                <w:noProof/>
                <w:color w:val="006100"/>
                <w:sz w:val="20"/>
                <w:szCs w:val="20"/>
              </w:rPr>
            </w:pPr>
            <w:r>
              <w:rPr>
                <w:noProof/>
                <w:color w:val="006100"/>
                <w:sz w:val="20"/>
              </w:rPr>
              <w:t xml:space="preserve">Reform 4.1. Giidide kutsealade korralduse reguleerimine </w:t>
            </w:r>
          </w:p>
        </w:tc>
        <w:tc>
          <w:tcPr>
            <w:tcW w:w="1418" w:type="dxa"/>
            <w:tcBorders>
              <w:top w:val="nil"/>
              <w:left w:val="nil"/>
              <w:bottom w:val="single" w:sz="4" w:space="0" w:color="auto"/>
              <w:right w:val="single" w:sz="4" w:space="0" w:color="auto"/>
            </w:tcBorders>
            <w:shd w:val="clear" w:color="auto" w:fill="C6EFCE"/>
            <w:noWrap/>
            <w:vAlign w:val="center"/>
          </w:tcPr>
          <w:p w14:paraId="0C90B12D" w14:textId="77777777" w:rsidR="00A612E2" w:rsidRPr="00246CC4" w:rsidRDefault="00A612E2" w:rsidP="00742B81">
            <w:pPr>
              <w:rPr>
                <w:noProof/>
                <w:color w:val="006100"/>
                <w:sz w:val="20"/>
                <w:szCs w:val="20"/>
              </w:rPr>
            </w:pPr>
            <w:r>
              <w:rPr>
                <w:noProof/>
                <w:color w:val="006100"/>
                <w:sz w:val="20"/>
              </w:rPr>
              <w:t>Eesmärk</w:t>
            </w:r>
          </w:p>
        </w:tc>
        <w:tc>
          <w:tcPr>
            <w:tcW w:w="4049" w:type="dxa"/>
            <w:tcBorders>
              <w:top w:val="nil"/>
              <w:left w:val="nil"/>
              <w:bottom w:val="single" w:sz="4" w:space="0" w:color="auto"/>
              <w:right w:val="single" w:sz="4" w:space="0" w:color="auto"/>
            </w:tcBorders>
            <w:shd w:val="clear" w:color="auto" w:fill="C6EFCE"/>
            <w:noWrap/>
            <w:vAlign w:val="center"/>
          </w:tcPr>
          <w:p w14:paraId="25E9B742" w14:textId="77777777" w:rsidR="00A612E2" w:rsidRPr="003B127D" w:rsidRDefault="00A612E2" w:rsidP="00742B81">
            <w:pPr>
              <w:rPr>
                <w:noProof/>
                <w:color w:val="006100"/>
                <w:sz w:val="20"/>
                <w:szCs w:val="20"/>
              </w:rPr>
            </w:pPr>
            <w:r>
              <w:rPr>
                <w:noProof/>
                <w:color w:val="006100"/>
                <w:sz w:val="20"/>
              </w:rPr>
              <w:t>Giidide riikliku standardi määratlemine</w:t>
            </w:r>
          </w:p>
        </w:tc>
      </w:tr>
      <w:tr w:rsidR="00A612E2" w:rsidRPr="00D90835" w14:paraId="03214B41"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8E26096" w14:textId="77777777" w:rsidR="00A612E2" w:rsidRPr="00246CC4" w:rsidRDefault="00A612E2" w:rsidP="00742B81">
            <w:pPr>
              <w:jc w:val="center"/>
              <w:rPr>
                <w:noProof/>
                <w:color w:val="006100"/>
                <w:sz w:val="20"/>
                <w:szCs w:val="20"/>
              </w:rPr>
            </w:pPr>
            <w:r>
              <w:rPr>
                <w:noProof/>
                <w:color w:val="006100"/>
                <w:sz w:val="20"/>
              </w:rPr>
              <w:t>M2C1-6</w:t>
            </w:r>
          </w:p>
        </w:tc>
        <w:tc>
          <w:tcPr>
            <w:tcW w:w="3118" w:type="dxa"/>
            <w:tcBorders>
              <w:top w:val="nil"/>
              <w:left w:val="nil"/>
              <w:bottom w:val="single" w:sz="4" w:space="0" w:color="auto"/>
              <w:right w:val="single" w:sz="4" w:space="0" w:color="auto"/>
            </w:tcBorders>
            <w:shd w:val="clear" w:color="auto" w:fill="C6EFCE"/>
            <w:noWrap/>
            <w:vAlign w:val="center"/>
          </w:tcPr>
          <w:p w14:paraId="0FA0293F" w14:textId="77777777" w:rsidR="00A612E2" w:rsidRPr="00246CC4" w:rsidRDefault="00A612E2" w:rsidP="00742B81">
            <w:pPr>
              <w:rPr>
                <w:noProof/>
                <w:color w:val="006100"/>
                <w:sz w:val="20"/>
                <w:szCs w:val="20"/>
              </w:rPr>
            </w:pPr>
            <w:r>
              <w:rPr>
                <w:noProof/>
                <w:color w:val="006100"/>
                <w:sz w:val="20"/>
              </w:rPr>
              <w:t>Investeering 2.2. Põllumajanduslik päikesepark</w:t>
            </w:r>
          </w:p>
        </w:tc>
        <w:tc>
          <w:tcPr>
            <w:tcW w:w="1418" w:type="dxa"/>
            <w:tcBorders>
              <w:top w:val="nil"/>
              <w:left w:val="nil"/>
              <w:bottom w:val="single" w:sz="4" w:space="0" w:color="auto"/>
              <w:right w:val="single" w:sz="4" w:space="0" w:color="auto"/>
            </w:tcBorders>
            <w:shd w:val="clear" w:color="auto" w:fill="C6EFCE"/>
            <w:noWrap/>
            <w:vAlign w:val="center"/>
          </w:tcPr>
          <w:p w14:paraId="0E5B05B2" w14:textId="77777777" w:rsidR="00A612E2" w:rsidRPr="00246CC4" w:rsidRDefault="00A612E2" w:rsidP="00742B81">
            <w:pPr>
              <w:rPr>
                <w:noProof/>
                <w:color w:val="006100"/>
                <w:sz w:val="20"/>
                <w:szCs w:val="20"/>
              </w:rPr>
            </w:pPr>
            <w:r>
              <w:rPr>
                <w:noProof/>
                <w:color w:val="006100"/>
                <w:sz w:val="20"/>
              </w:rPr>
              <w:t>Siht</w:t>
            </w:r>
          </w:p>
        </w:tc>
        <w:tc>
          <w:tcPr>
            <w:tcW w:w="4049" w:type="dxa"/>
            <w:tcBorders>
              <w:top w:val="nil"/>
              <w:left w:val="nil"/>
              <w:bottom w:val="single" w:sz="4" w:space="0" w:color="auto"/>
              <w:right w:val="single" w:sz="4" w:space="0" w:color="auto"/>
            </w:tcBorders>
            <w:shd w:val="clear" w:color="auto" w:fill="C6EFCE"/>
            <w:noWrap/>
            <w:vAlign w:val="center"/>
          </w:tcPr>
          <w:p w14:paraId="54F62CCB" w14:textId="77777777" w:rsidR="00A612E2" w:rsidRPr="003B127D" w:rsidRDefault="00A612E2" w:rsidP="00742B81">
            <w:pPr>
              <w:rPr>
                <w:noProof/>
                <w:color w:val="006100"/>
                <w:sz w:val="20"/>
                <w:szCs w:val="20"/>
              </w:rPr>
            </w:pPr>
            <w:r>
              <w:rPr>
                <w:noProof/>
                <w:color w:val="006100"/>
                <w:sz w:val="20"/>
              </w:rPr>
              <w:t>Vahendite eraldamine toetusesaajatele protsendina investeeringule eraldatud rahaliste vahendite kogusummast</w:t>
            </w:r>
          </w:p>
        </w:tc>
      </w:tr>
      <w:tr w:rsidR="00A612E2" w:rsidRPr="00D90835" w14:paraId="133C883D"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F50B87B" w14:textId="77777777" w:rsidR="00A612E2" w:rsidRPr="00246CC4" w:rsidRDefault="00A612E2" w:rsidP="00742B81">
            <w:pPr>
              <w:jc w:val="center"/>
              <w:rPr>
                <w:noProof/>
                <w:color w:val="006100"/>
                <w:sz w:val="20"/>
                <w:szCs w:val="20"/>
              </w:rPr>
            </w:pPr>
            <w:r>
              <w:rPr>
                <w:noProof/>
                <w:color w:val="006100"/>
                <w:sz w:val="20"/>
              </w:rPr>
              <w:t>M3C2-5</w:t>
            </w:r>
          </w:p>
        </w:tc>
        <w:tc>
          <w:tcPr>
            <w:tcW w:w="3118" w:type="dxa"/>
            <w:tcBorders>
              <w:top w:val="nil"/>
              <w:left w:val="nil"/>
              <w:bottom w:val="single" w:sz="4" w:space="0" w:color="auto"/>
              <w:right w:val="single" w:sz="4" w:space="0" w:color="auto"/>
            </w:tcBorders>
            <w:shd w:val="clear" w:color="auto" w:fill="C6EFCE"/>
            <w:noWrap/>
            <w:vAlign w:val="center"/>
          </w:tcPr>
          <w:p w14:paraId="46C2258C" w14:textId="77777777" w:rsidR="00A612E2" w:rsidRPr="003B127D" w:rsidRDefault="00A612E2" w:rsidP="00742B81">
            <w:pPr>
              <w:rPr>
                <w:noProof/>
                <w:color w:val="006100"/>
                <w:sz w:val="20"/>
                <w:szCs w:val="20"/>
              </w:rPr>
            </w:pPr>
            <w:r>
              <w:rPr>
                <w:noProof/>
                <w:color w:val="006100"/>
                <w:sz w:val="20"/>
              </w:rPr>
              <w:t>Investeering 2.1. Logistikaahela digiteerimine</w:t>
            </w:r>
          </w:p>
        </w:tc>
        <w:tc>
          <w:tcPr>
            <w:tcW w:w="1418" w:type="dxa"/>
            <w:tcBorders>
              <w:top w:val="nil"/>
              <w:left w:val="nil"/>
              <w:bottom w:val="single" w:sz="4" w:space="0" w:color="auto"/>
              <w:right w:val="single" w:sz="4" w:space="0" w:color="auto"/>
            </w:tcBorders>
            <w:shd w:val="clear" w:color="auto" w:fill="C6EFCE"/>
            <w:noWrap/>
            <w:vAlign w:val="center"/>
          </w:tcPr>
          <w:p w14:paraId="212734B1" w14:textId="77777777" w:rsidR="00A612E2" w:rsidRPr="00246CC4" w:rsidRDefault="00A612E2" w:rsidP="00742B81">
            <w:pPr>
              <w:rPr>
                <w:noProof/>
                <w:color w:val="006100"/>
                <w:sz w:val="20"/>
                <w:szCs w:val="20"/>
              </w:rPr>
            </w:pPr>
            <w:r>
              <w:rPr>
                <w:noProof/>
                <w:color w:val="006100"/>
                <w:sz w:val="20"/>
              </w:rPr>
              <w:t>Siht</w:t>
            </w:r>
          </w:p>
        </w:tc>
        <w:tc>
          <w:tcPr>
            <w:tcW w:w="4049" w:type="dxa"/>
            <w:tcBorders>
              <w:top w:val="nil"/>
              <w:left w:val="nil"/>
              <w:bottom w:val="single" w:sz="4" w:space="0" w:color="auto"/>
              <w:right w:val="single" w:sz="4" w:space="0" w:color="auto"/>
            </w:tcBorders>
            <w:shd w:val="clear" w:color="auto" w:fill="C6EFCE"/>
            <w:noWrap/>
            <w:vAlign w:val="center"/>
          </w:tcPr>
          <w:p w14:paraId="781D330E" w14:textId="77777777" w:rsidR="00A612E2" w:rsidRPr="003B127D" w:rsidRDefault="00A612E2" w:rsidP="00742B81">
            <w:pPr>
              <w:rPr>
                <w:noProof/>
                <w:color w:val="006100"/>
                <w:sz w:val="20"/>
                <w:szCs w:val="20"/>
              </w:rPr>
            </w:pPr>
            <w:r>
              <w:rPr>
                <w:noProof/>
                <w:color w:val="006100"/>
                <w:sz w:val="20"/>
              </w:rPr>
              <w:t>Logistikaahela digiteerimine</w:t>
            </w:r>
          </w:p>
        </w:tc>
      </w:tr>
      <w:tr w:rsidR="00A612E2" w:rsidRPr="00D90835" w14:paraId="33895B28"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4435239" w14:textId="77777777" w:rsidR="00A612E2" w:rsidRPr="00246CC4" w:rsidRDefault="00A612E2" w:rsidP="00742B81">
            <w:pPr>
              <w:jc w:val="center"/>
              <w:rPr>
                <w:noProof/>
                <w:color w:val="006100"/>
                <w:sz w:val="20"/>
                <w:szCs w:val="20"/>
              </w:rPr>
            </w:pPr>
            <w:r>
              <w:rPr>
                <w:noProof/>
                <w:color w:val="006100"/>
                <w:sz w:val="20"/>
              </w:rPr>
              <w:t>M5C2-2</w:t>
            </w:r>
          </w:p>
        </w:tc>
        <w:tc>
          <w:tcPr>
            <w:tcW w:w="3118" w:type="dxa"/>
            <w:tcBorders>
              <w:top w:val="nil"/>
              <w:left w:val="nil"/>
              <w:bottom w:val="single" w:sz="4" w:space="0" w:color="auto"/>
              <w:right w:val="single" w:sz="4" w:space="0" w:color="auto"/>
            </w:tcBorders>
            <w:shd w:val="clear" w:color="auto" w:fill="C6EFCE"/>
            <w:noWrap/>
            <w:vAlign w:val="center"/>
          </w:tcPr>
          <w:p w14:paraId="75B601D0" w14:textId="77777777" w:rsidR="00A612E2" w:rsidRPr="003B127D" w:rsidRDefault="00A612E2" w:rsidP="00742B81">
            <w:pPr>
              <w:rPr>
                <w:noProof/>
                <w:color w:val="006100"/>
                <w:sz w:val="20"/>
                <w:szCs w:val="20"/>
              </w:rPr>
            </w:pPr>
            <w:r>
              <w:rPr>
                <w:noProof/>
                <w:color w:val="006100"/>
                <w:sz w:val="20"/>
              </w:rPr>
              <w:t>Reform 1. Puuetega inimesi käsitlev raamseadus</w:t>
            </w:r>
          </w:p>
        </w:tc>
        <w:tc>
          <w:tcPr>
            <w:tcW w:w="1418" w:type="dxa"/>
            <w:tcBorders>
              <w:top w:val="nil"/>
              <w:left w:val="nil"/>
              <w:bottom w:val="single" w:sz="4" w:space="0" w:color="auto"/>
              <w:right w:val="single" w:sz="4" w:space="0" w:color="auto"/>
            </w:tcBorders>
            <w:shd w:val="clear" w:color="auto" w:fill="C6EFCE"/>
            <w:noWrap/>
            <w:vAlign w:val="center"/>
          </w:tcPr>
          <w:p w14:paraId="62706FBD" w14:textId="77777777" w:rsidR="00A612E2" w:rsidRPr="00246CC4" w:rsidRDefault="00A612E2" w:rsidP="00742B81">
            <w:pPr>
              <w:rPr>
                <w:noProof/>
                <w:color w:val="006100"/>
                <w:sz w:val="20"/>
                <w:szCs w:val="20"/>
              </w:rPr>
            </w:pPr>
            <w:r>
              <w:rPr>
                <w:noProof/>
                <w:color w:val="006100"/>
                <w:sz w:val="20"/>
              </w:rPr>
              <w:t>Eesmärk</w:t>
            </w:r>
          </w:p>
        </w:tc>
        <w:tc>
          <w:tcPr>
            <w:tcW w:w="4049" w:type="dxa"/>
            <w:tcBorders>
              <w:top w:val="nil"/>
              <w:left w:val="nil"/>
              <w:bottom w:val="single" w:sz="4" w:space="0" w:color="auto"/>
              <w:right w:val="single" w:sz="4" w:space="0" w:color="auto"/>
            </w:tcBorders>
            <w:shd w:val="clear" w:color="auto" w:fill="C6EFCE"/>
            <w:noWrap/>
            <w:vAlign w:val="center"/>
          </w:tcPr>
          <w:p w14:paraId="0E7B8426" w14:textId="77777777" w:rsidR="00A612E2" w:rsidRPr="003B127D" w:rsidRDefault="00A612E2" w:rsidP="00742B81">
            <w:pPr>
              <w:rPr>
                <w:noProof/>
                <w:color w:val="006100"/>
                <w:sz w:val="20"/>
                <w:szCs w:val="20"/>
              </w:rPr>
            </w:pPr>
            <w:r>
              <w:rPr>
                <w:noProof/>
                <w:color w:val="006100"/>
                <w:sz w:val="20"/>
              </w:rPr>
              <w:t>Raamseaduse jõustumine ja valitsuse poolt vastu võetud seadusandlikud dekreedid, millega arendatakse raamseaduse sätteid, et tugevdada puuetega inimeste iseseisvust.</w:t>
            </w:r>
          </w:p>
        </w:tc>
      </w:tr>
      <w:tr w:rsidR="00A612E2" w:rsidRPr="00246CC4" w14:paraId="7A03E544" w14:textId="77777777" w:rsidTr="00742B81">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377ACD99" w14:textId="77777777" w:rsidR="00A612E2" w:rsidRPr="00F33804" w:rsidRDefault="00A612E2" w:rsidP="00742B81">
            <w:pPr>
              <w:jc w:val="center"/>
              <w:rPr>
                <w:noProof/>
                <w:color w:val="006100"/>
                <w:sz w:val="20"/>
                <w:szCs w:val="20"/>
              </w:rPr>
            </w:pPr>
          </w:p>
        </w:tc>
        <w:tc>
          <w:tcPr>
            <w:tcW w:w="3118" w:type="dxa"/>
            <w:tcBorders>
              <w:top w:val="single" w:sz="4" w:space="0" w:color="auto"/>
              <w:left w:val="nil"/>
              <w:bottom w:val="single" w:sz="4" w:space="0" w:color="auto"/>
              <w:right w:val="single" w:sz="4" w:space="0" w:color="auto"/>
            </w:tcBorders>
            <w:shd w:val="clear" w:color="auto" w:fill="C6EFCE"/>
            <w:noWrap/>
            <w:vAlign w:val="bottom"/>
          </w:tcPr>
          <w:p w14:paraId="7D2E25AB" w14:textId="77777777" w:rsidR="00A612E2" w:rsidRPr="00F33804" w:rsidRDefault="00A612E2" w:rsidP="00742B81">
            <w:pPr>
              <w:rPr>
                <w:noProof/>
                <w:color w:val="006100"/>
                <w:sz w:val="20"/>
                <w:szCs w:val="20"/>
              </w:rPr>
            </w:pPr>
          </w:p>
        </w:tc>
        <w:tc>
          <w:tcPr>
            <w:tcW w:w="1418" w:type="dxa"/>
            <w:tcBorders>
              <w:top w:val="single" w:sz="4" w:space="0" w:color="auto"/>
              <w:left w:val="nil"/>
              <w:bottom w:val="single" w:sz="4" w:space="0" w:color="auto"/>
              <w:right w:val="single" w:sz="4" w:space="0" w:color="auto"/>
            </w:tcBorders>
            <w:shd w:val="clear" w:color="auto" w:fill="C6EFCE"/>
            <w:noWrap/>
            <w:vAlign w:val="bottom"/>
          </w:tcPr>
          <w:p w14:paraId="6E680F13" w14:textId="77777777" w:rsidR="00A612E2" w:rsidRPr="00246CC4" w:rsidRDefault="00A612E2" w:rsidP="00742B81">
            <w:pPr>
              <w:rPr>
                <w:noProof/>
                <w:color w:val="006100"/>
                <w:sz w:val="20"/>
                <w:szCs w:val="20"/>
              </w:rPr>
            </w:pPr>
            <w:r>
              <w:rPr>
                <w:noProof/>
                <w:color w:val="006100"/>
                <w:sz w:val="20"/>
              </w:rPr>
              <w:t>Osamakse summa</w:t>
            </w:r>
          </w:p>
        </w:tc>
        <w:tc>
          <w:tcPr>
            <w:tcW w:w="4049" w:type="dxa"/>
            <w:tcBorders>
              <w:top w:val="single" w:sz="4" w:space="0" w:color="auto"/>
              <w:left w:val="nil"/>
              <w:bottom w:val="single" w:sz="4" w:space="0" w:color="auto"/>
              <w:right w:val="single" w:sz="4" w:space="0" w:color="auto"/>
            </w:tcBorders>
            <w:shd w:val="clear" w:color="auto" w:fill="C6EFCE"/>
            <w:noWrap/>
            <w:vAlign w:val="bottom"/>
          </w:tcPr>
          <w:p w14:paraId="291732C8" w14:textId="77777777" w:rsidR="00A612E2" w:rsidRPr="00246CC4" w:rsidRDefault="00A612E2" w:rsidP="00742B81">
            <w:pPr>
              <w:rPr>
                <w:noProof/>
                <w:color w:val="006100"/>
                <w:sz w:val="20"/>
                <w:szCs w:val="20"/>
              </w:rPr>
            </w:pPr>
            <w:r>
              <w:rPr>
                <w:noProof/>
                <w:color w:val="006100"/>
                <w:sz w:val="20"/>
              </w:rPr>
              <w:t>1 943 488 219 eurot</w:t>
            </w:r>
          </w:p>
        </w:tc>
      </w:tr>
    </w:tbl>
    <w:p w14:paraId="027F4DE7" w14:textId="77777777" w:rsidR="00A612E2" w:rsidRPr="00246CC4" w:rsidRDefault="00A612E2" w:rsidP="00A612E2">
      <w:pPr>
        <w:numPr>
          <w:ilvl w:val="1"/>
          <w:numId w:val="6"/>
        </w:numPr>
        <w:spacing w:before="120" w:after="120"/>
        <w:jc w:val="both"/>
        <w:rPr>
          <w:rFonts w:eastAsia="Calibri"/>
          <w:noProof/>
        </w:rPr>
      </w:pPr>
      <w:r>
        <w:rPr>
          <w:noProof/>
        </w:rPr>
        <w:t>Seitsmes osamakse (tagastamatu toetus):</w:t>
      </w:r>
    </w:p>
    <w:tbl>
      <w:tblPr>
        <w:tblW w:w="9969" w:type="dxa"/>
        <w:tblInd w:w="113" w:type="dxa"/>
        <w:tblLook w:val="04A0" w:firstRow="1" w:lastRow="0" w:firstColumn="1" w:lastColumn="0" w:noHBand="0" w:noVBand="1"/>
      </w:tblPr>
      <w:tblGrid>
        <w:gridCol w:w="1827"/>
        <w:gridCol w:w="3118"/>
        <w:gridCol w:w="1418"/>
        <w:gridCol w:w="4020"/>
      </w:tblGrid>
      <w:tr w:rsidR="00A612E2" w:rsidRPr="00246CC4" w14:paraId="68A92D33" w14:textId="77777777" w:rsidTr="00BC5B0E">
        <w:trPr>
          <w:trHeight w:val="906"/>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8DC557B" w14:textId="77777777" w:rsidR="00A612E2" w:rsidRPr="00246CC4" w:rsidRDefault="00A612E2" w:rsidP="00742B81">
            <w:pPr>
              <w:jc w:val="center"/>
              <w:rPr>
                <w:b/>
                <w:bCs/>
                <w:noProof/>
                <w:sz w:val="20"/>
                <w:szCs w:val="20"/>
              </w:rPr>
            </w:pPr>
            <w:r>
              <w:rPr>
                <w:b/>
                <w:noProof/>
                <w:sz w:val="20"/>
              </w:rPr>
              <w:t>Järjekorranumber</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7C84339" w14:textId="77777777" w:rsidR="00A612E2" w:rsidRPr="003B127D" w:rsidRDefault="00A612E2" w:rsidP="00742B81">
            <w:pPr>
              <w:jc w:val="center"/>
              <w:rPr>
                <w:b/>
                <w:bCs/>
                <w:noProof/>
                <w:sz w:val="20"/>
                <w:szCs w:val="20"/>
              </w:rPr>
            </w:pPr>
            <w:r>
              <w:rPr>
                <w:b/>
                <w:noProof/>
                <w:sz w:val="20"/>
              </w:rPr>
              <w:t>Seotud meede (reform või investeering)</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8C7D600" w14:textId="77777777" w:rsidR="00A612E2" w:rsidRPr="00246CC4" w:rsidRDefault="00A612E2" w:rsidP="00742B81">
            <w:pPr>
              <w:jc w:val="center"/>
              <w:rPr>
                <w:b/>
                <w:bCs/>
                <w:noProof/>
                <w:sz w:val="20"/>
                <w:szCs w:val="20"/>
              </w:rPr>
            </w:pPr>
            <w:r>
              <w:rPr>
                <w:b/>
                <w:noProof/>
                <w:sz w:val="20"/>
              </w:rPr>
              <w:t>Eesmärk / siht</w:t>
            </w:r>
          </w:p>
        </w:tc>
        <w:tc>
          <w:tcPr>
            <w:tcW w:w="402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5696DE0" w14:textId="77777777" w:rsidR="00A612E2" w:rsidRPr="00246CC4" w:rsidRDefault="00A612E2" w:rsidP="00742B81">
            <w:pPr>
              <w:jc w:val="center"/>
              <w:rPr>
                <w:b/>
                <w:bCs/>
                <w:noProof/>
                <w:sz w:val="20"/>
                <w:szCs w:val="20"/>
              </w:rPr>
            </w:pPr>
            <w:r>
              <w:rPr>
                <w:b/>
                <w:noProof/>
                <w:sz w:val="20"/>
              </w:rPr>
              <w:t>Nimi</w:t>
            </w:r>
          </w:p>
        </w:tc>
      </w:tr>
      <w:tr w:rsidR="00A612E2" w:rsidRPr="00246CC4" w14:paraId="7511E47B" w14:textId="77777777" w:rsidTr="00BC5B0E">
        <w:trPr>
          <w:trHeight w:val="517"/>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D37DD10" w14:textId="77777777" w:rsidR="00A612E2" w:rsidRPr="00246CC4" w:rsidRDefault="00A612E2" w:rsidP="00742B81">
            <w:pPr>
              <w:rPr>
                <w:b/>
                <w:bCs/>
                <w:noProof/>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232878FE" w14:textId="77777777" w:rsidR="00A612E2" w:rsidRPr="00246CC4" w:rsidRDefault="00A612E2" w:rsidP="00742B81">
            <w:pPr>
              <w:rPr>
                <w:b/>
                <w:bCs/>
                <w:noProof/>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2B67B5E" w14:textId="77777777" w:rsidR="00A612E2" w:rsidRPr="00246CC4" w:rsidRDefault="00A612E2" w:rsidP="00742B81">
            <w:pPr>
              <w:rPr>
                <w:b/>
                <w:bCs/>
                <w:noProof/>
              </w:rPr>
            </w:pPr>
          </w:p>
        </w:tc>
        <w:tc>
          <w:tcPr>
            <w:tcW w:w="4020" w:type="dxa"/>
            <w:vMerge/>
            <w:tcBorders>
              <w:top w:val="single" w:sz="4" w:space="0" w:color="auto"/>
              <w:left w:val="single" w:sz="4" w:space="0" w:color="auto"/>
              <w:bottom w:val="single" w:sz="4" w:space="0" w:color="auto"/>
              <w:right w:val="single" w:sz="4" w:space="0" w:color="auto"/>
            </w:tcBorders>
            <w:vAlign w:val="center"/>
            <w:hideMark/>
          </w:tcPr>
          <w:p w14:paraId="0DA7AFDA" w14:textId="77777777" w:rsidR="00A612E2" w:rsidRPr="00246CC4" w:rsidRDefault="00A612E2" w:rsidP="00742B81">
            <w:pPr>
              <w:rPr>
                <w:b/>
                <w:bCs/>
                <w:noProof/>
              </w:rPr>
            </w:pPr>
          </w:p>
        </w:tc>
      </w:tr>
      <w:tr w:rsidR="00A612E2" w:rsidRPr="00D90835" w14:paraId="1BA5A21D" w14:textId="77777777" w:rsidTr="00BC5B0E">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773BEB" w14:textId="77777777" w:rsidR="00A612E2" w:rsidRPr="00246CC4" w:rsidRDefault="00A612E2" w:rsidP="00742B81">
            <w:pPr>
              <w:jc w:val="center"/>
              <w:rPr>
                <w:noProof/>
                <w:color w:val="006100"/>
                <w:sz w:val="20"/>
                <w:szCs w:val="20"/>
              </w:rPr>
            </w:pPr>
            <w:r>
              <w:rPr>
                <w:noProof/>
                <w:color w:val="006100"/>
                <w:sz w:val="20"/>
              </w:rPr>
              <w:t>M1C1-17</w:t>
            </w:r>
          </w:p>
        </w:tc>
        <w:tc>
          <w:tcPr>
            <w:tcW w:w="3118" w:type="dxa"/>
            <w:tcBorders>
              <w:top w:val="single" w:sz="4" w:space="0" w:color="auto"/>
              <w:left w:val="nil"/>
              <w:bottom w:val="single" w:sz="4" w:space="0" w:color="auto"/>
              <w:right w:val="single" w:sz="4" w:space="0" w:color="auto"/>
            </w:tcBorders>
            <w:shd w:val="clear" w:color="auto" w:fill="C6EFCE"/>
            <w:noWrap/>
            <w:vAlign w:val="center"/>
          </w:tcPr>
          <w:p w14:paraId="5B427C50" w14:textId="77777777" w:rsidR="00A612E2" w:rsidRPr="00246CC4" w:rsidRDefault="00A612E2" w:rsidP="00742B81">
            <w:pPr>
              <w:rPr>
                <w:noProof/>
                <w:color w:val="006100"/>
                <w:sz w:val="20"/>
                <w:szCs w:val="20"/>
              </w:rPr>
            </w:pPr>
            <w:r>
              <w:rPr>
                <w:noProof/>
                <w:color w:val="006100"/>
                <w:sz w:val="20"/>
              </w:rPr>
              <w:t>Investeering 1.1. Digitaristu</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14:paraId="20A7F004" w14:textId="77777777" w:rsidR="00A612E2" w:rsidRPr="00246CC4" w:rsidRDefault="00A612E2" w:rsidP="00742B81">
            <w:pPr>
              <w:rPr>
                <w:noProof/>
                <w:color w:val="006100"/>
                <w:sz w:val="20"/>
                <w:szCs w:val="20"/>
              </w:rPr>
            </w:pPr>
            <w:r>
              <w:rPr>
                <w:noProof/>
                <w:color w:val="006100"/>
                <w:sz w:val="20"/>
              </w:rPr>
              <w:t>Siht</w:t>
            </w:r>
          </w:p>
        </w:tc>
        <w:tc>
          <w:tcPr>
            <w:tcW w:w="4020" w:type="dxa"/>
            <w:tcBorders>
              <w:top w:val="single" w:sz="4" w:space="0" w:color="auto"/>
              <w:left w:val="nil"/>
              <w:bottom w:val="single" w:sz="4" w:space="0" w:color="auto"/>
              <w:right w:val="single" w:sz="4" w:space="0" w:color="auto"/>
            </w:tcBorders>
            <w:shd w:val="clear" w:color="auto" w:fill="C6EFCE"/>
            <w:noWrap/>
            <w:vAlign w:val="center"/>
          </w:tcPr>
          <w:p w14:paraId="65AF92F5" w14:textId="77777777" w:rsidR="00A612E2" w:rsidRPr="00246CC4" w:rsidRDefault="00A612E2" w:rsidP="00742B81">
            <w:pPr>
              <w:rPr>
                <w:noProof/>
                <w:color w:val="006100"/>
                <w:sz w:val="20"/>
                <w:szCs w:val="20"/>
              </w:rPr>
            </w:pPr>
            <w:r>
              <w:rPr>
                <w:noProof/>
                <w:color w:val="006100"/>
                <w:sz w:val="20"/>
              </w:rPr>
              <w:t>Migratsioon Polo Strategico Nazionale T1-le</w:t>
            </w:r>
          </w:p>
        </w:tc>
      </w:tr>
      <w:tr w:rsidR="00A612E2" w:rsidRPr="00D90835" w14:paraId="18F248E7"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C48F599" w14:textId="77777777" w:rsidR="00A612E2" w:rsidRPr="00246CC4" w:rsidRDefault="00A612E2" w:rsidP="00742B81">
            <w:pPr>
              <w:jc w:val="center"/>
              <w:rPr>
                <w:noProof/>
                <w:color w:val="006100"/>
                <w:sz w:val="20"/>
                <w:szCs w:val="20"/>
              </w:rPr>
            </w:pPr>
            <w:r>
              <w:rPr>
                <w:noProof/>
                <w:color w:val="006100"/>
                <w:sz w:val="20"/>
              </w:rPr>
              <w:t>M7-7</w:t>
            </w:r>
          </w:p>
        </w:tc>
        <w:tc>
          <w:tcPr>
            <w:tcW w:w="3118" w:type="dxa"/>
            <w:tcBorders>
              <w:top w:val="nil"/>
              <w:left w:val="nil"/>
              <w:bottom w:val="single" w:sz="4" w:space="0" w:color="auto"/>
              <w:right w:val="single" w:sz="4" w:space="0" w:color="auto"/>
            </w:tcBorders>
            <w:shd w:val="clear" w:color="auto" w:fill="C6EFCE"/>
            <w:noWrap/>
            <w:vAlign w:val="center"/>
          </w:tcPr>
          <w:p w14:paraId="5602B7DC" w14:textId="77777777" w:rsidR="00A612E2" w:rsidRPr="003B127D" w:rsidRDefault="00A612E2" w:rsidP="00742B81">
            <w:pPr>
              <w:rPr>
                <w:noProof/>
                <w:color w:val="006100"/>
                <w:sz w:val="20"/>
                <w:szCs w:val="20"/>
              </w:rPr>
            </w:pPr>
            <w:r>
              <w:rPr>
                <w:noProof/>
                <w:color w:val="006100"/>
                <w:sz w:val="20"/>
              </w:rPr>
              <w:t>Reform 4. Taastuvenergia ostulepingutega seotud finantsriski maandamine</w:t>
            </w:r>
          </w:p>
        </w:tc>
        <w:tc>
          <w:tcPr>
            <w:tcW w:w="1418" w:type="dxa"/>
            <w:tcBorders>
              <w:top w:val="nil"/>
              <w:left w:val="nil"/>
              <w:bottom w:val="single" w:sz="4" w:space="0" w:color="auto"/>
              <w:right w:val="single" w:sz="4" w:space="0" w:color="auto"/>
            </w:tcBorders>
            <w:shd w:val="clear" w:color="auto" w:fill="C6EFCE"/>
            <w:noWrap/>
            <w:vAlign w:val="center"/>
          </w:tcPr>
          <w:p w14:paraId="4154657D" w14:textId="77777777" w:rsidR="00A612E2" w:rsidRPr="00246CC4" w:rsidRDefault="00A612E2" w:rsidP="00742B81">
            <w:pPr>
              <w:rPr>
                <w:noProof/>
                <w:color w:val="006100"/>
                <w:sz w:val="20"/>
                <w:szCs w:val="20"/>
              </w:rPr>
            </w:pPr>
            <w:r>
              <w:rPr>
                <w:noProof/>
                <w:color w:val="006100"/>
                <w:sz w:val="20"/>
              </w:rPr>
              <w:t>Eesmärk</w:t>
            </w:r>
          </w:p>
        </w:tc>
        <w:tc>
          <w:tcPr>
            <w:tcW w:w="4020" w:type="dxa"/>
            <w:tcBorders>
              <w:top w:val="nil"/>
              <w:left w:val="nil"/>
              <w:bottom w:val="single" w:sz="4" w:space="0" w:color="auto"/>
              <w:right w:val="single" w:sz="4" w:space="0" w:color="auto"/>
            </w:tcBorders>
            <w:shd w:val="clear" w:color="auto" w:fill="C6EFCE"/>
            <w:noWrap/>
            <w:vAlign w:val="center"/>
          </w:tcPr>
          <w:p w14:paraId="5DC63BD5" w14:textId="77777777" w:rsidR="00A612E2" w:rsidRPr="003B127D" w:rsidRDefault="00A612E2" w:rsidP="00742B81">
            <w:pPr>
              <w:rPr>
                <w:noProof/>
                <w:color w:val="006100"/>
                <w:sz w:val="20"/>
                <w:szCs w:val="20"/>
              </w:rPr>
            </w:pPr>
            <w:r>
              <w:rPr>
                <w:noProof/>
                <w:color w:val="006100"/>
                <w:sz w:val="20"/>
              </w:rPr>
              <w:t>Esmaste õigusaktide jõustumine.</w:t>
            </w:r>
          </w:p>
        </w:tc>
      </w:tr>
      <w:tr w:rsidR="00A612E2" w:rsidRPr="00246CC4" w14:paraId="183F8F07"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1E37653" w14:textId="77777777" w:rsidR="00A612E2" w:rsidRPr="00246CC4" w:rsidRDefault="00A612E2" w:rsidP="00742B81">
            <w:pPr>
              <w:jc w:val="center"/>
              <w:rPr>
                <w:noProof/>
                <w:color w:val="006100"/>
                <w:sz w:val="20"/>
                <w:szCs w:val="20"/>
              </w:rPr>
            </w:pPr>
            <w:r>
              <w:rPr>
                <w:noProof/>
                <w:color w:val="006100"/>
                <w:sz w:val="20"/>
              </w:rPr>
              <w:t>M7-14</w:t>
            </w:r>
          </w:p>
        </w:tc>
        <w:tc>
          <w:tcPr>
            <w:tcW w:w="3118" w:type="dxa"/>
            <w:tcBorders>
              <w:top w:val="nil"/>
              <w:left w:val="nil"/>
              <w:bottom w:val="single" w:sz="4" w:space="0" w:color="auto"/>
              <w:right w:val="single" w:sz="4" w:space="0" w:color="auto"/>
            </w:tcBorders>
            <w:shd w:val="clear" w:color="auto" w:fill="C6EFCE"/>
            <w:noWrap/>
            <w:vAlign w:val="center"/>
          </w:tcPr>
          <w:p w14:paraId="2E3F0EAB" w14:textId="77777777" w:rsidR="00A612E2" w:rsidRPr="00246CC4" w:rsidRDefault="00A612E2" w:rsidP="00742B81">
            <w:pPr>
              <w:rPr>
                <w:noProof/>
                <w:color w:val="006100"/>
                <w:sz w:val="20"/>
                <w:szCs w:val="20"/>
              </w:rPr>
            </w:pPr>
            <w:r>
              <w:rPr>
                <w:noProof/>
                <w:color w:val="006100"/>
                <w:sz w:val="20"/>
              </w:rPr>
              <w:t>Investeering 4. Türreenini ühendus</w:t>
            </w:r>
          </w:p>
        </w:tc>
        <w:tc>
          <w:tcPr>
            <w:tcW w:w="1418" w:type="dxa"/>
            <w:tcBorders>
              <w:top w:val="nil"/>
              <w:left w:val="nil"/>
              <w:bottom w:val="single" w:sz="4" w:space="0" w:color="auto"/>
              <w:right w:val="single" w:sz="4" w:space="0" w:color="auto"/>
            </w:tcBorders>
            <w:shd w:val="clear" w:color="auto" w:fill="C6EFCE"/>
            <w:noWrap/>
            <w:vAlign w:val="center"/>
          </w:tcPr>
          <w:p w14:paraId="442278A8" w14:textId="77777777" w:rsidR="00A612E2" w:rsidRPr="00246CC4" w:rsidRDefault="00A612E2" w:rsidP="00742B81">
            <w:pPr>
              <w:rPr>
                <w:noProof/>
                <w:color w:val="006100"/>
                <w:sz w:val="20"/>
                <w:szCs w:val="20"/>
              </w:rPr>
            </w:pPr>
            <w:r>
              <w:rPr>
                <w:noProof/>
                <w:color w:val="006100"/>
                <w:sz w:val="20"/>
              </w:rPr>
              <w:t>Eesmärk</w:t>
            </w:r>
          </w:p>
        </w:tc>
        <w:tc>
          <w:tcPr>
            <w:tcW w:w="4020" w:type="dxa"/>
            <w:tcBorders>
              <w:top w:val="nil"/>
              <w:left w:val="nil"/>
              <w:bottom w:val="single" w:sz="4" w:space="0" w:color="auto"/>
              <w:right w:val="single" w:sz="4" w:space="0" w:color="auto"/>
            </w:tcBorders>
            <w:shd w:val="clear" w:color="auto" w:fill="C6EFCE"/>
            <w:noWrap/>
            <w:vAlign w:val="center"/>
          </w:tcPr>
          <w:p w14:paraId="797BAA42" w14:textId="77777777" w:rsidR="00A612E2" w:rsidRPr="00246CC4" w:rsidRDefault="00A612E2" w:rsidP="00742B81">
            <w:pPr>
              <w:rPr>
                <w:noProof/>
                <w:color w:val="006100"/>
                <w:sz w:val="20"/>
                <w:szCs w:val="20"/>
              </w:rPr>
            </w:pPr>
            <w:r>
              <w:rPr>
                <w:noProof/>
                <w:color w:val="006100"/>
                <w:sz w:val="20"/>
              </w:rPr>
              <w:t>Hankemenetlus</w:t>
            </w:r>
          </w:p>
        </w:tc>
      </w:tr>
      <w:tr w:rsidR="00A612E2" w:rsidRPr="00D90835" w14:paraId="5969823D"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95ECC7E" w14:textId="77777777" w:rsidR="00A612E2" w:rsidRPr="00246CC4" w:rsidRDefault="00A612E2" w:rsidP="00742B81">
            <w:pPr>
              <w:jc w:val="center"/>
              <w:rPr>
                <w:noProof/>
                <w:color w:val="006100"/>
                <w:sz w:val="20"/>
                <w:szCs w:val="20"/>
              </w:rPr>
            </w:pPr>
            <w:r>
              <w:rPr>
                <w:noProof/>
                <w:color w:val="006100"/>
                <w:sz w:val="20"/>
              </w:rPr>
              <w:t xml:space="preserve">M3C2-7 </w:t>
            </w:r>
          </w:p>
        </w:tc>
        <w:tc>
          <w:tcPr>
            <w:tcW w:w="3118" w:type="dxa"/>
            <w:tcBorders>
              <w:top w:val="nil"/>
              <w:left w:val="nil"/>
              <w:bottom w:val="single" w:sz="4" w:space="0" w:color="auto"/>
              <w:right w:val="single" w:sz="4" w:space="0" w:color="auto"/>
            </w:tcBorders>
            <w:shd w:val="clear" w:color="auto" w:fill="C6EFCE"/>
            <w:noWrap/>
            <w:vAlign w:val="center"/>
          </w:tcPr>
          <w:p w14:paraId="24D7EC85" w14:textId="77777777" w:rsidR="00A612E2" w:rsidRPr="00246CC4" w:rsidRDefault="00A612E2" w:rsidP="00742B81">
            <w:pPr>
              <w:rPr>
                <w:noProof/>
                <w:color w:val="006100"/>
                <w:sz w:val="20"/>
                <w:szCs w:val="20"/>
              </w:rPr>
            </w:pPr>
            <w:r>
              <w:rPr>
                <w:noProof/>
                <w:color w:val="006100"/>
                <w:sz w:val="20"/>
              </w:rPr>
              <w:t xml:space="preserve">Investeering 2.3. Külm triikimine </w:t>
            </w:r>
          </w:p>
        </w:tc>
        <w:tc>
          <w:tcPr>
            <w:tcW w:w="1418" w:type="dxa"/>
            <w:tcBorders>
              <w:top w:val="nil"/>
              <w:left w:val="nil"/>
              <w:bottom w:val="single" w:sz="4" w:space="0" w:color="auto"/>
              <w:right w:val="single" w:sz="4" w:space="0" w:color="auto"/>
            </w:tcBorders>
            <w:shd w:val="clear" w:color="auto" w:fill="C6EFCE"/>
            <w:noWrap/>
            <w:vAlign w:val="center"/>
          </w:tcPr>
          <w:p w14:paraId="0A996FA1" w14:textId="77777777" w:rsidR="00A612E2" w:rsidRPr="00246CC4" w:rsidRDefault="00A612E2" w:rsidP="00742B81">
            <w:pPr>
              <w:rPr>
                <w:noProof/>
                <w:color w:val="006100"/>
                <w:sz w:val="20"/>
                <w:szCs w:val="20"/>
              </w:rPr>
            </w:pPr>
            <w:r>
              <w:rPr>
                <w:noProof/>
                <w:color w:val="006100"/>
                <w:sz w:val="20"/>
              </w:rPr>
              <w:t xml:space="preserve">Eesmärk </w:t>
            </w:r>
          </w:p>
        </w:tc>
        <w:tc>
          <w:tcPr>
            <w:tcW w:w="4020" w:type="dxa"/>
            <w:tcBorders>
              <w:top w:val="nil"/>
              <w:left w:val="nil"/>
              <w:bottom w:val="single" w:sz="4" w:space="0" w:color="auto"/>
              <w:right w:val="single" w:sz="4" w:space="0" w:color="auto"/>
            </w:tcBorders>
            <w:shd w:val="clear" w:color="auto" w:fill="C6EFCE"/>
            <w:noWrap/>
            <w:vAlign w:val="center"/>
          </w:tcPr>
          <w:p w14:paraId="3B5C27A4" w14:textId="77777777" w:rsidR="00A612E2" w:rsidRPr="003B127D" w:rsidRDefault="00A612E2" w:rsidP="00742B81">
            <w:pPr>
              <w:rPr>
                <w:noProof/>
                <w:color w:val="006100"/>
                <w:sz w:val="20"/>
                <w:szCs w:val="20"/>
              </w:rPr>
            </w:pPr>
            <w:r>
              <w:rPr>
                <w:noProof/>
                <w:color w:val="006100"/>
                <w:sz w:val="20"/>
              </w:rPr>
              <w:t xml:space="preserve">Kõigi riigihankelepingute sõlmimine </w:t>
            </w:r>
          </w:p>
        </w:tc>
      </w:tr>
      <w:tr w:rsidR="00A612E2" w:rsidRPr="00246CC4" w14:paraId="3D8947C2"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FB638D3" w14:textId="77777777" w:rsidR="00A612E2" w:rsidRPr="00246CC4" w:rsidRDefault="00A612E2" w:rsidP="00742B81">
            <w:pPr>
              <w:jc w:val="center"/>
              <w:rPr>
                <w:noProof/>
                <w:color w:val="006100"/>
                <w:sz w:val="20"/>
                <w:szCs w:val="20"/>
              </w:rPr>
            </w:pPr>
            <w:r>
              <w:rPr>
                <w:noProof/>
                <w:color w:val="006100"/>
                <w:sz w:val="20"/>
              </w:rPr>
              <w:t>M1C1-18</w:t>
            </w:r>
          </w:p>
        </w:tc>
        <w:tc>
          <w:tcPr>
            <w:tcW w:w="3118" w:type="dxa"/>
            <w:tcBorders>
              <w:top w:val="nil"/>
              <w:left w:val="nil"/>
              <w:bottom w:val="single" w:sz="4" w:space="0" w:color="auto"/>
              <w:right w:val="single" w:sz="4" w:space="0" w:color="auto"/>
            </w:tcBorders>
            <w:shd w:val="clear" w:color="auto" w:fill="C6EFCE"/>
            <w:noWrap/>
            <w:vAlign w:val="center"/>
          </w:tcPr>
          <w:p w14:paraId="4CAEC840" w14:textId="77777777" w:rsidR="00A612E2" w:rsidRPr="00246CC4" w:rsidRDefault="00A612E2" w:rsidP="00742B81">
            <w:pPr>
              <w:rPr>
                <w:noProof/>
                <w:color w:val="006100"/>
                <w:sz w:val="20"/>
                <w:szCs w:val="20"/>
              </w:rPr>
            </w:pPr>
            <w:r>
              <w:rPr>
                <w:noProof/>
                <w:color w:val="006100"/>
                <w:sz w:val="20"/>
              </w:rPr>
              <w:t>Investeering 1.3.1. Riiklik digitaalsete andmete platvorm</w:t>
            </w:r>
          </w:p>
        </w:tc>
        <w:tc>
          <w:tcPr>
            <w:tcW w:w="1418" w:type="dxa"/>
            <w:tcBorders>
              <w:top w:val="nil"/>
              <w:left w:val="nil"/>
              <w:bottom w:val="single" w:sz="4" w:space="0" w:color="auto"/>
              <w:right w:val="single" w:sz="4" w:space="0" w:color="auto"/>
            </w:tcBorders>
            <w:shd w:val="clear" w:color="auto" w:fill="C6EFCE"/>
            <w:noWrap/>
            <w:vAlign w:val="center"/>
          </w:tcPr>
          <w:p w14:paraId="684511AB" w14:textId="77777777" w:rsidR="00A612E2" w:rsidRPr="00246CC4" w:rsidRDefault="00A612E2" w:rsidP="00742B81">
            <w:pPr>
              <w:rPr>
                <w:noProof/>
                <w:color w:val="006100"/>
                <w:sz w:val="20"/>
                <w:szCs w:val="20"/>
              </w:rPr>
            </w:pPr>
            <w:r>
              <w:rPr>
                <w:noProof/>
                <w:color w:val="006100"/>
                <w:sz w:val="20"/>
              </w:rPr>
              <w:t>Siht</w:t>
            </w:r>
          </w:p>
        </w:tc>
        <w:tc>
          <w:tcPr>
            <w:tcW w:w="4020" w:type="dxa"/>
            <w:tcBorders>
              <w:top w:val="nil"/>
              <w:left w:val="nil"/>
              <w:bottom w:val="single" w:sz="4" w:space="0" w:color="auto"/>
              <w:right w:val="single" w:sz="4" w:space="0" w:color="auto"/>
            </w:tcBorders>
            <w:shd w:val="clear" w:color="auto" w:fill="C6EFCE"/>
            <w:noWrap/>
            <w:vAlign w:val="center"/>
          </w:tcPr>
          <w:p w14:paraId="3CC3C5D5" w14:textId="77777777" w:rsidR="00A612E2" w:rsidRPr="00246CC4" w:rsidRDefault="00A612E2" w:rsidP="00742B81">
            <w:pPr>
              <w:rPr>
                <w:noProof/>
                <w:color w:val="006100"/>
                <w:sz w:val="20"/>
                <w:szCs w:val="20"/>
              </w:rPr>
            </w:pPr>
            <w:r>
              <w:rPr>
                <w:noProof/>
                <w:color w:val="006100"/>
                <w:sz w:val="20"/>
              </w:rPr>
              <w:t>Rakendusliidesed riiklikus digitaalse andmeplatvormis T1</w:t>
            </w:r>
          </w:p>
        </w:tc>
      </w:tr>
      <w:tr w:rsidR="00A612E2" w:rsidRPr="00D90835" w14:paraId="6DC975E7"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692ACF9" w14:textId="77777777" w:rsidR="00A612E2" w:rsidRPr="00246CC4" w:rsidRDefault="00A612E2" w:rsidP="00742B81">
            <w:pPr>
              <w:jc w:val="center"/>
              <w:rPr>
                <w:noProof/>
                <w:color w:val="006100"/>
                <w:sz w:val="20"/>
                <w:szCs w:val="20"/>
              </w:rPr>
            </w:pPr>
            <w:r>
              <w:rPr>
                <w:noProof/>
                <w:color w:val="006100"/>
                <w:sz w:val="20"/>
              </w:rPr>
              <w:t>M1C1-19</w:t>
            </w:r>
          </w:p>
        </w:tc>
        <w:tc>
          <w:tcPr>
            <w:tcW w:w="3118" w:type="dxa"/>
            <w:tcBorders>
              <w:top w:val="nil"/>
              <w:left w:val="nil"/>
              <w:bottom w:val="single" w:sz="4" w:space="0" w:color="auto"/>
              <w:right w:val="single" w:sz="4" w:space="0" w:color="auto"/>
            </w:tcBorders>
            <w:shd w:val="clear" w:color="auto" w:fill="C6EFCE"/>
            <w:noWrap/>
            <w:vAlign w:val="center"/>
          </w:tcPr>
          <w:p w14:paraId="5402C1F2" w14:textId="77777777" w:rsidR="00A612E2" w:rsidRPr="00246CC4" w:rsidRDefault="00A612E2" w:rsidP="00742B81">
            <w:pPr>
              <w:rPr>
                <w:noProof/>
                <w:color w:val="006100"/>
                <w:sz w:val="20"/>
                <w:szCs w:val="20"/>
              </w:rPr>
            </w:pPr>
            <w:r>
              <w:rPr>
                <w:noProof/>
                <w:color w:val="006100"/>
                <w:sz w:val="20"/>
              </w:rPr>
              <w:t>Investeering 1.5. Küberturvalisus</w:t>
            </w:r>
          </w:p>
        </w:tc>
        <w:tc>
          <w:tcPr>
            <w:tcW w:w="1418" w:type="dxa"/>
            <w:tcBorders>
              <w:top w:val="nil"/>
              <w:left w:val="nil"/>
              <w:bottom w:val="single" w:sz="4" w:space="0" w:color="auto"/>
              <w:right w:val="single" w:sz="4" w:space="0" w:color="auto"/>
            </w:tcBorders>
            <w:shd w:val="clear" w:color="auto" w:fill="C6EFCE"/>
            <w:noWrap/>
            <w:vAlign w:val="center"/>
          </w:tcPr>
          <w:p w14:paraId="08D73390" w14:textId="77777777" w:rsidR="00A612E2" w:rsidRPr="00246CC4" w:rsidRDefault="00A612E2" w:rsidP="00742B81">
            <w:pPr>
              <w:rPr>
                <w:noProof/>
                <w:color w:val="006100"/>
                <w:sz w:val="20"/>
                <w:szCs w:val="20"/>
              </w:rPr>
            </w:pPr>
            <w:r>
              <w:rPr>
                <w:noProof/>
                <w:color w:val="006100"/>
                <w:sz w:val="20"/>
              </w:rPr>
              <w:t>Siht</w:t>
            </w:r>
          </w:p>
        </w:tc>
        <w:tc>
          <w:tcPr>
            <w:tcW w:w="4020" w:type="dxa"/>
            <w:tcBorders>
              <w:top w:val="nil"/>
              <w:left w:val="nil"/>
              <w:bottom w:val="single" w:sz="4" w:space="0" w:color="auto"/>
              <w:right w:val="single" w:sz="4" w:space="0" w:color="auto"/>
            </w:tcBorders>
            <w:shd w:val="clear" w:color="auto" w:fill="C6EFCE"/>
            <w:noWrap/>
            <w:vAlign w:val="center"/>
          </w:tcPr>
          <w:p w14:paraId="42E1DC33" w14:textId="77777777" w:rsidR="00A612E2" w:rsidRPr="003B127D" w:rsidRDefault="00A612E2" w:rsidP="00742B81">
            <w:pPr>
              <w:rPr>
                <w:noProof/>
                <w:color w:val="006100"/>
                <w:sz w:val="20"/>
                <w:szCs w:val="20"/>
              </w:rPr>
            </w:pPr>
            <w:r>
              <w:rPr>
                <w:noProof/>
                <w:color w:val="006100"/>
                <w:sz w:val="20"/>
              </w:rPr>
              <w:t>Toetus turvastruktuuride ajakohastamisele T2</w:t>
            </w:r>
          </w:p>
        </w:tc>
      </w:tr>
      <w:tr w:rsidR="00A612E2" w:rsidRPr="00D90835" w14:paraId="2258B59F"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4BD15E7" w14:textId="77777777" w:rsidR="00A612E2" w:rsidRPr="00246CC4" w:rsidRDefault="00A612E2" w:rsidP="00742B81">
            <w:pPr>
              <w:jc w:val="center"/>
              <w:rPr>
                <w:noProof/>
                <w:color w:val="006100"/>
                <w:sz w:val="20"/>
                <w:szCs w:val="20"/>
              </w:rPr>
            </w:pPr>
            <w:r>
              <w:rPr>
                <w:noProof/>
                <w:color w:val="006100"/>
                <w:sz w:val="20"/>
              </w:rPr>
              <w:t>M1C1-20</w:t>
            </w:r>
          </w:p>
        </w:tc>
        <w:tc>
          <w:tcPr>
            <w:tcW w:w="3118" w:type="dxa"/>
            <w:tcBorders>
              <w:top w:val="nil"/>
              <w:left w:val="nil"/>
              <w:bottom w:val="single" w:sz="4" w:space="0" w:color="auto"/>
              <w:right w:val="single" w:sz="4" w:space="0" w:color="auto"/>
            </w:tcBorders>
            <w:shd w:val="clear" w:color="auto" w:fill="C6EFCE"/>
            <w:noWrap/>
            <w:vAlign w:val="center"/>
          </w:tcPr>
          <w:p w14:paraId="44FE29D7" w14:textId="77777777" w:rsidR="00A612E2" w:rsidRPr="00246CC4" w:rsidRDefault="00A612E2" w:rsidP="00742B81">
            <w:pPr>
              <w:rPr>
                <w:noProof/>
                <w:color w:val="006100"/>
                <w:sz w:val="20"/>
                <w:szCs w:val="20"/>
              </w:rPr>
            </w:pPr>
            <w:r>
              <w:rPr>
                <w:noProof/>
                <w:color w:val="006100"/>
                <w:sz w:val="20"/>
              </w:rPr>
              <w:t>Investeering 1.5. Küberturvalisus</w:t>
            </w:r>
          </w:p>
        </w:tc>
        <w:tc>
          <w:tcPr>
            <w:tcW w:w="1418" w:type="dxa"/>
            <w:tcBorders>
              <w:top w:val="nil"/>
              <w:left w:val="nil"/>
              <w:bottom w:val="single" w:sz="4" w:space="0" w:color="auto"/>
              <w:right w:val="single" w:sz="4" w:space="0" w:color="auto"/>
            </w:tcBorders>
            <w:shd w:val="clear" w:color="auto" w:fill="C6EFCE"/>
            <w:noWrap/>
            <w:vAlign w:val="center"/>
          </w:tcPr>
          <w:p w14:paraId="6597FEA9" w14:textId="77777777" w:rsidR="00A612E2" w:rsidRPr="00246CC4" w:rsidRDefault="00A612E2" w:rsidP="00742B81">
            <w:pPr>
              <w:rPr>
                <w:noProof/>
                <w:color w:val="006100"/>
                <w:sz w:val="20"/>
                <w:szCs w:val="20"/>
              </w:rPr>
            </w:pPr>
            <w:r>
              <w:rPr>
                <w:noProof/>
                <w:color w:val="006100"/>
                <w:sz w:val="20"/>
              </w:rPr>
              <w:t>Eesmärk</w:t>
            </w:r>
          </w:p>
        </w:tc>
        <w:tc>
          <w:tcPr>
            <w:tcW w:w="4020" w:type="dxa"/>
            <w:tcBorders>
              <w:top w:val="nil"/>
              <w:left w:val="nil"/>
              <w:bottom w:val="single" w:sz="4" w:space="0" w:color="auto"/>
              <w:right w:val="single" w:sz="4" w:space="0" w:color="auto"/>
            </w:tcBorders>
            <w:shd w:val="clear" w:color="auto" w:fill="C6EFCE"/>
            <w:noWrap/>
            <w:vAlign w:val="center"/>
          </w:tcPr>
          <w:p w14:paraId="13118645" w14:textId="77777777" w:rsidR="00A612E2" w:rsidRPr="003B127D" w:rsidRDefault="00A612E2" w:rsidP="00742B81">
            <w:pPr>
              <w:rPr>
                <w:noProof/>
                <w:color w:val="006100"/>
                <w:sz w:val="20"/>
                <w:szCs w:val="20"/>
              </w:rPr>
            </w:pPr>
            <w:r>
              <w:rPr>
                <w:noProof/>
                <w:color w:val="006100"/>
                <w:sz w:val="20"/>
              </w:rPr>
              <w:t>Riiklike küberturvalisuse teenuste täielik kasutuselevõtt</w:t>
            </w:r>
          </w:p>
        </w:tc>
      </w:tr>
      <w:tr w:rsidR="00A612E2" w:rsidRPr="00D90835" w14:paraId="02EAB057"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03C6336" w14:textId="77777777" w:rsidR="00A612E2" w:rsidRPr="00246CC4" w:rsidRDefault="00A612E2" w:rsidP="00742B81">
            <w:pPr>
              <w:jc w:val="center"/>
              <w:rPr>
                <w:noProof/>
                <w:color w:val="006100"/>
                <w:sz w:val="20"/>
                <w:szCs w:val="20"/>
              </w:rPr>
            </w:pPr>
            <w:r>
              <w:rPr>
                <w:noProof/>
                <w:color w:val="006100"/>
                <w:sz w:val="20"/>
              </w:rPr>
              <w:t>M1C1-21</w:t>
            </w:r>
          </w:p>
        </w:tc>
        <w:tc>
          <w:tcPr>
            <w:tcW w:w="3118" w:type="dxa"/>
            <w:tcBorders>
              <w:top w:val="nil"/>
              <w:left w:val="nil"/>
              <w:bottom w:val="single" w:sz="4" w:space="0" w:color="auto"/>
              <w:right w:val="single" w:sz="4" w:space="0" w:color="auto"/>
            </w:tcBorders>
            <w:shd w:val="clear" w:color="auto" w:fill="C6EFCE"/>
            <w:noWrap/>
            <w:vAlign w:val="center"/>
          </w:tcPr>
          <w:p w14:paraId="67B6EF46" w14:textId="77777777" w:rsidR="00A612E2" w:rsidRPr="00246CC4" w:rsidRDefault="00A612E2" w:rsidP="00742B81">
            <w:pPr>
              <w:rPr>
                <w:noProof/>
                <w:color w:val="006100"/>
                <w:sz w:val="20"/>
                <w:szCs w:val="20"/>
              </w:rPr>
            </w:pPr>
            <w:r>
              <w:rPr>
                <w:noProof/>
                <w:color w:val="006100"/>
                <w:sz w:val="20"/>
              </w:rPr>
              <w:t>Investeering 1.5. Küberturvalisus</w:t>
            </w:r>
          </w:p>
        </w:tc>
        <w:tc>
          <w:tcPr>
            <w:tcW w:w="1418" w:type="dxa"/>
            <w:tcBorders>
              <w:top w:val="nil"/>
              <w:left w:val="nil"/>
              <w:bottom w:val="single" w:sz="4" w:space="0" w:color="auto"/>
              <w:right w:val="single" w:sz="4" w:space="0" w:color="auto"/>
            </w:tcBorders>
            <w:shd w:val="clear" w:color="auto" w:fill="C6EFCE"/>
            <w:noWrap/>
            <w:vAlign w:val="center"/>
          </w:tcPr>
          <w:p w14:paraId="70063668" w14:textId="77777777" w:rsidR="00A612E2" w:rsidRPr="00246CC4" w:rsidRDefault="00A612E2" w:rsidP="00742B81">
            <w:pPr>
              <w:rPr>
                <w:noProof/>
                <w:color w:val="006100"/>
                <w:sz w:val="20"/>
                <w:szCs w:val="20"/>
              </w:rPr>
            </w:pPr>
            <w:r>
              <w:rPr>
                <w:noProof/>
                <w:color w:val="006100"/>
                <w:sz w:val="20"/>
              </w:rPr>
              <w:t>Eesmärk</w:t>
            </w:r>
          </w:p>
        </w:tc>
        <w:tc>
          <w:tcPr>
            <w:tcW w:w="4020" w:type="dxa"/>
            <w:tcBorders>
              <w:top w:val="nil"/>
              <w:left w:val="nil"/>
              <w:bottom w:val="single" w:sz="4" w:space="0" w:color="auto"/>
              <w:right w:val="single" w:sz="4" w:space="0" w:color="auto"/>
            </w:tcBorders>
            <w:shd w:val="clear" w:color="auto" w:fill="C6EFCE"/>
            <w:noWrap/>
            <w:vAlign w:val="center"/>
          </w:tcPr>
          <w:p w14:paraId="396215CA" w14:textId="77777777" w:rsidR="00A612E2" w:rsidRPr="003B127D" w:rsidRDefault="00A612E2" w:rsidP="00742B81">
            <w:pPr>
              <w:rPr>
                <w:noProof/>
                <w:color w:val="006100"/>
                <w:sz w:val="20"/>
                <w:szCs w:val="20"/>
              </w:rPr>
            </w:pPr>
            <w:r>
              <w:rPr>
                <w:noProof/>
                <w:color w:val="006100"/>
                <w:sz w:val="20"/>
              </w:rPr>
              <w:t>Küberturvalisuse skriining- ja sertifitseerimislaborite ning hindamiskeskuste võrgustiku lõpuleviimine</w:t>
            </w:r>
          </w:p>
        </w:tc>
      </w:tr>
      <w:tr w:rsidR="00A612E2" w:rsidRPr="00D90835" w14:paraId="56BB2D4D"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07BB7CD" w14:textId="77777777" w:rsidR="00A612E2" w:rsidRPr="00246CC4" w:rsidRDefault="00A612E2" w:rsidP="00742B81">
            <w:pPr>
              <w:jc w:val="center"/>
              <w:rPr>
                <w:noProof/>
                <w:color w:val="006100"/>
                <w:sz w:val="20"/>
                <w:szCs w:val="20"/>
              </w:rPr>
            </w:pPr>
            <w:r>
              <w:rPr>
                <w:noProof/>
                <w:color w:val="006100"/>
                <w:sz w:val="20"/>
              </w:rPr>
              <w:t>M1C1-22</w:t>
            </w:r>
          </w:p>
        </w:tc>
        <w:tc>
          <w:tcPr>
            <w:tcW w:w="3118" w:type="dxa"/>
            <w:tcBorders>
              <w:top w:val="nil"/>
              <w:left w:val="nil"/>
              <w:bottom w:val="single" w:sz="4" w:space="0" w:color="auto"/>
              <w:right w:val="single" w:sz="4" w:space="0" w:color="auto"/>
            </w:tcBorders>
            <w:shd w:val="clear" w:color="auto" w:fill="C6EFCE"/>
            <w:noWrap/>
            <w:vAlign w:val="center"/>
          </w:tcPr>
          <w:p w14:paraId="2546DDD0" w14:textId="77777777" w:rsidR="00A612E2" w:rsidRPr="00246CC4" w:rsidRDefault="00A612E2" w:rsidP="00742B81">
            <w:pPr>
              <w:rPr>
                <w:noProof/>
                <w:color w:val="006100"/>
                <w:sz w:val="20"/>
                <w:szCs w:val="20"/>
              </w:rPr>
            </w:pPr>
            <w:r>
              <w:rPr>
                <w:noProof/>
                <w:color w:val="006100"/>
                <w:sz w:val="20"/>
              </w:rPr>
              <w:t>Investeering 1.5. Küberturvalisus</w:t>
            </w:r>
          </w:p>
        </w:tc>
        <w:tc>
          <w:tcPr>
            <w:tcW w:w="1418" w:type="dxa"/>
            <w:tcBorders>
              <w:top w:val="nil"/>
              <w:left w:val="nil"/>
              <w:bottom w:val="single" w:sz="4" w:space="0" w:color="auto"/>
              <w:right w:val="single" w:sz="4" w:space="0" w:color="auto"/>
            </w:tcBorders>
            <w:shd w:val="clear" w:color="auto" w:fill="C6EFCE"/>
            <w:noWrap/>
            <w:vAlign w:val="center"/>
          </w:tcPr>
          <w:p w14:paraId="2AB830BA" w14:textId="77777777" w:rsidR="00A612E2" w:rsidRPr="00246CC4" w:rsidRDefault="00A612E2" w:rsidP="00742B81">
            <w:pPr>
              <w:rPr>
                <w:noProof/>
                <w:color w:val="006100"/>
                <w:sz w:val="20"/>
                <w:szCs w:val="20"/>
              </w:rPr>
            </w:pPr>
            <w:r>
              <w:rPr>
                <w:noProof/>
                <w:color w:val="006100"/>
                <w:sz w:val="20"/>
              </w:rPr>
              <w:t>Eesmärk</w:t>
            </w:r>
          </w:p>
        </w:tc>
        <w:tc>
          <w:tcPr>
            <w:tcW w:w="4020" w:type="dxa"/>
            <w:tcBorders>
              <w:top w:val="nil"/>
              <w:left w:val="nil"/>
              <w:bottom w:val="single" w:sz="4" w:space="0" w:color="auto"/>
              <w:right w:val="single" w:sz="4" w:space="0" w:color="auto"/>
            </w:tcBorders>
            <w:shd w:val="clear" w:color="auto" w:fill="C6EFCE"/>
            <w:noWrap/>
            <w:vAlign w:val="center"/>
          </w:tcPr>
          <w:p w14:paraId="773210CB" w14:textId="77777777" w:rsidR="00A612E2" w:rsidRPr="003B127D" w:rsidRDefault="00A612E2" w:rsidP="00742B81">
            <w:pPr>
              <w:rPr>
                <w:noProof/>
                <w:color w:val="006100"/>
                <w:sz w:val="20"/>
                <w:szCs w:val="20"/>
              </w:rPr>
            </w:pPr>
            <w:r>
              <w:rPr>
                <w:noProof/>
                <w:color w:val="006100"/>
                <w:sz w:val="20"/>
              </w:rPr>
              <w:t>võrgu- ja infoturbemeetmed, mille puhul on lõpule viidud vähemalt 30 kontrolli</w:t>
            </w:r>
          </w:p>
        </w:tc>
      </w:tr>
      <w:tr w:rsidR="00A612E2" w:rsidRPr="00D90835" w14:paraId="541E1C51"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5C5B445" w14:textId="77777777" w:rsidR="00A612E2" w:rsidRPr="00246CC4" w:rsidRDefault="00A612E2" w:rsidP="00742B81">
            <w:pPr>
              <w:jc w:val="center"/>
              <w:rPr>
                <w:noProof/>
                <w:color w:val="006100"/>
                <w:sz w:val="20"/>
                <w:szCs w:val="20"/>
              </w:rPr>
            </w:pPr>
            <w:r>
              <w:rPr>
                <w:noProof/>
                <w:color w:val="006100"/>
                <w:sz w:val="20"/>
              </w:rPr>
              <w:t>M1C1-43</w:t>
            </w:r>
          </w:p>
        </w:tc>
        <w:tc>
          <w:tcPr>
            <w:tcW w:w="3118" w:type="dxa"/>
            <w:tcBorders>
              <w:top w:val="nil"/>
              <w:left w:val="nil"/>
              <w:bottom w:val="single" w:sz="4" w:space="0" w:color="auto"/>
              <w:right w:val="single" w:sz="4" w:space="0" w:color="auto"/>
            </w:tcBorders>
            <w:shd w:val="clear" w:color="auto" w:fill="C6EFCE"/>
            <w:noWrap/>
            <w:vAlign w:val="center"/>
          </w:tcPr>
          <w:p w14:paraId="6CA197FA" w14:textId="77777777" w:rsidR="00A612E2" w:rsidRPr="003B127D" w:rsidRDefault="00A612E2" w:rsidP="00742B81">
            <w:pPr>
              <w:rPr>
                <w:noProof/>
                <w:color w:val="006100"/>
                <w:sz w:val="20"/>
                <w:szCs w:val="20"/>
              </w:rPr>
            </w:pPr>
            <w:r>
              <w:rPr>
                <w:noProof/>
                <w:color w:val="006100"/>
                <w:sz w:val="20"/>
              </w:rPr>
              <w:t>Reform 1.4. Tsiviilõiguse reform</w:t>
            </w:r>
          </w:p>
        </w:tc>
        <w:tc>
          <w:tcPr>
            <w:tcW w:w="1418" w:type="dxa"/>
            <w:tcBorders>
              <w:top w:val="nil"/>
              <w:left w:val="nil"/>
              <w:bottom w:val="single" w:sz="4" w:space="0" w:color="auto"/>
              <w:right w:val="single" w:sz="4" w:space="0" w:color="auto"/>
            </w:tcBorders>
            <w:shd w:val="clear" w:color="auto" w:fill="C6EFCE"/>
            <w:noWrap/>
            <w:vAlign w:val="center"/>
          </w:tcPr>
          <w:p w14:paraId="0E5034A7" w14:textId="77777777" w:rsidR="00A612E2" w:rsidRPr="00246CC4" w:rsidRDefault="00A612E2" w:rsidP="00742B81">
            <w:pPr>
              <w:rPr>
                <w:noProof/>
                <w:color w:val="006100"/>
                <w:sz w:val="20"/>
                <w:szCs w:val="20"/>
              </w:rPr>
            </w:pPr>
            <w:r>
              <w:rPr>
                <w:noProof/>
                <w:color w:val="006100"/>
                <w:sz w:val="20"/>
              </w:rPr>
              <w:t>Siht</w:t>
            </w:r>
          </w:p>
        </w:tc>
        <w:tc>
          <w:tcPr>
            <w:tcW w:w="4020" w:type="dxa"/>
            <w:tcBorders>
              <w:top w:val="nil"/>
              <w:left w:val="nil"/>
              <w:bottom w:val="single" w:sz="4" w:space="0" w:color="auto"/>
              <w:right w:val="single" w:sz="4" w:space="0" w:color="auto"/>
            </w:tcBorders>
            <w:shd w:val="clear" w:color="auto" w:fill="C6EFCE"/>
            <w:noWrap/>
            <w:vAlign w:val="center"/>
          </w:tcPr>
          <w:p w14:paraId="3600B4A0" w14:textId="77777777" w:rsidR="00A612E2" w:rsidRPr="003B127D" w:rsidRDefault="00A612E2" w:rsidP="00742B81">
            <w:pPr>
              <w:rPr>
                <w:noProof/>
                <w:color w:val="006100"/>
                <w:sz w:val="20"/>
                <w:szCs w:val="20"/>
              </w:rPr>
            </w:pPr>
            <w:r>
              <w:rPr>
                <w:noProof/>
                <w:color w:val="006100"/>
                <w:sz w:val="20"/>
              </w:rPr>
              <w:t>Tsiviil- ja üldkohtute kohtuasjade kuhjumise vähendamine (esimene aste)</w:t>
            </w:r>
          </w:p>
        </w:tc>
      </w:tr>
      <w:tr w:rsidR="00A612E2" w:rsidRPr="00D90835" w14:paraId="53EAB832"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2312020" w14:textId="77777777" w:rsidR="00A612E2" w:rsidRPr="00246CC4" w:rsidRDefault="00A612E2" w:rsidP="00742B81">
            <w:pPr>
              <w:jc w:val="center"/>
              <w:rPr>
                <w:noProof/>
                <w:color w:val="006100"/>
                <w:sz w:val="20"/>
                <w:szCs w:val="20"/>
              </w:rPr>
            </w:pPr>
            <w:r>
              <w:rPr>
                <w:noProof/>
                <w:color w:val="006100"/>
                <w:sz w:val="20"/>
              </w:rPr>
              <w:t>M1C1-44</w:t>
            </w:r>
          </w:p>
        </w:tc>
        <w:tc>
          <w:tcPr>
            <w:tcW w:w="3118" w:type="dxa"/>
            <w:tcBorders>
              <w:top w:val="nil"/>
              <w:left w:val="nil"/>
              <w:bottom w:val="single" w:sz="4" w:space="0" w:color="auto"/>
              <w:right w:val="single" w:sz="4" w:space="0" w:color="auto"/>
            </w:tcBorders>
            <w:shd w:val="clear" w:color="auto" w:fill="C6EFCE"/>
            <w:noWrap/>
            <w:vAlign w:val="center"/>
          </w:tcPr>
          <w:p w14:paraId="51AA3727" w14:textId="77777777" w:rsidR="00A612E2" w:rsidRPr="003B127D" w:rsidRDefault="00A612E2" w:rsidP="00742B81">
            <w:pPr>
              <w:rPr>
                <w:noProof/>
                <w:color w:val="006100"/>
                <w:sz w:val="20"/>
                <w:szCs w:val="20"/>
              </w:rPr>
            </w:pPr>
            <w:r>
              <w:rPr>
                <w:noProof/>
                <w:color w:val="006100"/>
                <w:sz w:val="20"/>
              </w:rPr>
              <w:t>Reform 1.4. Tsiviilõiguse reform</w:t>
            </w:r>
          </w:p>
        </w:tc>
        <w:tc>
          <w:tcPr>
            <w:tcW w:w="1418" w:type="dxa"/>
            <w:tcBorders>
              <w:top w:val="nil"/>
              <w:left w:val="nil"/>
              <w:bottom w:val="single" w:sz="4" w:space="0" w:color="auto"/>
              <w:right w:val="single" w:sz="4" w:space="0" w:color="auto"/>
            </w:tcBorders>
            <w:shd w:val="clear" w:color="auto" w:fill="C6EFCE"/>
            <w:noWrap/>
            <w:vAlign w:val="center"/>
          </w:tcPr>
          <w:p w14:paraId="0A12B09B" w14:textId="77777777" w:rsidR="00A612E2" w:rsidRPr="00246CC4" w:rsidRDefault="00A612E2" w:rsidP="00742B81">
            <w:pPr>
              <w:rPr>
                <w:noProof/>
                <w:color w:val="006100"/>
                <w:sz w:val="20"/>
                <w:szCs w:val="20"/>
              </w:rPr>
            </w:pPr>
            <w:r>
              <w:rPr>
                <w:noProof/>
                <w:color w:val="006100"/>
                <w:sz w:val="20"/>
              </w:rPr>
              <w:t>Siht</w:t>
            </w:r>
          </w:p>
        </w:tc>
        <w:tc>
          <w:tcPr>
            <w:tcW w:w="4020" w:type="dxa"/>
            <w:tcBorders>
              <w:top w:val="nil"/>
              <w:left w:val="nil"/>
              <w:bottom w:val="single" w:sz="4" w:space="0" w:color="auto"/>
              <w:right w:val="single" w:sz="4" w:space="0" w:color="auto"/>
            </w:tcBorders>
            <w:shd w:val="clear" w:color="auto" w:fill="C6EFCE"/>
            <w:noWrap/>
            <w:vAlign w:val="center"/>
          </w:tcPr>
          <w:p w14:paraId="0A0DF132" w14:textId="77777777" w:rsidR="00A612E2" w:rsidRPr="003B127D" w:rsidRDefault="00A612E2" w:rsidP="00742B81">
            <w:pPr>
              <w:rPr>
                <w:noProof/>
                <w:color w:val="006100"/>
                <w:sz w:val="20"/>
                <w:szCs w:val="20"/>
              </w:rPr>
            </w:pPr>
            <w:r>
              <w:rPr>
                <w:noProof/>
                <w:color w:val="006100"/>
                <w:sz w:val="20"/>
              </w:rPr>
              <w:t>Tsiviilapellatsioonikohtu pooleliolevate kohtuasjade arvu vähendamine (teine aste)</w:t>
            </w:r>
          </w:p>
        </w:tc>
      </w:tr>
      <w:tr w:rsidR="00A612E2" w:rsidRPr="00D90835" w14:paraId="4515B2A4"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EA9365F" w14:textId="77777777" w:rsidR="00A612E2" w:rsidRPr="00246CC4" w:rsidRDefault="00A612E2" w:rsidP="00742B81">
            <w:pPr>
              <w:jc w:val="center"/>
              <w:rPr>
                <w:noProof/>
                <w:color w:val="006100"/>
                <w:sz w:val="20"/>
                <w:szCs w:val="20"/>
              </w:rPr>
            </w:pPr>
            <w:r>
              <w:rPr>
                <w:noProof/>
                <w:color w:val="006100"/>
                <w:sz w:val="20"/>
              </w:rPr>
              <w:t>M1C1-60</w:t>
            </w:r>
          </w:p>
        </w:tc>
        <w:tc>
          <w:tcPr>
            <w:tcW w:w="3118" w:type="dxa"/>
            <w:tcBorders>
              <w:top w:val="nil"/>
              <w:left w:val="nil"/>
              <w:bottom w:val="single" w:sz="4" w:space="0" w:color="auto"/>
              <w:right w:val="single" w:sz="4" w:space="0" w:color="auto"/>
            </w:tcBorders>
            <w:shd w:val="clear" w:color="auto" w:fill="C6EFCE"/>
            <w:noWrap/>
            <w:vAlign w:val="center"/>
          </w:tcPr>
          <w:p w14:paraId="6C97BD0A" w14:textId="77777777" w:rsidR="00A612E2" w:rsidRPr="003B127D" w:rsidRDefault="00A612E2" w:rsidP="00742B81">
            <w:pPr>
              <w:rPr>
                <w:noProof/>
                <w:color w:val="006100"/>
                <w:sz w:val="20"/>
                <w:szCs w:val="20"/>
              </w:rPr>
            </w:pPr>
            <w:r>
              <w:rPr>
                <w:noProof/>
                <w:color w:val="006100"/>
                <w:sz w:val="20"/>
              </w:rPr>
              <w:t>Reform 1.9. Avaliku halduse reform</w:t>
            </w:r>
          </w:p>
        </w:tc>
        <w:tc>
          <w:tcPr>
            <w:tcW w:w="1418" w:type="dxa"/>
            <w:tcBorders>
              <w:top w:val="nil"/>
              <w:left w:val="nil"/>
              <w:bottom w:val="single" w:sz="4" w:space="0" w:color="auto"/>
              <w:right w:val="single" w:sz="4" w:space="0" w:color="auto"/>
            </w:tcBorders>
            <w:shd w:val="clear" w:color="auto" w:fill="C6EFCE"/>
            <w:noWrap/>
            <w:vAlign w:val="center"/>
          </w:tcPr>
          <w:p w14:paraId="143C2371" w14:textId="77777777" w:rsidR="00A612E2" w:rsidRPr="00246CC4" w:rsidRDefault="00A612E2" w:rsidP="00742B81">
            <w:pPr>
              <w:rPr>
                <w:noProof/>
                <w:color w:val="006100"/>
                <w:sz w:val="20"/>
                <w:szCs w:val="20"/>
              </w:rPr>
            </w:pPr>
            <w:r>
              <w:rPr>
                <w:noProof/>
                <w:color w:val="006100"/>
                <w:sz w:val="20"/>
              </w:rPr>
              <w:t>Eesmärk</w:t>
            </w:r>
          </w:p>
        </w:tc>
        <w:tc>
          <w:tcPr>
            <w:tcW w:w="4020" w:type="dxa"/>
            <w:tcBorders>
              <w:top w:val="nil"/>
              <w:left w:val="nil"/>
              <w:bottom w:val="single" w:sz="4" w:space="0" w:color="auto"/>
              <w:right w:val="single" w:sz="4" w:space="0" w:color="auto"/>
            </w:tcBorders>
            <w:shd w:val="clear" w:color="auto" w:fill="C6EFCE"/>
            <w:noWrap/>
            <w:vAlign w:val="center"/>
          </w:tcPr>
          <w:p w14:paraId="622874CC" w14:textId="77777777" w:rsidR="00A612E2" w:rsidRPr="003B127D" w:rsidRDefault="00A612E2" w:rsidP="00742B81">
            <w:pPr>
              <w:rPr>
                <w:noProof/>
                <w:color w:val="006100"/>
                <w:sz w:val="20"/>
                <w:szCs w:val="20"/>
              </w:rPr>
            </w:pPr>
            <w:r>
              <w:rPr>
                <w:noProof/>
                <w:color w:val="006100"/>
                <w:sz w:val="20"/>
              </w:rPr>
              <w:t>200 kodanikke ja ettevõtjaid mõjutava kriitilise tähtsusega menetluse lihtsustamise ja/või digiteerimise täielik rakendamine (sealhulgas kõik delegeeritud õigusaktid)</w:t>
            </w:r>
          </w:p>
        </w:tc>
      </w:tr>
      <w:tr w:rsidR="00A612E2" w:rsidRPr="00D90835" w14:paraId="2325AEA7"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C731312" w14:textId="77777777" w:rsidR="00A612E2" w:rsidRPr="00246CC4" w:rsidRDefault="00A612E2" w:rsidP="00742B81">
            <w:pPr>
              <w:jc w:val="center"/>
              <w:rPr>
                <w:noProof/>
                <w:color w:val="006100"/>
                <w:sz w:val="20"/>
                <w:szCs w:val="20"/>
              </w:rPr>
            </w:pPr>
            <w:r>
              <w:rPr>
                <w:noProof/>
                <w:color w:val="006100"/>
                <w:sz w:val="20"/>
              </w:rPr>
              <w:t>M1C1–72ter</w:t>
            </w:r>
          </w:p>
        </w:tc>
        <w:tc>
          <w:tcPr>
            <w:tcW w:w="3118" w:type="dxa"/>
            <w:tcBorders>
              <w:top w:val="nil"/>
              <w:left w:val="nil"/>
              <w:bottom w:val="single" w:sz="4" w:space="0" w:color="auto"/>
              <w:right w:val="single" w:sz="4" w:space="0" w:color="auto"/>
            </w:tcBorders>
            <w:shd w:val="clear" w:color="auto" w:fill="C6EFCE"/>
            <w:noWrap/>
            <w:vAlign w:val="center"/>
          </w:tcPr>
          <w:p w14:paraId="15AF7D0C" w14:textId="77777777" w:rsidR="00A612E2" w:rsidRPr="003B127D" w:rsidRDefault="00A612E2" w:rsidP="00742B81">
            <w:pPr>
              <w:rPr>
                <w:noProof/>
                <w:color w:val="006100"/>
                <w:sz w:val="20"/>
                <w:szCs w:val="20"/>
              </w:rPr>
            </w:pPr>
            <w:r>
              <w:rPr>
                <w:noProof/>
                <w:color w:val="006100"/>
                <w:sz w:val="20"/>
              </w:rPr>
              <w:t>Reform 1.11. Avaliku halduse asutuste ja tervishoiuasutuste hilinenud maksete vähendamine</w:t>
            </w:r>
          </w:p>
        </w:tc>
        <w:tc>
          <w:tcPr>
            <w:tcW w:w="1418" w:type="dxa"/>
            <w:tcBorders>
              <w:top w:val="nil"/>
              <w:left w:val="nil"/>
              <w:bottom w:val="single" w:sz="4" w:space="0" w:color="auto"/>
              <w:right w:val="single" w:sz="4" w:space="0" w:color="auto"/>
            </w:tcBorders>
            <w:shd w:val="clear" w:color="auto" w:fill="C6EFCE"/>
            <w:noWrap/>
            <w:vAlign w:val="center"/>
          </w:tcPr>
          <w:p w14:paraId="085CF13B" w14:textId="77777777" w:rsidR="00A612E2" w:rsidRPr="00246CC4" w:rsidRDefault="00A612E2" w:rsidP="00742B81">
            <w:pPr>
              <w:rPr>
                <w:noProof/>
                <w:color w:val="006100"/>
                <w:sz w:val="20"/>
                <w:szCs w:val="20"/>
              </w:rPr>
            </w:pPr>
            <w:r>
              <w:rPr>
                <w:noProof/>
                <w:color w:val="006100"/>
                <w:sz w:val="20"/>
              </w:rPr>
              <w:t>Eesmärk</w:t>
            </w:r>
          </w:p>
        </w:tc>
        <w:tc>
          <w:tcPr>
            <w:tcW w:w="4020" w:type="dxa"/>
            <w:tcBorders>
              <w:top w:val="nil"/>
              <w:left w:val="nil"/>
              <w:bottom w:val="single" w:sz="4" w:space="0" w:color="auto"/>
              <w:right w:val="single" w:sz="4" w:space="0" w:color="auto"/>
            </w:tcBorders>
            <w:shd w:val="clear" w:color="auto" w:fill="C6EFCE"/>
            <w:noWrap/>
            <w:vAlign w:val="center"/>
          </w:tcPr>
          <w:p w14:paraId="709F1CED" w14:textId="77777777" w:rsidR="00A612E2" w:rsidRPr="003B127D" w:rsidRDefault="00A612E2" w:rsidP="00742B81">
            <w:pPr>
              <w:rPr>
                <w:noProof/>
                <w:color w:val="006100"/>
                <w:sz w:val="20"/>
                <w:szCs w:val="20"/>
              </w:rPr>
            </w:pPr>
            <w:r>
              <w:rPr>
                <w:noProof/>
                <w:color w:val="006100"/>
                <w:sz w:val="20"/>
              </w:rPr>
              <w:t>Suurendada hilinenud maksetega seotud inimressursse</w:t>
            </w:r>
          </w:p>
        </w:tc>
      </w:tr>
      <w:tr w:rsidR="00A612E2" w:rsidRPr="00D90835" w14:paraId="43E5CFB8"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7AA0E90" w14:textId="77777777" w:rsidR="00A612E2" w:rsidRPr="00246CC4" w:rsidRDefault="00A612E2" w:rsidP="00742B81">
            <w:pPr>
              <w:jc w:val="center"/>
              <w:rPr>
                <w:noProof/>
                <w:color w:val="006100"/>
                <w:sz w:val="20"/>
                <w:szCs w:val="20"/>
              </w:rPr>
            </w:pPr>
            <w:r>
              <w:rPr>
                <w:noProof/>
                <w:color w:val="006100"/>
                <w:sz w:val="20"/>
              </w:rPr>
              <w:t>M1C1–72quater</w:t>
            </w:r>
          </w:p>
        </w:tc>
        <w:tc>
          <w:tcPr>
            <w:tcW w:w="3118" w:type="dxa"/>
            <w:tcBorders>
              <w:top w:val="nil"/>
              <w:left w:val="nil"/>
              <w:bottom w:val="single" w:sz="4" w:space="0" w:color="auto"/>
              <w:right w:val="single" w:sz="4" w:space="0" w:color="auto"/>
            </w:tcBorders>
            <w:shd w:val="clear" w:color="auto" w:fill="C6EFCE"/>
            <w:noWrap/>
            <w:vAlign w:val="center"/>
          </w:tcPr>
          <w:p w14:paraId="51FD989B" w14:textId="77777777" w:rsidR="00A612E2" w:rsidRPr="003B127D" w:rsidRDefault="00A612E2" w:rsidP="00742B81">
            <w:pPr>
              <w:rPr>
                <w:noProof/>
                <w:color w:val="006100"/>
                <w:sz w:val="20"/>
                <w:szCs w:val="20"/>
              </w:rPr>
            </w:pPr>
            <w:r>
              <w:rPr>
                <w:noProof/>
                <w:color w:val="006100"/>
                <w:sz w:val="20"/>
              </w:rPr>
              <w:t>Reform 1.11. Avaliku halduse asutuste ja tervishoiuasutuste hilinenud maksete vähendamine</w:t>
            </w:r>
          </w:p>
        </w:tc>
        <w:tc>
          <w:tcPr>
            <w:tcW w:w="1418" w:type="dxa"/>
            <w:tcBorders>
              <w:top w:val="nil"/>
              <w:left w:val="nil"/>
              <w:bottom w:val="single" w:sz="4" w:space="0" w:color="auto"/>
              <w:right w:val="single" w:sz="4" w:space="0" w:color="auto"/>
            </w:tcBorders>
            <w:shd w:val="clear" w:color="auto" w:fill="C6EFCE"/>
            <w:noWrap/>
            <w:vAlign w:val="center"/>
          </w:tcPr>
          <w:p w14:paraId="08D45A8A" w14:textId="77777777" w:rsidR="00A612E2" w:rsidRPr="00246CC4" w:rsidRDefault="00A612E2" w:rsidP="00742B81">
            <w:pPr>
              <w:rPr>
                <w:noProof/>
                <w:color w:val="006100"/>
                <w:sz w:val="20"/>
                <w:szCs w:val="20"/>
              </w:rPr>
            </w:pPr>
            <w:r>
              <w:rPr>
                <w:noProof/>
                <w:color w:val="006100"/>
                <w:sz w:val="20"/>
              </w:rPr>
              <w:t>Eesmärk</w:t>
            </w:r>
          </w:p>
        </w:tc>
        <w:tc>
          <w:tcPr>
            <w:tcW w:w="4020" w:type="dxa"/>
            <w:tcBorders>
              <w:top w:val="nil"/>
              <w:left w:val="nil"/>
              <w:bottom w:val="single" w:sz="4" w:space="0" w:color="auto"/>
              <w:right w:val="single" w:sz="4" w:space="0" w:color="auto"/>
            </w:tcBorders>
            <w:shd w:val="clear" w:color="auto" w:fill="C6EFCE"/>
            <w:noWrap/>
            <w:vAlign w:val="center"/>
          </w:tcPr>
          <w:p w14:paraId="55A206A5" w14:textId="77777777" w:rsidR="00A612E2" w:rsidRPr="003B127D" w:rsidRDefault="00A612E2" w:rsidP="00742B81">
            <w:pPr>
              <w:rPr>
                <w:noProof/>
                <w:color w:val="006100"/>
                <w:sz w:val="20"/>
                <w:szCs w:val="20"/>
              </w:rPr>
            </w:pPr>
            <w:r>
              <w:rPr>
                <w:noProof/>
                <w:color w:val="006100"/>
                <w:sz w:val="20"/>
              </w:rPr>
              <w:t>Krediidi loovutamine kolmandatele isikutele</w:t>
            </w:r>
          </w:p>
        </w:tc>
      </w:tr>
      <w:tr w:rsidR="00A612E2" w:rsidRPr="00D90835" w14:paraId="2B6C1CCB"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4B11181" w14:textId="77777777" w:rsidR="00A612E2" w:rsidRPr="00246CC4" w:rsidRDefault="00A612E2" w:rsidP="00742B81">
            <w:pPr>
              <w:jc w:val="center"/>
              <w:rPr>
                <w:noProof/>
                <w:color w:val="006100"/>
                <w:sz w:val="20"/>
                <w:szCs w:val="20"/>
              </w:rPr>
            </w:pPr>
            <w:r>
              <w:rPr>
                <w:noProof/>
                <w:color w:val="006100"/>
                <w:sz w:val="20"/>
              </w:rPr>
              <w:t>M1C1–73ter</w:t>
            </w:r>
          </w:p>
        </w:tc>
        <w:tc>
          <w:tcPr>
            <w:tcW w:w="3118" w:type="dxa"/>
            <w:tcBorders>
              <w:top w:val="nil"/>
              <w:left w:val="nil"/>
              <w:bottom w:val="single" w:sz="4" w:space="0" w:color="auto"/>
              <w:right w:val="single" w:sz="4" w:space="0" w:color="auto"/>
            </w:tcBorders>
            <w:shd w:val="clear" w:color="auto" w:fill="C6EFCE"/>
            <w:noWrap/>
            <w:vAlign w:val="center"/>
          </w:tcPr>
          <w:p w14:paraId="47F96E82" w14:textId="77777777" w:rsidR="00A612E2" w:rsidRPr="003B127D" w:rsidRDefault="00A612E2" w:rsidP="00742B81">
            <w:pPr>
              <w:rPr>
                <w:noProof/>
                <w:color w:val="006100"/>
                <w:sz w:val="20"/>
                <w:szCs w:val="20"/>
              </w:rPr>
            </w:pPr>
            <w:r>
              <w:rPr>
                <w:noProof/>
                <w:color w:val="006100"/>
                <w:sz w:val="20"/>
              </w:rPr>
              <w:t>Reform 1.10. Riigihangete õigusraamistiku reform</w:t>
            </w:r>
          </w:p>
        </w:tc>
        <w:tc>
          <w:tcPr>
            <w:tcW w:w="1418" w:type="dxa"/>
            <w:tcBorders>
              <w:top w:val="nil"/>
              <w:left w:val="nil"/>
              <w:bottom w:val="single" w:sz="4" w:space="0" w:color="auto"/>
              <w:right w:val="single" w:sz="4" w:space="0" w:color="auto"/>
            </w:tcBorders>
            <w:shd w:val="clear" w:color="auto" w:fill="C6EFCE"/>
            <w:noWrap/>
            <w:vAlign w:val="center"/>
          </w:tcPr>
          <w:p w14:paraId="471159C0" w14:textId="77777777" w:rsidR="00A612E2" w:rsidRPr="00246CC4" w:rsidRDefault="00A612E2" w:rsidP="00742B81">
            <w:pPr>
              <w:rPr>
                <w:noProof/>
                <w:color w:val="006100"/>
                <w:sz w:val="20"/>
                <w:szCs w:val="20"/>
              </w:rPr>
            </w:pPr>
            <w:r>
              <w:rPr>
                <w:noProof/>
                <w:color w:val="006100"/>
                <w:sz w:val="20"/>
              </w:rPr>
              <w:t>Eesmärk</w:t>
            </w:r>
          </w:p>
        </w:tc>
        <w:tc>
          <w:tcPr>
            <w:tcW w:w="4020" w:type="dxa"/>
            <w:tcBorders>
              <w:top w:val="nil"/>
              <w:left w:val="nil"/>
              <w:bottom w:val="single" w:sz="4" w:space="0" w:color="auto"/>
              <w:right w:val="single" w:sz="4" w:space="0" w:color="auto"/>
            </w:tcBorders>
            <w:shd w:val="clear" w:color="auto" w:fill="C6EFCE"/>
            <w:noWrap/>
            <w:vAlign w:val="center"/>
          </w:tcPr>
          <w:p w14:paraId="7FAD037F" w14:textId="77777777" w:rsidR="00A612E2" w:rsidRPr="003B127D" w:rsidRDefault="00A612E2" w:rsidP="00742B81">
            <w:pPr>
              <w:rPr>
                <w:noProof/>
                <w:color w:val="006100"/>
                <w:sz w:val="20"/>
                <w:szCs w:val="20"/>
              </w:rPr>
            </w:pPr>
            <w:r>
              <w:rPr>
                <w:noProof/>
                <w:color w:val="006100"/>
                <w:sz w:val="20"/>
              </w:rPr>
              <w:t xml:space="preserve">Avaliku sektori hankijate kvalifikatsiooni ja kutseliseks muutmise stiimulid. </w:t>
            </w:r>
          </w:p>
        </w:tc>
      </w:tr>
      <w:tr w:rsidR="00A612E2" w:rsidRPr="00D90835" w14:paraId="44A6D119"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D9962BF" w14:textId="77777777" w:rsidR="00A612E2" w:rsidRPr="00246CC4" w:rsidRDefault="00A612E2" w:rsidP="00742B81">
            <w:pPr>
              <w:jc w:val="center"/>
              <w:rPr>
                <w:noProof/>
                <w:color w:val="006100"/>
                <w:sz w:val="20"/>
                <w:szCs w:val="20"/>
              </w:rPr>
            </w:pPr>
            <w:r>
              <w:rPr>
                <w:noProof/>
                <w:color w:val="006100"/>
                <w:sz w:val="20"/>
              </w:rPr>
              <w:t>M1C1–73quinquies</w:t>
            </w:r>
          </w:p>
        </w:tc>
        <w:tc>
          <w:tcPr>
            <w:tcW w:w="3118" w:type="dxa"/>
            <w:tcBorders>
              <w:top w:val="nil"/>
              <w:left w:val="nil"/>
              <w:bottom w:val="single" w:sz="4" w:space="0" w:color="auto"/>
              <w:right w:val="single" w:sz="4" w:space="0" w:color="auto"/>
            </w:tcBorders>
            <w:shd w:val="clear" w:color="auto" w:fill="C6EFCE"/>
            <w:noWrap/>
            <w:vAlign w:val="center"/>
          </w:tcPr>
          <w:p w14:paraId="306E32C6" w14:textId="77777777" w:rsidR="00A612E2" w:rsidRPr="003B127D" w:rsidRDefault="00A612E2" w:rsidP="00742B81">
            <w:pPr>
              <w:rPr>
                <w:noProof/>
                <w:color w:val="006100"/>
                <w:sz w:val="20"/>
                <w:szCs w:val="20"/>
              </w:rPr>
            </w:pPr>
            <w:r>
              <w:rPr>
                <w:noProof/>
                <w:color w:val="006100"/>
                <w:sz w:val="20"/>
              </w:rPr>
              <w:t>Reform 1.10. Riigihangete õigusraamistiku reform</w:t>
            </w:r>
          </w:p>
        </w:tc>
        <w:tc>
          <w:tcPr>
            <w:tcW w:w="1418" w:type="dxa"/>
            <w:tcBorders>
              <w:top w:val="nil"/>
              <w:left w:val="nil"/>
              <w:bottom w:val="single" w:sz="4" w:space="0" w:color="auto"/>
              <w:right w:val="single" w:sz="4" w:space="0" w:color="auto"/>
            </w:tcBorders>
            <w:shd w:val="clear" w:color="auto" w:fill="C6EFCE"/>
            <w:noWrap/>
            <w:vAlign w:val="center"/>
          </w:tcPr>
          <w:p w14:paraId="0E9E934D" w14:textId="77777777" w:rsidR="00A612E2" w:rsidRPr="00246CC4" w:rsidRDefault="00A612E2" w:rsidP="00742B81">
            <w:pPr>
              <w:rPr>
                <w:noProof/>
                <w:color w:val="006100"/>
                <w:sz w:val="20"/>
                <w:szCs w:val="20"/>
              </w:rPr>
            </w:pPr>
            <w:r>
              <w:rPr>
                <w:noProof/>
                <w:color w:val="006100"/>
                <w:sz w:val="20"/>
              </w:rPr>
              <w:t>Eesmärk</w:t>
            </w:r>
          </w:p>
        </w:tc>
        <w:tc>
          <w:tcPr>
            <w:tcW w:w="4020" w:type="dxa"/>
            <w:tcBorders>
              <w:top w:val="nil"/>
              <w:left w:val="nil"/>
              <w:bottom w:val="single" w:sz="4" w:space="0" w:color="auto"/>
              <w:right w:val="single" w:sz="4" w:space="0" w:color="auto"/>
            </w:tcBorders>
            <w:shd w:val="clear" w:color="auto" w:fill="C6EFCE"/>
            <w:noWrap/>
            <w:vAlign w:val="center"/>
          </w:tcPr>
          <w:p w14:paraId="74859B61" w14:textId="77777777" w:rsidR="00A612E2" w:rsidRPr="003B127D" w:rsidRDefault="00A612E2" w:rsidP="00742B81">
            <w:pPr>
              <w:rPr>
                <w:noProof/>
                <w:color w:val="006100"/>
                <w:sz w:val="20"/>
                <w:szCs w:val="20"/>
              </w:rPr>
            </w:pPr>
            <w:r>
              <w:rPr>
                <w:noProof/>
                <w:color w:val="006100"/>
                <w:sz w:val="20"/>
              </w:rPr>
              <w:t>Projektide rahastamist käsitlevate uute õigusnormide jõustumine</w:t>
            </w:r>
          </w:p>
        </w:tc>
      </w:tr>
      <w:tr w:rsidR="00A612E2" w:rsidRPr="00D90835" w14:paraId="100E8C29"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EB08579" w14:textId="77777777" w:rsidR="00A612E2" w:rsidRPr="00246CC4" w:rsidRDefault="00A612E2" w:rsidP="00742B81">
            <w:pPr>
              <w:jc w:val="center"/>
              <w:rPr>
                <w:noProof/>
                <w:color w:val="006100"/>
                <w:sz w:val="20"/>
                <w:szCs w:val="20"/>
              </w:rPr>
            </w:pPr>
            <w:r>
              <w:rPr>
                <w:noProof/>
                <w:color w:val="006100"/>
                <w:sz w:val="20"/>
              </w:rPr>
              <w:t>M1C1–75bis</w:t>
            </w:r>
          </w:p>
        </w:tc>
        <w:tc>
          <w:tcPr>
            <w:tcW w:w="3118" w:type="dxa"/>
            <w:tcBorders>
              <w:top w:val="nil"/>
              <w:left w:val="nil"/>
              <w:bottom w:val="single" w:sz="4" w:space="0" w:color="auto"/>
              <w:right w:val="single" w:sz="4" w:space="0" w:color="auto"/>
            </w:tcBorders>
            <w:shd w:val="clear" w:color="auto" w:fill="C6EFCE"/>
            <w:noWrap/>
            <w:vAlign w:val="center"/>
          </w:tcPr>
          <w:p w14:paraId="64FD412E" w14:textId="77777777" w:rsidR="00A612E2" w:rsidRPr="003B127D" w:rsidRDefault="00A612E2" w:rsidP="00742B81">
            <w:pPr>
              <w:rPr>
                <w:noProof/>
                <w:color w:val="006100"/>
                <w:sz w:val="20"/>
                <w:szCs w:val="20"/>
              </w:rPr>
            </w:pPr>
            <w:r>
              <w:rPr>
                <w:noProof/>
                <w:color w:val="006100"/>
                <w:sz w:val="20"/>
              </w:rPr>
              <w:t xml:space="preserve">Investeering 1.10. Kvalifikatsioonitoetus ja e-hanked </w:t>
            </w:r>
          </w:p>
        </w:tc>
        <w:tc>
          <w:tcPr>
            <w:tcW w:w="1418" w:type="dxa"/>
            <w:tcBorders>
              <w:top w:val="nil"/>
              <w:left w:val="nil"/>
              <w:bottom w:val="single" w:sz="4" w:space="0" w:color="auto"/>
              <w:right w:val="single" w:sz="4" w:space="0" w:color="auto"/>
            </w:tcBorders>
            <w:shd w:val="clear" w:color="auto" w:fill="C6EFCE"/>
            <w:noWrap/>
            <w:vAlign w:val="center"/>
          </w:tcPr>
          <w:p w14:paraId="62BA73D3" w14:textId="77777777" w:rsidR="00A612E2" w:rsidRPr="00246CC4" w:rsidRDefault="00A612E2" w:rsidP="00742B81">
            <w:pPr>
              <w:rPr>
                <w:noProof/>
                <w:color w:val="006100"/>
                <w:sz w:val="20"/>
                <w:szCs w:val="20"/>
              </w:rPr>
            </w:pPr>
            <w:r>
              <w:rPr>
                <w:noProof/>
                <w:color w:val="006100"/>
                <w:sz w:val="20"/>
              </w:rPr>
              <w:t>Eesmärk</w:t>
            </w:r>
          </w:p>
        </w:tc>
        <w:tc>
          <w:tcPr>
            <w:tcW w:w="4020" w:type="dxa"/>
            <w:tcBorders>
              <w:top w:val="nil"/>
              <w:left w:val="nil"/>
              <w:bottom w:val="single" w:sz="4" w:space="0" w:color="auto"/>
              <w:right w:val="single" w:sz="4" w:space="0" w:color="auto"/>
            </w:tcBorders>
            <w:shd w:val="clear" w:color="auto" w:fill="C6EFCE"/>
            <w:noWrap/>
            <w:vAlign w:val="center"/>
          </w:tcPr>
          <w:p w14:paraId="25FA57FF" w14:textId="77777777" w:rsidR="00A612E2" w:rsidRPr="003B127D" w:rsidRDefault="00A612E2" w:rsidP="00742B81">
            <w:pPr>
              <w:rPr>
                <w:noProof/>
                <w:color w:val="006100"/>
                <w:sz w:val="20"/>
                <w:szCs w:val="20"/>
              </w:rPr>
            </w:pPr>
            <w:r>
              <w:rPr>
                <w:noProof/>
                <w:color w:val="006100"/>
                <w:sz w:val="20"/>
              </w:rPr>
              <w:t>Kvalifikatsioonitoetus ja e-hanked</w:t>
            </w:r>
          </w:p>
        </w:tc>
      </w:tr>
      <w:tr w:rsidR="00A612E2" w:rsidRPr="00D90835" w14:paraId="50D10E0F"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923AF0E" w14:textId="77777777" w:rsidR="00A612E2" w:rsidRPr="00246CC4" w:rsidRDefault="00A612E2" w:rsidP="00742B81">
            <w:pPr>
              <w:jc w:val="center"/>
              <w:rPr>
                <w:noProof/>
                <w:color w:val="006100"/>
                <w:sz w:val="20"/>
                <w:szCs w:val="20"/>
              </w:rPr>
            </w:pPr>
            <w:r>
              <w:rPr>
                <w:noProof/>
                <w:color w:val="006100"/>
                <w:sz w:val="20"/>
              </w:rPr>
              <w:t>M1C1–84bis</w:t>
            </w:r>
          </w:p>
        </w:tc>
        <w:tc>
          <w:tcPr>
            <w:tcW w:w="3118" w:type="dxa"/>
            <w:tcBorders>
              <w:top w:val="nil"/>
              <w:left w:val="nil"/>
              <w:bottom w:val="single" w:sz="4" w:space="0" w:color="auto"/>
              <w:right w:val="single" w:sz="4" w:space="0" w:color="auto"/>
            </w:tcBorders>
            <w:shd w:val="clear" w:color="auto" w:fill="C6EFCE"/>
            <w:noWrap/>
            <w:vAlign w:val="center"/>
          </w:tcPr>
          <w:p w14:paraId="08FF5B5F" w14:textId="77777777" w:rsidR="00A612E2" w:rsidRPr="003B127D" w:rsidRDefault="00A612E2" w:rsidP="00742B81">
            <w:pPr>
              <w:rPr>
                <w:noProof/>
                <w:color w:val="006100"/>
                <w:sz w:val="20"/>
                <w:szCs w:val="20"/>
              </w:rPr>
            </w:pPr>
            <w:r>
              <w:rPr>
                <w:noProof/>
                <w:color w:val="006100"/>
                <w:sz w:val="20"/>
              </w:rPr>
              <w:t>Reform 1.10. Riigihangete õigusraamistiku reform</w:t>
            </w:r>
          </w:p>
        </w:tc>
        <w:tc>
          <w:tcPr>
            <w:tcW w:w="1418" w:type="dxa"/>
            <w:tcBorders>
              <w:top w:val="nil"/>
              <w:left w:val="nil"/>
              <w:bottom w:val="single" w:sz="4" w:space="0" w:color="auto"/>
              <w:right w:val="single" w:sz="4" w:space="0" w:color="auto"/>
            </w:tcBorders>
            <w:shd w:val="clear" w:color="auto" w:fill="C6EFCE"/>
            <w:noWrap/>
            <w:vAlign w:val="center"/>
          </w:tcPr>
          <w:p w14:paraId="4760F03A" w14:textId="77777777" w:rsidR="00A612E2" w:rsidRPr="00246CC4" w:rsidRDefault="00A612E2" w:rsidP="00742B81">
            <w:pPr>
              <w:rPr>
                <w:noProof/>
                <w:color w:val="006100"/>
                <w:sz w:val="20"/>
                <w:szCs w:val="20"/>
              </w:rPr>
            </w:pPr>
            <w:r>
              <w:rPr>
                <w:noProof/>
                <w:color w:val="006100"/>
                <w:sz w:val="20"/>
              </w:rPr>
              <w:t>Eesmärk</w:t>
            </w:r>
          </w:p>
        </w:tc>
        <w:tc>
          <w:tcPr>
            <w:tcW w:w="4020" w:type="dxa"/>
            <w:tcBorders>
              <w:top w:val="nil"/>
              <w:left w:val="nil"/>
              <w:bottom w:val="single" w:sz="4" w:space="0" w:color="auto"/>
              <w:right w:val="single" w:sz="4" w:space="0" w:color="auto"/>
            </w:tcBorders>
            <w:shd w:val="clear" w:color="auto" w:fill="C6EFCE"/>
            <w:noWrap/>
            <w:vAlign w:val="center"/>
          </w:tcPr>
          <w:p w14:paraId="6CECBB0F" w14:textId="77777777" w:rsidR="00A612E2" w:rsidRPr="003B127D" w:rsidRDefault="00A612E2" w:rsidP="00742B81">
            <w:pPr>
              <w:rPr>
                <w:noProof/>
                <w:color w:val="006100"/>
                <w:sz w:val="20"/>
                <w:szCs w:val="20"/>
              </w:rPr>
            </w:pPr>
            <w:r>
              <w:rPr>
                <w:noProof/>
                <w:color w:val="006100"/>
                <w:sz w:val="20"/>
              </w:rPr>
              <w:t>Meetmed, millega parandatakse otsuste tegemise kiirust avaliku sektori hankijatega lepingute sõlmimisel</w:t>
            </w:r>
          </w:p>
        </w:tc>
      </w:tr>
      <w:tr w:rsidR="00A612E2" w:rsidRPr="00D90835" w14:paraId="4091ED17"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F152698" w14:textId="77777777" w:rsidR="00A612E2" w:rsidRPr="00246CC4" w:rsidRDefault="00A612E2" w:rsidP="00742B81">
            <w:pPr>
              <w:jc w:val="center"/>
              <w:rPr>
                <w:noProof/>
                <w:color w:val="006100"/>
                <w:sz w:val="20"/>
                <w:szCs w:val="20"/>
              </w:rPr>
            </w:pPr>
            <w:r>
              <w:rPr>
                <w:noProof/>
                <w:color w:val="006100"/>
                <w:sz w:val="20"/>
              </w:rPr>
              <w:t>M1C1-97</w:t>
            </w:r>
          </w:p>
        </w:tc>
        <w:tc>
          <w:tcPr>
            <w:tcW w:w="3118" w:type="dxa"/>
            <w:tcBorders>
              <w:top w:val="nil"/>
              <w:left w:val="nil"/>
              <w:bottom w:val="single" w:sz="4" w:space="0" w:color="auto"/>
              <w:right w:val="single" w:sz="4" w:space="0" w:color="auto"/>
            </w:tcBorders>
            <w:shd w:val="clear" w:color="auto" w:fill="C6EFCE"/>
            <w:noWrap/>
            <w:vAlign w:val="center"/>
          </w:tcPr>
          <w:p w14:paraId="69768A8E" w14:textId="77777777" w:rsidR="00A612E2" w:rsidRPr="003B127D" w:rsidRDefault="00A612E2" w:rsidP="00742B81">
            <w:pPr>
              <w:rPr>
                <w:noProof/>
                <w:color w:val="006100"/>
                <w:sz w:val="20"/>
                <w:szCs w:val="20"/>
              </w:rPr>
            </w:pPr>
            <w:r>
              <w:rPr>
                <w:noProof/>
                <w:color w:val="006100"/>
                <w:sz w:val="20"/>
              </w:rPr>
              <w:t>Reform 1.10. Riigihangete õigusraamistiku reform</w:t>
            </w:r>
          </w:p>
        </w:tc>
        <w:tc>
          <w:tcPr>
            <w:tcW w:w="1418" w:type="dxa"/>
            <w:tcBorders>
              <w:top w:val="nil"/>
              <w:left w:val="nil"/>
              <w:bottom w:val="single" w:sz="4" w:space="0" w:color="auto"/>
              <w:right w:val="single" w:sz="4" w:space="0" w:color="auto"/>
            </w:tcBorders>
            <w:shd w:val="clear" w:color="auto" w:fill="C6EFCE"/>
            <w:noWrap/>
            <w:vAlign w:val="center"/>
          </w:tcPr>
          <w:p w14:paraId="03AE54D0" w14:textId="77777777" w:rsidR="00A612E2" w:rsidRPr="00246CC4" w:rsidRDefault="00A612E2" w:rsidP="00742B81">
            <w:pPr>
              <w:rPr>
                <w:noProof/>
                <w:color w:val="006100"/>
                <w:sz w:val="20"/>
                <w:szCs w:val="20"/>
              </w:rPr>
            </w:pPr>
            <w:r>
              <w:rPr>
                <w:noProof/>
                <w:color w:val="006100"/>
                <w:sz w:val="20"/>
              </w:rPr>
              <w:t>Siht</w:t>
            </w:r>
          </w:p>
        </w:tc>
        <w:tc>
          <w:tcPr>
            <w:tcW w:w="4020" w:type="dxa"/>
            <w:tcBorders>
              <w:top w:val="nil"/>
              <w:left w:val="nil"/>
              <w:bottom w:val="single" w:sz="4" w:space="0" w:color="auto"/>
              <w:right w:val="single" w:sz="4" w:space="0" w:color="auto"/>
            </w:tcBorders>
            <w:shd w:val="clear" w:color="auto" w:fill="C6EFCE"/>
            <w:noWrap/>
            <w:vAlign w:val="center"/>
          </w:tcPr>
          <w:p w14:paraId="51F86044" w14:textId="77777777" w:rsidR="00A612E2" w:rsidRPr="003B127D" w:rsidRDefault="00A612E2" w:rsidP="00742B81">
            <w:pPr>
              <w:rPr>
                <w:noProof/>
                <w:color w:val="006100"/>
                <w:sz w:val="20"/>
                <w:szCs w:val="20"/>
              </w:rPr>
            </w:pPr>
            <w:r>
              <w:rPr>
                <w:noProof/>
                <w:color w:val="006100"/>
                <w:sz w:val="20"/>
              </w:rPr>
              <w:t>Keskmine lepingu sõlmimise ja infrastruktuuri realiseerimise vaheline aeg</w:t>
            </w:r>
          </w:p>
        </w:tc>
      </w:tr>
      <w:tr w:rsidR="00A612E2" w:rsidRPr="00D90835" w14:paraId="1FBF0E82"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94163C6" w14:textId="77777777" w:rsidR="00A612E2" w:rsidRPr="00246CC4" w:rsidRDefault="00A612E2" w:rsidP="00742B81">
            <w:pPr>
              <w:jc w:val="center"/>
              <w:rPr>
                <w:noProof/>
                <w:color w:val="006100"/>
                <w:sz w:val="20"/>
                <w:szCs w:val="20"/>
              </w:rPr>
            </w:pPr>
            <w:r>
              <w:rPr>
                <w:noProof/>
                <w:color w:val="006100"/>
                <w:sz w:val="20"/>
              </w:rPr>
              <w:t>M1C1-98</w:t>
            </w:r>
          </w:p>
        </w:tc>
        <w:tc>
          <w:tcPr>
            <w:tcW w:w="3118" w:type="dxa"/>
            <w:tcBorders>
              <w:top w:val="nil"/>
              <w:left w:val="nil"/>
              <w:bottom w:val="single" w:sz="4" w:space="0" w:color="auto"/>
              <w:right w:val="single" w:sz="4" w:space="0" w:color="auto"/>
            </w:tcBorders>
            <w:shd w:val="clear" w:color="auto" w:fill="C6EFCE"/>
            <w:noWrap/>
            <w:vAlign w:val="center"/>
          </w:tcPr>
          <w:p w14:paraId="1C9D634C" w14:textId="77777777" w:rsidR="00A612E2" w:rsidRPr="003B127D" w:rsidRDefault="00A612E2" w:rsidP="00742B81">
            <w:pPr>
              <w:rPr>
                <w:noProof/>
                <w:color w:val="006100"/>
                <w:sz w:val="20"/>
                <w:szCs w:val="20"/>
              </w:rPr>
            </w:pPr>
            <w:r>
              <w:rPr>
                <w:noProof/>
                <w:color w:val="006100"/>
                <w:sz w:val="20"/>
              </w:rPr>
              <w:t>Reform 1.10. Riigihangete õigusraamistiku reform</w:t>
            </w:r>
          </w:p>
        </w:tc>
        <w:tc>
          <w:tcPr>
            <w:tcW w:w="1418" w:type="dxa"/>
            <w:tcBorders>
              <w:top w:val="nil"/>
              <w:left w:val="nil"/>
              <w:bottom w:val="single" w:sz="4" w:space="0" w:color="auto"/>
              <w:right w:val="single" w:sz="4" w:space="0" w:color="auto"/>
            </w:tcBorders>
            <w:shd w:val="clear" w:color="auto" w:fill="C6EFCE"/>
            <w:noWrap/>
            <w:vAlign w:val="center"/>
          </w:tcPr>
          <w:p w14:paraId="5CF70F35" w14:textId="77777777" w:rsidR="00A612E2" w:rsidRPr="00246CC4" w:rsidRDefault="00A612E2" w:rsidP="00742B81">
            <w:pPr>
              <w:rPr>
                <w:noProof/>
                <w:color w:val="006100"/>
                <w:sz w:val="20"/>
                <w:szCs w:val="20"/>
              </w:rPr>
            </w:pPr>
            <w:r>
              <w:rPr>
                <w:noProof/>
                <w:color w:val="006100"/>
                <w:sz w:val="20"/>
              </w:rPr>
              <w:t>Siht</w:t>
            </w:r>
          </w:p>
        </w:tc>
        <w:tc>
          <w:tcPr>
            <w:tcW w:w="4020" w:type="dxa"/>
            <w:tcBorders>
              <w:top w:val="nil"/>
              <w:left w:val="nil"/>
              <w:bottom w:val="single" w:sz="4" w:space="0" w:color="auto"/>
              <w:right w:val="single" w:sz="4" w:space="0" w:color="auto"/>
            </w:tcBorders>
            <w:shd w:val="clear" w:color="auto" w:fill="C6EFCE"/>
            <w:noWrap/>
            <w:vAlign w:val="center"/>
          </w:tcPr>
          <w:p w14:paraId="0D0F51BA" w14:textId="77777777" w:rsidR="00A612E2" w:rsidRPr="003B127D" w:rsidRDefault="00A612E2" w:rsidP="00742B81">
            <w:pPr>
              <w:rPr>
                <w:noProof/>
                <w:color w:val="006100"/>
                <w:sz w:val="20"/>
                <w:szCs w:val="20"/>
              </w:rPr>
            </w:pPr>
            <w:r>
              <w:rPr>
                <w:noProof/>
                <w:color w:val="006100"/>
                <w:sz w:val="20"/>
              </w:rPr>
              <w:t>Avaliku sektori hankijad, keda on koolitatud avaliku sektori hankijate kutseliseks muutmise strateegia raames</w:t>
            </w:r>
          </w:p>
        </w:tc>
      </w:tr>
      <w:tr w:rsidR="00A612E2" w:rsidRPr="00D90835" w14:paraId="0B0514D8"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F9C6511" w14:textId="77777777" w:rsidR="00A612E2" w:rsidRPr="00246CC4" w:rsidRDefault="00A612E2" w:rsidP="00742B81">
            <w:pPr>
              <w:jc w:val="center"/>
              <w:rPr>
                <w:noProof/>
                <w:color w:val="006100"/>
                <w:sz w:val="20"/>
                <w:szCs w:val="20"/>
              </w:rPr>
            </w:pPr>
            <w:r>
              <w:rPr>
                <w:noProof/>
                <w:color w:val="006100"/>
                <w:sz w:val="20"/>
              </w:rPr>
              <w:t>M1C1-99</w:t>
            </w:r>
          </w:p>
        </w:tc>
        <w:tc>
          <w:tcPr>
            <w:tcW w:w="3118" w:type="dxa"/>
            <w:tcBorders>
              <w:top w:val="nil"/>
              <w:left w:val="nil"/>
              <w:bottom w:val="single" w:sz="4" w:space="0" w:color="auto"/>
              <w:right w:val="single" w:sz="4" w:space="0" w:color="auto"/>
            </w:tcBorders>
            <w:shd w:val="clear" w:color="auto" w:fill="C6EFCE"/>
            <w:noWrap/>
            <w:vAlign w:val="center"/>
          </w:tcPr>
          <w:p w14:paraId="2DDE4732" w14:textId="77777777" w:rsidR="00A612E2" w:rsidRPr="003B127D" w:rsidRDefault="00A612E2" w:rsidP="00742B81">
            <w:pPr>
              <w:rPr>
                <w:noProof/>
                <w:color w:val="006100"/>
                <w:sz w:val="20"/>
                <w:szCs w:val="20"/>
              </w:rPr>
            </w:pPr>
            <w:r>
              <w:rPr>
                <w:noProof/>
                <w:color w:val="006100"/>
                <w:sz w:val="20"/>
              </w:rPr>
              <w:t>Reform 1.10. Riigihangete õigusraamistiku reform</w:t>
            </w:r>
          </w:p>
        </w:tc>
        <w:tc>
          <w:tcPr>
            <w:tcW w:w="1418" w:type="dxa"/>
            <w:tcBorders>
              <w:top w:val="nil"/>
              <w:left w:val="nil"/>
              <w:bottom w:val="single" w:sz="4" w:space="0" w:color="auto"/>
              <w:right w:val="single" w:sz="4" w:space="0" w:color="auto"/>
            </w:tcBorders>
            <w:shd w:val="clear" w:color="auto" w:fill="C6EFCE"/>
            <w:noWrap/>
            <w:vAlign w:val="center"/>
          </w:tcPr>
          <w:p w14:paraId="435E131E" w14:textId="77777777" w:rsidR="00A612E2" w:rsidRPr="00246CC4" w:rsidRDefault="00A612E2" w:rsidP="00742B81">
            <w:pPr>
              <w:rPr>
                <w:noProof/>
                <w:color w:val="006100"/>
                <w:sz w:val="20"/>
                <w:szCs w:val="20"/>
              </w:rPr>
            </w:pPr>
            <w:r>
              <w:rPr>
                <w:noProof/>
                <w:color w:val="006100"/>
                <w:sz w:val="20"/>
              </w:rPr>
              <w:t>Siht</w:t>
            </w:r>
          </w:p>
        </w:tc>
        <w:tc>
          <w:tcPr>
            <w:tcW w:w="4020" w:type="dxa"/>
            <w:tcBorders>
              <w:top w:val="nil"/>
              <w:left w:val="nil"/>
              <w:bottom w:val="single" w:sz="4" w:space="0" w:color="auto"/>
              <w:right w:val="single" w:sz="4" w:space="0" w:color="auto"/>
            </w:tcBorders>
            <w:shd w:val="clear" w:color="auto" w:fill="C6EFCE"/>
            <w:noWrap/>
            <w:vAlign w:val="center"/>
          </w:tcPr>
          <w:p w14:paraId="0B104A75" w14:textId="3322403C" w:rsidR="00A612E2" w:rsidRPr="003B127D" w:rsidRDefault="00A612E2" w:rsidP="00742B81">
            <w:pPr>
              <w:rPr>
                <w:noProof/>
                <w:color w:val="006100"/>
                <w:sz w:val="20"/>
                <w:szCs w:val="20"/>
              </w:rPr>
            </w:pPr>
            <w:r>
              <w:rPr>
                <w:noProof/>
                <w:color w:val="006100"/>
                <w:sz w:val="20"/>
              </w:rPr>
              <w:t>Dünaamilis</w:t>
            </w:r>
            <w:r w:rsidR="00956361">
              <w:rPr>
                <w:noProof/>
                <w:color w:val="006100"/>
                <w:sz w:val="20"/>
              </w:rPr>
              <w:t>i</w:t>
            </w:r>
            <w:r>
              <w:rPr>
                <w:noProof/>
                <w:color w:val="006100"/>
                <w:sz w:val="20"/>
              </w:rPr>
              <w:t xml:space="preserve"> hankesüsteeme kasutavad avaliku sektori hankijad</w:t>
            </w:r>
          </w:p>
        </w:tc>
      </w:tr>
      <w:tr w:rsidR="00A612E2" w:rsidRPr="00D90835" w14:paraId="43989BCC"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DF98187" w14:textId="77777777" w:rsidR="00A612E2" w:rsidRPr="00246CC4" w:rsidRDefault="00A612E2" w:rsidP="00742B81">
            <w:pPr>
              <w:jc w:val="center"/>
              <w:rPr>
                <w:noProof/>
                <w:color w:val="006100"/>
                <w:sz w:val="20"/>
                <w:szCs w:val="20"/>
              </w:rPr>
            </w:pPr>
            <w:r>
              <w:rPr>
                <w:noProof/>
                <w:color w:val="006100"/>
                <w:sz w:val="20"/>
              </w:rPr>
              <w:t>M1C2-11</w:t>
            </w:r>
          </w:p>
        </w:tc>
        <w:tc>
          <w:tcPr>
            <w:tcW w:w="3118" w:type="dxa"/>
            <w:tcBorders>
              <w:top w:val="nil"/>
              <w:left w:val="nil"/>
              <w:bottom w:val="single" w:sz="4" w:space="0" w:color="auto"/>
              <w:right w:val="single" w:sz="4" w:space="0" w:color="auto"/>
            </w:tcBorders>
            <w:shd w:val="clear" w:color="auto" w:fill="C6EFCE"/>
            <w:noWrap/>
            <w:vAlign w:val="center"/>
          </w:tcPr>
          <w:p w14:paraId="47EB11F3" w14:textId="77777777" w:rsidR="00A612E2" w:rsidRPr="00246CC4" w:rsidRDefault="00A612E2" w:rsidP="00742B81">
            <w:pPr>
              <w:rPr>
                <w:noProof/>
                <w:color w:val="006100"/>
                <w:sz w:val="20"/>
                <w:szCs w:val="20"/>
              </w:rPr>
            </w:pPr>
            <w:r>
              <w:rPr>
                <w:noProof/>
                <w:color w:val="006100"/>
                <w:sz w:val="20"/>
              </w:rPr>
              <w:t>Reform 2. Iga-aastased konkurentsiseadused</w:t>
            </w:r>
          </w:p>
        </w:tc>
        <w:tc>
          <w:tcPr>
            <w:tcW w:w="1418" w:type="dxa"/>
            <w:tcBorders>
              <w:top w:val="nil"/>
              <w:left w:val="nil"/>
              <w:bottom w:val="single" w:sz="4" w:space="0" w:color="auto"/>
              <w:right w:val="single" w:sz="4" w:space="0" w:color="auto"/>
            </w:tcBorders>
            <w:shd w:val="clear" w:color="auto" w:fill="C6EFCE"/>
            <w:noWrap/>
            <w:vAlign w:val="center"/>
          </w:tcPr>
          <w:p w14:paraId="201C856D" w14:textId="77777777" w:rsidR="00A612E2" w:rsidRPr="00246CC4" w:rsidRDefault="00A612E2" w:rsidP="00742B81">
            <w:pPr>
              <w:rPr>
                <w:noProof/>
                <w:color w:val="006600"/>
                <w:sz w:val="20"/>
                <w:szCs w:val="20"/>
              </w:rPr>
            </w:pPr>
            <w:r>
              <w:rPr>
                <w:noProof/>
                <w:color w:val="006100"/>
                <w:sz w:val="20"/>
              </w:rPr>
              <w:t>Eesmärk</w:t>
            </w:r>
          </w:p>
        </w:tc>
        <w:tc>
          <w:tcPr>
            <w:tcW w:w="4020" w:type="dxa"/>
            <w:tcBorders>
              <w:top w:val="nil"/>
              <w:left w:val="nil"/>
              <w:bottom w:val="single" w:sz="4" w:space="0" w:color="auto"/>
              <w:right w:val="single" w:sz="4" w:space="0" w:color="auto"/>
            </w:tcBorders>
            <w:shd w:val="clear" w:color="auto" w:fill="C6EFCE"/>
            <w:noWrap/>
            <w:vAlign w:val="center"/>
          </w:tcPr>
          <w:p w14:paraId="01375A87" w14:textId="77777777" w:rsidR="00A612E2" w:rsidRPr="003B127D" w:rsidRDefault="00A612E2" w:rsidP="00742B81">
            <w:pPr>
              <w:rPr>
                <w:noProof/>
                <w:color w:val="006600"/>
                <w:sz w:val="20"/>
                <w:szCs w:val="20"/>
              </w:rPr>
            </w:pPr>
            <w:r>
              <w:rPr>
                <w:noProof/>
                <w:color w:val="006100"/>
                <w:sz w:val="20"/>
              </w:rPr>
              <w:t>2023. aasta konkurentsiseaduse jõustumine</w:t>
            </w:r>
          </w:p>
        </w:tc>
      </w:tr>
      <w:tr w:rsidR="00A612E2" w:rsidRPr="00D90835" w14:paraId="0E61B40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09DC823" w14:textId="77777777" w:rsidR="00A612E2" w:rsidRPr="00246CC4" w:rsidRDefault="00A612E2" w:rsidP="00742B81">
            <w:pPr>
              <w:jc w:val="center"/>
              <w:rPr>
                <w:noProof/>
                <w:color w:val="006100"/>
                <w:sz w:val="20"/>
                <w:szCs w:val="20"/>
              </w:rPr>
            </w:pPr>
            <w:r>
              <w:rPr>
                <w:noProof/>
                <w:color w:val="006100"/>
                <w:sz w:val="20"/>
              </w:rPr>
              <w:t>M1C2-12</w:t>
            </w:r>
          </w:p>
        </w:tc>
        <w:tc>
          <w:tcPr>
            <w:tcW w:w="3118" w:type="dxa"/>
            <w:tcBorders>
              <w:top w:val="nil"/>
              <w:left w:val="nil"/>
              <w:bottom w:val="single" w:sz="4" w:space="0" w:color="auto"/>
              <w:right w:val="single" w:sz="4" w:space="0" w:color="auto"/>
            </w:tcBorders>
            <w:shd w:val="clear" w:color="auto" w:fill="C6EFCE"/>
            <w:noWrap/>
            <w:vAlign w:val="center"/>
          </w:tcPr>
          <w:p w14:paraId="5013C2A7" w14:textId="77777777" w:rsidR="00A612E2" w:rsidRPr="00246CC4" w:rsidRDefault="00A612E2" w:rsidP="00742B81">
            <w:pPr>
              <w:rPr>
                <w:noProof/>
                <w:color w:val="006100"/>
                <w:sz w:val="20"/>
                <w:szCs w:val="20"/>
              </w:rPr>
            </w:pPr>
            <w:r>
              <w:rPr>
                <w:noProof/>
                <w:color w:val="006100"/>
                <w:sz w:val="20"/>
              </w:rPr>
              <w:t>Reform 2. Iga-aastased konkurentsiseadused</w:t>
            </w:r>
          </w:p>
        </w:tc>
        <w:tc>
          <w:tcPr>
            <w:tcW w:w="1418" w:type="dxa"/>
            <w:tcBorders>
              <w:top w:val="nil"/>
              <w:left w:val="nil"/>
              <w:bottom w:val="single" w:sz="4" w:space="0" w:color="auto"/>
              <w:right w:val="single" w:sz="4" w:space="0" w:color="auto"/>
            </w:tcBorders>
            <w:shd w:val="clear" w:color="auto" w:fill="C6EFCE"/>
            <w:noWrap/>
            <w:vAlign w:val="center"/>
          </w:tcPr>
          <w:p w14:paraId="211F55A4" w14:textId="77777777" w:rsidR="00A612E2" w:rsidRPr="00246CC4" w:rsidRDefault="00A612E2" w:rsidP="00742B81">
            <w:pPr>
              <w:rPr>
                <w:noProof/>
                <w:color w:val="006600"/>
                <w:sz w:val="20"/>
                <w:szCs w:val="20"/>
              </w:rPr>
            </w:pPr>
            <w:r>
              <w:rPr>
                <w:noProof/>
                <w:color w:val="006100"/>
                <w:sz w:val="20"/>
              </w:rPr>
              <w:t>Eesmärk</w:t>
            </w:r>
          </w:p>
        </w:tc>
        <w:tc>
          <w:tcPr>
            <w:tcW w:w="4020" w:type="dxa"/>
            <w:tcBorders>
              <w:top w:val="nil"/>
              <w:left w:val="nil"/>
              <w:bottom w:val="single" w:sz="4" w:space="0" w:color="auto"/>
              <w:right w:val="single" w:sz="4" w:space="0" w:color="auto"/>
            </w:tcBorders>
            <w:shd w:val="clear" w:color="auto" w:fill="C6EFCE"/>
            <w:noWrap/>
            <w:vAlign w:val="center"/>
          </w:tcPr>
          <w:p w14:paraId="4A25274E" w14:textId="77777777" w:rsidR="00A612E2" w:rsidRPr="003B127D" w:rsidRDefault="00A612E2" w:rsidP="00742B81">
            <w:pPr>
              <w:rPr>
                <w:noProof/>
                <w:color w:val="006600"/>
                <w:sz w:val="20"/>
                <w:szCs w:val="20"/>
              </w:rPr>
            </w:pPr>
            <w:r>
              <w:rPr>
                <w:noProof/>
                <w:color w:val="006100"/>
                <w:sz w:val="20"/>
              </w:rPr>
              <w:t>Kõigi rakendusmeetmete (sealhulgas vajaduse korral teiseste õigusaktide) jõustumine 2023. aasta konkurentsiseadusest tulenevate meetmete tõhusaks rakendamiseks ja kohaldamiseks</w:t>
            </w:r>
          </w:p>
        </w:tc>
      </w:tr>
      <w:tr w:rsidR="00A612E2" w:rsidRPr="00D90835" w14:paraId="4275D011"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54532F5" w14:textId="77777777" w:rsidR="00A612E2" w:rsidRPr="00246CC4" w:rsidRDefault="00A612E2" w:rsidP="00742B81">
            <w:pPr>
              <w:jc w:val="center"/>
              <w:rPr>
                <w:noProof/>
                <w:color w:val="006100"/>
                <w:sz w:val="20"/>
                <w:szCs w:val="20"/>
              </w:rPr>
            </w:pPr>
            <w:r>
              <w:rPr>
                <w:noProof/>
                <w:color w:val="006100"/>
                <w:sz w:val="20"/>
              </w:rPr>
              <w:t>M2C1-6bis</w:t>
            </w:r>
          </w:p>
        </w:tc>
        <w:tc>
          <w:tcPr>
            <w:tcW w:w="3118" w:type="dxa"/>
            <w:tcBorders>
              <w:top w:val="nil"/>
              <w:left w:val="nil"/>
              <w:bottom w:val="single" w:sz="4" w:space="0" w:color="auto"/>
              <w:right w:val="single" w:sz="4" w:space="0" w:color="auto"/>
            </w:tcBorders>
            <w:shd w:val="clear" w:color="auto" w:fill="C6EFCE"/>
            <w:noWrap/>
            <w:vAlign w:val="center"/>
          </w:tcPr>
          <w:p w14:paraId="5AC0D1D8" w14:textId="77777777" w:rsidR="00A612E2" w:rsidRPr="00246CC4" w:rsidRDefault="00A612E2" w:rsidP="00742B81">
            <w:pPr>
              <w:rPr>
                <w:noProof/>
                <w:color w:val="006100"/>
                <w:sz w:val="20"/>
                <w:szCs w:val="20"/>
              </w:rPr>
            </w:pPr>
            <w:r>
              <w:rPr>
                <w:noProof/>
                <w:color w:val="006100"/>
                <w:sz w:val="20"/>
              </w:rPr>
              <w:t>Investeering 2.2. Põllumajanduslik päikesepark</w:t>
            </w:r>
          </w:p>
        </w:tc>
        <w:tc>
          <w:tcPr>
            <w:tcW w:w="1418" w:type="dxa"/>
            <w:tcBorders>
              <w:top w:val="nil"/>
              <w:left w:val="nil"/>
              <w:bottom w:val="single" w:sz="4" w:space="0" w:color="auto"/>
              <w:right w:val="single" w:sz="4" w:space="0" w:color="auto"/>
            </w:tcBorders>
            <w:shd w:val="clear" w:color="auto" w:fill="C6EFCE"/>
            <w:noWrap/>
            <w:vAlign w:val="center"/>
          </w:tcPr>
          <w:p w14:paraId="323F3A70" w14:textId="77777777" w:rsidR="00A612E2" w:rsidRPr="00246CC4" w:rsidRDefault="00A612E2" w:rsidP="00742B81">
            <w:pPr>
              <w:rPr>
                <w:noProof/>
                <w:color w:val="006600"/>
                <w:sz w:val="20"/>
                <w:szCs w:val="20"/>
              </w:rPr>
            </w:pPr>
            <w:r>
              <w:rPr>
                <w:noProof/>
                <w:color w:val="006100"/>
                <w:sz w:val="20"/>
              </w:rPr>
              <w:t>Siht</w:t>
            </w:r>
          </w:p>
        </w:tc>
        <w:tc>
          <w:tcPr>
            <w:tcW w:w="4020" w:type="dxa"/>
            <w:tcBorders>
              <w:top w:val="nil"/>
              <w:left w:val="nil"/>
              <w:bottom w:val="single" w:sz="4" w:space="0" w:color="auto"/>
              <w:right w:val="single" w:sz="4" w:space="0" w:color="auto"/>
            </w:tcBorders>
            <w:shd w:val="clear" w:color="auto" w:fill="C6EFCE"/>
            <w:noWrap/>
            <w:vAlign w:val="center"/>
          </w:tcPr>
          <w:p w14:paraId="3EB1B4E7" w14:textId="77777777" w:rsidR="00A612E2" w:rsidRPr="003B127D" w:rsidRDefault="00A612E2" w:rsidP="00742B81">
            <w:pPr>
              <w:rPr>
                <w:noProof/>
                <w:color w:val="006600"/>
                <w:sz w:val="20"/>
                <w:szCs w:val="20"/>
              </w:rPr>
            </w:pPr>
            <w:r>
              <w:rPr>
                <w:noProof/>
                <w:color w:val="006100"/>
                <w:sz w:val="20"/>
              </w:rPr>
              <w:t>Vahendite eraldamine toetusesaajatele protsendina investeeringule eraldatud rahaliste vahendite kogusummast</w:t>
            </w:r>
          </w:p>
        </w:tc>
      </w:tr>
      <w:tr w:rsidR="00A612E2" w:rsidRPr="00D90835" w14:paraId="73661A4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CBC0753" w14:textId="77777777" w:rsidR="00A612E2" w:rsidRPr="00246CC4" w:rsidRDefault="00A612E2" w:rsidP="00742B81">
            <w:pPr>
              <w:jc w:val="center"/>
              <w:rPr>
                <w:noProof/>
                <w:color w:val="006100"/>
                <w:sz w:val="20"/>
                <w:szCs w:val="20"/>
              </w:rPr>
            </w:pPr>
            <w:r>
              <w:rPr>
                <w:noProof/>
                <w:color w:val="006100"/>
                <w:sz w:val="20"/>
              </w:rPr>
              <w:t>M2C1-7</w:t>
            </w:r>
          </w:p>
        </w:tc>
        <w:tc>
          <w:tcPr>
            <w:tcW w:w="3118" w:type="dxa"/>
            <w:tcBorders>
              <w:top w:val="nil"/>
              <w:left w:val="nil"/>
              <w:bottom w:val="single" w:sz="4" w:space="0" w:color="auto"/>
              <w:right w:val="single" w:sz="4" w:space="0" w:color="auto"/>
            </w:tcBorders>
            <w:shd w:val="clear" w:color="auto" w:fill="C6EFCE"/>
            <w:noWrap/>
            <w:vAlign w:val="center"/>
          </w:tcPr>
          <w:p w14:paraId="1471CB41" w14:textId="77777777" w:rsidR="00A612E2" w:rsidRPr="003B127D" w:rsidRDefault="00A612E2" w:rsidP="00742B81">
            <w:pPr>
              <w:rPr>
                <w:noProof/>
                <w:color w:val="006100"/>
                <w:sz w:val="20"/>
                <w:szCs w:val="20"/>
              </w:rPr>
            </w:pPr>
            <w:r>
              <w:rPr>
                <w:noProof/>
                <w:color w:val="006100"/>
                <w:sz w:val="20"/>
              </w:rPr>
              <w:t>Investeering 2.3. Innovatsioon ja mehhaniseerimine põllumajandus- ja toiduainesektoris</w:t>
            </w:r>
          </w:p>
        </w:tc>
        <w:tc>
          <w:tcPr>
            <w:tcW w:w="1418" w:type="dxa"/>
            <w:tcBorders>
              <w:top w:val="nil"/>
              <w:left w:val="nil"/>
              <w:bottom w:val="single" w:sz="4" w:space="0" w:color="auto"/>
              <w:right w:val="single" w:sz="4" w:space="0" w:color="auto"/>
            </w:tcBorders>
            <w:shd w:val="clear" w:color="auto" w:fill="C6EFCE"/>
            <w:noWrap/>
            <w:vAlign w:val="center"/>
          </w:tcPr>
          <w:p w14:paraId="6C8F36C1" w14:textId="77777777" w:rsidR="00A612E2" w:rsidRPr="00246CC4" w:rsidRDefault="00A612E2" w:rsidP="00742B81">
            <w:pPr>
              <w:rPr>
                <w:noProof/>
                <w:color w:val="006600"/>
                <w:sz w:val="20"/>
                <w:szCs w:val="20"/>
              </w:rPr>
            </w:pPr>
            <w:r>
              <w:rPr>
                <w:noProof/>
                <w:color w:val="006100"/>
                <w:sz w:val="20"/>
              </w:rPr>
              <w:t>Siht</w:t>
            </w:r>
          </w:p>
        </w:tc>
        <w:tc>
          <w:tcPr>
            <w:tcW w:w="4020" w:type="dxa"/>
            <w:tcBorders>
              <w:top w:val="nil"/>
              <w:left w:val="nil"/>
              <w:bottom w:val="single" w:sz="4" w:space="0" w:color="auto"/>
              <w:right w:val="single" w:sz="4" w:space="0" w:color="auto"/>
            </w:tcBorders>
            <w:shd w:val="clear" w:color="auto" w:fill="C6EFCE"/>
            <w:noWrap/>
            <w:vAlign w:val="center"/>
          </w:tcPr>
          <w:p w14:paraId="4D348884" w14:textId="77777777" w:rsidR="00A612E2" w:rsidRPr="003B127D" w:rsidRDefault="00A612E2" w:rsidP="00742B81">
            <w:pPr>
              <w:rPr>
                <w:noProof/>
                <w:color w:val="006600"/>
                <w:sz w:val="20"/>
                <w:szCs w:val="20"/>
              </w:rPr>
            </w:pPr>
            <w:r>
              <w:rPr>
                <w:noProof/>
                <w:color w:val="006100"/>
                <w:sz w:val="20"/>
              </w:rPr>
              <w:t>Lõplike pingeridade avaldamine koos lõplike vahendite saajate kindlaksmääramisega.</w:t>
            </w:r>
          </w:p>
        </w:tc>
      </w:tr>
      <w:tr w:rsidR="00A612E2" w:rsidRPr="00D90835" w14:paraId="137839C4"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F0AE5F8" w14:textId="77777777" w:rsidR="00A612E2" w:rsidRPr="00246CC4" w:rsidRDefault="00A612E2" w:rsidP="00742B81">
            <w:pPr>
              <w:jc w:val="center"/>
              <w:rPr>
                <w:noProof/>
                <w:color w:val="006100"/>
                <w:sz w:val="20"/>
                <w:szCs w:val="20"/>
              </w:rPr>
            </w:pPr>
            <w:r>
              <w:rPr>
                <w:noProof/>
                <w:color w:val="006100"/>
                <w:sz w:val="20"/>
              </w:rPr>
              <w:t>M2C2-28</w:t>
            </w:r>
          </w:p>
        </w:tc>
        <w:tc>
          <w:tcPr>
            <w:tcW w:w="3118" w:type="dxa"/>
            <w:tcBorders>
              <w:top w:val="nil"/>
              <w:left w:val="nil"/>
              <w:bottom w:val="single" w:sz="4" w:space="0" w:color="auto"/>
              <w:right w:val="single" w:sz="4" w:space="0" w:color="auto"/>
            </w:tcBorders>
            <w:shd w:val="clear" w:color="auto" w:fill="C6EFCE"/>
            <w:noWrap/>
            <w:vAlign w:val="center"/>
          </w:tcPr>
          <w:p w14:paraId="50251C5B" w14:textId="77777777" w:rsidR="00A612E2" w:rsidRPr="003B127D" w:rsidRDefault="00A612E2" w:rsidP="00742B81">
            <w:pPr>
              <w:rPr>
                <w:noProof/>
                <w:color w:val="006100"/>
                <w:sz w:val="20"/>
                <w:szCs w:val="20"/>
              </w:rPr>
            </w:pPr>
            <w:r>
              <w:rPr>
                <w:noProof/>
                <w:color w:val="006100"/>
                <w:sz w:val="20"/>
              </w:rPr>
              <w:t>Investeering 4.3. Laadimistaristu paigaldamine</w:t>
            </w:r>
          </w:p>
        </w:tc>
        <w:tc>
          <w:tcPr>
            <w:tcW w:w="1418" w:type="dxa"/>
            <w:tcBorders>
              <w:top w:val="nil"/>
              <w:left w:val="nil"/>
              <w:bottom w:val="single" w:sz="4" w:space="0" w:color="auto"/>
              <w:right w:val="single" w:sz="4" w:space="0" w:color="auto"/>
            </w:tcBorders>
            <w:shd w:val="clear" w:color="auto" w:fill="C6EFCE"/>
            <w:noWrap/>
            <w:vAlign w:val="center"/>
          </w:tcPr>
          <w:p w14:paraId="3ABDB0EA" w14:textId="77777777" w:rsidR="00A612E2" w:rsidRPr="00246CC4" w:rsidRDefault="00A612E2" w:rsidP="00742B81">
            <w:pPr>
              <w:rPr>
                <w:noProof/>
                <w:color w:val="006600"/>
                <w:sz w:val="20"/>
                <w:szCs w:val="20"/>
              </w:rPr>
            </w:pPr>
            <w:r>
              <w:rPr>
                <w:noProof/>
                <w:color w:val="006100"/>
                <w:sz w:val="20"/>
              </w:rPr>
              <w:t>Eesmärk</w:t>
            </w:r>
          </w:p>
        </w:tc>
        <w:tc>
          <w:tcPr>
            <w:tcW w:w="4020" w:type="dxa"/>
            <w:tcBorders>
              <w:top w:val="nil"/>
              <w:left w:val="nil"/>
              <w:bottom w:val="single" w:sz="4" w:space="0" w:color="auto"/>
              <w:right w:val="single" w:sz="4" w:space="0" w:color="auto"/>
            </w:tcBorders>
            <w:shd w:val="clear" w:color="auto" w:fill="C6EFCE"/>
            <w:noWrap/>
            <w:vAlign w:val="center"/>
          </w:tcPr>
          <w:p w14:paraId="1A38E364" w14:textId="77777777" w:rsidR="00A612E2" w:rsidRPr="003B127D" w:rsidRDefault="00A612E2" w:rsidP="00742B81">
            <w:pPr>
              <w:rPr>
                <w:noProof/>
                <w:color w:val="006600"/>
                <w:sz w:val="20"/>
                <w:szCs w:val="20"/>
              </w:rPr>
            </w:pPr>
            <w:r>
              <w:rPr>
                <w:noProof/>
                <w:color w:val="006100"/>
                <w:sz w:val="20"/>
              </w:rPr>
              <w:t>Kõigi riigihankelepingute sõlmimine laadimistaristute paigaldamiseks M2</w:t>
            </w:r>
          </w:p>
        </w:tc>
      </w:tr>
      <w:tr w:rsidR="00A612E2" w:rsidRPr="00D90835" w14:paraId="5B2B490B"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64CBDCB" w14:textId="77777777" w:rsidR="00A612E2" w:rsidRPr="00246CC4" w:rsidRDefault="00A612E2" w:rsidP="00742B81">
            <w:pPr>
              <w:jc w:val="center"/>
              <w:rPr>
                <w:noProof/>
                <w:color w:val="006100"/>
                <w:sz w:val="20"/>
                <w:szCs w:val="20"/>
              </w:rPr>
            </w:pPr>
            <w:r>
              <w:rPr>
                <w:noProof/>
                <w:color w:val="006100"/>
                <w:sz w:val="20"/>
              </w:rPr>
              <w:t>M4C1-12</w:t>
            </w:r>
          </w:p>
        </w:tc>
        <w:tc>
          <w:tcPr>
            <w:tcW w:w="3118" w:type="dxa"/>
            <w:tcBorders>
              <w:top w:val="nil"/>
              <w:left w:val="nil"/>
              <w:bottom w:val="single" w:sz="4" w:space="0" w:color="auto"/>
              <w:right w:val="single" w:sz="4" w:space="0" w:color="auto"/>
            </w:tcBorders>
            <w:shd w:val="clear" w:color="auto" w:fill="C6EFCE"/>
            <w:noWrap/>
            <w:vAlign w:val="center"/>
          </w:tcPr>
          <w:p w14:paraId="4919C0F4" w14:textId="77777777" w:rsidR="00A612E2" w:rsidRPr="003B127D" w:rsidRDefault="00A612E2" w:rsidP="00742B81">
            <w:pPr>
              <w:rPr>
                <w:noProof/>
                <w:color w:val="006100"/>
                <w:sz w:val="20"/>
                <w:szCs w:val="20"/>
              </w:rPr>
            </w:pPr>
            <w:r>
              <w:rPr>
                <w:noProof/>
                <w:color w:val="006100"/>
                <w:sz w:val="20"/>
              </w:rPr>
              <w:t>Investeering 4.1. Doktorikraadide arvu ja karjäärivõimaluste laiendamine (teadusuuringutele suunatud, avalik haldus ja kultuuripärand)</w:t>
            </w:r>
          </w:p>
        </w:tc>
        <w:tc>
          <w:tcPr>
            <w:tcW w:w="1418" w:type="dxa"/>
            <w:tcBorders>
              <w:top w:val="nil"/>
              <w:left w:val="nil"/>
              <w:bottom w:val="single" w:sz="4" w:space="0" w:color="auto"/>
              <w:right w:val="single" w:sz="4" w:space="0" w:color="auto"/>
            </w:tcBorders>
            <w:shd w:val="clear" w:color="auto" w:fill="C6EFCE"/>
            <w:noWrap/>
            <w:vAlign w:val="center"/>
          </w:tcPr>
          <w:p w14:paraId="7C0C30EC" w14:textId="77777777" w:rsidR="00A612E2" w:rsidRPr="00246CC4" w:rsidRDefault="00A612E2" w:rsidP="00742B81">
            <w:pPr>
              <w:rPr>
                <w:noProof/>
                <w:color w:val="006600"/>
                <w:sz w:val="20"/>
                <w:szCs w:val="20"/>
              </w:rPr>
            </w:pPr>
            <w:r>
              <w:rPr>
                <w:noProof/>
                <w:color w:val="006100"/>
                <w:sz w:val="20"/>
              </w:rPr>
              <w:t>Siht</w:t>
            </w:r>
          </w:p>
        </w:tc>
        <w:tc>
          <w:tcPr>
            <w:tcW w:w="4020" w:type="dxa"/>
            <w:tcBorders>
              <w:top w:val="nil"/>
              <w:left w:val="nil"/>
              <w:bottom w:val="single" w:sz="4" w:space="0" w:color="auto"/>
              <w:right w:val="single" w:sz="4" w:space="0" w:color="auto"/>
            </w:tcBorders>
            <w:shd w:val="clear" w:color="auto" w:fill="C6EFCE"/>
            <w:noWrap/>
            <w:vAlign w:val="center"/>
          </w:tcPr>
          <w:p w14:paraId="7ABDB73B" w14:textId="77777777" w:rsidR="00A612E2" w:rsidRPr="003B127D" w:rsidRDefault="00A612E2" w:rsidP="00742B81">
            <w:pPr>
              <w:rPr>
                <w:noProof/>
                <w:color w:val="006600"/>
                <w:sz w:val="20"/>
                <w:szCs w:val="20"/>
              </w:rPr>
            </w:pPr>
            <w:r>
              <w:rPr>
                <w:noProof/>
                <w:color w:val="006100"/>
                <w:sz w:val="20"/>
              </w:rPr>
              <w:t>Doktoriõppe stipendiumiprogrammid aastas (üle kolme aasta)</w:t>
            </w:r>
          </w:p>
        </w:tc>
      </w:tr>
      <w:tr w:rsidR="00A612E2" w:rsidRPr="00D90835" w14:paraId="76708D4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69E1984" w14:textId="77777777" w:rsidR="00A612E2" w:rsidRPr="00246CC4" w:rsidRDefault="00A612E2" w:rsidP="00742B81">
            <w:pPr>
              <w:jc w:val="center"/>
              <w:rPr>
                <w:noProof/>
                <w:color w:val="006100"/>
                <w:sz w:val="20"/>
                <w:szCs w:val="20"/>
              </w:rPr>
            </w:pPr>
            <w:r>
              <w:rPr>
                <w:noProof/>
                <w:color w:val="006100"/>
                <w:sz w:val="20"/>
              </w:rPr>
              <w:t>M4C1-14</w:t>
            </w:r>
          </w:p>
        </w:tc>
        <w:tc>
          <w:tcPr>
            <w:tcW w:w="3118" w:type="dxa"/>
            <w:tcBorders>
              <w:top w:val="nil"/>
              <w:left w:val="nil"/>
              <w:bottom w:val="single" w:sz="4" w:space="0" w:color="auto"/>
              <w:right w:val="single" w:sz="4" w:space="0" w:color="auto"/>
            </w:tcBorders>
            <w:shd w:val="clear" w:color="auto" w:fill="C6EFCE"/>
            <w:noWrap/>
            <w:vAlign w:val="center"/>
          </w:tcPr>
          <w:p w14:paraId="1A45B3B9" w14:textId="77777777" w:rsidR="00A612E2" w:rsidRPr="00246CC4" w:rsidRDefault="00A612E2" w:rsidP="00742B81">
            <w:pPr>
              <w:rPr>
                <w:noProof/>
                <w:color w:val="006100"/>
                <w:sz w:val="20"/>
                <w:szCs w:val="20"/>
              </w:rPr>
            </w:pPr>
            <w:r>
              <w:rPr>
                <w:noProof/>
                <w:color w:val="006100"/>
                <w:sz w:val="20"/>
              </w:rPr>
              <w:t xml:space="preserve">Reform 2.1. Õpetajate värbamine </w:t>
            </w:r>
          </w:p>
        </w:tc>
        <w:tc>
          <w:tcPr>
            <w:tcW w:w="1418" w:type="dxa"/>
            <w:tcBorders>
              <w:top w:val="nil"/>
              <w:left w:val="nil"/>
              <w:bottom w:val="single" w:sz="4" w:space="0" w:color="auto"/>
              <w:right w:val="single" w:sz="4" w:space="0" w:color="auto"/>
            </w:tcBorders>
            <w:shd w:val="clear" w:color="auto" w:fill="C6EFCE"/>
            <w:noWrap/>
            <w:vAlign w:val="center"/>
          </w:tcPr>
          <w:p w14:paraId="7F0C80B7" w14:textId="77777777" w:rsidR="00A612E2" w:rsidRPr="00246CC4" w:rsidRDefault="00A612E2" w:rsidP="00742B81">
            <w:pPr>
              <w:rPr>
                <w:noProof/>
                <w:color w:val="006600"/>
                <w:sz w:val="20"/>
                <w:szCs w:val="20"/>
              </w:rPr>
            </w:pPr>
            <w:r>
              <w:rPr>
                <w:noProof/>
                <w:color w:val="006100"/>
                <w:sz w:val="20"/>
              </w:rPr>
              <w:t>Siht</w:t>
            </w:r>
          </w:p>
        </w:tc>
        <w:tc>
          <w:tcPr>
            <w:tcW w:w="4020" w:type="dxa"/>
            <w:tcBorders>
              <w:top w:val="nil"/>
              <w:left w:val="nil"/>
              <w:bottom w:val="single" w:sz="4" w:space="0" w:color="auto"/>
              <w:right w:val="single" w:sz="4" w:space="0" w:color="auto"/>
            </w:tcBorders>
            <w:shd w:val="clear" w:color="auto" w:fill="C6EFCE"/>
            <w:noWrap/>
            <w:vAlign w:val="center"/>
          </w:tcPr>
          <w:p w14:paraId="1DB2FBBF" w14:textId="77777777" w:rsidR="00A612E2" w:rsidRPr="003B127D" w:rsidRDefault="00A612E2" w:rsidP="00742B81">
            <w:pPr>
              <w:rPr>
                <w:noProof/>
                <w:color w:val="006600"/>
                <w:sz w:val="20"/>
                <w:szCs w:val="20"/>
              </w:rPr>
            </w:pPr>
            <w:r>
              <w:rPr>
                <w:noProof/>
                <w:color w:val="006100"/>
                <w:sz w:val="20"/>
              </w:rPr>
              <w:t>Reformitud värbamissüsteemiga tööle võetud õpetajad</w:t>
            </w:r>
          </w:p>
        </w:tc>
      </w:tr>
      <w:tr w:rsidR="00A612E2" w:rsidRPr="00D90835" w14:paraId="0768D4CA"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6E7B94C" w14:textId="77777777" w:rsidR="00A612E2" w:rsidRPr="00246CC4" w:rsidRDefault="00A612E2" w:rsidP="00742B81">
            <w:pPr>
              <w:jc w:val="center"/>
              <w:rPr>
                <w:noProof/>
                <w:color w:val="006100"/>
                <w:sz w:val="20"/>
                <w:szCs w:val="20"/>
              </w:rPr>
            </w:pPr>
            <w:r>
              <w:rPr>
                <w:noProof/>
                <w:color w:val="006100"/>
                <w:sz w:val="20"/>
              </w:rPr>
              <w:t>M4C1-15</w:t>
            </w:r>
          </w:p>
        </w:tc>
        <w:tc>
          <w:tcPr>
            <w:tcW w:w="3118" w:type="dxa"/>
            <w:tcBorders>
              <w:top w:val="nil"/>
              <w:left w:val="nil"/>
              <w:bottom w:val="single" w:sz="4" w:space="0" w:color="auto"/>
              <w:right w:val="single" w:sz="4" w:space="0" w:color="auto"/>
            </w:tcBorders>
            <w:shd w:val="clear" w:color="auto" w:fill="C6EFCE"/>
            <w:noWrap/>
            <w:vAlign w:val="center"/>
          </w:tcPr>
          <w:p w14:paraId="12BC8BED" w14:textId="77777777" w:rsidR="00A612E2" w:rsidRPr="003B127D" w:rsidRDefault="00A612E2" w:rsidP="00742B81">
            <w:pPr>
              <w:rPr>
                <w:noProof/>
                <w:color w:val="006100"/>
                <w:sz w:val="20"/>
                <w:szCs w:val="20"/>
              </w:rPr>
            </w:pPr>
            <w:r>
              <w:rPr>
                <w:noProof/>
                <w:color w:val="006100"/>
                <w:sz w:val="20"/>
              </w:rPr>
              <w:t>Investeering 1.7. Stipendiumid ülikoolidesse pääsemiseks</w:t>
            </w:r>
          </w:p>
        </w:tc>
        <w:tc>
          <w:tcPr>
            <w:tcW w:w="1418" w:type="dxa"/>
            <w:tcBorders>
              <w:top w:val="nil"/>
              <w:left w:val="nil"/>
              <w:bottom w:val="single" w:sz="4" w:space="0" w:color="auto"/>
              <w:right w:val="single" w:sz="4" w:space="0" w:color="auto"/>
            </w:tcBorders>
            <w:shd w:val="clear" w:color="auto" w:fill="C6EFCE"/>
            <w:noWrap/>
            <w:vAlign w:val="center"/>
          </w:tcPr>
          <w:p w14:paraId="6650CB7A" w14:textId="77777777" w:rsidR="00A612E2" w:rsidRPr="00246CC4" w:rsidRDefault="00A612E2" w:rsidP="00742B81">
            <w:pPr>
              <w:rPr>
                <w:noProof/>
                <w:color w:val="006600"/>
                <w:sz w:val="20"/>
                <w:szCs w:val="20"/>
              </w:rPr>
            </w:pPr>
            <w:r>
              <w:rPr>
                <w:noProof/>
                <w:color w:val="006100"/>
                <w:sz w:val="20"/>
              </w:rPr>
              <w:t>Siht</w:t>
            </w:r>
          </w:p>
        </w:tc>
        <w:tc>
          <w:tcPr>
            <w:tcW w:w="4020" w:type="dxa"/>
            <w:tcBorders>
              <w:top w:val="nil"/>
              <w:left w:val="nil"/>
              <w:bottom w:val="single" w:sz="4" w:space="0" w:color="auto"/>
              <w:right w:val="single" w:sz="4" w:space="0" w:color="auto"/>
            </w:tcBorders>
            <w:shd w:val="clear" w:color="auto" w:fill="C6EFCE"/>
            <w:noWrap/>
            <w:vAlign w:val="center"/>
          </w:tcPr>
          <w:p w14:paraId="449AF2FE" w14:textId="77777777" w:rsidR="00A612E2" w:rsidRPr="003B127D" w:rsidRDefault="00A612E2" w:rsidP="00742B81">
            <w:pPr>
              <w:rPr>
                <w:noProof/>
                <w:color w:val="006600"/>
                <w:sz w:val="20"/>
                <w:szCs w:val="20"/>
              </w:rPr>
            </w:pPr>
            <w:r>
              <w:rPr>
                <w:noProof/>
                <w:color w:val="006100"/>
                <w:sz w:val="20"/>
              </w:rPr>
              <w:t>Stipendiumid ülikooli sisseelamiseks</w:t>
            </w:r>
          </w:p>
        </w:tc>
      </w:tr>
      <w:tr w:rsidR="00A612E2" w:rsidRPr="00D90835" w14:paraId="497BFA03" w14:textId="77777777" w:rsidTr="00742B81">
        <w:trPr>
          <w:trHeight w:val="1140"/>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BB80D0B" w14:textId="77777777" w:rsidR="00A612E2" w:rsidRPr="00246CC4" w:rsidRDefault="00A612E2" w:rsidP="00742B81">
            <w:pPr>
              <w:jc w:val="center"/>
              <w:rPr>
                <w:noProof/>
                <w:color w:val="006100"/>
                <w:sz w:val="20"/>
                <w:szCs w:val="20"/>
              </w:rPr>
            </w:pPr>
            <w:r>
              <w:rPr>
                <w:noProof/>
                <w:color w:val="006100"/>
                <w:sz w:val="20"/>
              </w:rPr>
              <w:t>M4C2-3</w:t>
            </w:r>
          </w:p>
        </w:tc>
        <w:tc>
          <w:tcPr>
            <w:tcW w:w="3118" w:type="dxa"/>
            <w:tcBorders>
              <w:top w:val="nil"/>
              <w:left w:val="nil"/>
              <w:bottom w:val="single" w:sz="4" w:space="0" w:color="auto"/>
              <w:right w:val="single" w:sz="4" w:space="0" w:color="auto"/>
            </w:tcBorders>
            <w:shd w:val="clear" w:color="auto" w:fill="C6EFCE"/>
            <w:noWrap/>
            <w:vAlign w:val="center"/>
          </w:tcPr>
          <w:p w14:paraId="3ED939A9" w14:textId="77777777" w:rsidR="00A612E2" w:rsidRPr="003B127D" w:rsidRDefault="00A612E2" w:rsidP="00742B81">
            <w:pPr>
              <w:rPr>
                <w:noProof/>
                <w:color w:val="006100"/>
                <w:sz w:val="20"/>
                <w:szCs w:val="20"/>
              </w:rPr>
            </w:pPr>
            <w:r>
              <w:rPr>
                <w:noProof/>
                <w:color w:val="006100"/>
                <w:sz w:val="20"/>
              </w:rPr>
              <w:t>Investeering 3.3. Innovaatiliste doktorikraadide loomine, mis vastavad ettevõtete innovatsioonivajadustele ja edendavad teadlaste värbamist ettevõtete poolt</w:t>
            </w:r>
          </w:p>
        </w:tc>
        <w:tc>
          <w:tcPr>
            <w:tcW w:w="1418" w:type="dxa"/>
            <w:tcBorders>
              <w:top w:val="nil"/>
              <w:left w:val="nil"/>
              <w:bottom w:val="single" w:sz="4" w:space="0" w:color="auto"/>
              <w:right w:val="single" w:sz="4" w:space="0" w:color="auto"/>
            </w:tcBorders>
            <w:shd w:val="clear" w:color="auto" w:fill="C6EFCE"/>
            <w:noWrap/>
            <w:vAlign w:val="center"/>
          </w:tcPr>
          <w:p w14:paraId="2E85D9FE" w14:textId="77777777" w:rsidR="00A612E2" w:rsidRPr="00246CC4" w:rsidRDefault="00A612E2" w:rsidP="00742B81">
            <w:pPr>
              <w:rPr>
                <w:noProof/>
                <w:color w:val="006600"/>
                <w:sz w:val="20"/>
                <w:szCs w:val="20"/>
              </w:rPr>
            </w:pPr>
            <w:r>
              <w:rPr>
                <w:noProof/>
                <w:color w:val="006100"/>
                <w:sz w:val="20"/>
              </w:rPr>
              <w:t>Siht</w:t>
            </w:r>
          </w:p>
        </w:tc>
        <w:tc>
          <w:tcPr>
            <w:tcW w:w="4020" w:type="dxa"/>
            <w:tcBorders>
              <w:top w:val="nil"/>
              <w:left w:val="nil"/>
              <w:bottom w:val="single" w:sz="4" w:space="0" w:color="auto"/>
              <w:right w:val="single" w:sz="4" w:space="0" w:color="auto"/>
            </w:tcBorders>
            <w:shd w:val="clear" w:color="auto" w:fill="C6EFCE"/>
            <w:noWrap/>
            <w:vAlign w:val="center"/>
          </w:tcPr>
          <w:p w14:paraId="6008B7B1" w14:textId="77777777" w:rsidR="00A612E2" w:rsidRPr="003B127D" w:rsidRDefault="00A612E2" w:rsidP="00742B81">
            <w:pPr>
              <w:rPr>
                <w:noProof/>
                <w:color w:val="006600"/>
                <w:sz w:val="20"/>
                <w:szCs w:val="20"/>
              </w:rPr>
            </w:pPr>
            <w:r>
              <w:rPr>
                <w:noProof/>
                <w:color w:val="006100"/>
                <w:sz w:val="20"/>
              </w:rPr>
              <w:t>Innovaatiliste doktorikraadide stipendiumide arv</w:t>
            </w:r>
          </w:p>
        </w:tc>
      </w:tr>
      <w:tr w:rsidR="00A612E2" w:rsidRPr="00D90835" w14:paraId="74FFF2C9"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4331078" w14:textId="77777777" w:rsidR="00A612E2" w:rsidRPr="00246CC4" w:rsidRDefault="00A612E2" w:rsidP="00742B81">
            <w:pPr>
              <w:jc w:val="center"/>
              <w:rPr>
                <w:noProof/>
                <w:color w:val="006100"/>
                <w:sz w:val="20"/>
                <w:szCs w:val="20"/>
              </w:rPr>
            </w:pPr>
            <w:r>
              <w:rPr>
                <w:noProof/>
                <w:color w:val="006100"/>
                <w:sz w:val="20"/>
              </w:rPr>
              <w:t>M5C1–15bis</w:t>
            </w:r>
          </w:p>
        </w:tc>
        <w:tc>
          <w:tcPr>
            <w:tcW w:w="3118" w:type="dxa"/>
            <w:tcBorders>
              <w:top w:val="nil"/>
              <w:left w:val="nil"/>
              <w:bottom w:val="single" w:sz="4" w:space="0" w:color="auto"/>
              <w:right w:val="single" w:sz="4" w:space="0" w:color="auto"/>
            </w:tcBorders>
            <w:shd w:val="clear" w:color="auto" w:fill="C6EFCE"/>
            <w:noWrap/>
            <w:vAlign w:val="center"/>
          </w:tcPr>
          <w:p w14:paraId="260B9B18" w14:textId="77777777" w:rsidR="00A612E2" w:rsidRPr="00246CC4" w:rsidRDefault="00A612E2" w:rsidP="00742B81">
            <w:pPr>
              <w:rPr>
                <w:noProof/>
                <w:color w:val="006100"/>
                <w:sz w:val="20"/>
                <w:szCs w:val="20"/>
              </w:rPr>
            </w:pPr>
            <w:r>
              <w:rPr>
                <w:noProof/>
                <w:color w:val="006100"/>
                <w:sz w:val="20"/>
              </w:rPr>
              <w:t>Investeering 4. Avalik teenistus</w:t>
            </w:r>
          </w:p>
        </w:tc>
        <w:tc>
          <w:tcPr>
            <w:tcW w:w="1418" w:type="dxa"/>
            <w:tcBorders>
              <w:top w:val="nil"/>
              <w:left w:val="nil"/>
              <w:bottom w:val="single" w:sz="4" w:space="0" w:color="auto"/>
              <w:right w:val="single" w:sz="4" w:space="0" w:color="auto"/>
            </w:tcBorders>
            <w:shd w:val="clear" w:color="auto" w:fill="C6EFCE"/>
            <w:noWrap/>
            <w:vAlign w:val="center"/>
          </w:tcPr>
          <w:p w14:paraId="2649B6D8" w14:textId="77777777" w:rsidR="00A612E2" w:rsidRPr="00246CC4" w:rsidRDefault="00A612E2" w:rsidP="00742B81">
            <w:pPr>
              <w:rPr>
                <w:noProof/>
                <w:color w:val="006600"/>
                <w:sz w:val="20"/>
                <w:szCs w:val="20"/>
              </w:rPr>
            </w:pPr>
            <w:r>
              <w:rPr>
                <w:noProof/>
                <w:color w:val="006100"/>
                <w:sz w:val="20"/>
              </w:rPr>
              <w:t>Eesmärk</w:t>
            </w:r>
          </w:p>
        </w:tc>
        <w:tc>
          <w:tcPr>
            <w:tcW w:w="4020" w:type="dxa"/>
            <w:tcBorders>
              <w:top w:val="nil"/>
              <w:left w:val="nil"/>
              <w:bottom w:val="single" w:sz="4" w:space="0" w:color="auto"/>
              <w:right w:val="single" w:sz="4" w:space="0" w:color="auto"/>
            </w:tcBorders>
            <w:shd w:val="clear" w:color="auto" w:fill="C6EFCE"/>
            <w:noWrap/>
            <w:vAlign w:val="center"/>
          </w:tcPr>
          <w:p w14:paraId="74F84F1D" w14:textId="77777777" w:rsidR="00A612E2" w:rsidRPr="003B127D" w:rsidRDefault="00A612E2" w:rsidP="00742B81">
            <w:pPr>
              <w:rPr>
                <w:noProof/>
                <w:color w:val="006600"/>
                <w:sz w:val="20"/>
                <w:szCs w:val="20"/>
              </w:rPr>
            </w:pPr>
            <w:r>
              <w:rPr>
                <w:noProof/>
                <w:color w:val="006100"/>
                <w:sz w:val="20"/>
              </w:rPr>
              <w:t>„Disposizioni concernenti la disciplina dei rapporti tra enti e operatori Volontari del servizio civile universale“ normatiivne läbivaatamine, mis võeti vastu 14. jaanuaril 2019 ja mille eesmärk on tugevdada üldist avalikku teenistust</w:t>
            </w:r>
            <w:r>
              <w:rPr>
                <w:rStyle w:val="font81"/>
                <w:noProof/>
              </w:rPr>
              <w:t xml:space="preserve"> </w:t>
            </w:r>
          </w:p>
        </w:tc>
      </w:tr>
      <w:tr w:rsidR="00A612E2" w:rsidRPr="00D90835" w14:paraId="12049614"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A11EE8D" w14:textId="77777777" w:rsidR="00A612E2" w:rsidRPr="00246CC4" w:rsidRDefault="00A612E2" w:rsidP="00742B81">
            <w:pPr>
              <w:jc w:val="center"/>
              <w:rPr>
                <w:noProof/>
                <w:color w:val="006100"/>
                <w:sz w:val="20"/>
                <w:szCs w:val="20"/>
              </w:rPr>
            </w:pPr>
            <w:r>
              <w:rPr>
                <w:noProof/>
                <w:color w:val="006100"/>
                <w:sz w:val="20"/>
              </w:rPr>
              <w:t>M7-1</w:t>
            </w:r>
          </w:p>
        </w:tc>
        <w:tc>
          <w:tcPr>
            <w:tcW w:w="3118" w:type="dxa"/>
            <w:tcBorders>
              <w:top w:val="nil"/>
              <w:left w:val="nil"/>
              <w:bottom w:val="single" w:sz="4" w:space="0" w:color="auto"/>
              <w:right w:val="single" w:sz="4" w:space="0" w:color="auto"/>
            </w:tcBorders>
            <w:shd w:val="clear" w:color="auto" w:fill="C6EFCE"/>
            <w:noWrap/>
            <w:vAlign w:val="center"/>
          </w:tcPr>
          <w:p w14:paraId="3CF94F7F" w14:textId="77777777" w:rsidR="00A612E2" w:rsidRPr="00246CC4" w:rsidRDefault="00A612E2" w:rsidP="00742B81">
            <w:pPr>
              <w:rPr>
                <w:noProof/>
                <w:color w:val="006100"/>
                <w:sz w:val="20"/>
                <w:szCs w:val="20"/>
              </w:rPr>
            </w:pPr>
            <w:r>
              <w:rPr>
                <w:noProof/>
                <w:color w:val="006100"/>
                <w:sz w:val="20"/>
              </w:rPr>
              <w:t>Reform 1. Taastuvenergia loamenetluste lihtsustamine</w:t>
            </w:r>
          </w:p>
        </w:tc>
        <w:tc>
          <w:tcPr>
            <w:tcW w:w="1418" w:type="dxa"/>
            <w:tcBorders>
              <w:top w:val="nil"/>
              <w:left w:val="nil"/>
              <w:bottom w:val="single" w:sz="4" w:space="0" w:color="auto"/>
              <w:right w:val="single" w:sz="4" w:space="0" w:color="auto"/>
            </w:tcBorders>
            <w:shd w:val="clear" w:color="auto" w:fill="C6EFCE"/>
            <w:noWrap/>
            <w:vAlign w:val="center"/>
          </w:tcPr>
          <w:p w14:paraId="436B7E6C" w14:textId="77777777" w:rsidR="00A612E2" w:rsidRPr="00246CC4" w:rsidRDefault="00A612E2" w:rsidP="00742B81">
            <w:pPr>
              <w:rPr>
                <w:noProof/>
                <w:color w:val="006600"/>
                <w:sz w:val="20"/>
                <w:szCs w:val="20"/>
              </w:rPr>
            </w:pPr>
            <w:r>
              <w:rPr>
                <w:noProof/>
                <w:color w:val="006100"/>
                <w:sz w:val="20"/>
              </w:rPr>
              <w:t>Eesmärk</w:t>
            </w:r>
          </w:p>
        </w:tc>
        <w:tc>
          <w:tcPr>
            <w:tcW w:w="4020" w:type="dxa"/>
            <w:tcBorders>
              <w:top w:val="nil"/>
              <w:left w:val="nil"/>
              <w:bottom w:val="single" w:sz="4" w:space="0" w:color="auto"/>
              <w:right w:val="single" w:sz="4" w:space="0" w:color="auto"/>
            </w:tcBorders>
            <w:shd w:val="clear" w:color="auto" w:fill="C6EFCE"/>
            <w:noWrap/>
            <w:vAlign w:val="center"/>
          </w:tcPr>
          <w:p w14:paraId="0DDDD36C" w14:textId="77777777" w:rsidR="00A612E2" w:rsidRPr="003B127D" w:rsidRDefault="00A612E2" w:rsidP="00742B81">
            <w:pPr>
              <w:rPr>
                <w:noProof/>
                <w:color w:val="006600"/>
                <w:sz w:val="20"/>
                <w:szCs w:val="20"/>
              </w:rPr>
            </w:pPr>
            <w:r>
              <w:rPr>
                <w:noProof/>
                <w:color w:val="006100"/>
                <w:sz w:val="20"/>
              </w:rPr>
              <w:t>„Taastuvenergia kiirendusalade“ kindlaksmääramine</w:t>
            </w:r>
          </w:p>
        </w:tc>
      </w:tr>
      <w:tr w:rsidR="00A612E2" w:rsidRPr="00D90835" w14:paraId="5A4E3A0F"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4FE2773" w14:textId="77777777" w:rsidR="00A612E2" w:rsidRPr="00246CC4" w:rsidRDefault="00A612E2" w:rsidP="00742B81">
            <w:pPr>
              <w:jc w:val="center"/>
              <w:rPr>
                <w:noProof/>
                <w:color w:val="006100"/>
                <w:sz w:val="20"/>
                <w:szCs w:val="20"/>
              </w:rPr>
            </w:pPr>
            <w:r>
              <w:rPr>
                <w:noProof/>
                <w:color w:val="006100"/>
                <w:sz w:val="20"/>
              </w:rPr>
              <w:t>M7-4</w:t>
            </w:r>
          </w:p>
        </w:tc>
        <w:tc>
          <w:tcPr>
            <w:tcW w:w="3118" w:type="dxa"/>
            <w:tcBorders>
              <w:top w:val="nil"/>
              <w:left w:val="nil"/>
              <w:bottom w:val="single" w:sz="4" w:space="0" w:color="auto"/>
              <w:right w:val="single" w:sz="4" w:space="0" w:color="auto"/>
            </w:tcBorders>
            <w:shd w:val="clear" w:color="auto" w:fill="C6EFCE"/>
            <w:noWrap/>
            <w:vAlign w:val="center"/>
          </w:tcPr>
          <w:p w14:paraId="353C4ABC" w14:textId="77777777" w:rsidR="00A612E2" w:rsidRPr="003B127D" w:rsidRDefault="00A612E2" w:rsidP="00742B81">
            <w:pPr>
              <w:rPr>
                <w:noProof/>
                <w:color w:val="006100"/>
                <w:sz w:val="20"/>
                <w:szCs w:val="20"/>
              </w:rPr>
            </w:pPr>
            <w:r>
              <w:rPr>
                <w:noProof/>
                <w:color w:val="006100"/>
                <w:sz w:val="20"/>
              </w:rPr>
              <w:t>Reform 2. Keskkonnakahjulike toetuste vähendamine</w:t>
            </w:r>
          </w:p>
        </w:tc>
        <w:tc>
          <w:tcPr>
            <w:tcW w:w="1418" w:type="dxa"/>
            <w:tcBorders>
              <w:top w:val="nil"/>
              <w:left w:val="nil"/>
              <w:bottom w:val="single" w:sz="4" w:space="0" w:color="auto"/>
              <w:right w:val="single" w:sz="4" w:space="0" w:color="auto"/>
            </w:tcBorders>
            <w:shd w:val="clear" w:color="auto" w:fill="C6EFCE"/>
            <w:noWrap/>
            <w:vAlign w:val="center"/>
          </w:tcPr>
          <w:p w14:paraId="650BCD9C" w14:textId="77777777" w:rsidR="00A612E2" w:rsidRPr="00246CC4" w:rsidRDefault="00A612E2" w:rsidP="00742B81">
            <w:pPr>
              <w:rPr>
                <w:noProof/>
                <w:color w:val="006100"/>
                <w:sz w:val="20"/>
                <w:szCs w:val="20"/>
              </w:rPr>
            </w:pPr>
            <w:r>
              <w:rPr>
                <w:noProof/>
                <w:color w:val="006100"/>
                <w:sz w:val="20"/>
              </w:rPr>
              <w:t>Eesmärk</w:t>
            </w:r>
          </w:p>
        </w:tc>
        <w:tc>
          <w:tcPr>
            <w:tcW w:w="4020" w:type="dxa"/>
            <w:tcBorders>
              <w:top w:val="nil"/>
              <w:left w:val="nil"/>
              <w:bottom w:val="single" w:sz="4" w:space="0" w:color="auto"/>
              <w:right w:val="single" w:sz="4" w:space="0" w:color="auto"/>
            </w:tcBorders>
            <w:shd w:val="clear" w:color="auto" w:fill="C6EFCE"/>
            <w:noWrap/>
            <w:vAlign w:val="center"/>
          </w:tcPr>
          <w:p w14:paraId="10DBC62C" w14:textId="77777777" w:rsidR="00A612E2" w:rsidRPr="003B127D" w:rsidRDefault="00A612E2" w:rsidP="00742B81">
            <w:pPr>
              <w:rPr>
                <w:noProof/>
                <w:color w:val="006100"/>
                <w:sz w:val="20"/>
                <w:szCs w:val="20"/>
              </w:rPr>
            </w:pPr>
            <w:r>
              <w:rPr>
                <w:noProof/>
                <w:color w:val="006100"/>
                <w:sz w:val="20"/>
              </w:rPr>
              <w:t>Valitsuse aruande vastuvõtmine, tuginedes valitsuste ja sidusrühmadega peetud konsultatsioonide tulemustele, et määrata kindlaks tegevuskava keskkonnale kahjulike toetuste vähendamiseks 2030. aastaks.</w:t>
            </w:r>
          </w:p>
        </w:tc>
      </w:tr>
      <w:tr w:rsidR="00A612E2" w:rsidRPr="00D90835" w14:paraId="315FE68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6163482" w14:textId="77777777" w:rsidR="00A612E2" w:rsidRPr="00246CC4" w:rsidRDefault="00A612E2" w:rsidP="00742B81">
            <w:pPr>
              <w:jc w:val="center"/>
              <w:rPr>
                <w:noProof/>
                <w:color w:val="006100"/>
                <w:sz w:val="20"/>
                <w:szCs w:val="20"/>
              </w:rPr>
            </w:pPr>
            <w:r>
              <w:rPr>
                <w:noProof/>
                <w:color w:val="006100"/>
                <w:sz w:val="20"/>
              </w:rPr>
              <w:t>M7-8</w:t>
            </w:r>
          </w:p>
        </w:tc>
        <w:tc>
          <w:tcPr>
            <w:tcW w:w="3118" w:type="dxa"/>
            <w:tcBorders>
              <w:top w:val="nil"/>
              <w:left w:val="nil"/>
              <w:bottom w:val="single" w:sz="4" w:space="0" w:color="auto"/>
              <w:right w:val="single" w:sz="4" w:space="0" w:color="auto"/>
            </w:tcBorders>
            <w:shd w:val="clear" w:color="auto" w:fill="C6EFCE"/>
            <w:noWrap/>
            <w:vAlign w:val="center"/>
          </w:tcPr>
          <w:p w14:paraId="1CE917A6" w14:textId="77777777" w:rsidR="00A612E2" w:rsidRPr="003B127D" w:rsidRDefault="00A612E2" w:rsidP="00742B81">
            <w:pPr>
              <w:rPr>
                <w:noProof/>
                <w:color w:val="006100"/>
                <w:sz w:val="20"/>
                <w:szCs w:val="20"/>
              </w:rPr>
            </w:pPr>
            <w:r>
              <w:rPr>
                <w:noProof/>
                <w:color w:val="006100"/>
                <w:sz w:val="20"/>
              </w:rPr>
              <w:t>Reform 4. Taastuvenergia ostulepingutega seotud finantsriski maandamine</w:t>
            </w:r>
          </w:p>
        </w:tc>
        <w:tc>
          <w:tcPr>
            <w:tcW w:w="1418" w:type="dxa"/>
            <w:tcBorders>
              <w:top w:val="nil"/>
              <w:left w:val="nil"/>
              <w:bottom w:val="single" w:sz="4" w:space="0" w:color="auto"/>
              <w:right w:val="single" w:sz="4" w:space="0" w:color="auto"/>
            </w:tcBorders>
            <w:shd w:val="clear" w:color="auto" w:fill="C6EFCE"/>
            <w:noWrap/>
            <w:vAlign w:val="center"/>
          </w:tcPr>
          <w:p w14:paraId="353D0C87" w14:textId="77777777" w:rsidR="00A612E2" w:rsidRPr="00246CC4" w:rsidRDefault="00A612E2" w:rsidP="00742B81">
            <w:pPr>
              <w:rPr>
                <w:noProof/>
                <w:color w:val="006100"/>
                <w:sz w:val="20"/>
                <w:szCs w:val="20"/>
              </w:rPr>
            </w:pPr>
            <w:r>
              <w:rPr>
                <w:noProof/>
                <w:color w:val="006100"/>
                <w:sz w:val="20"/>
              </w:rPr>
              <w:t>Eesmärk</w:t>
            </w:r>
          </w:p>
        </w:tc>
        <w:tc>
          <w:tcPr>
            <w:tcW w:w="4020" w:type="dxa"/>
            <w:tcBorders>
              <w:top w:val="nil"/>
              <w:left w:val="nil"/>
              <w:bottom w:val="single" w:sz="4" w:space="0" w:color="auto"/>
              <w:right w:val="single" w:sz="4" w:space="0" w:color="auto"/>
            </w:tcBorders>
            <w:shd w:val="clear" w:color="auto" w:fill="C6EFCE"/>
            <w:noWrap/>
            <w:vAlign w:val="center"/>
          </w:tcPr>
          <w:p w14:paraId="02166CFD" w14:textId="77777777" w:rsidR="00A612E2" w:rsidRPr="003B127D" w:rsidRDefault="00A612E2" w:rsidP="00742B81">
            <w:pPr>
              <w:rPr>
                <w:noProof/>
                <w:color w:val="006100"/>
                <w:sz w:val="20"/>
                <w:szCs w:val="20"/>
              </w:rPr>
            </w:pPr>
            <w:r>
              <w:rPr>
                <w:noProof/>
                <w:color w:val="006100"/>
                <w:sz w:val="20"/>
              </w:rPr>
              <w:t>Teisesed õigusaktid on jõustunud</w:t>
            </w:r>
          </w:p>
        </w:tc>
      </w:tr>
      <w:tr w:rsidR="00A612E2" w:rsidRPr="00246CC4" w14:paraId="4D72D488"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71A8602" w14:textId="77777777" w:rsidR="00A612E2" w:rsidRPr="00246CC4" w:rsidRDefault="00A612E2" w:rsidP="00742B81">
            <w:pPr>
              <w:jc w:val="center"/>
              <w:rPr>
                <w:noProof/>
                <w:color w:val="006100"/>
                <w:sz w:val="20"/>
                <w:szCs w:val="20"/>
              </w:rPr>
            </w:pPr>
            <w:r>
              <w:rPr>
                <w:noProof/>
                <w:color w:val="006100"/>
                <w:sz w:val="20"/>
              </w:rPr>
              <w:t>M7-16</w:t>
            </w:r>
          </w:p>
        </w:tc>
        <w:tc>
          <w:tcPr>
            <w:tcW w:w="3118" w:type="dxa"/>
            <w:tcBorders>
              <w:top w:val="nil"/>
              <w:left w:val="nil"/>
              <w:bottom w:val="single" w:sz="4" w:space="0" w:color="auto"/>
              <w:right w:val="single" w:sz="4" w:space="0" w:color="auto"/>
            </w:tcBorders>
            <w:shd w:val="clear" w:color="auto" w:fill="C6EFCE"/>
            <w:noWrap/>
            <w:vAlign w:val="center"/>
          </w:tcPr>
          <w:p w14:paraId="5F93CC79" w14:textId="77777777" w:rsidR="00A612E2" w:rsidRPr="00246CC4" w:rsidRDefault="00A612E2" w:rsidP="00742B81">
            <w:pPr>
              <w:rPr>
                <w:noProof/>
                <w:color w:val="006100"/>
                <w:sz w:val="20"/>
                <w:szCs w:val="20"/>
              </w:rPr>
            </w:pPr>
            <w:r>
              <w:rPr>
                <w:noProof/>
                <w:color w:val="006100"/>
                <w:sz w:val="20"/>
              </w:rPr>
              <w:t>Investeering 5. SA.CO.I.3</w:t>
            </w:r>
          </w:p>
        </w:tc>
        <w:tc>
          <w:tcPr>
            <w:tcW w:w="1418" w:type="dxa"/>
            <w:tcBorders>
              <w:top w:val="nil"/>
              <w:left w:val="nil"/>
              <w:bottom w:val="single" w:sz="4" w:space="0" w:color="auto"/>
              <w:right w:val="single" w:sz="4" w:space="0" w:color="auto"/>
            </w:tcBorders>
            <w:shd w:val="clear" w:color="auto" w:fill="C6EFCE"/>
            <w:noWrap/>
            <w:vAlign w:val="center"/>
          </w:tcPr>
          <w:p w14:paraId="44181E51" w14:textId="77777777" w:rsidR="00A612E2" w:rsidRPr="00246CC4" w:rsidRDefault="00A612E2" w:rsidP="00742B81">
            <w:pPr>
              <w:rPr>
                <w:noProof/>
                <w:color w:val="006100"/>
                <w:sz w:val="20"/>
                <w:szCs w:val="20"/>
              </w:rPr>
            </w:pPr>
            <w:r>
              <w:rPr>
                <w:noProof/>
                <w:color w:val="006100"/>
                <w:sz w:val="20"/>
              </w:rPr>
              <w:t>Eesmärk</w:t>
            </w:r>
          </w:p>
        </w:tc>
        <w:tc>
          <w:tcPr>
            <w:tcW w:w="4020" w:type="dxa"/>
            <w:tcBorders>
              <w:top w:val="nil"/>
              <w:left w:val="nil"/>
              <w:bottom w:val="single" w:sz="4" w:space="0" w:color="auto"/>
              <w:right w:val="single" w:sz="4" w:space="0" w:color="auto"/>
            </w:tcBorders>
            <w:shd w:val="clear" w:color="auto" w:fill="C6EFCE"/>
            <w:noWrap/>
            <w:vAlign w:val="center"/>
          </w:tcPr>
          <w:p w14:paraId="6C4FD387" w14:textId="77777777" w:rsidR="00A612E2" w:rsidRPr="00246CC4" w:rsidRDefault="00A612E2" w:rsidP="00742B81">
            <w:pPr>
              <w:rPr>
                <w:noProof/>
                <w:color w:val="006100"/>
                <w:sz w:val="20"/>
                <w:szCs w:val="20"/>
              </w:rPr>
            </w:pPr>
            <w:r>
              <w:rPr>
                <w:noProof/>
                <w:color w:val="006100"/>
                <w:sz w:val="20"/>
              </w:rPr>
              <w:t>Hankemenetlus</w:t>
            </w:r>
          </w:p>
        </w:tc>
      </w:tr>
      <w:tr w:rsidR="00A612E2" w:rsidRPr="00D90835" w14:paraId="7395D973"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950543A" w14:textId="77777777" w:rsidR="00A612E2" w:rsidRPr="00246CC4" w:rsidRDefault="00A612E2" w:rsidP="00742B81">
            <w:pPr>
              <w:jc w:val="center"/>
              <w:rPr>
                <w:noProof/>
                <w:color w:val="006100"/>
                <w:sz w:val="20"/>
                <w:szCs w:val="20"/>
              </w:rPr>
            </w:pPr>
            <w:r>
              <w:rPr>
                <w:noProof/>
                <w:color w:val="006100"/>
                <w:sz w:val="20"/>
              </w:rPr>
              <w:t>M4C1–10a</w:t>
            </w:r>
          </w:p>
        </w:tc>
        <w:tc>
          <w:tcPr>
            <w:tcW w:w="3118" w:type="dxa"/>
            <w:tcBorders>
              <w:top w:val="nil"/>
              <w:left w:val="nil"/>
              <w:bottom w:val="single" w:sz="4" w:space="0" w:color="auto"/>
              <w:right w:val="single" w:sz="4" w:space="0" w:color="auto"/>
            </w:tcBorders>
            <w:shd w:val="clear" w:color="auto" w:fill="C6EFCE"/>
            <w:noWrap/>
            <w:vAlign w:val="center"/>
          </w:tcPr>
          <w:p w14:paraId="29BC0159" w14:textId="77777777" w:rsidR="00A612E2" w:rsidRPr="00246CC4" w:rsidRDefault="00A612E2" w:rsidP="00742B81">
            <w:pPr>
              <w:rPr>
                <w:noProof/>
                <w:color w:val="006100"/>
                <w:sz w:val="20"/>
                <w:szCs w:val="20"/>
              </w:rPr>
            </w:pPr>
            <w:r>
              <w:rPr>
                <w:noProof/>
                <w:color w:val="006100"/>
                <w:sz w:val="20"/>
              </w:rPr>
              <w:t>Reform 1.1. Tehniliste ja kutseinstituutide reform</w:t>
            </w:r>
          </w:p>
        </w:tc>
        <w:tc>
          <w:tcPr>
            <w:tcW w:w="1418" w:type="dxa"/>
            <w:tcBorders>
              <w:top w:val="nil"/>
              <w:left w:val="nil"/>
              <w:bottom w:val="single" w:sz="4" w:space="0" w:color="auto"/>
              <w:right w:val="single" w:sz="4" w:space="0" w:color="auto"/>
            </w:tcBorders>
            <w:shd w:val="clear" w:color="auto" w:fill="C6EFCE"/>
            <w:noWrap/>
            <w:vAlign w:val="center"/>
          </w:tcPr>
          <w:p w14:paraId="2C8C89BA" w14:textId="77777777" w:rsidR="00A612E2" w:rsidRPr="00246CC4" w:rsidRDefault="00A612E2" w:rsidP="00742B81">
            <w:pPr>
              <w:rPr>
                <w:noProof/>
                <w:color w:val="006100"/>
                <w:sz w:val="20"/>
                <w:szCs w:val="20"/>
              </w:rPr>
            </w:pPr>
            <w:r>
              <w:rPr>
                <w:noProof/>
                <w:color w:val="006100"/>
                <w:sz w:val="20"/>
              </w:rPr>
              <w:t>Eesmärk</w:t>
            </w:r>
          </w:p>
        </w:tc>
        <w:tc>
          <w:tcPr>
            <w:tcW w:w="4020" w:type="dxa"/>
            <w:tcBorders>
              <w:top w:val="nil"/>
              <w:left w:val="nil"/>
              <w:bottom w:val="single" w:sz="4" w:space="0" w:color="auto"/>
              <w:right w:val="single" w:sz="4" w:space="0" w:color="auto"/>
            </w:tcBorders>
            <w:shd w:val="clear" w:color="auto" w:fill="C6EFCE"/>
            <w:noWrap/>
            <w:vAlign w:val="center"/>
          </w:tcPr>
          <w:p w14:paraId="268C689B" w14:textId="77777777" w:rsidR="00A612E2" w:rsidRPr="00246CC4" w:rsidRDefault="00A612E2" w:rsidP="00742B81">
            <w:pPr>
              <w:rPr>
                <w:noProof/>
                <w:color w:val="006100"/>
                <w:sz w:val="20"/>
                <w:szCs w:val="20"/>
              </w:rPr>
            </w:pPr>
            <w:r>
              <w:rPr>
                <w:noProof/>
                <w:color w:val="006100"/>
                <w:sz w:val="20"/>
              </w:rPr>
              <w:t>Teisesed õigusaktid on jõustunud</w:t>
            </w:r>
          </w:p>
        </w:tc>
      </w:tr>
      <w:tr w:rsidR="00A612E2" w:rsidRPr="00246CC4" w14:paraId="0CCFE409" w14:textId="77777777" w:rsidTr="00742B81">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56C3F422" w14:textId="77777777" w:rsidR="00A612E2" w:rsidRPr="003B127D" w:rsidRDefault="00A612E2" w:rsidP="00742B81">
            <w:pPr>
              <w:jc w:val="center"/>
              <w:rPr>
                <w:noProof/>
                <w:color w:val="006100"/>
                <w:sz w:val="20"/>
                <w:szCs w:val="20"/>
                <w:lang w:val="en-IE"/>
              </w:rPr>
            </w:pPr>
          </w:p>
        </w:tc>
        <w:tc>
          <w:tcPr>
            <w:tcW w:w="3118" w:type="dxa"/>
            <w:tcBorders>
              <w:top w:val="single" w:sz="4" w:space="0" w:color="auto"/>
              <w:left w:val="nil"/>
              <w:bottom w:val="single" w:sz="4" w:space="0" w:color="auto"/>
              <w:right w:val="single" w:sz="4" w:space="0" w:color="auto"/>
            </w:tcBorders>
            <w:shd w:val="clear" w:color="auto" w:fill="C6EFCE"/>
            <w:noWrap/>
            <w:vAlign w:val="bottom"/>
          </w:tcPr>
          <w:p w14:paraId="367990CC" w14:textId="77777777" w:rsidR="00A612E2" w:rsidRPr="003B127D" w:rsidRDefault="00A612E2" w:rsidP="00742B81">
            <w:pPr>
              <w:rPr>
                <w:noProof/>
                <w:color w:val="006100"/>
                <w:sz w:val="20"/>
                <w:szCs w:val="20"/>
                <w:lang w:val="en-IE"/>
              </w:rPr>
            </w:pPr>
          </w:p>
        </w:tc>
        <w:tc>
          <w:tcPr>
            <w:tcW w:w="1418" w:type="dxa"/>
            <w:tcBorders>
              <w:top w:val="single" w:sz="4" w:space="0" w:color="auto"/>
              <w:left w:val="nil"/>
              <w:bottom w:val="single" w:sz="4" w:space="0" w:color="auto"/>
              <w:right w:val="single" w:sz="4" w:space="0" w:color="auto"/>
            </w:tcBorders>
            <w:shd w:val="clear" w:color="auto" w:fill="C6EFCE"/>
            <w:noWrap/>
            <w:vAlign w:val="bottom"/>
          </w:tcPr>
          <w:p w14:paraId="70B4B0C8" w14:textId="77777777" w:rsidR="00A612E2" w:rsidRPr="00246CC4" w:rsidRDefault="00A612E2" w:rsidP="00742B81">
            <w:pPr>
              <w:rPr>
                <w:noProof/>
                <w:color w:val="006100"/>
                <w:sz w:val="20"/>
                <w:szCs w:val="20"/>
              </w:rPr>
            </w:pPr>
            <w:r>
              <w:rPr>
                <w:noProof/>
                <w:color w:val="006100"/>
                <w:sz w:val="20"/>
              </w:rPr>
              <w:t>Osamakse summa</w:t>
            </w:r>
          </w:p>
        </w:tc>
        <w:tc>
          <w:tcPr>
            <w:tcW w:w="4020" w:type="dxa"/>
            <w:tcBorders>
              <w:top w:val="single" w:sz="4" w:space="0" w:color="auto"/>
              <w:left w:val="nil"/>
              <w:bottom w:val="single" w:sz="4" w:space="0" w:color="auto"/>
              <w:right w:val="single" w:sz="4" w:space="0" w:color="auto"/>
            </w:tcBorders>
            <w:shd w:val="clear" w:color="auto" w:fill="C6EFCE"/>
            <w:noWrap/>
            <w:vAlign w:val="bottom"/>
          </w:tcPr>
          <w:p w14:paraId="5EEEDE38" w14:textId="77777777" w:rsidR="00A612E2" w:rsidRPr="00246CC4" w:rsidRDefault="00A612E2" w:rsidP="00742B81">
            <w:pPr>
              <w:rPr>
                <w:noProof/>
                <w:color w:val="006100"/>
                <w:sz w:val="20"/>
                <w:szCs w:val="20"/>
              </w:rPr>
            </w:pPr>
            <w:r>
              <w:rPr>
                <w:noProof/>
                <w:color w:val="006100"/>
                <w:sz w:val="20"/>
              </w:rPr>
              <w:t>5</w:t>
            </w:r>
            <w:r>
              <w:rPr>
                <w:rFonts w:ascii="Arial Narrow" w:hAnsi="Arial Narrow"/>
                <w:noProof/>
                <w:color w:val="006100"/>
                <w:sz w:val="20"/>
              </w:rPr>
              <w:t> </w:t>
            </w:r>
            <w:r>
              <w:rPr>
                <w:noProof/>
                <w:color w:val="006100"/>
                <w:sz w:val="20"/>
              </w:rPr>
              <w:t>294</w:t>
            </w:r>
            <w:r>
              <w:rPr>
                <w:rFonts w:ascii="Arial Narrow" w:hAnsi="Arial Narrow"/>
                <w:noProof/>
                <w:color w:val="006100"/>
                <w:sz w:val="20"/>
              </w:rPr>
              <w:t> 563 760</w:t>
            </w:r>
            <w:r>
              <w:rPr>
                <w:noProof/>
                <w:color w:val="006100"/>
                <w:sz w:val="20"/>
              </w:rPr>
              <w:t xml:space="preserve"> eurot</w:t>
            </w:r>
          </w:p>
        </w:tc>
      </w:tr>
    </w:tbl>
    <w:p w14:paraId="1E6BF102" w14:textId="77777777" w:rsidR="00A612E2" w:rsidRPr="00246CC4" w:rsidRDefault="00A612E2" w:rsidP="00A612E2">
      <w:pPr>
        <w:numPr>
          <w:ilvl w:val="1"/>
          <w:numId w:val="6"/>
        </w:numPr>
        <w:spacing w:before="120" w:after="120"/>
        <w:jc w:val="both"/>
        <w:rPr>
          <w:rFonts w:eastAsia="Calibri"/>
          <w:noProof/>
        </w:rPr>
      </w:pPr>
      <w:r>
        <w:rPr>
          <w:noProof/>
        </w:rPr>
        <w:t>Kaheksas osamakse (tagastamatu toetus):</w:t>
      </w:r>
    </w:p>
    <w:tbl>
      <w:tblPr>
        <w:tblW w:w="9991" w:type="dxa"/>
        <w:tblInd w:w="113" w:type="dxa"/>
        <w:tblLook w:val="04A0" w:firstRow="1" w:lastRow="0" w:firstColumn="1" w:lastColumn="0" w:noHBand="0" w:noVBand="1"/>
      </w:tblPr>
      <w:tblGrid>
        <w:gridCol w:w="1827"/>
        <w:gridCol w:w="3118"/>
        <w:gridCol w:w="1440"/>
        <w:gridCol w:w="4020"/>
      </w:tblGrid>
      <w:tr w:rsidR="00A612E2" w:rsidRPr="00246CC4" w14:paraId="5FC80086" w14:textId="77777777" w:rsidTr="00BC5B0E">
        <w:trPr>
          <w:trHeight w:val="906"/>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E0994FF" w14:textId="77777777" w:rsidR="00A612E2" w:rsidRPr="00246CC4" w:rsidRDefault="00A612E2" w:rsidP="00742B81">
            <w:pPr>
              <w:jc w:val="center"/>
              <w:rPr>
                <w:b/>
                <w:bCs/>
                <w:noProof/>
                <w:sz w:val="20"/>
                <w:szCs w:val="20"/>
              </w:rPr>
            </w:pPr>
            <w:r>
              <w:rPr>
                <w:b/>
                <w:noProof/>
                <w:sz w:val="20"/>
              </w:rPr>
              <w:t>Järjekorranumber</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0A5C81D" w14:textId="77777777" w:rsidR="00A612E2" w:rsidRPr="003B127D" w:rsidRDefault="00A612E2" w:rsidP="00742B81">
            <w:pPr>
              <w:jc w:val="center"/>
              <w:rPr>
                <w:b/>
                <w:bCs/>
                <w:noProof/>
                <w:sz w:val="20"/>
                <w:szCs w:val="20"/>
              </w:rPr>
            </w:pPr>
            <w:r>
              <w:rPr>
                <w:b/>
                <w:noProof/>
                <w:sz w:val="20"/>
              </w:rPr>
              <w:t>Seotud meede (reform või investeering)</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2FAD355" w14:textId="77777777" w:rsidR="00A612E2" w:rsidRPr="00246CC4" w:rsidRDefault="00A612E2" w:rsidP="00742B81">
            <w:pPr>
              <w:jc w:val="center"/>
              <w:rPr>
                <w:b/>
                <w:bCs/>
                <w:noProof/>
                <w:sz w:val="20"/>
                <w:szCs w:val="20"/>
              </w:rPr>
            </w:pPr>
            <w:r>
              <w:rPr>
                <w:b/>
                <w:noProof/>
                <w:sz w:val="20"/>
              </w:rPr>
              <w:t>Eesmärk / siht</w:t>
            </w:r>
          </w:p>
        </w:tc>
        <w:tc>
          <w:tcPr>
            <w:tcW w:w="402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B8A32B4" w14:textId="77777777" w:rsidR="00A612E2" w:rsidRPr="00246CC4" w:rsidRDefault="00A612E2" w:rsidP="00742B81">
            <w:pPr>
              <w:jc w:val="center"/>
              <w:rPr>
                <w:b/>
                <w:bCs/>
                <w:noProof/>
                <w:sz w:val="20"/>
                <w:szCs w:val="20"/>
              </w:rPr>
            </w:pPr>
            <w:r>
              <w:rPr>
                <w:b/>
                <w:noProof/>
                <w:sz w:val="20"/>
              </w:rPr>
              <w:t>Nimi</w:t>
            </w:r>
          </w:p>
        </w:tc>
      </w:tr>
      <w:tr w:rsidR="00A612E2" w:rsidRPr="00246CC4" w14:paraId="72263895" w14:textId="77777777" w:rsidTr="00BC5B0E">
        <w:trPr>
          <w:trHeight w:val="517"/>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16C90C6B" w14:textId="77777777" w:rsidR="00A612E2" w:rsidRPr="00246CC4" w:rsidRDefault="00A612E2" w:rsidP="00742B81">
            <w:pPr>
              <w:rPr>
                <w:b/>
                <w:bCs/>
                <w:noProof/>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39EE2263" w14:textId="77777777" w:rsidR="00A612E2" w:rsidRPr="00246CC4" w:rsidRDefault="00A612E2" w:rsidP="00742B81">
            <w:pPr>
              <w:rPr>
                <w:b/>
                <w:bCs/>
                <w:noProof/>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7FAA0EAC" w14:textId="77777777" w:rsidR="00A612E2" w:rsidRPr="00246CC4" w:rsidRDefault="00A612E2" w:rsidP="00742B81">
            <w:pPr>
              <w:rPr>
                <w:b/>
                <w:bCs/>
                <w:noProof/>
              </w:rPr>
            </w:pPr>
          </w:p>
        </w:tc>
        <w:tc>
          <w:tcPr>
            <w:tcW w:w="4020" w:type="dxa"/>
            <w:vMerge/>
            <w:tcBorders>
              <w:top w:val="single" w:sz="4" w:space="0" w:color="auto"/>
              <w:left w:val="single" w:sz="4" w:space="0" w:color="auto"/>
              <w:bottom w:val="single" w:sz="4" w:space="0" w:color="auto"/>
              <w:right w:val="single" w:sz="4" w:space="0" w:color="auto"/>
            </w:tcBorders>
            <w:vAlign w:val="center"/>
            <w:hideMark/>
          </w:tcPr>
          <w:p w14:paraId="3A01CD1A" w14:textId="77777777" w:rsidR="00A612E2" w:rsidRPr="00246CC4" w:rsidRDefault="00A612E2" w:rsidP="00742B81">
            <w:pPr>
              <w:rPr>
                <w:b/>
                <w:bCs/>
                <w:noProof/>
              </w:rPr>
            </w:pPr>
          </w:p>
        </w:tc>
      </w:tr>
      <w:tr w:rsidR="00A612E2" w:rsidRPr="00D90835" w14:paraId="0EE3589F" w14:textId="77777777" w:rsidTr="00BC5B0E">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F5599AD" w14:textId="77777777" w:rsidR="00A612E2" w:rsidRPr="00246CC4" w:rsidRDefault="00A612E2" w:rsidP="00742B81">
            <w:pPr>
              <w:jc w:val="center"/>
              <w:rPr>
                <w:noProof/>
                <w:color w:val="006100"/>
                <w:sz w:val="20"/>
                <w:szCs w:val="20"/>
              </w:rPr>
            </w:pPr>
            <w:r>
              <w:rPr>
                <w:noProof/>
                <w:color w:val="006100"/>
                <w:sz w:val="20"/>
              </w:rPr>
              <w:t>M1C1-23</w:t>
            </w:r>
          </w:p>
        </w:tc>
        <w:tc>
          <w:tcPr>
            <w:tcW w:w="3118" w:type="dxa"/>
            <w:tcBorders>
              <w:top w:val="single" w:sz="4" w:space="0" w:color="auto"/>
              <w:left w:val="nil"/>
              <w:bottom w:val="single" w:sz="4" w:space="0" w:color="auto"/>
              <w:right w:val="single" w:sz="4" w:space="0" w:color="auto"/>
            </w:tcBorders>
            <w:shd w:val="clear" w:color="auto" w:fill="C6EFCE"/>
            <w:noWrap/>
            <w:vAlign w:val="center"/>
          </w:tcPr>
          <w:p w14:paraId="51F54AE7" w14:textId="77777777" w:rsidR="00A612E2" w:rsidRPr="003B127D" w:rsidRDefault="00A612E2" w:rsidP="00392579">
            <w:pPr>
              <w:rPr>
                <w:noProof/>
                <w:color w:val="006100"/>
                <w:sz w:val="20"/>
                <w:szCs w:val="20"/>
              </w:rPr>
            </w:pPr>
            <w:r>
              <w:rPr>
                <w:noProof/>
                <w:color w:val="006100"/>
                <w:sz w:val="20"/>
              </w:rPr>
              <w:t>Investeering 1.4.6. Liikuvus kui teenus Itaalia jaoks</w:t>
            </w:r>
          </w:p>
        </w:tc>
        <w:tc>
          <w:tcPr>
            <w:tcW w:w="1440" w:type="dxa"/>
            <w:tcBorders>
              <w:top w:val="single" w:sz="4" w:space="0" w:color="auto"/>
              <w:left w:val="nil"/>
              <w:bottom w:val="single" w:sz="4" w:space="0" w:color="auto"/>
              <w:right w:val="single" w:sz="4" w:space="0" w:color="auto"/>
            </w:tcBorders>
            <w:shd w:val="clear" w:color="auto" w:fill="C6EFCE"/>
            <w:noWrap/>
            <w:vAlign w:val="center"/>
          </w:tcPr>
          <w:p w14:paraId="4A475D94" w14:textId="77777777" w:rsidR="00A612E2" w:rsidRPr="00246CC4" w:rsidRDefault="00A612E2" w:rsidP="00742B81">
            <w:pPr>
              <w:jc w:val="center"/>
              <w:rPr>
                <w:noProof/>
                <w:color w:val="006100"/>
                <w:sz w:val="20"/>
                <w:szCs w:val="20"/>
              </w:rPr>
            </w:pPr>
            <w:r>
              <w:rPr>
                <w:noProof/>
                <w:color w:val="006100"/>
                <w:sz w:val="20"/>
              </w:rPr>
              <w:t>Eesmärk</w:t>
            </w:r>
          </w:p>
        </w:tc>
        <w:tc>
          <w:tcPr>
            <w:tcW w:w="4020" w:type="dxa"/>
            <w:tcBorders>
              <w:top w:val="single" w:sz="4" w:space="0" w:color="auto"/>
              <w:left w:val="nil"/>
              <w:bottom w:val="single" w:sz="4" w:space="0" w:color="auto"/>
              <w:right w:val="single" w:sz="4" w:space="0" w:color="auto"/>
            </w:tcBorders>
            <w:shd w:val="clear" w:color="auto" w:fill="C6EFCE"/>
            <w:noWrap/>
            <w:vAlign w:val="center"/>
          </w:tcPr>
          <w:p w14:paraId="2EDDD28E" w14:textId="77777777" w:rsidR="00A612E2" w:rsidRPr="003B127D" w:rsidRDefault="00A612E2" w:rsidP="00742B81">
            <w:pPr>
              <w:rPr>
                <w:noProof/>
                <w:color w:val="006100"/>
                <w:sz w:val="20"/>
                <w:szCs w:val="20"/>
              </w:rPr>
            </w:pPr>
            <w:r>
              <w:rPr>
                <w:noProof/>
                <w:color w:val="006100"/>
                <w:sz w:val="20"/>
              </w:rPr>
              <w:t>Liikuvus kui teenuselahendus M2</w:t>
            </w:r>
          </w:p>
        </w:tc>
      </w:tr>
      <w:tr w:rsidR="00A612E2" w:rsidRPr="00D90835" w14:paraId="5D9CDB6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2CB86BB" w14:textId="77777777" w:rsidR="00A612E2" w:rsidRPr="00246CC4" w:rsidRDefault="00A612E2" w:rsidP="00742B81">
            <w:pPr>
              <w:jc w:val="center"/>
              <w:rPr>
                <w:noProof/>
                <w:color w:val="006100"/>
                <w:sz w:val="20"/>
                <w:szCs w:val="20"/>
              </w:rPr>
            </w:pPr>
            <w:r>
              <w:rPr>
                <w:noProof/>
                <w:color w:val="006100"/>
                <w:sz w:val="20"/>
              </w:rPr>
              <w:t>M1C1-76</w:t>
            </w:r>
          </w:p>
        </w:tc>
        <w:tc>
          <w:tcPr>
            <w:tcW w:w="3118" w:type="dxa"/>
            <w:tcBorders>
              <w:top w:val="nil"/>
              <w:left w:val="nil"/>
              <w:bottom w:val="single" w:sz="4" w:space="0" w:color="auto"/>
              <w:right w:val="single" w:sz="4" w:space="0" w:color="auto"/>
            </w:tcBorders>
            <w:shd w:val="clear" w:color="auto" w:fill="C6EFCE"/>
            <w:noWrap/>
            <w:vAlign w:val="center"/>
          </w:tcPr>
          <w:p w14:paraId="14FC8BE7" w14:textId="77777777" w:rsidR="00A612E2" w:rsidRPr="003B127D" w:rsidRDefault="00A612E2" w:rsidP="00392579">
            <w:pPr>
              <w:rPr>
                <w:noProof/>
                <w:color w:val="006100"/>
                <w:sz w:val="20"/>
                <w:szCs w:val="20"/>
              </w:rPr>
            </w:pPr>
            <w:r>
              <w:rPr>
                <w:noProof/>
                <w:color w:val="006100"/>
                <w:sz w:val="20"/>
              </w:rPr>
              <w:t>Reform 1.11. Avaliku halduse asutuste ja tervishoiuasutuste hilinenud maksete vähendamine</w:t>
            </w:r>
          </w:p>
        </w:tc>
        <w:tc>
          <w:tcPr>
            <w:tcW w:w="1440" w:type="dxa"/>
            <w:tcBorders>
              <w:top w:val="nil"/>
              <w:left w:val="nil"/>
              <w:bottom w:val="single" w:sz="4" w:space="0" w:color="auto"/>
              <w:right w:val="single" w:sz="4" w:space="0" w:color="auto"/>
            </w:tcBorders>
            <w:shd w:val="clear" w:color="auto" w:fill="C6EFCE"/>
            <w:noWrap/>
            <w:vAlign w:val="center"/>
          </w:tcPr>
          <w:p w14:paraId="378FD9D6" w14:textId="77777777" w:rsidR="00A612E2" w:rsidRPr="00246CC4" w:rsidRDefault="00A612E2" w:rsidP="00742B81">
            <w:pPr>
              <w:jc w:val="center"/>
              <w:rPr>
                <w:noProof/>
                <w:color w:val="006100"/>
                <w:sz w:val="20"/>
                <w:szCs w:val="20"/>
              </w:rPr>
            </w:pPr>
            <w:r>
              <w:rPr>
                <w:noProof/>
                <w:color w:val="006100"/>
                <w:sz w:val="20"/>
              </w:rPr>
              <w:t>Siht</w:t>
            </w:r>
          </w:p>
        </w:tc>
        <w:tc>
          <w:tcPr>
            <w:tcW w:w="4020" w:type="dxa"/>
            <w:tcBorders>
              <w:top w:val="nil"/>
              <w:left w:val="nil"/>
              <w:bottom w:val="single" w:sz="4" w:space="0" w:color="auto"/>
              <w:right w:val="single" w:sz="4" w:space="0" w:color="auto"/>
            </w:tcBorders>
            <w:shd w:val="clear" w:color="auto" w:fill="C6EFCE"/>
            <w:noWrap/>
            <w:vAlign w:val="center"/>
          </w:tcPr>
          <w:p w14:paraId="24A4B412" w14:textId="77777777" w:rsidR="00A612E2" w:rsidRPr="003B127D" w:rsidRDefault="00A612E2" w:rsidP="00742B81">
            <w:pPr>
              <w:rPr>
                <w:noProof/>
                <w:color w:val="006100"/>
                <w:sz w:val="20"/>
                <w:szCs w:val="20"/>
              </w:rPr>
            </w:pPr>
            <w:r>
              <w:rPr>
                <w:noProof/>
                <w:color w:val="006100"/>
                <w:sz w:val="20"/>
              </w:rPr>
              <w:t>Keskvalitsuste keskmine päevade arv ettevõtete eest tasumiseks on vähenenud</w:t>
            </w:r>
          </w:p>
        </w:tc>
      </w:tr>
      <w:tr w:rsidR="00A612E2" w:rsidRPr="00D90835" w14:paraId="1B428D01"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599AF1F" w14:textId="77777777" w:rsidR="00A612E2" w:rsidRPr="00246CC4" w:rsidRDefault="00A612E2" w:rsidP="00742B81">
            <w:pPr>
              <w:jc w:val="center"/>
              <w:rPr>
                <w:noProof/>
                <w:color w:val="006100"/>
                <w:sz w:val="20"/>
                <w:szCs w:val="20"/>
              </w:rPr>
            </w:pPr>
            <w:r>
              <w:rPr>
                <w:noProof/>
                <w:color w:val="006100"/>
                <w:sz w:val="20"/>
              </w:rPr>
              <w:t>M1C1-77</w:t>
            </w:r>
          </w:p>
        </w:tc>
        <w:tc>
          <w:tcPr>
            <w:tcW w:w="3118" w:type="dxa"/>
            <w:tcBorders>
              <w:top w:val="nil"/>
              <w:left w:val="nil"/>
              <w:bottom w:val="single" w:sz="4" w:space="0" w:color="auto"/>
              <w:right w:val="single" w:sz="4" w:space="0" w:color="auto"/>
            </w:tcBorders>
            <w:shd w:val="clear" w:color="auto" w:fill="C6EFCE"/>
            <w:noWrap/>
            <w:vAlign w:val="center"/>
          </w:tcPr>
          <w:p w14:paraId="53E014A6" w14:textId="77777777" w:rsidR="00A612E2" w:rsidRPr="003B127D" w:rsidRDefault="00A612E2" w:rsidP="00392579">
            <w:pPr>
              <w:rPr>
                <w:noProof/>
                <w:color w:val="006100"/>
                <w:sz w:val="20"/>
                <w:szCs w:val="20"/>
              </w:rPr>
            </w:pPr>
            <w:r>
              <w:rPr>
                <w:noProof/>
                <w:color w:val="006100"/>
                <w:sz w:val="20"/>
              </w:rPr>
              <w:t>Reform 1.11. Avaliku halduse asutuste ja tervishoiuasutuste hilinenud maksete vähendamine</w:t>
            </w:r>
          </w:p>
        </w:tc>
        <w:tc>
          <w:tcPr>
            <w:tcW w:w="1440" w:type="dxa"/>
            <w:tcBorders>
              <w:top w:val="nil"/>
              <w:left w:val="nil"/>
              <w:bottom w:val="single" w:sz="4" w:space="0" w:color="auto"/>
              <w:right w:val="single" w:sz="4" w:space="0" w:color="auto"/>
            </w:tcBorders>
            <w:shd w:val="clear" w:color="auto" w:fill="C6EFCE"/>
            <w:noWrap/>
            <w:vAlign w:val="center"/>
          </w:tcPr>
          <w:p w14:paraId="5684FCB8" w14:textId="77777777" w:rsidR="00A612E2" w:rsidRPr="00246CC4" w:rsidRDefault="00A612E2" w:rsidP="00742B81">
            <w:pPr>
              <w:jc w:val="center"/>
              <w:rPr>
                <w:noProof/>
                <w:color w:val="006100"/>
                <w:sz w:val="20"/>
                <w:szCs w:val="20"/>
              </w:rPr>
            </w:pPr>
            <w:r>
              <w:rPr>
                <w:noProof/>
                <w:color w:val="006100"/>
                <w:sz w:val="20"/>
              </w:rPr>
              <w:t>Siht</w:t>
            </w:r>
          </w:p>
        </w:tc>
        <w:tc>
          <w:tcPr>
            <w:tcW w:w="4020" w:type="dxa"/>
            <w:tcBorders>
              <w:top w:val="nil"/>
              <w:left w:val="nil"/>
              <w:bottom w:val="single" w:sz="4" w:space="0" w:color="auto"/>
              <w:right w:val="single" w:sz="4" w:space="0" w:color="auto"/>
            </w:tcBorders>
            <w:shd w:val="clear" w:color="auto" w:fill="C6EFCE"/>
            <w:noWrap/>
            <w:vAlign w:val="center"/>
          </w:tcPr>
          <w:p w14:paraId="46E00592" w14:textId="77777777" w:rsidR="00A612E2" w:rsidRPr="003B127D" w:rsidRDefault="00A612E2" w:rsidP="00742B81">
            <w:pPr>
              <w:rPr>
                <w:noProof/>
                <w:color w:val="006100"/>
                <w:sz w:val="20"/>
                <w:szCs w:val="20"/>
              </w:rPr>
            </w:pPr>
            <w:r>
              <w:rPr>
                <w:noProof/>
                <w:color w:val="006100"/>
                <w:sz w:val="20"/>
              </w:rPr>
              <w:t>Vähendatakse keskmist päevade arvu, mille jooksul piirkondlikud haldusasutused tasustavad ettevõtteid</w:t>
            </w:r>
          </w:p>
        </w:tc>
      </w:tr>
      <w:tr w:rsidR="00A612E2" w:rsidRPr="00D90835" w14:paraId="6A9C9BE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3282678" w14:textId="77777777" w:rsidR="00A612E2" w:rsidRPr="00246CC4" w:rsidRDefault="00A612E2" w:rsidP="00742B81">
            <w:pPr>
              <w:jc w:val="center"/>
              <w:rPr>
                <w:noProof/>
                <w:color w:val="006100"/>
                <w:sz w:val="20"/>
                <w:szCs w:val="20"/>
              </w:rPr>
            </w:pPr>
            <w:r>
              <w:rPr>
                <w:noProof/>
                <w:color w:val="006100"/>
                <w:sz w:val="20"/>
              </w:rPr>
              <w:t>M1C1-78</w:t>
            </w:r>
          </w:p>
        </w:tc>
        <w:tc>
          <w:tcPr>
            <w:tcW w:w="3118" w:type="dxa"/>
            <w:tcBorders>
              <w:top w:val="nil"/>
              <w:left w:val="nil"/>
              <w:bottom w:val="single" w:sz="4" w:space="0" w:color="auto"/>
              <w:right w:val="single" w:sz="4" w:space="0" w:color="auto"/>
            </w:tcBorders>
            <w:shd w:val="clear" w:color="auto" w:fill="C6EFCE"/>
            <w:noWrap/>
            <w:vAlign w:val="center"/>
          </w:tcPr>
          <w:p w14:paraId="1658B1E6" w14:textId="77777777" w:rsidR="00A612E2" w:rsidRPr="003B127D" w:rsidRDefault="00A612E2" w:rsidP="00392579">
            <w:pPr>
              <w:rPr>
                <w:noProof/>
                <w:color w:val="006100"/>
                <w:sz w:val="20"/>
                <w:szCs w:val="20"/>
              </w:rPr>
            </w:pPr>
            <w:r>
              <w:rPr>
                <w:noProof/>
                <w:color w:val="006100"/>
                <w:sz w:val="20"/>
              </w:rPr>
              <w:t>Reform 1.11. Avaliku halduse asutuste ja tervishoiuasutuste hilinenud maksete vähendamine</w:t>
            </w:r>
          </w:p>
        </w:tc>
        <w:tc>
          <w:tcPr>
            <w:tcW w:w="1440" w:type="dxa"/>
            <w:tcBorders>
              <w:top w:val="nil"/>
              <w:left w:val="nil"/>
              <w:bottom w:val="single" w:sz="4" w:space="0" w:color="auto"/>
              <w:right w:val="single" w:sz="4" w:space="0" w:color="auto"/>
            </w:tcBorders>
            <w:shd w:val="clear" w:color="auto" w:fill="C6EFCE"/>
            <w:noWrap/>
            <w:vAlign w:val="center"/>
          </w:tcPr>
          <w:p w14:paraId="63AD7209" w14:textId="77777777" w:rsidR="00A612E2" w:rsidRPr="00246CC4" w:rsidRDefault="00A612E2" w:rsidP="00742B81">
            <w:pPr>
              <w:jc w:val="center"/>
              <w:rPr>
                <w:noProof/>
                <w:color w:val="006100"/>
                <w:sz w:val="20"/>
                <w:szCs w:val="20"/>
              </w:rPr>
            </w:pPr>
            <w:r>
              <w:rPr>
                <w:noProof/>
                <w:color w:val="006100"/>
                <w:sz w:val="20"/>
              </w:rPr>
              <w:t>Siht</w:t>
            </w:r>
          </w:p>
        </w:tc>
        <w:tc>
          <w:tcPr>
            <w:tcW w:w="4020" w:type="dxa"/>
            <w:tcBorders>
              <w:top w:val="nil"/>
              <w:left w:val="nil"/>
              <w:bottom w:val="single" w:sz="4" w:space="0" w:color="auto"/>
              <w:right w:val="single" w:sz="4" w:space="0" w:color="auto"/>
            </w:tcBorders>
            <w:shd w:val="clear" w:color="auto" w:fill="C6EFCE"/>
            <w:noWrap/>
            <w:vAlign w:val="center"/>
          </w:tcPr>
          <w:p w14:paraId="0FFCA6ED" w14:textId="77777777" w:rsidR="00A612E2" w:rsidRPr="003B127D" w:rsidRDefault="00A612E2" w:rsidP="00742B81">
            <w:pPr>
              <w:rPr>
                <w:noProof/>
                <w:color w:val="006100"/>
                <w:sz w:val="20"/>
                <w:szCs w:val="20"/>
              </w:rPr>
            </w:pPr>
            <w:r>
              <w:rPr>
                <w:noProof/>
                <w:color w:val="006100"/>
                <w:sz w:val="20"/>
              </w:rPr>
              <w:t>Kohalike haldusasutuste keskmine päevade arv ettevõtete eest tasumiseks on vähenenud</w:t>
            </w:r>
          </w:p>
        </w:tc>
      </w:tr>
      <w:tr w:rsidR="00A612E2" w:rsidRPr="00D90835" w14:paraId="665533F4"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515C38A" w14:textId="77777777" w:rsidR="00A612E2" w:rsidRPr="00246CC4" w:rsidRDefault="00A612E2" w:rsidP="00742B81">
            <w:pPr>
              <w:jc w:val="center"/>
              <w:rPr>
                <w:noProof/>
                <w:color w:val="006100"/>
                <w:sz w:val="20"/>
                <w:szCs w:val="20"/>
              </w:rPr>
            </w:pPr>
            <w:r>
              <w:rPr>
                <w:noProof/>
                <w:color w:val="006100"/>
                <w:sz w:val="20"/>
              </w:rPr>
              <w:t>M1C1-79</w:t>
            </w:r>
          </w:p>
        </w:tc>
        <w:tc>
          <w:tcPr>
            <w:tcW w:w="3118" w:type="dxa"/>
            <w:tcBorders>
              <w:top w:val="nil"/>
              <w:left w:val="nil"/>
              <w:bottom w:val="single" w:sz="4" w:space="0" w:color="auto"/>
              <w:right w:val="single" w:sz="4" w:space="0" w:color="auto"/>
            </w:tcBorders>
            <w:shd w:val="clear" w:color="auto" w:fill="C6EFCE"/>
            <w:noWrap/>
            <w:vAlign w:val="center"/>
          </w:tcPr>
          <w:p w14:paraId="7EFB37B5" w14:textId="77777777" w:rsidR="00A612E2" w:rsidRPr="003B127D" w:rsidRDefault="00A612E2" w:rsidP="00392579">
            <w:pPr>
              <w:rPr>
                <w:noProof/>
                <w:color w:val="006100"/>
                <w:sz w:val="20"/>
                <w:szCs w:val="20"/>
              </w:rPr>
            </w:pPr>
            <w:r>
              <w:rPr>
                <w:noProof/>
                <w:color w:val="006100"/>
                <w:sz w:val="20"/>
              </w:rPr>
              <w:t>Reform 1.11. Avaliku halduse asutuste ja tervishoiuasutuste hilinenud maksete vähendamine</w:t>
            </w:r>
          </w:p>
        </w:tc>
        <w:tc>
          <w:tcPr>
            <w:tcW w:w="1440" w:type="dxa"/>
            <w:tcBorders>
              <w:top w:val="nil"/>
              <w:left w:val="nil"/>
              <w:bottom w:val="single" w:sz="4" w:space="0" w:color="auto"/>
              <w:right w:val="single" w:sz="4" w:space="0" w:color="auto"/>
            </w:tcBorders>
            <w:shd w:val="clear" w:color="auto" w:fill="C6EFCE"/>
            <w:noWrap/>
            <w:vAlign w:val="center"/>
          </w:tcPr>
          <w:p w14:paraId="06950BE6" w14:textId="77777777" w:rsidR="00A612E2" w:rsidRPr="00246CC4" w:rsidRDefault="00A612E2" w:rsidP="00742B81">
            <w:pPr>
              <w:jc w:val="center"/>
              <w:rPr>
                <w:noProof/>
                <w:color w:val="006100"/>
                <w:sz w:val="20"/>
                <w:szCs w:val="20"/>
              </w:rPr>
            </w:pPr>
            <w:r>
              <w:rPr>
                <w:noProof/>
                <w:color w:val="006100"/>
                <w:sz w:val="20"/>
              </w:rPr>
              <w:t>Siht</w:t>
            </w:r>
          </w:p>
        </w:tc>
        <w:tc>
          <w:tcPr>
            <w:tcW w:w="4020" w:type="dxa"/>
            <w:tcBorders>
              <w:top w:val="nil"/>
              <w:left w:val="nil"/>
              <w:bottom w:val="single" w:sz="4" w:space="0" w:color="auto"/>
              <w:right w:val="single" w:sz="4" w:space="0" w:color="auto"/>
            </w:tcBorders>
            <w:shd w:val="clear" w:color="auto" w:fill="C6EFCE"/>
            <w:noWrap/>
            <w:vAlign w:val="center"/>
          </w:tcPr>
          <w:p w14:paraId="1EF634D3" w14:textId="77777777" w:rsidR="00A612E2" w:rsidRPr="003B127D" w:rsidRDefault="00A612E2" w:rsidP="00742B81">
            <w:pPr>
              <w:rPr>
                <w:noProof/>
                <w:color w:val="006100"/>
                <w:sz w:val="20"/>
                <w:szCs w:val="20"/>
              </w:rPr>
            </w:pPr>
            <w:r>
              <w:rPr>
                <w:noProof/>
                <w:color w:val="006100"/>
                <w:sz w:val="20"/>
              </w:rPr>
              <w:t>Riiklike tervishoiuasutuste keskmine päevade arv ettevõtjate tasustamiseks on vähenenud</w:t>
            </w:r>
          </w:p>
        </w:tc>
      </w:tr>
      <w:tr w:rsidR="00A612E2" w:rsidRPr="00D90835" w14:paraId="25D7B945"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DB70568" w14:textId="77777777" w:rsidR="00A612E2" w:rsidRPr="00246CC4" w:rsidRDefault="00A612E2" w:rsidP="00742B81">
            <w:pPr>
              <w:jc w:val="center"/>
              <w:rPr>
                <w:noProof/>
                <w:color w:val="006100"/>
                <w:sz w:val="20"/>
                <w:szCs w:val="20"/>
              </w:rPr>
            </w:pPr>
            <w:r>
              <w:rPr>
                <w:noProof/>
                <w:color w:val="006100"/>
                <w:sz w:val="20"/>
              </w:rPr>
              <w:t>M1C1-80</w:t>
            </w:r>
          </w:p>
        </w:tc>
        <w:tc>
          <w:tcPr>
            <w:tcW w:w="3118" w:type="dxa"/>
            <w:tcBorders>
              <w:top w:val="nil"/>
              <w:left w:val="nil"/>
              <w:bottom w:val="single" w:sz="4" w:space="0" w:color="auto"/>
              <w:right w:val="single" w:sz="4" w:space="0" w:color="auto"/>
            </w:tcBorders>
            <w:shd w:val="clear" w:color="auto" w:fill="C6EFCE"/>
            <w:noWrap/>
            <w:vAlign w:val="center"/>
          </w:tcPr>
          <w:p w14:paraId="21576AF5" w14:textId="77777777" w:rsidR="00A612E2" w:rsidRPr="003B127D" w:rsidRDefault="00A612E2" w:rsidP="00392579">
            <w:pPr>
              <w:rPr>
                <w:noProof/>
                <w:color w:val="006100"/>
                <w:sz w:val="20"/>
                <w:szCs w:val="20"/>
              </w:rPr>
            </w:pPr>
            <w:r>
              <w:rPr>
                <w:noProof/>
                <w:color w:val="006100"/>
                <w:sz w:val="20"/>
              </w:rPr>
              <w:t>Reform 1.11. Avaliku halduse asutuste ja tervishoiuasutuste hilinenud maksete vähendamine</w:t>
            </w:r>
          </w:p>
        </w:tc>
        <w:tc>
          <w:tcPr>
            <w:tcW w:w="1440" w:type="dxa"/>
            <w:tcBorders>
              <w:top w:val="nil"/>
              <w:left w:val="nil"/>
              <w:bottom w:val="single" w:sz="4" w:space="0" w:color="auto"/>
              <w:right w:val="single" w:sz="4" w:space="0" w:color="auto"/>
            </w:tcBorders>
            <w:shd w:val="clear" w:color="auto" w:fill="C6EFCE"/>
            <w:noWrap/>
            <w:vAlign w:val="center"/>
          </w:tcPr>
          <w:p w14:paraId="31AEFC5E" w14:textId="77777777" w:rsidR="00A612E2" w:rsidRPr="00246CC4" w:rsidRDefault="00A612E2" w:rsidP="00742B81">
            <w:pPr>
              <w:jc w:val="center"/>
              <w:rPr>
                <w:noProof/>
                <w:color w:val="006100"/>
                <w:sz w:val="20"/>
                <w:szCs w:val="20"/>
              </w:rPr>
            </w:pPr>
            <w:r>
              <w:rPr>
                <w:noProof/>
                <w:color w:val="006100"/>
                <w:sz w:val="20"/>
              </w:rPr>
              <w:t>Siht</w:t>
            </w:r>
          </w:p>
        </w:tc>
        <w:tc>
          <w:tcPr>
            <w:tcW w:w="4020" w:type="dxa"/>
            <w:tcBorders>
              <w:top w:val="nil"/>
              <w:left w:val="nil"/>
              <w:bottom w:val="single" w:sz="4" w:space="0" w:color="auto"/>
              <w:right w:val="single" w:sz="4" w:space="0" w:color="auto"/>
            </w:tcBorders>
            <w:shd w:val="clear" w:color="auto" w:fill="C6EFCE"/>
            <w:noWrap/>
            <w:vAlign w:val="center"/>
          </w:tcPr>
          <w:p w14:paraId="211460F1" w14:textId="77777777" w:rsidR="00A612E2" w:rsidRPr="003B127D" w:rsidRDefault="00A612E2" w:rsidP="00742B81">
            <w:pPr>
              <w:rPr>
                <w:noProof/>
                <w:color w:val="006100"/>
                <w:sz w:val="20"/>
                <w:szCs w:val="20"/>
              </w:rPr>
            </w:pPr>
            <w:r>
              <w:rPr>
                <w:noProof/>
                <w:color w:val="006100"/>
                <w:sz w:val="20"/>
              </w:rPr>
              <w:t>Vähendatakse keskvalitsuste poolt ettevõtjatele maksmisega viivitatud päevade keskmist arvu</w:t>
            </w:r>
          </w:p>
        </w:tc>
      </w:tr>
      <w:tr w:rsidR="00A612E2" w:rsidRPr="00D90835" w14:paraId="01BEBC33"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FEB5CFD" w14:textId="77777777" w:rsidR="00A612E2" w:rsidRPr="00246CC4" w:rsidRDefault="00A612E2" w:rsidP="00742B81">
            <w:pPr>
              <w:jc w:val="center"/>
              <w:rPr>
                <w:noProof/>
                <w:color w:val="006100"/>
                <w:sz w:val="20"/>
                <w:szCs w:val="20"/>
              </w:rPr>
            </w:pPr>
            <w:r>
              <w:rPr>
                <w:noProof/>
                <w:color w:val="006100"/>
                <w:sz w:val="20"/>
              </w:rPr>
              <w:t>M1C1-81</w:t>
            </w:r>
          </w:p>
        </w:tc>
        <w:tc>
          <w:tcPr>
            <w:tcW w:w="3118" w:type="dxa"/>
            <w:tcBorders>
              <w:top w:val="nil"/>
              <w:left w:val="nil"/>
              <w:bottom w:val="single" w:sz="4" w:space="0" w:color="auto"/>
              <w:right w:val="single" w:sz="4" w:space="0" w:color="auto"/>
            </w:tcBorders>
            <w:shd w:val="clear" w:color="auto" w:fill="C6EFCE"/>
            <w:noWrap/>
            <w:vAlign w:val="center"/>
          </w:tcPr>
          <w:p w14:paraId="635B3657" w14:textId="77777777" w:rsidR="00A612E2" w:rsidRPr="003B127D" w:rsidRDefault="00A612E2" w:rsidP="00392579">
            <w:pPr>
              <w:rPr>
                <w:noProof/>
                <w:color w:val="006100"/>
                <w:sz w:val="20"/>
                <w:szCs w:val="20"/>
              </w:rPr>
            </w:pPr>
            <w:r>
              <w:rPr>
                <w:noProof/>
                <w:color w:val="006100"/>
                <w:sz w:val="20"/>
              </w:rPr>
              <w:t>Reform 1.11. Avaliku halduse asutuste ja tervishoiuasutuste hilinenud maksete vähendamine</w:t>
            </w:r>
          </w:p>
        </w:tc>
        <w:tc>
          <w:tcPr>
            <w:tcW w:w="1440" w:type="dxa"/>
            <w:tcBorders>
              <w:top w:val="nil"/>
              <w:left w:val="nil"/>
              <w:bottom w:val="single" w:sz="4" w:space="0" w:color="auto"/>
              <w:right w:val="single" w:sz="4" w:space="0" w:color="auto"/>
            </w:tcBorders>
            <w:shd w:val="clear" w:color="auto" w:fill="C6EFCE"/>
            <w:noWrap/>
            <w:vAlign w:val="center"/>
          </w:tcPr>
          <w:p w14:paraId="3D409F0B" w14:textId="77777777" w:rsidR="00A612E2" w:rsidRPr="00246CC4" w:rsidRDefault="00A612E2" w:rsidP="00742B81">
            <w:pPr>
              <w:jc w:val="center"/>
              <w:rPr>
                <w:noProof/>
                <w:color w:val="006100"/>
                <w:sz w:val="20"/>
                <w:szCs w:val="20"/>
              </w:rPr>
            </w:pPr>
            <w:r>
              <w:rPr>
                <w:noProof/>
                <w:color w:val="006100"/>
                <w:sz w:val="20"/>
              </w:rPr>
              <w:t>Siht</w:t>
            </w:r>
          </w:p>
        </w:tc>
        <w:tc>
          <w:tcPr>
            <w:tcW w:w="4020" w:type="dxa"/>
            <w:tcBorders>
              <w:top w:val="nil"/>
              <w:left w:val="nil"/>
              <w:bottom w:val="single" w:sz="4" w:space="0" w:color="auto"/>
              <w:right w:val="single" w:sz="4" w:space="0" w:color="auto"/>
            </w:tcBorders>
            <w:shd w:val="clear" w:color="auto" w:fill="C6EFCE"/>
            <w:noWrap/>
            <w:vAlign w:val="center"/>
          </w:tcPr>
          <w:p w14:paraId="73223100" w14:textId="77777777" w:rsidR="00A612E2" w:rsidRPr="003B127D" w:rsidRDefault="00A612E2" w:rsidP="00742B81">
            <w:pPr>
              <w:rPr>
                <w:noProof/>
                <w:color w:val="006100"/>
                <w:sz w:val="20"/>
                <w:szCs w:val="20"/>
              </w:rPr>
            </w:pPr>
            <w:r>
              <w:rPr>
                <w:noProof/>
                <w:color w:val="006100"/>
                <w:sz w:val="20"/>
              </w:rPr>
              <w:t>Vähendatakse piirkondlike haldusasutuste poolt ettevõtetele maksmisega viivitatud päevade keskmist arvu</w:t>
            </w:r>
          </w:p>
        </w:tc>
      </w:tr>
      <w:tr w:rsidR="00A612E2" w:rsidRPr="00D90835" w14:paraId="4503E5A1"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D4692EC" w14:textId="77777777" w:rsidR="00A612E2" w:rsidRPr="00246CC4" w:rsidRDefault="00A612E2" w:rsidP="00742B81">
            <w:pPr>
              <w:jc w:val="center"/>
              <w:rPr>
                <w:noProof/>
                <w:color w:val="006100"/>
                <w:sz w:val="20"/>
                <w:szCs w:val="20"/>
              </w:rPr>
            </w:pPr>
            <w:r>
              <w:rPr>
                <w:noProof/>
                <w:color w:val="006100"/>
                <w:sz w:val="20"/>
              </w:rPr>
              <w:t>M1C1-82</w:t>
            </w:r>
          </w:p>
        </w:tc>
        <w:tc>
          <w:tcPr>
            <w:tcW w:w="3118" w:type="dxa"/>
            <w:tcBorders>
              <w:top w:val="nil"/>
              <w:left w:val="nil"/>
              <w:bottom w:val="single" w:sz="4" w:space="0" w:color="auto"/>
              <w:right w:val="single" w:sz="4" w:space="0" w:color="auto"/>
            </w:tcBorders>
            <w:shd w:val="clear" w:color="auto" w:fill="C6EFCE"/>
            <w:noWrap/>
            <w:vAlign w:val="center"/>
          </w:tcPr>
          <w:p w14:paraId="677F2986" w14:textId="77777777" w:rsidR="00A612E2" w:rsidRPr="003B127D" w:rsidRDefault="00A612E2" w:rsidP="00392579">
            <w:pPr>
              <w:rPr>
                <w:noProof/>
                <w:color w:val="006100"/>
                <w:sz w:val="20"/>
                <w:szCs w:val="20"/>
              </w:rPr>
            </w:pPr>
            <w:r>
              <w:rPr>
                <w:noProof/>
                <w:color w:val="006100"/>
                <w:sz w:val="20"/>
              </w:rPr>
              <w:t>Reform 1.11. Avaliku halduse asutuste ja tervishoiuasutuste hilinenud maksete vähendamine</w:t>
            </w:r>
          </w:p>
        </w:tc>
        <w:tc>
          <w:tcPr>
            <w:tcW w:w="1440" w:type="dxa"/>
            <w:tcBorders>
              <w:top w:val="nil"/>
              <w:left w:val="nil"/>
              <w:bottom w:val="single" w:sz="4" w:space="0" w:color="auto"/>
              <w:right w:val="single" w:sz="4" w:space="0" w:color="auto"/>
            </w:tcBorders>
            <w:shd w:val="clear" w:color="auto" w:fill="C6EFCE"/>
            <w:noWrap/>
            <w:vAlign w:val="center"/>
          </w:tcPr>
          <w:p w14:paraId="1468D696" w14:textId="77777777" w:rsidR="00A612E2" w:rsidRPr="00246CC4" w:rsidRDefault="00A612E2" w:rsidP="00742B81">
            <w:pPr>
              <w:jc w:val="center"/>
              <w:rPr>
                <w:noProof/>
                <w:color w:val="006100"/>
                <w:sz w:val="20"/>
                <w:szCs w:val="20"/>
              </w:rPr>
            </w:pPr>
            <w:r>
              <w:rPr>
                <w:noProof/>
                <w:color w:val="006100"/>
                <w:sz w:val="20"/>
              </w:rPr>
              <w:t>Siht</w:t>
            </w:r>
          </w:p>
        </w:tc>
        <w:tc>
          <w:tcPr>
            <w:tcW w:w="4020" w:type="dxa"/>
            <w:tcBorders>
              <w:top w:val="nil"/>
              <w:left w:val="nil"/>
              <w:bottom w:val="single" w:sz="4" w:space="0" w:color="auto"/>
              <w:right w:val="single" w:sz="4" w:space="0" w:color="auto"/>
            </w:tcBorders>
            <w:shd w:val="clear" w:color="auto" w:fill="C6EFCE"/>
            <w:noWrap/>
            <w:vAlign w:val="center"/>
          </w:tcPr>
          <w:p w14:paraId="14FCE5AD" w14:textId="77777777" w:rsidR="00A612E2" w:rsidRPr="003B127D" w:rsidRDefault="00A612E2" w:rsidP="00742B81">
            <w:pPr>
              <w:rPr>
                <w:noProof/>
                <w:color w:val="006100"/>
                <w:sz w:val="20"/>
                <w:szCs w:val="20"/>
              </w:rPr>
            </w:pPr>
            <w:r>
              <w:rPr>
                <w:noProof/>
                <w:color w:val="006100"/>
                <w:sz w:val="20"/>
              </w:rPr>
              <w:t>Kohalike haldusasutuste poolt ettevõtjatele maksmisega viivitatud päevade keskmine arv on väiksem</w:t>
            </w:r>
          </w:p>
        </w:tc>
      </w:tr>
      <w:tr w:rsidR="00A612E2" w:rsidRPr="00D90835" w14:paraId="0D48867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18D2BC7" w14:textId="77777777" w:rsidR="00A612E2" w:rsidRPr="00246CC4" w:rsidRDefault="00A612E2" w:rsidP="00742B81">
            <w:pPr>
              <w:jc w:val="center"/>
              <w:rPr>
                <w:noProof/>
                <w:color w:val="006100"/>
                <w:sz w:val="20"/>
                <w:szCs w:val="20"/>
              </w:rPr>
            </w:pPr>
            <w:r>
              <w:rPr>
                <w:noProof/>
                <w:color w:val="006100"/>
                <w:sz w:val="20"/>
              </w:rPr>
              <w:t>M1C1-83</w:t>
            </w:r>
          </w:p>
        </w:tc>
        <w:tc>
          <w:tcPr>
            <w:tcW w:w="3118" w:type="dxa"/>
            <w:tcBorders>
              <w:top w:val="nil"/>
              <w:left w:val="nil"/>
              <w:bottom w:val="single" w:sz="4" w:space="0" w:color="auto"/>
              <w:right w:val="single" w:sz="4" w:space="0" w:color="auto"/>
            </w:tcBorders>
            <w:shd w:val="clear" w:color="auto" w:fill="C6EFCE"/>
            <w:noWrap/>
            <w:vAlign w:val="center"/>
          </w:tcPr>
          <w:p w14:paraId="5FD54669" w14:textId="77777777" w:rsidR="00A612E2" w:rsidRPr="003B127D" w:rsidRDefault="00A612E2" w:rsidP="00392579">
            <w:pPr>
              <w:rPr>
                <w:noProof/>
                <w:color w:val="006100"/>
                <w:sz w:val="20"/>
                <w:szCs w:val="20"/>
              </w:rPr>
            </w:pPr>
            <w:r>
              <w:rPr>
                <w:noProof/>
                <w:color w:val="006100"/>
                <w:sz w:val="20"/>
              </w:rPr>
              <w:t>Reform 1.11. Avaliku halduse asutuste ja tervishoiuasutuste hilinenud maksete vähendamine</w:t>
            </w:r>
          </w:p>
        </w:tc>
        <w:tc>
          <w:tcPr>
            <w:tcW w:w="1440" w:type="dxa"/>
            <w:tcBorders>
              <w:top w:val="nil"/>
              <w:left w:val="nil"/>
              <w:bottom w:val="single" w:sz="4" w:space="0" w:color="auto"/>
              <w:right w:val="single" w:sz="4" w:space="0" w:color="auto"/>
            </w:tcBorders>
            <w:shd w:val="clear" w:color="auto" w:fill="C6EFCE"/>
            <w:noWrap/>
            <w:vAlign w:val="center"/>
          </w:tcPr>
          <w:p w14:paraId="13FB112D" w14:textId="77777777" w:rsidR="00A612E2" w:rsidRPr="00246CC4" w:rsidRDefault="00A612E2" w:rsidP="00742B81">
            <w:pPr>
              <w:jc w:val="center"/>
              <w:rPr>
                <w:noProof/>
                <w:color w:val="006100"/>
                <w:sz w:val="20"/>
                <w:szCs w:val="20"/>
              </w:rPr>
            </w:pPr>
            <w:r>
              <w:rPr>
                <w:noProof/>
                <w:color w:val="006100"/>
                <w:sz w:val="20"/>
              </w:rPr>
              <w:t>Siht</w:t>
            </w:r>
          </w:p>
        </w:tc>
        <w:tc>
          <w:tcPr>
            <w:tcW w:w="4020" w:type="dxa"/>
            <w:tcBorders>
              <w:top w:val="nil"/>
              <w:left w:val="nil"/>
              <w:bottom w:val="single" w:sz="4" w:space="0" w:color="auto"/>
              <w:right w:val="single" w:sz="4" w:space="0" w:color="auto"/>
            </w:tcBorders>
            <w:shd w:val="clear" w:color="auto" w:fill="C6EFCE"/>
            <w:noWrap/>
            <w:vAlign w:val="center"/>
          </w:tcPr>
          <w:p w14:paraId="21CE9576" w14:textId="77777777" w:rsidR="00A612E2" w:rsidRPr="003B127D" w:rsidRDefault="00A612E2" w:rsidP="00742B81">
            <w:pPr>
              <w:rPr>
                <w:noProof/>
                <w:color w:val="006100"/>
                <w:sz w:val="20"/>
                <w:szCs w:val="20"/>
              </w:rPr>
            </w:pPr>
            <w:r>
              <w:rPr>
                <w:noProof/>
                <w:color w:val="006100"/>
                <w:sz w:val="20"/>
              </w:rPr>
              <w:t>Tervishoiuasutuste poolt ettevõtjatele maksmisega viivitatud päevade keskmine arv on vähenenud</w:t>
            </w:r>
          </w:p>
        </w:tc>
      </w:tr>
      <w:tr w:rsidR="00A612E2" w:rsidRPr="00D90835" w14:paraId="6889278B"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25C5336" w14:textId="77777777" w:rsidR="00A612E2" w:rsidRPr="00246CC4" w:rsidRDefault="00A612E2" w:rsidP="00742B81">
            <w:pPr>
              <w:jc w:val="center"/>
              <w:rPr>
                <w:noProof/>
                <w:color w:val="006100"/>
                <w:sz w:val="20"/>
                <w:szCs w:val="20"/>
              </w:rPr>
            </w:pPr>
            <w:r>
              <w:rPr>
                <w:noProof/>
                <w:color w:val="006100"/>
                <w:sz w:val="20"/>
              </w:rPr>
              <w:t>M1C1-25</w:t>
            </w:r>
          </w:p>
        </w:tc>
        <w:tc>
          <w:tcPr>
            <w:tcW w:w="3118" w:type="dxa"/>
            <w:tcBorders>
              <w:top w:val="nil"/>
              <w:left w:val="nil"/>
              <w:bottom w:val="single" w:sz="4" w:space="0" w:color="auto"/>
              <w:right w:val="single" w:sz="4" w:space="0" w:color="auto"/>
            </w:tcBorders>
            <w:shd w:val="clear" w:color="auto" w:fill="C6EFCE"/>
            <w:noWrap/>
            <w:vAlign w:val="center"/>
          </w:tcPr>
          <w:p w14:paraId="1AF10461" w14:textId="77777777" w:rsidR="00A612E2" w:rsidRPr="003B127D" w:rsidRDefault="00A612E2" w:rsidP="00392579">
            <w:pPr>
              <w:rPr>
                <w:noProof/>
                <w:color w:val="006100"/>
                <w:sz w:val="20"/>
                <w:szCs w:val="20"/>
              </w:rPr>
            </w:pPr>
            <w:r>
              <w:rPr>
                <w:noProof/>
                <w:color w:val="006100"/>
                <w:sz w:val="20"/>
              </w:rPr>
              <w:t>Investeering 1.6.6. Finantspolitsei digiteerimine</w:t>
            </w:r>
          </w:p>
        </w:tc>
        <w:tc>
          <w:tcPr>
            <w:tcW w:w="1440" w:type="dxa"/>
            <w:tcBorders>
              <w:top w:val="nil"/>
              <w:left w:val="nil"/>
              <w:bottom w:val="single" w:sz="4" w:space="0" w:color="auto"/>
              <w:right w:val="single" w:sz="4" w:space="0" w:color="auto"/>
            </w:tcBorders>
            <w:shd w:val="clear" w:color="auto" w:fill="C6EFCE"/>
            <w:noWrap/>
            <w:vAlign w:val="center"/>
          </w:tcPr>
          <w:p w14:paraId="2B41B4D6" w14:textId="77777777" w:rsidR="00A612E2" w:rsidRPr="00246CC4" w:rsidRDefault="00A612E2" w:rsidP="00742B81">
            <w:pPr>
              <w:jc w:val="center"/>
              <w:rPr>
                <w:noProof/>
                <w:color w:val="006100"/>
                <w:sz w:val="20"/>
                <w:szCs w:val="20"/>
              </w:rPr>
            </w:pPr>
            <w:r>
              <w:rPr>
                <w:noProof/>
                <w:color w:val="006100"/>
                <w:sz w:val="20"/>
              </w:rPr>
              <w:t>Eesmärk</w:t>
            </w:r>
          </w:p>
        </w:tc>
        <w:tc>
          <w:tcPr>
            <w:tcW w:w="4020" w:type="dxa"/>
            <w:tcBorders>
              <w:top w:val="nil"/>
              <w:left w:val="nil"/>
              <w:bottom w:val="single" w:sz="4" w:space="0" w:color="auto"/>
              <w:right w:val="single" w:sz="4" w:space="0" w:color="auto"/>
            </w:tcBorders>
            <w:shd w:val="clear" w:color="auto" w:fill="C6EFCE"/>
            <w:noWrap/>
            <w:vAlign w:val="center"/>
          </w:tcPr>
          <w:p w14:paraId="12C3470B" w14:textId="77777777" w:rsidR="00A612E2" w:rsidRPr="003B127D" w:rsidRDefault="00A612E2" w:rsidP="00742B81">
            <w:pPr>
              <w:rPr>
                <w:noProof/>
                <w:color w:val="006100"/>
                <w:sz w:val="20"/>
                <w:szCs w:val="20"/>
              </w:rPr>
            </w:pPr>
            <w:r>
              <w:rPr>
                <w:noProof/>
                <w:color w:val="006100"/>
                <w:sz w:val="20"/>
              </w:rPr>
              <w:t>Arendada toimivaid infosüsteeme, mida kasutatakse majanduskuritegevuse vastu võitlemiseks</w:t>
            </w:r>
          </w:p>
        </w:tc>
      </w:tr>
      <w:tr w:rsidR="00A612E2" w:rsidRPr="00D90835" w14:paraId="53471FF8"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0BEE253" w14:textId="77777777" w:rsidR="00A612E2" w:rsidRPr="00246CC4" w:rsidRDefault="00A612E2" w:rsidP="00742B81">
            <w:pPr>
              <w:jc w:val="center"/>
              <w:rPr>
                <w:noProof/>
                <w:color w:val="006100"/>
                <w:sz w:val="20"/>
                <w:szCs w:val="20"/>
              </w:rPr>
            </w:pPr>
            <w:r>
              <w:rPr>
                <w:noProof/>
                <w:color w:val="006100"/>
                <w:sz w:val="20"/>
              </w:rPr>
              <w:t>M1C1-61</w:t>
            </w:r>
          </w:p>
        </w:tc>
        <w:tc>
          <w:tcPr>
            <w:tcW w:w="3118" w:type="dxa"/>
            <w:tcBorders>
              <w:top w:val="nil"/>
              <w:left w:val="nil"/>
              <w:bottom w:val="single" w:sz="4" w:space="0" w:color="auto"/>
              <w:right w:val="single" w:sz="4" w:space="0" w:color="auto"/>
            </w:tcBorders>
            <w:shd w:val="clear" w:color="auto" w:fill="C6EFCE"/>
            <w:noWrap/>
            <w:vAlign w:val="center"/>
          </w:tcPr>
          <w:p w14:paraId="65FD7A65" w14:textId="77777777" w:rsidR="00A612E2" w:rsidRPr="003B127D" w:rsidRDefault="00A612E2" w:rsidP="00392579">
            <w:pPr>
              <w:rPr>
                <w:noProof/>
                <w:color w:val="006100"/>
                <w:sz w:val="20"/>
                <w:szCs w:val="20"/>
              </w:rPr>
            </w:pPr>
            <w:r>
              <w:rPr>
                <w:noProof/>
                <w:color w:val="006100"/>
                <w:sz w:val="20"/>
              </w:rPr>
              <w:t>Reform 1.9. Avaliku halduse reform</w:t>
            </w:r>
          </w:p>
        </w:tc>
        <w:tc>
          <w:tcPr>
            <w:tcW w:w="1440" w:type="dxa"/>
            <w:tcBorders>
              <w:top w:val="nil"/>
              <w:left w:val="nil"/>
              <w:bottom w:val="single" w:sz="4" w:space="0" w:color="auto"/>
              <w:right w:val="single" w:sz="4" w:space="0" w:color="auto"/>
            </w:tcBorders>
            <w:shd w:val="clear" w:color="auto" w:fill="C6EFCE"/>
            <w:noWrap/>
            <w:vAlign w:val="center"/>
          </w:tcPr>
          <w:p w14:paraId="484D526D" w14:textId="77777777" w:rsidR="00A612E2" w:rsidRPr="00246CC4" w:rsidRDefault="00A612E2" w:rsidP="00742B81">
            <w:pPr>
              <w:jc w:val="center"/>
              <w:rPr>
                <w:noProof/>
                <w:color w:val="006100"/>
                <w:sz w:val="20"/>
                <w:szCs w:val="20"/>
              </w:rPr>
            </w:pPr>
            <w:r>
              <w:rPr>
                <w:noProof/>
                <w:color w:val="006100"/>
                <w:sz w:val="20"/>
              </w:rPr>
              <w:t>Eesmärk</w:t>
            </w:r>
          </w:p>
        </w:tc>
        <w:tc>
          <w:tcPr>
            <w:tcW w:w="4020" w:type="dxa"/>
            <w:tcBorders>
              <w:top w:val="nil"/>
              <w:left w:val="nil"/>
              <w:bottom w:val="single" w:sz="4" w:space="0" w:color="auto"/>
              <w:right w:val="single" w:sz="4" w:space="0" w:color="auto"/>
            </w:tcBorders>
            <w:shd w:val="clear" w:color="auto" w:fill="C6EFCE"/>
            <w:noWrap/>
            <w:vAlign w:val="center"/>
          </w:tcPr>
          <w:p w14:paraId="5960025A" w14:textId="77777777" w:rsidR="00A612E2" w:rsidRPr="003B127D" w:rsidRDefault="00A612E2" w:rsidP="00742B81">
            <w:pPr>
              <w:rPr>
                <w:noProof/>
                <w:color w:val="006100"/>
                <w:sz w:val="20"/>
                <w:szCs w:val="20"/>
              </w:rPr>
            </w:pPr>
            <w:r>
              <w:rPr>
                <w:noProof/>
                <w:color w:val="006100"/>
                <w:sz w:val="20"/>
              </w:rPr>
              <w:t>Kodanikke otseselt mõjutava 50 kriitilise menetluse lihtsustamise ja/või digitaliseerimise lõpuleviimine (sealhulgas kõik delegeeritud õigusaktid)</w:t>
            </w:r>
          </w:p>
        </w:tc>
      </w:tr>
      <w:tr w:rsidR="00A612E2" w:rsidRPr="00246CC4" w14:paraId="6EB8764D"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AA24ECC" w14:textId="77777777" w:rsidR="00A612E2" w:rsidRPr="00246CC4" w:rsidRDefault="00A612E2" w:rsidP="00742B81">
            <w:pPr>
              <w:jc w:val="center"/>
              <w:rPr>
                <w:noProof/>
                <w:color w:val="006100"/>
                <w:sz w:val="20"/>
                <w:szCs w:val="20"/>
              </w:rPr>
            </w:pPr>
            <w:r>
              <w:rPr>
                <w:noProof/>
                <w:color w:val="006100"/>
                <w:sz w:val="20"/>
              </w:rPr>
              <w:t>M1C1-62</w:t>
            </w:r>
          </w:p>
        </w:tc>
        <w:tc>
          <w:tcPr>
            <w:tcW w:w="3118" w:type="dxa"/>
            <w:tcBorders>
              <w:top w:val="nil"/>
              <w:left w:val="nil"/>
              <w:bottom w:val="single" w:sz="4" w:space="0" w:color="auto"/>
              <w:right w:val="single" w:sz="4" w:space="0" w:color="auto"/>
            </w:tcBorders>
            <w:shd w:val="clear" w:color="auto" w:fill="C6EFCE"/>
            <w:noWrap/>
            <w:vAlign w:val="center"/>
          </w:tcPr>
          <w:p w14:paraId="6FB5E2EA" w14:textId="77777777" w:rsidR="00A612E2" w:rsidRPr="003B127D" w:rsidRDefault="00A612E2" w:rsidP="00392579">
            <w:pPr>
              <w:rPr>
                <w:noProof/>
                <w:color w:val="006100"/>
                <w:sz w:val="20"/>
                <w:szCs w:val="20"/>
              </w:rPr>
            </w:pPr>
            <w:r>
              <w:rPr>
                <w:noProof/>
                <w:color w:val="006100"/>
                <w:sz w:val="20"/>
              </w:rPr>
              <w:t>Reform 1.9. Avaliku halduse reform</w:t>
            </w:r>
          </w:p>
        </w:tc>
        <w:tc>
          <w:tcPr>
            <w:tcW w:w="1440" w:type="dxa"/>
            <w:tcBorders>
              <w:top w:val="nil"/>
              <w:left w:val="nil"/>
              <w:bottom w:val="single" w:sz="4" w:space="0" w:color="auto"/>
              <w:right w:val="single" w:sz="4" w:space="0" w:color="auto"/>
            </w:tcBorders>
            <w:shd w:val="clear" w:color="auto" w:fill="C6EFCE"/>
            <w:noWrap/>
            <w:vAlign w:val="center"/>
          </w:tcPr>
          <w:p w14:paraId="2FCF200C" w14:textId="77777777" w:rsidR="00A612E2" w:rsidRPr="00246CC4" w:rsidRDefault="00A612E2" w:rsidP="00742B81">
            <w:pPr>
              <w:jc w:val="center"/>
              <w:rPr>
                <w:noProof/>
                <w:color w:val="006100"/>
                <w:sz w:val="20"/>
                <w:szCs w:val="20"/>
              </w:rPr>
            </w:pPr>
            <w:r>
              <w:rPr>
                <w:noProof/>
                <w:color w:val="006100"/>
                <w:sz w:val="20"/>
              </w:rPr>
              <w:t>Eesmärk</w:t>
            </w:r>
          </w:p>
        </w:tc>
        <w:tc>
          <w:tcPr>
            <w:tcW w:w="4020" w:type="dxa"/>
            <w:tcBorders>
              <w:top w:val="nil"/>
              <w:left w:val="nil"/>
              <w:bottom w:val="single" w:sz="4" w:space="0" w:color="auto"/>
              <w:right w:val="single" w:sz="4" w:space="0" w:color="auto"/>
            </w:tcBorders>
            <w:shd w:val="clear" w:color="auto" w:fill="C6EFCE"/>
            <w:noWrap/>
            <w:vAlign w:val="center"/>
          </w:tcPr>
          <w:p w14:paraId="380D3BB6" w14:textId="77777777" w:rsidR="00A612E2" w:rsidRPr="00246CC4" w:rsidRDefault="00A612E2" w:rsidP="00742B81">
            <w:pPr>
              <w:rPr>
                <w:noProof/>
                <w:color w:val="006100"/>
                <w:sz w:val="20"/>
                <w:szCs w:val="20"/>
              </w:rPr>
            </w:pPr>
            <w:r>
              <w:rPr>
                <w:noProof/>
                <w:color w:val="006100"/>
                <w:sz w:val="20"/>
              </w:rPr>
              <w:t>Suurendada investeeringute kasutamist</w:t>
            </w:r>
          </w:p>
        </w:tc>
      </w:tr>
      <w:tr w:rsidR="00A612E2" w:rsidRPr="00D90835" w14:paraId="3E9A8DC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59F693A" w14:textId="77777777" w:rsidR="00A612E2" w:rsidRPr="00246CC4" w:rsidRDefault="00A612E2" w:rsidP="00742B81">
            <w:pPr>
              <w:jc w:val="center"/>
              <w:rPr>
                <w:noProof/>
                <w:color w:val="006100"/>
                <w:sz w:val="20"/>
                <w:szCs w:val="20"/>
              </w:rPr>
            </w:pPr>
            <w:r>
              <w:rPr>
                <w:noProof/>
                <w:color w:val="006100"/>
                <w:sz w:val="20"/>
              </w:rPr>
              <w:t>M1C1-115</w:t>
            </w:r>
          </w:p>
        </w:tc>
        <w:tc>
          <w:tcPr>
            <w:tcW w:w="3118" w:type="dxa"/>
            <w:tcBorders>
              <w:top w:val="nil"/>
              <w:left w:val="nil"/>
              <w:bottom w:val="single" w:sz="4" w:space="0" w:color="auto"/>
              <w:right w:val="single" w:sz="4" w:space="0" w:color="auto"/>
            </w:tcBorders>
            <w:shd w:val="clear" w:color="auto" w:fill="C6EFCE"/>
            <w:noWrap/>
            <w:vAlign w:val="center"/>
          </w:tcPr>
          <w:p w14:paraId="3F949649" w14:textId="77777777" w:rsidR="00A612E2" w:rsidRPr="003B127D" w:rsidRDefault="00A612E2" w:rsidP="00392579">
            <w:pPr>
              <w:rPr>
                <w:noProof/>
                <w:color w:val="006100"/>
                <w:sz w:val="20"/>
                <w:szCs w:val="20"/>
              </w:rPr>
            </w:pPr>
            <w:r>
              <w:rPr>
                <w:noProof/>
                <w:color w:val="006100"/>
                <w:sz w:val="20"/>
              </w:rPr>
              <w:t>Reform 1.13. Kulude läbivaatamise raamistiku reform</w:t>
            </w:r>
          </w:p>
        </w:tc>
        <w:tc>
          <w:tcPr>
            <w:tcW w:w="1440" w:type="dxa"/>
            <w:tcBorders>
              <w:top w:val="nil"/>
              <w:left w:val="nil"/>
              <w:bottom w:val="single" w:sz="4" w:space="0" w:color="auto"/>
              <w:right w:val="single" w:sz="4" w:space="0" w:color="auto"/>
            </w:tcBorders>
            <w:shd w:val="clear" w:color="auto" w:fill="C6EFCE"/>
            <w:noWrap/>
            <w:vAlign w:val="center"/>
          </w:tcPr>
          <w:p w14:paraId="42563B8C" w14:textId="77777777" w:rsidR="00A612E2" w:rsidRPr="00246CC4" w:rsidRDefault="00A612E2" w:rsidP="00742B81">
            <w:pPr>
              <w:jc w:val="center"/>
              <w:rPr>
                <w:noProof/>
                <w:color w:val="006100"/>
                <w:sz w:val="20"/>
                <w:szCs w:val="20"/>
              </w:rPr>
            </w:pPr>
            <w:r>
              <w:rPr>
                <w:noProof/>
                <w:color w:val="006100"/>
                <w:sz w:val="20"/>
              </w:rPr>
              <w:t>Eesmärk</w:t>
            </w:r>
          </w:p>
        </w:tc>
        <w:tc>
          <w:tcPr>
            <w:tcW w:w="4020" w:type="dxa"/>
            <w:tcBorders>
              <w:top w:val="nil"/>
              <w:left w:val="nil"/>
              <w:bottom w:val="single" w:sz="4" w:space="0" w:color="auto"/>
              <w:right w:val="single" w:sz="4" w:space="0" w:color="auto"/>
            </w:tcBorders>
            <w:shd w:val="clear" w:color="auto" w:fill="C6EFCE"/>
            <w:noWrap/>
            <w:vAlign w:val="center"/>
          </w:tcPr>
          <w:p w14:paraId="01373936" w14:textId="77777777" w:rsidR="00A612E2" w:rsidRPr="003B127D" w:rsidRDefault="00A612E2" w:rsidP="00742B81">
            <w:pPr>
              <w:rPr>
                <w:noProof/>
                <w:color w:val="006100"/>
                <w:sz w:val="20"/>
                <w:szCs w:val="20"/>
              </w:rPr>
            </w:pPr>
            <w:r>
              <w:rPr>
                <w:noProof/>
                <w:color w:val="006100"/>
                <w:sz w:val="20"/>
              </w:rPr>
              <w:t>2024. aasta kulude iga-aastase läbivaatamise lõpuleviimine, võttes arvesse 2022. ja 2023. aastal 2024. aastaks seatud säästueesmärki</w:t>
            </w:r>
          </w:p>
        </w:tc>
      </w:tr>
      <w:tr w:rsidR="00A612E2" w:rsidRPr="00D90835" w14:paraId="2A7BEE2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A3EF2BA" w14:textId="77777777" w:rsidR="00A612E2" w:rsidRPr="00246CC4" w:rsidRDefault="00A612E2" w:rsidP="00742B81">
            <w:pPr>
              <w:jc w:val="center"/>
              <w:rPr>
                <w:noProof/>
                <w:color w:val="006100"/>
                <w:sz w:val="20"/>
                <w:szCs w:val="20"/>
              </w:rPr>
            </w:pPr>
            <w:r>
              <w:rPr>
                <w:noProof/>
                <w:color w:val="006100"/>
                <w:sz w:val="20"/>
              </w:rPr>
              <w:t>M1C2-3</w:t>
            </w:r>
          </w:p>
        </w:tc>
        <w:tc>
          <w:tcPr>
            <w:tcW w:w="3118" w:type="dxa"/>
            <w:tcBorders>
              <w:top w:val="nil"/>
              <w:left w:val="nil"/>
              <w:bottom w:val="single" w:sz="4" w:space="0" w:color="auto"/>
              <w:right w:val="single" w:sz="4" w:space="0" w:color="auto"/>
            </w:tcBorders>
            <w:shd w:val="clear" w:color="auto" w:fill="C6EFCE"/>
            <w:noWrap/>
            <w:vAlign w:val="center"/>
          </w:tcPr>
          <w:p w14:paraId="6BF2952C" w14:textId="77777777" w:rsidR="00A612E2" w:rsidRPr="00246CC4" w:rsidRDefault="00A612E2" w:rsidP="00392579">
            <w:pPr>
              <w:rPr>
                <w:noProof/>
                <w:color w:val="006100"/>
                <w:sz w:val="20"/>
                <w:szCs w:val="20"/>
              </w:rPr>
            </w:pPr>
            <w:r>
              <w:rPr>
                <w:noProof/>
                <w:color w:val="006100"/>
                <w:sz w:val="20"/>
              </w:rPr>
              <w:t>Investeering 1. Üleminek 4.0</w:t>
            </w:r>
          </w:p>
        </w:tc>
        <w:tc>
          <w:tcPr>
            <w:tcW w:w="1440" w:type="dxa"/>
            <w:tcBorders>
              <w:top w:val="nil"/>
              <w:left w:val="nil"/>
              <w:bottom w:val="single" w:sz="4" w:space="0" w:color="auto"/>
              <w:right w:val="single" w:sz="4" w:space="0" w:color="auto"/>
            </w:tcBorders>
            <w:shd w:val="clear" w:color="auto" w:fill="C6EFCE"/>
            <w:noWrap/>
            <w:vAlign w:val="center"/>
          </w:tcPr>
          <w:p w14:paraId="54519D63" w14:textId="77777777" w:rsidR="00A612E2" w:rsidRPr="00246CC4" w:rsidRDefault="00A612E2" w:rsidP="00742B81">
            <w:pPr>
              <w:jc w:val="center"/>
              <w:rPr>
                <w:noProof/>
                <w:color w:val="006100"/>
                <w:sz w:val="20"/>
                <w:szCs w:val="20"/>
              </w:rPr>
            </w:pPr>
            <w:r>
              <w:rPr>
                <w:noProof/>
                <w:color w:val="006100"/>
                <w:sz w:val="20"/>
              </w:rPr>
              <w:t>Siht</w:t>
            </w:r>
          </w:p>
        </w:tc>
        <w:tc>
          <w:tcPr>
            <w:tcW w:w="4020" w:type="dxa"/>
            <w:tcBorders>
              <w:top w:val="nil"/>
              <w:left w:val="nil"/>
              <w:bottom w:val="single" w:sz="4" w:space="0" w:color="auto"/>
              <w:right w:val="single" w:sz="4" w:space="0" w:color="auto"/>
            </w:tcBorders>
            <w:shd w:val="clear" w:color="auto" w:fill="C6EFCE"/>
            <w:noWrap/>
            <w:vAlign w:val="center"/>
          </w:tcPr>
          <w:p w14:paraId="5A0FC817" w14:textId="77777777" w:rsidR="00A612E2" w:rsidRPr="003B127D" w:rsidRDefault="00A612E2" w:rsidP="00742B81">
            <w:pPr>
              <w:rPr>
                <w:noProof/>
                <w:color w:val="006100"/>
                <w:sz w:val="20"/>
                <w:szCs w:val="20"/>
              </w:rPr>
            </w:pPr>
            <w:r>
              <w:rPr>
                <w:noProof/>
                <w:color w:val="006100"/>
                <w:sz w:val="20"/>
              </w:rPr>
              <w:t>Üleminekuperioodil 4.0 äriühingutele aastatel 2021-2023 esitatud maksudeklaratsioonide alusel antud maksukrediidid</w:t>
            </w:r>
          </w:p>
        </w:tc>
      </w:tr>
      <w:tr w:rsidR="00A612E2" w:rsidRPr="00D90835" w14:paraId="7D1573BD"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F6B1E4F" w14:textId="77777777" w:rsidR="00A612E2" w:rsidRPr="00246CC4" w:rsidRDefault="00A612E2" w:rsidP="00742B81">
            <w:pPr>
              <w:jc w:val="center"/>
              <w:rPr>
                <w:noProof/>
                <w:color w:val="006100"/>
                <w:sz w:val="20"/>
                <w:szCs w:val="20"/>
              </w:rPr>
            </w:pPr>
            <w:r>
              <w:rPr>
                <w:noProof/>
                <w:color w:val="006100"/>
                <w:sz w:val="20"/>
              </w:rPr>
              <w:t>M4C1-16</w:t>
            </w:r>
          </w:p>
        </w:tc>
        <w:tc>
          <w:tcPr>
            <w:tcW w:w="3118" w:type="dxa"/>
            <w:tcBorders>
              <w:top w:val="nil"/>
              <w:left w:val="nil"/>
              <w:bottom w:val="single" w:sz="4" w:space="0" w:color="auto"/>
              <w:right w:val="single" w:sz="4" w:space="0" w:color="auto"/>
            </w:tcBorders>
            <w:shd w:val="clear" w:color="auto" w:fill="C6EFCE"/>
            <w:noWrap/>
            <w:vAlign w:val="center"/>
          </w:tcPr>
          <w:p w14:paraId="7B76B0FC" w14:textId="77777777" w:rsidR="00A612E2" w:rsidRPr="003B127D" w:rsidRDefault="00A612E2" w:rsidP="00392579">
            <w:pPr>
              <w:rPr>
                <w:noProof/>
                <w:color w:val="006100"/>
                <w:sz w:val="20"/>
                <w:szCs w:val="20"/>
              </w:rPr>
            </w:pPr>
            <w:r>
              <w:rPr>
                <w:noProof/>
                <w:color w:val="006100"/>
                <w:sz w:val="20"/>
              </w:rPr>
              <w:t>Investeering 3.1. Uued oskused ja keeled</w:t>
            </w:r>
          </w:p>
        </w:tc>
        <w:tc>
          <w:tcPr>
            <w:tcW w:w="1440" w:type="dxa"/>
            <w:tcBorders>
              <w:top w:val="nil"/>
              <w:left w:val="nil"/>
              <w:bottom w:val="single" w:sz="4" w:space="0" w:color="auto"/>
              <w:right w:val="single" w:sz="4" w:space="0" w:color="auto"/>
            </w:tcBorders>
            <w:shd w:val="clear" w:color="auto" w:fill="C6EFCE"/>
            <w:noWrap/>
            <w:vAlign w:val="center"/>
          </w:tcPr>
          <w:p w14:paraId="1370B028" w14:textId="77777777" w:rsidR="00A612E2" w:rsidRPr="00246CC4" w:rsidRDefault="00A612E2" w:rsidP="00742B81">
            <w:pPr>
              <w:jc w:val="center"/>
              <w:rPr>
                <w:noProof/>
                <w:color w:val="006100"/>
                <w:sz w:val="20"/>
                <w:szCs w:val="20"/>
              </w:rPr>
            </w:pPr>
            <w:r>
              <w:rPr>
                <w:noProof/>
                <w:color w:val="006100"/>
                <w:sz w:val="20"/>
              </w:rPr>
              <w:t>Siht</w:t>
            </w:r>
          </w:p>
        </w:tc>
        <w:tc>
          <w:tcPr>
            <w:tcW w:w="4020" w:type="dxa"/>
            <w:tcBorders>
              <w:top w:val="nil"/>
              <w:left w:val="nil"/>
              <w:bottom w:val="single" w:sz="4" w:space="0" w:color="auto"/>
              <w:right w:val="single" w:sz="4" w:space="0" w:color="auto"/>
            </w:tcBorders>
            <w:shd w:val="clear" w:color="auto" w:fill="C6EFCE"/>
            <w:noWrap/>
            <w:vAlign w:val="center"/>
          </w:tcPr>
          <w:p w14:paraId="6522A4B4" w14:textId="77777777" w:rsidR="00A612E2" w:rsidRPr="003B127D" w:rsidRDefault="00A612E2" w:rsidP="00742B81">
            <w:pPr>
              <w:rPr>
                <w:noProof/>
                <w:color w:val="006100"/>
                <w:sz w:val="20"/>
                <w:szCs w:val="20"/>
              </w:rPr>
            </w:pPr>
            <w:r>
              <w:rPr>
                <w:noProof/>
                <w:color w:val="006100"/>
                <w:sz w:val="20"/>
              </w:rPr>
              <w:t xml:space="preserve">Koolid, mis on 2024./25. aastal käivitanud loodusteaduste, tehnoloogia, inseneriteaduste ja matemaatika valdkonna nõustamisprojektid  </w:t>
            </w:r>
          </w:p>
        </w:tc>
      </w:tr>
      <w:tr w:rsidR="00A612E2" w:rsidRPr="00D90835" w14:paraId="4517D035"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B061E82" w14:textId="77777777" w:rsidR="00A612E2" w:rsidRPr="00246CC4" w:rsidRDefault="00A612E2" w:rsidP="00742B81">
            <w:pPr>
              <w:jc w:val="center"/>
              <w:rPr>
                <w:noProof/>
                <w:color w:val="006100"/>
                <w:sz w:val="20"/>
                <w:szCs w:val="20"/>
              </w:rPr>
            </w:pPr>
            <w:r>
              <w:rPr>
                <w:noProof/>
                <w:color w:val="006100"/>
                <w:sz w:val="20"/>
              </w:rPr>
              <w:t>M4C1-17</w:t>
            </w:r>
          </w:p>
        </w:tc>
        <w:tc>
          <w:tcPr>
            <w:tcW w:w="3118" w:type="dxa"/>
            <w:tcBorders>
              <w:top w:val="nil"/>
              <w:left w:val="nil"/>
              <w:bottom w:val="single" w:sz="4" w:space="0" w:color="auto"/>
              <w:right w:val="single" w:sz="4" w:space="0" w:color="auto"/>
            </w:tcBorders>
            <w:shd w:val="clear" w:color="auto" w:fill="C6EFCE"/>
            <w:noWrap/>
            <w:vAlign w:val="center"/>
          </w:tcPr>
          <w:p w14:paraId="74CD3D03" w14:textId="77777777" w:rsidR="00A612E2" w:rsidRPr="003B127D" w:rsidRDefault="00A612E2" w:rsidP="00392579">
            <w:pPr>
              <w:rPr>
                <w:noProof/>
                <w:color w:val="006100"/>
                <w:sz w:val="20"/>
                <w:szCs w:val="20"/>
              </w:rPr>
            </w:pPr>
            <w:r>
              <w:rPr>
                <w:noProof/>
                <w:color w:val="006100"/>
                <w:sz w:val="20"/>
              </w:rPr>
              <w:t>Investeering 3.1. Uued oskused ja keeled</w:t>
            </w:r>
          </w:p>
        </w:tc>
        <w:tc>
          <w:tcPr>
            <w:tcW w:w="1440" w:type="dxa"/>
            <w:tcBorders>
              <w:top w:val="nil"/>
              <w:left w:val="nil"/>
              <w:bottom w:val="single" w:sz="4" w:space="0" w:color="auto"/>
              <w:right w:val="single" w:sz="4" w:space="0" w:color="auto"/>
            </w:tcBorders>
            <w:shd w:val="clear" w:color="auto" w:fill="C6EFCE"/>
            <w:noWrap/>
            <w:vAlign w:val="center"/>
          </w:tcPr>
          <w:p w14:paraId="00AA897D" w14:textId="77777777" w:rsidR="00A612E2" w:rsidRPr="00246CC4" w:rsidRDefault="00A612E2" w:rsidP="00742B81">
            <w:pPr>
              <w:jc w:val="center"/>
              <w:rPr>
                <w:noProof/>
                <w:color w:val="006100"/>
                <w:sz w:val="20"/>
                <w:szCs w:val="20"/>
              </w:rPr>
            </w:pPr>
            <w:r>
              <w:rPr>
                <w:noProof/>
                <w:color w:val="006100"/>
                <w:sz w:val="20"/>
              </w:rPr>
              <w:t>Siht</w:t>
            </w:r>
          </w:p>
        </w:tc>
        <w:tc>
          <w:tcPr>
            <w:tcW w:w="4020" w:type="dxa"/>
            <w:tcBorders>
              <w:top w:val="nil"/>
              <w:left w:val="nil"/>
              <w:bottom w:val="single" w:sz="4" w:space="0" w:color="auto"/>
              <w:right w:val="single" w:sz="4" w:space="0" w:color="auto"/>
            </w:tcBorders>
            <w:shd w:val="clear" w:color="auto" w:fill="C6EFCE"/>
            <w:noWrap/>
            <w:vAlign w:val="center"/>
          </w:tcPr>
          <w:p w14:paraId="29693B61" w14:textId="77777777" w:rsidR="00A612E2" w:rsidRPr="003B127D" w:rsidRDefault="00A612E2" w:rsidP="00742B81">
            <w:pPr>
              <w:rPr>
                <w:noProof/>
                <w:color w:val="006100"/>
                <w:sz w:val="20"/>
                <w:szCs w:val="20"/>
              </w:rPr>
            </w:pPr>
            <w:r>
              <w:rPr>
                <w:noProof/>
                <w:color w:val="006100"/>
                <w:sz w:val="20"/>
              </w:rPr>
              <w:t xml:space="preserve">Õpetajatele pakutavad iga-aastased keele- ja metodoloogilised kursused      </w:t>
            </w:r>
          </w:p>
        </w:tc>
      </w:tr>
      <w:tr w:rsidR="00A612E2" w:rsidRPr="00D90835" w14:paraId="5962E41A"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D9B49AC" w14:textId="77777777" w:rsidR="00A612E2" w:rsidRPr="00246CC4" w:rsidRDefault="00A612E2" w:rsidP="00742B81">
            <w:pPr>
              <w:jc w:val="center"/>
              <w:rPr>
                <w:noProof/>
                <w:color w:val="006100"/>
                <w:sz w:val="20"/>
                <w:szCs w:val="20"/>
              </w:rPr>
            </w:pPr>
            <w:r>
              <w:rPr>
                <w:noProof/>
                <w:color w:val="006100"/>
                <w:sz w:val="20"/>
              </w:rPr>
              <w:t>M4C2–1 bis</w:t>
            </w:r>
          </w:p>
        </w:tc>
        <w:tc>
          <w:tcPr>
            <w:tcW w:w="3118" w:type="dxa"/>
            <w:tcBorders>
              <w:top w:val="nil"/>
              <w:left w:val="nil"/>
              <w:bottom w:val="single" w:sz="4" w:space="0" w:color="auto"/>
              <w:right w:val="single" w:sz="4" w:space="0" w:color="auto"/>
            </w:tcBorders>
            <w:shd w:val="clear" w:color="auto" w:fill="C6EFCE"/>
            <w:noWrap/>
            <w:vAlign w:val="center"/>
          </w:tcPr>
          <w:p w14:paraId="09662780" w14:textId="77777777" w:rsidR="00A612E2" w:rsidRPr="003B127D" w:rsidRDefault="00A612E2" w:rsidP="00392579">
            <w:pPr>
              <w:rPr>
                <w:noProof/>
                <w:color w:val="006100"/>
                <w:sz w:val="20"/>
                <w:szCs w:val="20"/>
              </w:rPr>
            </w:pPr>
            <w:r>
              <w:rPr>
                <w:noProof/>
                <w:color w:val="006100"/>
                <w:sz w:val="20"/>
              </w:rPr>
              <w:t xml:space="preserve">Investeering 1.2. Noorte teadlaste esitatud projektide rahastamine. </w:t>
            </w:r>
          </w:p>
        </w:tc>
        <w:tc>
          <w:tcPr>
            <w:tcW w:w="1440" w:type="dxa"/>
            <w:tcBorders>
              <w:top w:val="nil"/>
              <w:left w:val="nil"/>
              <w:bottom w:val="single" w:sz="4" w:space="0" w:color="auto"/>
              <w:right w:val="single" w:sz="4" w:space="0" w:color="auto"/>
            </w:tcBorders>
            <w:shd w:val="clear" w:color="auto" w:fill="C6EFCE"/>
            <w:noWrap/>
            <w:vAlign w:val="center"/>
          </w:tcPr>
          <w:p w14:paraId="2F060F13" w14:textId="77777777" w:rsidR="00A612E2" w:rsidRPr="00246CC4" w:rsidRDefault="00A612E2" w:rsidP="00742B81">
            <w:pPr>
              <w:jc w:val="center"/>
              <w:rPr>
                <w:noProof/>
                <w:color w:val="006100"/>
                <w:sz w:val="20"/>
                <w:szCs w:val="20"/>
              </w:rPr>
            </w:pPr>
            <w:r>
              <w:rPr>
                <w:noProof/>
                <w:color w:val="006100"/>
                <w:sz w:val="20"/>
              </w:rPr>
              <w:t xml:space="preserve">Siht </w:t>
            </w:r>
          </w:p>
        </w:tc>
        <w:tc>
          <w:tcPr>
            <w:tcW w:w="4020" w:type="dxa"/>
            <w:tcBorders>
              <w:top w:val="nil"/>
              <w:left w:val="nil"/>
              <w:bottom w:val="single" w:sz="4" w:space="0" w:color="auto"/>
              <w:right w:val="single" w:sz="4" w:space="0" w:color="auto"/>
            </w:tcBorders>
            <w:shd w:val="clear" w:color="auto" w:fill="C6EFCE"/>
            <w:noWrap/>
            <w:vAlign w:val="center"/>
          </w:tcPr>
          <w:p w14:paraId="167D20E0" w14:textId="77777777" w:rsidR="00A612E2" w:rsidRPr="003B127D" w:rsidRDefault="00A612E2" w:rsidP="00742B81">
            <w:pPr>
              <w:rPr>
                <w:noProof/>
                <w:color w:val="006100"/>
                <w:sz w:val="20"/>
                <w:szCs w:val="20"/>
              </w:rPr>
            </w:pPr>
            <w:r>
              <w:rPr>
                <w:noProof/>
                <w:color w:val="006100"/>
                <w:sz w:val="20"/>
              </w:rPr>
              <w:t xml:space="preserve">Uurimisstipendiumi saanud üliõpilaste arv </w:t>
            </w:r>
          </w:p>
        </w:tc>
      </w:tr>
      <w:tr w:rsidR="00A612E2" w:rsidRPr="00D90835" w14:paraId="50274DC3"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1D59229" w14:textId="77777777" w:rsidR="00A612E2" w:rsidRPr="00246CC4" w:rsidRDefault="00A612E2" w:rsidP="00742B81">
            <w:pPr>
              <w:jc w:val="center"/>
              <w:rPr>
                <w:noProof/>
                <w:color w:val="006100"/>
                <w:sz w:val="20"/>
                <w:szCs w:val="20"/>
              </w:rPr>
            </w:pPr>
            <w:r>
              <w:rPr>
                <w:noProof/>
                <w:color w:val="006100"/>
                <w:sz w:val="20"/>
              </w:rPr>
              <w:t xml:space="preserve">M5C1-10 </w:t>
            </w:r>
          </w:p>
        </w:tc>
        <w:tc>
          <w:tcPr>
            <w:tcW w:w="3118" w:type="dxa"/>
            <w:tcBorders>
              <w:top w:val="nil"/>
              <w:left w:val="nil"/>
              <w:bottom w:val="single" w:sz="4" w:space="0" w:color="auto"/>
              <w:right w:val="single" w:sz="4" w:space="0" w:color="auto"/>
            </w:tcBorders>
            <w:shd w:val="clear" w:color="auto" w:fill="C6EFCE"/>
            <w:noWrap/>
            <w:vAlign w:val="center"/>
          </w:tcPr>
          <w:p w14:paraId="39550B22" w14:textId="77777777" w:rsidR="00A612E2" w:rsidRPr="00246CC4" w:rsidRDefault="00A612E2" w:rsidP="00392579">
            <w:pPr>
              <w:rPr>
                <w:noProof/>
                <w:color w:val="006100"/>
                <w:sz w:val="20"/>
                <w:szCs w:val="20"/>
              </w:rPr>
            </w:pPr>
            <w:r>
              <w:rPr>
                <w:noProof/>
                <w:color w:val="006100"/>
                <w:sz w:val="20"/>
              </w:rPr>
              <w:t xml:space="preserve">Reform 2. Deklareerimata töö </w:t>
            </w:r>
          </w:p>
        </w:tc>
        <w:tc>
          <w:tcPr>
            <w:tcW w:w="1440" w:type="dxa"/>
            <w:tcBorders>
              <w:top w:val="nil"/>
              <w:left w:val="nil"/>
              <w:bottom w:val="single" w:sz="4" w:space="0" w:color="auto"/>
              <w:right w:val="single" w:sz="4" w:space="0" w:color="auto"/>
            </w:tcBorders>
            <w:shd w:val="clear" w:color="auto" w:fill="C6EFCE"/>
            <w:noWrap/>
            <w:vAlign w:val="center"/>
          </w:tcPr>
          <w:p w14:paraId="0E98E1D5" w14:textId="77777777" w:rsidR="00A612E2" w:rsidRPr="00246CC4" w:rsidRDefault="00A612E2" w:rsidP="00742B81">
            <w:pPr>
              <w:jc w:val="center"/>
              <w:rPr>
                <w:noProof/>
                <w:color w:val="006100"/>
                <w:sz w:val="20"/>
                <w:szCs w:val="20"/>
              </w:rPr>
            </w:pPr>
            <w:r>
              <w:rPr>
                <w:noProof/>
                <w:color w:val="006100"/>
                <w:sz w:val="20"/>
              </w:rPr>
              <w:t>Siht</w:t>
            </w:r>
          </w:p>
        </w:tc>
        <w:tc>
          <w:tcPr>
            <w:tcW w:w="4020" w:type="dxa"/>
            <w:tcBorders>
              <w:top w:val="nil"/>
              <w:left w:val="nil"/>
              <w:bottom w:val="single" w:sz="4" w:space="0" w:color="auto"/>
              <w:right w:val="single" w:sz="4" w:space="0" w:color="auto"/>
            </w:tcBorders>
            <w:shd w:val="clear" w:color="auto" w:fill="C6EFCE"/>
            <w:noWrap/>
            <w:vAlign w:val="center"/>
          </w:tcPr>
          <w:p w14:paraId="1A1C70FD" w14:textId="77777777" w:rsidR="00A612E2" w:rsidRPr="003B127D" w:rsidRDefault="00A612E2" w:rsidP="00742B81">
            <w:pPr>
              <w:rPr>
                <w:noProof/>
                <w:color w:val="006100"/>
                <w:sz w:val="20"/>
                <w:szCs w:val="20"/>
              </w:rPr>
            </w:pPr>
            <w:r>
              <w:rPr>
                <w:noProof/>
                <w:color w:val="006100"/>
                <w:sz w:val="20"/>
              </w:rPr>
              <w:t>Tööinspektsioonide arvu suurenemine</w:t>
            </w:r>
          </w:p>
        </w:tc>
      </w:tr>
      <w:tr w:rsidR="00A612E2" w:rsidRPr="00D90835" w14:paraId="14DC9C31"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EDEFFFE" w14:textId="77777777" w:rsidR="00A612E2" w:rsidRPr="00246CC4" w:rsidRDefault="00A612E2" w:rsidP="00742B81">
            <w:pPr>
              <w:jc w:val="center"/>
              <w:rPr>
                <w:noProof/>
                <w:color w:val="006100"/>
                <w:sz w:val="20"/>
                <w:szCs w:val="20"/>
              </w:rPr>
            </w:pPr>
            <w:r>
              <w:rPr>
                <w:noProof/>
                <w:color w:val="006100"/>
                <w:sz w:val="20"/>
              </w:rPr>
              <w:t>M7-2</w:t>
            </w:r>
          </w:p>
        </w:tc>
        <w:tc>
          <w:tcPr>
            <w:tcW w:w="3118" w:type="dxa"/>
            <w:tcBorders>
              <w:top w:val="nil"/>
              <w:left w:val="nil"/>
              <w:bottom w:val="single" w:sz="4" w:space="0" w:color="auto"/>
              <w:right w:val="single" w:sz="4" w:space="0" w:color="auto"/>
            </w:tcBorders>
            <w:shd w:val="clear" w:color="auto" w:fill="C6EFCE"/>
            <w:noWrap/>
            <w:vAlign w:val="center"/>
          </w:tcPr>
          <w:p w14:paraId="1C0F780F" w14:textId="77777777" w:rsidR="00A612E2" w:rsidRPr="00246CC4" w:rsidRDefault="00A612E2" w:rsidP="00392579">
            <w:pPr>
              <w:rPr>
                <w:noProof/>
                <w:color w:val="006100"/>
                <w:sz w:val="20"/>
                <w:szCs w:val="20"/>
              </w:rPr>
            </w:pPr>
            <w:r>
              <w:rPr>
                <w:noProof/>
                <w:color w:val="006100"/>
                <w:sz w:val="20"/>
              </w:rPr>
              <w:t>Reform 1. Taastuvenergia loamenetluste lihtsustamine</w:t>
            </w:r>
          </w:p>
        </w:tc>
        <w:tc>
          <w:tcPr>
            <w:tcW w:w="1440" w:type="dxa"/>
            <w:tcBorders>
              <w:top w:val="nil"/>
              <w:left w:val="nil"/>
              <w:bottom w:val="single" w:sz="4" w:space="0" w:color="auto"/>
              <w:right w:val="single" w:sz="4" w:space="0" w:color="auto"/>
            </w:tcBorders>
            <w:shd w:val="clear" w:color="auto" w:fill="C6EFCE"/>
            <w:noWrap/>
            <w:vAlign w:val="center"/>
          </w:tcPr>
          <w:p w14:paraId="187DA78D" w14:textId="77777777" w:rsidR="00A612E2" w:rsidRPr="00246CC4" w:rsidRDefault="00A612E2" w:rsidP="00742B81">
            <w:pPr>
              <w:jc w:val="center"/>
              <w:rPr>
                <w:noProof/>
                <w:color w:val="006100"/>
                <w:sz w:val="20"/>
                <w:szCs w:val="20"/>
              </w:rPr>
            </w:pPr>
            <w:r>
              <w:rPr>
                <w:noProof/>
                <w:color w:val="006100"/>
                <w:sz w:val="20"/>
              </w:rPr>
              <w:t>Eesmärk</w:t>
            </w:r>
          </w:p>
        </w:tc>
        <w:tc>
          <w:tcPr>
            <w:tcW w:w="4020" w:type="dxa"/>
            <w:tcBorders>
              <w:top w:val="nil"/>
              <w:left w:val="nil"/>
              <w:bottom w:val="single" w:sz="4" w:space="0" w:color="auto"/>
              <w:right w:val="single" w:sz="4" w:space="0" w:color="auto"/>
            </w:tcBorders>
            <w:shd w:val="clear" w:color="auto" w:fill="C6EFCE"/>
            <w:noWrap/>
            <w:vAlign w:val="center"/>
          </w:tcPr>
          <w:p w14:paraId="2791865E" w14:textId="77777777" w:rsidR="00A612E2" w:rsidRPr="003B127D" w:rsidRDefault="00A612E2" w:rsidP="00742B81">
            <w:pPr>
              <w:rPr>
                <w:noProof/>
                <w:color w:val="006100"/>
                <w:sz w:val="20"/>
                <w:szCs w:val="20"/>
              </w:rPr>
            </w:pPr>
            <w:r>
              <w:rPr>
                <w:noProof/>
                <w:color w:val="006100"/>
                <w:sz w:val="20"/>
              </w:rPr>
              <w:t xml:space="preserve">Esmaste õigusaktide jõustumine (Testo Unico) </w:t>
            </w:r>
          </w:p>
        </w:tc>
      </w:tr>
      <w:tr w:rsidR="00A612E2" w:rsidRPr="00D90835" w14:paraId="7546285C"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E60C7AF" w14:textId="77777777" w:rsidR="00A612E2" w:rsidRPr="00246CC4" w:rsidRDefault="00A612E2" w:rsidP="00742B81">
            <w:pPr>
              <w:jc w:val="center"/>
              <w:rPr>
                <w:noProof/>
                <w:color w:val="006100"/>
                <w:sz w:val="20"/>
                <w:szCs w:val="20"/>
              </w:rPr>
            </w:pPr>
            <w:r>
              <w:rPr>
                <w:noProof/>
                <w:color w:val="006100"/>
                <w:sz w:val="20"/>
              </w:rPr>
              <w:t>M7-20</w:t>
            </w:r>
          </w:p>
        </w:tc>
        <w:tc>
          <w:tcPr>
            <w:tcW w:w="3118" w:type="dxa"/>
            <w:tcBorders>
              <w:top w:val="nil"/>
              <w:left w:val="nil"/>
              <w:bottom w:val="single" w:sz="4" w:space="0" w:color="auto"/>
              <w:right w:val="single" w:sz="4" w:space="0" w:color="auto"/>
            </w:tcBorders>
            <w:shd w:val="clear" w:color="auto" w:fill="C6EFCE"/>
            <w:noWrap/>
            <w:vAlign w:val="center"/>
          </w:tcPr>
          <w:p w14:paraId="11D97425" w14:textId="77777777" w:rsidR="00A612E2" w:rsidRPr="003B127D" w:rsidRDefault="00A612E2" w:rsidP="00742B81">
            <w:pPr>
              <w:rPr>
                <w:noProof/>
                <w:color w:val="006100"/>
                <w:sz w:val="20"/>
                <w:szCs w:val="20"/>
              </w:rPr>
            </w:pPr>
            <w:r>
              <w:rPr>
                <w:noProof/>
                <w:color w:val="006100"/>
                <w:sz w:val="20"/>
              </w:rPr>
              <w:t>Investeering 6. Piiriülesed elektrivõrkude ühendamise projektid Itaalia ja naaberriikide vahel</w:t>
            </w:r>
          </w:p>
        </w:tc>
        <w:tc>
          <w:tcPr>
            <w:tcW w:w="1440" w:type="dxa"/>
            <w:tcBorders>
              <w:top w:val="nil"/>
              <w:left w:val="nil"/>
              <w:bottom w:val="single" w:sz="4" w:space="0" w:color="auto"/>
              <w:right w:val="single" w:sz="4" w:space="0" w:color="auto"/>
            </w:tcBorders>
            <w:shd w:val="clear" w:color="auto" w:fill="C6EFCE"/>
            <w:noWrap/>
            <w:vAlign w:val="center"/>
          </w:tcPr>
          <w:p w14:paraId="5E4974C0" w14:textId="77777777" w:rsidR="00A612E2" w:rsidRPr="00246CC4" w:rsidRDefault="00A612E2" w:rsidP="00742B81">
            <w:pPr>
              <w:jc w:val="center"/>
              <w:rPr>
                <w:noProof/>
                <w:color w:val="006100"/>
                <w:sz w:val="20"/>
                <w:szCs w:val="20"/>
              </w:rPr>
            </w:pPr>
            <w:r>
              <w:rPr>
                <w:noProof/>
                <w:color w:val="006100"/>
                <w:sz w:val="20"/>
              </w:rPr>
              <w:t>Eesmärk</w:t>
            </w:r>
          </w:p>
        </w:tc>
        <w:tc>
          <w:tcPr>
            <w:tcW w:w="4020" w:type="dxa"/>
            <w:tcBorders>
              <w:top w:val="nil"/>
              <w:left w:val="nil"/>
              <w:bottom w:val="single" w:sz="4" w:space="0" w:color="auto"/>
              <w:right w:val="single" w:sz="4" w:space="0" w:color="auto"/>
            </w:tcBorders>
            <w:shd w:val="clear" w:color="auto" w:fill="C6EFCE"/>
            <w:noWrap/>
            <w:vAlign w:val="center"/>
          </w:tcPr>
          <w:p w14:paraId="4310C443" w14:textId="77777777" w:rsidR="00A612E2" w:rsidRPr="003B127D" w:rsidRDefault="00A612E2" w:rsidP="00742B81">
            <w:pPr>
              <w:rPr>
                <w:noProof/>
                <w:color w:val="006100"/>
                <w:sz w:val="20"/>
                <w:szCs w:val="20"/>
              </w:rPr>
            </w:pPr>
            <w:r>
              <w:rPr>
                <w:noProof/>
                <w:color w:val="006100"/>
                <w:sz w:val="20"/>
              </w:rPr>
              <w:t xml:space="preserve">Lepingute sõlmimine Itaalia ja Sloveenia vahelise kahe võrkudevahelise ühenduse ehitamiseks: „Zaule – Dekani“ ja „Redipuglia – Vrtojba“  </w:t>
            </w:r>
          </w:p>
        </w:tc>
      </w:tr>
      <w:tr w:rsidR="00A612E2" w:rsidRPr="00D90835" w14:paraId="232733CA"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F875273" w14:textId="77777777" w:rsidR="00A612E2" w:rsidRPr="00246CC4" w:rsidRDefault="00A612E2" w:rsidP="00742B81">
            <w:pPr>
              <w:jc w:val="center"/>
              <w:rPr>
                <w:noProof/>
                <w:color w:val="006100"/>
                <w:sz w:val="20"/>
                <w:szCs w:val="20"/>
              </w:rPr>
            </w:pPr>
            <w:r>
              <w:rPr>
                <w:noProof/>
                <w:color w:val="006100"/>
                <w:sz w:val="20"/>
              </w:rPr>
              <w:t>M7-25</w:t>
            </w:r>
          </w:p>
        </w:tc>
        <w:tc>
          <w:tcPr>
            <w:tcW w:w="3118" w:type="dxa"/>
            <w:tcBorders>
              <w:top w:val="nil"/>
              <w:left w:val="nil"/>
              <w:bottom w:val="single" w:sz="4" w:space="0" w:color="auto"/>
              <w:right w:val="single" w:sz="4" w:space="0" w:color="auto"/>
            </w:tcBorders>
            <w:shd w:val="clear" w:color="auto" w:fill="C6EFCE"/>
            <w:noWrap/>
            <w:vAlign w:val="center"/>
          </w:tcPr>
          <w:p w14:paraId="2572D787" w14:textId="77777777" w:rsidR="00A612E2" w:rsidRPr="003B127D" w:rsidRDefault="00A612E2" w:rsidP="00742B81">
            <w:pPr>
              <w:rPr>
                <w:noProof/>
                <w:color w:val="006100"/>
                <w:sz w:val="20"/>
                <w:szCs w:val="20"/>
              </w:rPr>
            </w:pPr>
            <w:r>
              <w:rPr>
                <w:noProof/>
                <w:color w:val="006100"/>
                <w:sz w:val="20"/>
              </w:rPr>
              <w:t>Investeering 8. Kriitilise tähtsusega toorainete kestlik, ringluspõhine ja turvaline tarnimine</w:t>
            </w:r>
          </w:p>
        </w:tc>
        <w:tc>
          <w:tcPr>
            <w:tcW w:w="1440" w:type="dxa"/>
            <w:tcBorders>
              <w:top w:val="nil"/>
              <w:left w:val="nil"/>
              <w:bottom w:val="single" w:sz="4" w:space="0" w:color="auto"/>
              <w:right w:val="single" w:sz="4" w:space="0" w:color="auto"/>
            </w:tcBorders>
            <w:shd w:val="clear" w:color="auto" w:fill="C6EFCE"/>
            <w:noWrap/>
            <w:vAlign w:val="center"/>
          </w:tcPr>
          <w:p w14:paraId="41C3100A" w14:textId="77777777" w:rsidR="00A612E2" w:rsidRPr="00246CC4" w:rsidRDefault="00A612E2" w:rsidP="00742B81">
            <w:pPr>
              <w:jc w:val="center"/>
              <w:rPr>
                <w:noProof/>
                <w:color w:val="006100"/>
                <w:sz w:val="20"/>
                <w:szCs w:val="20"/>
              </w:rPr>
            </w:pPr>
            <w:r>
              <w:rPr>
                <w:noProof/>
                <w:color w:val="006100"/>
                <w:sz w:val="20"/>
              </w:rPr>
              <w:t>Eesmärk</w:t>
            </w:r>
          </w:p>
        </w:tc>
        <w:tc>
          <w:tcPr>
            <w:tcW w:w="4020" w:type="dxa"/>
            <w:tcBorders>
              <w:top w:val="nil"/>
              <w:left w:val="nil"/>
              <w:bottom w:val="single" w:sz="4" w:space="0" w:color="auto"/>
              <w:right w:val="single" w:sz="4" w:space="0" w:color="auto"/>
            </w:tcBorders>
            <w:shd w:val="clear" w:color="auto" w:fill="C6EFCE"/>
            <w:noWrap/>
            <w:vAlign w:val="center"/>
          </w:tcPr>
          <w:p w14:paraId="734B19BC" w14:textId="77777777" w:rsidR="00A612E2" w:rsidRPr="003B127D" w:rsidRDefault="00A612E2" w:rsidP="00742B81">
            <w:pPr>
              <w:rPr>
                <w:noProof/>
                <w:color w:val="006100"/>
                <w:sz w:val="20"/>
                <w:szCs w:val="20"/>
              </w:rPr>
            </w:pPr>
            <w:r>
              <w:rPr>
                <w:noProof/>
                <w:color w:val="006100"/>
                <w:sz w:val="20"/>
              </w:rPr>
              <w:t>Kriitilise tähtsusega toorainete tulevasi vajadusi ja ökodisaini potentsiaali käsitleva aruande avaldamine, et vähendada nõudlust kriitilise tähtsusega toorainete järele</w:t>
            </w:r>
          </w:p>
        </w:tc>
      </w:tr>
      <w:tr w:rsidR="00A612E2" w:rsidRPr="00D90835" w14:paraId="00B6A48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1FA94D7" w14:textId="77777777" w:rsidR="00A612E2" w:rsidRPr="00246CC4" w:rsidRDefault="00A612E2" w:rsidP="00742B81">
            <w:pPr>
              <w:jc w:val="center"/>
              <w:rPr>
                <w:noProof/>
                <w:color w:val="006100"/>
                <w:sz w:val="20"/>
                <w:szCs w:val="20"/>
              </w:rPr>
            </w:pPr>
            <w:r>
              <w:rPr>
                <w:noProof/>
                <w:color w:val="006100"/>
                <w:sz w:val="20"/>
              </w:rPr>
              <w:t>M7-30</w:t>
            </w:r>
          </w:p>
        </w:tc>
        <w:tc>
          <w:tcPr>
            <w:tcW w:w="3118" w:type="dxa"/>
            <w:tcBorders>
              <w:top w:val="nil"/>
              <w:left w:val="nil"/>
              <w:bottom w:val="single" w:sz="4" w:space="0" w:color="auto"/>
              <w:right w:val="single" w:sz="4" w:space="0" w:color="auto"/>
            </w:tcBorders>
            <w:shd w:val="clear" w:color="auto" w:fill="C6EFCE"/>
            <w:noWrap/>
            <w:vAlign w:val="center"/>
          </w:tcPr>
          <w:p w14:paraId="752CC861" w14:textId="77777777" w:rsidR="00A612E2" w:rsidRPr="003B127D" w:rsidRDefault="00A612E2" w:rsidP="00742B81">
            <w:pPr>
              <w:rPr>
                <w:noProof/>
                <w:color w:val="006100"/>
                <w:sz w:val="20"/>
                <w:szCs w:val="20"/>
              </w:rPr>
            </w:pPr>
            <w:r>
              <w:rPr>
                <w:noProof/>
                <w:color w:val="006100"/>
                <w:sz w:val="20"/>
              </w:rPr>
              <w:t>Investeering 10. Oskuste katseprojektid „Crescere Green“</w:t>
            </w:r>
          </w:p>
        </w:tc>
        <w:tc>
          <w:tcPr>
            <w:tcW w:w="1440" w:type="dxa"/>
            <w:tcBorders>
              <w:top w:val="nil"/>
              <w:left w:val="nil"/>
              <w:bottom w:val="single" w:sz="4" w:space="0" w:color="auto"/>
              <w:right w:val="single" w:sz="4" w:space="0" w:color="auto"/>
            </w:tcBorders>
            <w:shd w:val="clear" w:color="auto" w:fill="C6EFCE"/>
            <w:noWrap/>
            <w:vAlign w:val="center"/>
          </w:tcPr>
          <w:p w14:paraId="52102DFE" w14:textId="77777777" w:rsidR="00A612E2" w:rsidRPr="00246CC4" w:rsidRDefault="00A612E2" w:rsidP="00742B81">
            <w:pPr>
              <w:jc w:val="center"/>
              <w:rPr>
                <w:noProof/>
                <w:color w:val="006100"/>
                <w:sz w:val="20"/>
                <w:szCs w:val="20"/>
              </w:rPr>
            </w:pPr>
            <w:r>
              <w:rPr>
                <w:noProof/>
                <w:color w:val="006100"/>
                <w:sz w:val="20"/>
              </w:rPr>
              <w:t>Siht</w:t>
            </w:r>
          </w:p>
        </w:tc>
        <w:tc>
          <w:tcPr>
            <w:tcW w:w="4020" w:type="dxa"/>
            <w:tcBorders>
              <w:top w:val="nil"/>
              <w:left w:val="nil"/>
              <w:bottom w:val="single" w:sz="4" w:space="0" w:color="auto"/>
              <w:right w:val="single" w:sz="4" w:space="0" w:color="auto"/>
            </w:tcBorders>
            <w:shd w:val="clear" w:color="auto" w:fill="C6EFCE"/>
            <w:noWrap/>
            <w:vAlign w:val="center"/>
          </w:tcPr>
          <w:p w14:paraId="51C153BF" w14:textId="77777777" w:rsidR="00A612E2" w:rsidRPr="003B127D" w:rsidRDefault="00A612E2" w:rsidP="00742B81">
            <w:pPr>
              <w:rPr>
                <w:noProof/>
                <w:color w:val="006100"/>
                <w:sz w:val="20"/>
                <w:szCs w:val="20"/>
              </w:rPr>
            </w:pPr>
            <w:r>
              <w:rPr>
                <w:noProof/>
                <w:color w:val="006100"/>
                <w:sz w:val="20"/>
              </w:rPr>
              <w:t>Koolituse pakkumine 20 000 inimesele</w:t>
            </w:r>
          </w:p>
        </w:tc>
      </w:tr>
      <w:tr w:rsidR="00A612E2" w:rsidRPr="00D90835" w14:paraId="3AA85B67"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9D17B5E" w14:textId="77777777" w:rsidR="00A612E2" w:rsidRPr="00246CC4" w:rsidRDefault="00A612E2" w:rsidP="00742B81">
            <w:pPr>
              <w:jc w:val="center"/>
              <w:rPr>
                <w:noProof/>
                <w:color w:val="006100"/>
                <w:sz w:val="20"/>
                <w:szCs w:val="20"/>
              </w:rPr>
            </w:pPr>
            <w:r>
              <w:rPr>
                <w:noProof/>
                <w:color w:val="006100"/>
                <w:sz w:val="20"/>
              </w:rPr>
              <w:t>M7-34</w:t>
            </w:r>
          </w:p>
        </w:tc>
        <w:tc>
          <w:tcPr>
            <w:tcW w:w="3118" w:type="dxa"/>
            <w:tcBorders>
              <w:top w:val="nil"/>
              <w:left w:val="nil"/>
              <w:bottom w:val="single" w:sz="4" w:space="0" w:color="auto"/>
              <w:right w:val="single" w:sz="4" w:space="0" w:color="auto"/>
            </w:tcBorders>
            <w:shd w:val="clear" w:color="auto" w:fill="C6EFCE"/>
            <w:noWrap/>
            <w:vAlign w:val="center"/>
          </w:tcPr>
          <w:p w14:paraId="7476C02E" w14:textId="77777777" w:rsidR="00A612E2" w:rsidRPr="003B127D" w:rsidRDefault="00A612E2" w:rsidP="00392579">
            <w:pPr>
              <w:rPr>
                <w:noProof/>
                <w:color w:val="006100"/>
                <w:sz w:val="20"/>
                <w:szCs w:val="20"/>
              </w:rPr>
            </w:pPr>
            <w:r>
              <w:rPr>
                <w:noProof/>
                <w:color w:val="006100"/>
                <w:sz w:val="20"/>
              </w:rPr>
              <w:t>Investeering 12. Toetuskava rahvusvahelise, tööstusliku ning teadus- ja arendustegevuse alase juhtpositsiooni arendamiseks heitevabade busside valdkonnas</w:t>
            </w:r>
          </w:p>
        </w:tc>
        <w:tc>
          <w:tcPr>
            <w:tcW w:w="1440" w:type="dxa"/>
            <w:tcBorders>
              <w:top w:val="nil"/>
              <w:left w:val="nil"/>
              <w:bottom w:val="single" w:sz="4" w:space="0" w:color="auto"/>
              <w:right w:val="single" w:sz="4" w:space="0" w:color="auto"/>
            </w:tcBorders>
            <w:shd w:val="clear" w:color="auto" w:fill="C6EFCE"/>
            <w:noWrap/>
            <w:vAlign w:val="center"/>
          </w:tcPr>
          <w:p w14:paraId="0AB793D5" w14:textId="77777777" w:rsidR="00A612E2" w:rsidRPr="00246CC4" w:rsidRDefault="00A612E2" w:rsidP="00742B81">
            <w:pPr>
              <w:jc w:val="center"/>
              <w:rPr>
                <w:noProof/>
                <w:color w:val="006100"/>
                <w:sz w:val="20"/>
                <w:szCs w:val="20"/>
              </w:rPr>
            </w:pPr>
            <w:r>
              <w:rPr>
                <w:noProof/>
                <w:color w:val="006100"/>
                <w:sz w:val="20"/>
              </w:rPr>
              <w:t>Eesmärk</w:t>
            </w:r>
          </w:p>
        </w:tc>
        <w:tc>
          <w:tcPr>
            <w:tcW w:w="4020" w:type="dxa"/>
            <w:tcBorders>
              <w:top w:val="nil"/>
              <w:left w:val="nil"/>
              <w:bottom w:val="single" w:sz="4" w:space="0" w:color="auto"/>
              <w:right w:val="single" w:sz="4" w:space="0" w:color="auto"/>
            </w:tcBorders>
            <w:shd w:val="clear" w:color="auto" w:fill="C6EFCE"/>
            <w:noWrap/>
            <w:vAlign w:val="center"/>
          </w:tcPr>
          <w:p w14:paraId="3FAF143E" w14:textId="77777777" w:rsidR="00A612E2" w:rsidRPr="003B127D" w:rsidRDefault="00A612E2" w:rsidP="00742B81">
            <w:pPr>
              <w:rPr>
                <w:noProof/>
                <w:color w:val="006100"/>
                <w:sz w:val="20"/>
                <w:szCs w:val="20"/>
              </w:rPr>
            </w:pPr>
            <w:r>
              <w:rPr>
                <w:noProof/>
                <w:color w:val="006100"/>
                <w:sz w:val="20"/>
              </w:rPr>
              <w:t>Ministeerium on investeeringu lõpule viinud</w:t>
            </w:r>
          </w:p>
        </w:tc>
      </w:tr>
      <w:tr w:rsidR="00A612E2" w:rsidRPr="00D90835" w14:paraId="7703A849"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7C73FD4" w14:textId="77777777" w:rsidR="00A612E2" w:rsidRPr="00246CC4" w:rsidRDefault="00A612E2" w:rsidP="00742B81">
            <w:pPr>
              <w:jc w:val="center"/>
              <w:rPr>
                <w:noProof/>
                <w:color w:val="006100"/>
                <w:sz w:val="20"/>
                <w:szCs w:val="20"/>
              </w:rPr>
            </w:pPr>
            <w:r>
              <w:rPr>
                <w:noProof/>
                <w:color w:val="006100"/>
                <w:sz w:val="20"/>
              </w:rPr>
              <w:t>M1C2–14a</w:t>
            </w:r>
          </w:p>
        </w:tc>
        <w:tc>
          <w:tcPr>
            <w:tcW w:w="3118" w:type="dxa"/>
            <w:tcBorders>
              <w:top w:val="nil"/>
              <w:left w:val="nil"/>
              <w:bottom w:val="single" w:sz="4" w:space="0" w:color="auto"/>
              <w:right w:val="single" w:sz="4" w:space="0" w:color="auto"/>
            </w:tcBorders>
            <w:shd w:val="clear" w:color="auto" w:fill="C6EFCE"/>
            <w:noWrap/>
            <w:vAlign w:val="center"/>
          </w:tcPr>
          <w:p w14:paraId="61E897CF" w14:textId="77777777" w:rsidR="00A612E2" w:rsidRPr="003B127D" w:rsidRDefault="00A612E2" w:rsidP="00392579">
            <w:pPr>
              <w:rPr>
                <w:noProof/>
                <w:color w:val="006100"/>
                <w:sz w:val="20"/>
                <w:szCs w:val="20"/>
              </w:rPr>
            </w:pPr>
            <w:r>
              <w:rPr>
                <w:noProof/>
                <w:color w:val="006100"/>
                <w:sz w:val="20"/>
              </w:rPr>
              <w:t>Reform 3.   ettevõtete stiimulite ratsionaliseerimine ja lihtsustamine.</w:t>
            </w:r>
          </w:p>
        </w:tc>
        <w:tc>
          <w:tcPr>
            <w:tcW w:w="1440" w:type="dxa"/>
            <w:tcBorders>
              <w:top w:val="nil"/>
              <w:left w:val="nil"/>
              <w:bottom w:val="single" w:sz="4" w:space="0" w:color="auto"/>
              <w:right w:val="single" w:sz="4" w:space="0" w:color="auto"/>
            </w:tcBorders>
            <w:shd w:val="clear" w:color="auto" w:fill="C6EFCE"/>
            <w:noWrap/>
            <w:vAlign w:val="center"/>
          </w:tcPr>
          <w:p w14:paraId="3314BA57" w14:textId="77777777" w:rsidR="00A612E2" w:rsidRPr="00246CC4" w:rsidRDefault="00A612E2" w:rsidP="00742B81">
            <w:pPr>
              <w:jc w:val="center"/>
              <w:rPr>
                <w:noProof/>
                <w:color w:val="006100"/>
                <w:sz w:val="20"/>
                <w:szCs w:val="20"/>
              </w:rPr>
            </w:pPr>
            <w:r>
              <w:rPr>
                <w:noProof/>
                <w:color w:val="006100"/>
                <w:sz w:val="20"/>
              </w:rPr>
              <w:t xml:space="preserve">Eesmärk </w:t>
            </w:r>
          </w:p>
        </w:tc>
        <w:tc>
          <w:tcPr>
            <w:tcW w:w="4020" w:type="dxa"/>
            <w:tcBorders>
              <w:top w:val="nil"/>
              <w:left w:val="nil"/>
              <w:bottom w:val="single" w:sz="4" w:space="0" w:color="auto"/>
              <w:right w:val="single" w:sz="4" w:space="0" w:color="auto"/>
            </w:tcBorders>
            <w:shd w:val="clear" w:color="auto" w:fill="C6EFCE"/>
            <w:noWrap/>
            <w:vAlign w:val="center"/>
          </w:tcPr>
          <w:p w14:paraId="3D3D62CA" w14:textId="77777777" w:rsidR="00A612E2" w:rsidRPr="003B127D" w:rsidRDefault="00A612E2" w:rsidP="00742B81">
            <w:pPr>
              <w:rPr>
                <w:noProof/>
                <w:color w:val="006100"/>
                <w:sz w:val="20"/>
                <w:szCs w:val="20"/>
              </w:rPr>
            </w:pPr>
            <w:r>
              <w:rPr>
                <w:noProof/>
                <w:color w:val="006100"/>
                <w:sz w:val="20"/>
              </w:rPr>
              <w:t>Aruande avaldamine kõigi ettevõtetele suunatud stiimulite kohta</w:t>
            </w:r>
          </w:p>
        </w:tc>
      </w:tr>
      <w:tr w:rsidR="00A612E2" w:rsidRPr="00246CC4" w14:paraId="3B50F9BC" w14:textId="77777777" w:rsidTr="00742B81">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625BEE9B" w14:textId="77777777" w:rsidR="00A612E2" w:rsidRPr="00F33804" w:rsidRDefault="00A612E2" w:rsidP="00742B81">
            <w:pPr>
              <w:jc w:val="center"/>
              <w:rPr>
                <w:noProof/>
                <w:color w:val="006100"/>
                <w:sz w:val="20"/>
                <w:szCs w:val="20"/>
              </w:rPr>
            </w:pPr>
          </w:p>
        </w:tc>
        <w:tc>
          <w:tcPr>
            <w:tcW w:w="3118" w:type="dxa"/>
            <w:tcBorders>
              <w:top w:val="single" w:sz="4" w:space="0" w:color="auto"/>
              <w:left w:val="nil"/>
              <w:bottom w:val="single" w:sz="4" w:space="0" w:color="auto"/>
              <w:right w:val="single" w:sz="4" w:space="0" w:color="auto"/>
            </w:tcBorders>
            <w:shd w:val="clear" w:color="auto" w:fill="C6EFCE"/>
            <w:noWrap/>
            <w:vAlign w:val="bottom"/>
          </w:tcPr>
          <w:p w14:paraId="7BDD9456" w14:textId="77777777" w:rsidR="00A612E2" w:rsidRPr="00F33804" w:rsidRDefault="00A612E2" w:rsidP="00742B81">
            <w:pPr>
              <w:rPr>
                <w:noProof/>
                <w:color w:val="006100"/>
                <w:sz w:val="20"/>
                <w:szCs w:val="20"/>
              </w:rPr>
            </w:pPr>
          </w:p>
        </w:tc>
        <w:tc>
          <w:tcPr>
            <w:tcW w:w="1440" w:type="dxa"/>
            <w:tcBorders>
              <w:top w:val="single" w:sz="4" w:space="0" w:color="auto"/>
              <w:left w:val="nil"/>
              <w:bottom w:val="single" w:sz="4" w:space="0" w:color="auto"/>
              <w:right w:val="single" w:sz="4" w:space="0" w:color="auto"/>
            </w:tcBorders>
            <w:shd w:val="clear" w:color="auto" w:fill="C6EFCE"/>
            <w:noWrap/>
            <w:vAlign w:val="bottom"/>
          </w:tcPr>
          <w:p w14:paraId="7E9093E2" w14:textId="77777777" w:rsidR="00A612E2" w:rsidRPr="00246CC4" w:rsidRDefault="00A612E2" w:rsidP="00742B81">
            <w:pPr>
              <w:rPr>
                <w:noProof/>
                <w:color w:val="006100"/>
                <w:sz w:val="20"/>
                <w:szCs w:val="20"/>
              </w:rPr>
            </w:pPr>
            <w:r>
              <w:rPr>
                <w:noProof/>
                <w:color w:val="006100"/>
                <w:sz w:val="20"/>
              </w:rPr>
              <w:t>Osamakse summa</w:t>
            </w:r>
          </w:p>
        </w:tc>
        <w:tc>
          <w:tcPr>
            <w:tcW w:w="4020" w:type="dxa"/>
            <w:tcBorders>
              <w:top w:val="single" w:sz="4" w:space="0" w:color="auto"/>
              <w:left w:val="nil"/>
              <w:bottom w:val="single" w:sz="4" w:space="0" w:color="auto"/>
              <w:right w:val="single" w:sz="4" w:space="0" w:color="auto"/>
            </w:tcBorders>
            <w:shd w:val="clear" w:color="auto" w:fill="C6EFCE"/>
            <w:noWrap/>
            <w:vAlign w:val="bottom"/>
          </w:tcPr>
          <w:p w14:paraId="0B8653FE" w14:textId="77777777" w:rsidR="00A612E2" w:rsidRPr="00246CC4" w:rsidRDefault="00A612E2" w:rsidP="00742B81">
            <w:pPr>
              <w:rPr>
                <w:noProof/>
                <w:color w:val="006100"/>
                <w:sz w:val="20"/>
                <w:szCs w:val="20"/>
              </w:rPr>
            </w:pPr>
            <w:r>
              <w:rPr>
                <w:noProof/>
                <w:color w:val="006100"/>
                <w:sz w:val="20"/>
              </w:rPr>
              <w:t>3 541 589 877 eurot</w:t>
            </w:r>
          </w:p>
        </w:tc>
      </w:tr>
    </w:tbl>
    <w:p w14:paraId="31EF57C2" w14:textId="77777777" w:rsidR="00A612E2" w:rsidRDefault="00A612E2" w:rsidP="00A612E2">
      <w:pPr>
        <w:spacing w:after="200" w:line="276" w:lineRule="auto"/>
        <w:rPr>
          <w:rFonts w:eastAsia="Calibri"/>
          <w:noProof/>
        </w:rPr>
      </w:pPr>
      <w:r>
        <w:rPr>
          <w:noProof/>
        </w:rPr>
        <w:br w:type="page"/>
      </w:r>
    </w:p>
    <w:p w14:paraId="460679E7" w14:textId="77777777" w:rsidR="00A612E2" w:rsidRDefault="00A612E2" w:rsidP="00A612E2">
      <w:pPr>
        <w:numPr>
          <w:ilvl w:val="1"/>
          <w:numId w:val="6"/>
        </w:numPr>
        <w:spacing w:before="120" w:after="120"/>
        <w:jc w:val="both"/>
        <w:rPr>
          <w:rFonts w:eastAsia="Calibri"/>
          <w:noProof/>
        </w:rPr>
      </w:pPr>
      <w:r>
        <w:rPr>
          <w:noProof/>
        </w:rPr>
        <w:t>Üheksas osamakse (tagastamatu toetus):</w:t>
      </w:r>
    </w:p>
    <w:tbl>
      <w:tblPr>
        <w:tblW w:w="9947" w:type="dxa"/>
        <w:tblInd w:w="113" w:type="dxa"/>
        <w:tblLook w:val="04A0" w:firstRow="1" w:lastRow="0" w:firstColumn="1" w:lastColumn="0" w:noHBand="0" w:noVBand="1"/>
      </w:tblPr>
      <w:tblGrid>
        <w:gridCol w:w="1827"/>
        <w:gridCol w:w="3150"/>
        <w:gridCol w:w="1425"/>
        <w:gridCol w:w="3959"/>
      </w:tblGrid>
      <w:tr w:rsidR="00A612E2" w:rsidRPr="00246CC4" w14:paraId="690D2AD9" w14:textId="77777777" w:rsidTr="00742B81">
        <w:trPr>
          <w:trHeight w:val="1423"/>
          <w:tblHeader/>
        </w:trPr>
        <w:tc>
          <w:tcPr>
            <w:tcW w:w="1413"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017F7740" w14:textId="77777777" w:rsidR="00A612E2" w:rsidRPr="00246CC4" w:rsidRDefault="00A612E2" w:rsidP="00742B81">
            <w:pPr>
              <w:jc w:val="center"/>
              <w:rPr>
                <w:b/>
                <w:bCs/>
                <w:noProof/>
                <w:sz w:val="20"/>
                <w:szCs w:val="20"/>
              </w:rPr>
            </w:pPr>
            <w:r>
              <w:rPr>
                <w:b/>
                <w:noProof/>
                <w:sz w:val="20"/>
              </w:rPr>
              <w:t>Järjekorranumber</w:t>
            </w:r>
          </w:p>
        </w:tc>
        <w:tc>
          <w:tcPr>
            <w:tcW w:w="315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120E8E0C" w14:textId="77777777" w:rsidR="00A612E2" w:rsidRPr="003B127D" w:rsidRDefault="00A612E2" w:rsidP="00742B81">
            <w:pPr>
              <w:jc w:val="center"/>
              <w:rPr>
                <w:b/>
                <w:bCs/>
                <w:noProof/>
                <w:sz w:val="20"/>
                <w:szCs w:val="20"/>
              </w:rPr>
            </w:pPr>
            <w:r>
              <w:rPr>
                <w:b/>
                <w:noProof/>
                <w:sz w:val="20"/>
              </w:rPr>
              <w:t>Seotud meede (reform või investeering)</w:t>
            </w:r>
          </w:p>
        </w:tc>
        <w:tc>
          <w:tcPr>
            <w:tcW w:w="1425"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536C13E3" w14:textId="77777777" w:rsidR="00A612E2" w:rsidRPr="00246CC4" w:rsidRDefault="00A612E2" w:rsidP="00742B81">
            <w:pPr>
              <w:jc w:val="center"/>
              <w:rPr>
                <w:b/>
                <w:bCs/>
                <w:noProof/>
                <w:sz w:val="20"/>
                <w:szCs w:val="20"/>
              </w:rPr>
            </w:pPr>
            <w:r>
              <w:rPr>
                <w:b/>
                <w:noProof/>
                <w:sz w:val="20"/>
              </w:rPr>
              <w:t>Eesmärk / siht</w:t>
            </w:r>
          </w:p>
        </w:tc>
        <w:tc>
          <w:tcPr>
            <w:tcW w:w="3959"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443D346" w14:textId="77777777" w:rsidR="00A612E2" w:rsidRPr="00246CC4" w:rsidRDefault="00A612E2" w:rsidP="00742B81">
            <w:pPr>
              <w:jc w:val="center"/>
              <w:rPr>
                <w:b/>
                <w:bCs/>
                <w:noProof/>
                <w:sz w:val="20"/>
                <w:szCs w:val="20"/>
              </w:rPr>
            </w:pPr>
            <w:r>
              <w:rPr>
                <w:b/>
                <w:noProof/>
                <w:sz w:val="20"/>
              </w:rPr>
              <w:t>Nimi</w:t>
            </w:r>
          </w:p>
        </w:tc>
      </w:tr>
      <w:tr w:rsidR="00A612E2" w:rsidRPr="00D90835" w14:paraId="53F336F4" w14:textId="77777777" w:rsidTr="00742B81">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931C1F1" w14:textId="77777777" w:rsidR="00A612E2" w:rsidRPr="00246CC4" w:rsidRDefault="00A612E2" w:rsidP="00742B81">
            <w:pPr>
              <w:jc w:val="center"/>
              <w:rPr>
                <w:noProof/>
                <w:color w:val="006100"/>
                <w:sz w:val="20"/>
                <w:szCs w:val="20"/>
              </w:rPr>
            </w:pPr>
            <w:r>
              <w:rPr>
                <w:noProof/>
                <w:color w:val="006100"/>
                <w:sz w:val="20"/>
              </w:rPr>
              <w:t>M4C1-7</w:t>
            </w:r>
          </w:p>
        </w:tc>
        <w:tc>
          <w:tcPr>
            <w:tcW w:w="3150" w:type="dxa"/>
            <w:tcBorders>
              <w:top w:val="single" w:sz="4" w:space="0" w:color="auto"/>
              <w:left w:val="nil"/>
              <w:bottom w:val="single" w:sz="4" w:space="0" w:color="auto"/>
              <w:right w:val="single" w:sz="4" w:space="0" w:color="auto"/>
            </w:tcBorders>
            <w:shd w:val="clear" w:color="auto" w:fill="C6EFCE"/>
            <w:noWrap/>
            <w:vAlign w:val="center"/>
          </w:tcPr>
          <w:p w14:paraId="44E9FEBC" w14:textId="77777777" w:rsidR="00A612E2" w:rsidRPr="003B127D" w:rsidRDefault="00A612E2" w:rsidP="00392579">
            <w:pPr>
              <w:rPr>
                <w:noProof/>
                <w:color w:val="006100"/>
                <w:sz w:val="20"/>
                <w:szCs w:val="20"/>
              </w:rPr>
            </w:pPr>
            <w:r>
              <w:rPr>
                <w:noProof/>
                <w:color w:val="006100"/>
                <w:sz w:val="20"/>
              </w:rPr>
              <w:t>Investeering 1.4. Erakorraline sekkumine, mille eesmärk on vähendada territoriaalseid erinevusi keskkooli I ja II tsüklis ning võidelda koolist väljalangemise vastu</w:t>
            </w:r>
          </w:p>
        </w:tc>
        <w:tc>
          <w:tcPr>
            <w:tcW w:w="1425" w:type="dxa"/>
            <w:tcBorders>
              <w:top w:val="single" w:sz="4" w:space="0" w:color="auto"/>
              <w:left w:val="nil"/>
              <w:bottom w:val="single" w:sz="4" w:space="0" w:color="auto"/>
              <w:right w:val="single" w:sz="4" w:space="0" w:color="auto"/>
            </w:tcBorders>
            <w:shd w:val="clear" w:color="auto" w:fill="C6EFCE"/>
            <w:noWrap/>
            <w:vAlign w:val="center"/>
          </w:tcPr>
          <w:p w14:paraId="5FDE5760" w14:textId="77777777" w:rsidR="00A612E2" w:rsidRPr="00246CC4" w:rsidRDefault="00A612E2" w:rsidP="00742B81">
            <w:pPr>
              <w:jc w:val="center"/>
              <w:rPr>
                <w:noProof/>
                <w:color w:val="006100"/>
                <w:sz w:val="20"/>
                <w:szCs w:val="20"/>
              </w:rPr>
            </w:pPr>
            <w:r>
              <w:rPr>
                <w:noProof/>
                <w:color w:val="006100"/>
                <w:sz w:val="20"/>
              </w:rPr>
              <w:t>Siht</w:t>
            </w:r>
          </w:p>
        </w:tc>
        <w:tc>
          <w:tcPr>
            <w:tcW w:w="3959" w:type="dxa"/>
            <w:tcBorders>
              <w:top w:val="single" w:sz="4" w:space="0" w:color="auto"/>
              <w:left w:val="nil"/>
              <w:bottom w:val="single" w:sz="4" w:space="0" w:color="auto"/>
              <w:right w:val="single" w:sz="4" w:space="0" w:color="auto"/>
            </w:tcBorders>
            <w:shd w:val="clear" w:color="auto" w:fill="C6EFCE"/>
            <w:noWrap/>
            <w:vAlign w:val="center"/>
          </w:tcPr>
          <w:p w14:paraId="6FCAD8FC" w14:textId="77777777" w:rsidR="00A612E2" w:rsidRPr="003B127D" w:rsidRDefault="00A612E2" w:rsidP="00742B81">
            <w:pPr>
              <w:rPr>
                <w:noProof/>
                <w:color w:val="006100"/>
                <w:sz w:val="20"/>
                <w:szCs w:val="20"/>
              </w:rPr>
            </w:pPr>
            <w:r>
              <w:rPr>
                <w:noProof/>
                <w:color w:val="006100"/>
                <w:sz w:val="20"/>
              </w:rPr>
              <w:t>Õpilased või noored, kes on osalenud mentorlustegevuses või koolituskursustel</w:t>
            </w:r>
          </w:p>
        </w:tc>
      </w:tr>
      <w:tr w:rsidR="00A612E2" w:rsidRPr="00D90835" w14:paraId="7EFB631C"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4900EC6" w14:textId="77777777" w:rsidR="00A612E2" w:rsidRPr="00246CC4" w:rsidRDefault="00A612E2" w:rsidP="00742B81">
            <w:pPr>
              <w:jc w:val="center"/>
              <w:rPr>
                <w:noProof/>
                <w:color w:val="006100"/>
                <w:sz w:val="20"/>
                <w:szCs w:val="20"/>
              </w:rPr>
            </w:pPr>
            <w:r>
              <w:rPr>
                <w:noProof/>
                <w:color w:val="006100"/>
                <w:sz w:val="20"/>
              </w:rPr>
              <w:t>M4C1–14a</w:t>
            </w:r>
          </w:p>
        </w:tc>
        <w:tc>
          <w:tcPr>
            <w:tcW w:w="3150" w:type="dxa"/>
            <w:tcBorders>
              <w:top w:val="nil"/>
              <w:left w:val="nil"/>
              <w:bottom w:val="single" w:sz="4" w:space="0" w:color="auto"/>
              <w:right w:val="single" w:sz="4" w:space="0" w:color="auto"/>
            </w:tcBorders>
            <w:shd w:val="clear" w:color="auto" w:fill="C6EFCE"/>
            <w:noWrap/>
            <w:vAlign w:val="center"/>
          </w:tcPr>
          <w:p w14:paraId="15939D7F" w14:textId="77777777" w:rsidR="00A612E2" w:rsidRPr="00246CC4" w:rsidRDefault="00A612E2" w:rsidP="00392579">
            <w:pPr>
              <w:rPr>
                <w:noProof/>
                <w:color w:val="006100"/>
                <w:sz w:val="20"/>
                <w:szCs w:val="20"/>
              </w:rPr>
            </w:pPr>
            <w:r>
              <w:rPr>
                <w:noProof/>
                <w:color w:val="006100"/>
                <w:sz w:val="20"/>
              </w:rPr>
              <w:t xml:space="preserve">Reform 2.1. Õpetajate värbamine   </w:t>
            </w:r>
          </w:p>
        </w:tc>
        <w:tc>
          <w:tcPr>
            <w:tcW w:w="1425" w:type="dxa"/>
            <w:tcBorders>
              <w:top w:val="nil"/>
              <w:left w:val="nil"/>
              <w:bottom w:val="single" w:sz="4" w:space="0" w:color="auto"/>
              <w:right w:val="single" w:sz="4" w:space="0" w:color="auto"/>
            </w:tcBorders>
            <w:shd w:val="clear" w:color="auto" w:fill="C6EFCE"/>
            <w:noWrap/>
            <w:vAlign w:val="center"/>
          </w:tcPr>
          <w:p w14:paraId="5B0DC343" w14:textId="77777777" w:rsidR="00A612E2" w:rsidRPr="00246CC4" w:rsidRDefault="00A612E2" w:rsidP="00742B81">
            <w:pPr>
              <w:jc w:val="center"/>
              <w:rPr>
                <w:noProof/>
                <w:color w:val="006100"/>
                <w:sz w:val="20"/>
                <w:szCs w:val="20"/>
              </w:rPr>
            </w:pPr>
            <w:r>
              <w:rPr>
                <w:noProof/>
                <w:color w:val="006100"/>
                <w:sz w:val="20"/>
              </w:rPr>
              <w:t xml:space="preserve">Siht </w:t>
            </w:r>
          </w:p>
        </w:tc>
        <w:tc>
          <w:tcPr>
            <w:tcW w:w="3959" w:type="dxa"/>
            <w:tcBorders>
              <w:top w:val="nil"/>
              <w:left w:val="nil"/>
              <w:bottom w:val="single" w:sz="4" w:space="0" w:color="auto"/>
              <w:right w:val="single" w:sz="4" w:space="0" w:color="auto"/>
            </w:tcBorders>
            <w:shd w:val="clear" w:color="auto" w:fill="C6EFCE"/>
            <w:noWrap/>
            <w:vAlign w:val="center"/>
          </w:tcPr>
          <w:p w14:paraId="3A08CF09" w14:textId="77777777" w:rsidR="00A612E2" w:rsidRPr="003B127D" w:rsidRDefault="00A612E2" w:rsidP="00742B81">
            <w:pPr>
              <w:rPr>
                <w:noProof/>
                <w:color w:val="006100"/>
                <w:sz w:val="20"/>
                <w:szCs w:val="20"/>
              </w:rPr>
            </w:pPr>
            <w:r>
              <w:rPr>
                <w:noProof/>
                <w:color w:val="006100"/>
                <w:sz w:val="20"/>
              </w:rPr>
              <w:t>Reformitud värbamissüsteemiga tööle võetud õpetajad</w:t>
            </w:r>
          </w:p>
        </w:tc>
      </w:tr>
      <w:tr w:rsidR="00A612E2" w:rsidRPr="00D90835" w14:paraId="44BC3913"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D161705" w14:textId="77777777" w:rsidR="00A612E2" w:rsidRPr="00246CC4" w:rsidRDefault="00A612E2" w:rsidP="00742B81">
            <w:pPr>
              <w:jc w:val="center"/>
              <w:rPr>
                <w:noProof/>
                <w:color w:val="006100"/>
                <w:sz w:val="20"/>
                <w:szCs w:val="20"/>
              </w:rPr>
            </w:pPr>
            <w:r>
              <w:rPr>
                <w:noProof/>
                <w:color w:val="006100"/>
                <w:sz w:val="20"/>
              </w:rPr>
              <w:t>M7-6</w:t>
            </w:r>
          </w:p>
        </w:tc>
        <w:tc>
          <w:tcPr>
            <w:tcW w:w="3150" w:type="dxa"/>
            <w:tcBorders>
              <w:top w:val="nil"/>
              <w:left w:val="nil"/>
              <w:bottom w:val="single" w:sz="4" w:space="0" w:color="auto"/>
              <w:right w:val="single" w:sz="4" w:space="0" w:color="auto"/>
            </w:tcBorders>
            <w:shd w:val="clear" w:color="auto" w:fill="C6EFCE"/>
            <w:noWrap/>
            <w:vAlign w:val="center"/>
          </w:tcPr>
          <w:p w14:paraId="237DD962" w14:textId="77777777" w:rsidR="00A612E2" w:rsidRPr="003B127D" w:rsidRDefault="00A612E2" w:rsidP="00392579">
            <w:pPr>
              <w:rPr>
                <w:noProof/>
                <w:color w:val="006100"/>
                <w:sz w:val="20"/>
                <w:szCs w:val="20"/>
              </w:rPr>
            </w:pPr>
            <w:r>
              <w:rPr>
                <w:noProof/>
                <w:color w:val="006100"/>
                <w:sz w:val="20"/>
              </w:rPr>
              <w:t>Reform 3. Biometaani gaasivõrku ühendamise kulude vähendamine</w:t>
            </w:r>
          </w:p>
        </w:tc>
        <w:tc>
          <w:tcPr>
            <w:tcW w:w="1425" w:type="dxa"/>
            <w:tcBorders>
              <w:top w:val="nil"/>
              <w:left w:val="nil"/>
              <w:bottom w:val="single" w:sz="4" w:space="0" w:color="auto"/>
              <w:right w:val="single" w:sz="4" w:space="0" w:color="auto"/>
            </w:tcBorders>
            <w:shd w:val="clear" w:color="auto" w:fill="C6EFCE"/>
            <w:noWrap/>
            <w:vAlign w:val="center"/>
          </w:tcPr>
          <w:p w14:paraId="2E0951C7" w14:textId="77777777" w:rsidR="00A612E2" w:rsidRPr="00246CC4" w:rsidRDefault="00A612E2" w:rsidP="00742B81">
            <w:pPr>
              <w:jc w:val="center"/>
              <w:rPr>
                <w:noProof/>
                <w:color w:val="006100"/>
                <w:sz w:val="20"/>
                <w:szCs w:val="20"/>
              </w:rPr>
            </w:pPr>
            <w:r>
              <w:rPr>
                <w:noProof/>
                <w:color w:val="006100"/>
                <w:sz w:val="20"/>
              </w:rPr>
              <w:t>Eesmärk</w:t>
            </w:r>
          </w:p>
        </w:tc>
        <w:tc>
          <w:tcPr>
            <w:tcW w:w="3959" w:type="dxa"/>
            <w:tcBorders>
              <w:top w:val="nil"/>
              <w:left w:val="nil"/>
              <w:bottom w:val="single" w:sz="4" w:space="0" w:color="auto"/>
              <w:right w:val="single" w:sz="4" w:space="0" w:color="auto"/>
            </w:tcBorders>
            <w:shd w:val="clear" w:color="auto" w:fill="C6EFCE"/>
            <w:noWrap/>
            <w:vAlign w:val="center"/>
          </w:tcPr>
          <w:p w14:paraId="36931C94" w14:textId="77777777" w:rsidR="00A612E2" w:rsidRPr="003B127D" w:rsidRDefault="00A612E2" w:rsidP="00742B81">
            <w:pPr>
              <w:rPr>
                <w:noProof/>
                <w:color w:val="006100"/>
                <w:sz w:val="20"/>
                <w:szCs w:val="20"/>
              </w:rPr>
            </w:pPr>
            <w:r>
              <w:rPr>
                <w:noProof/>
                <w:color w:val="006100"/>
                <w:sz w:val="20"/>
              </w:rPr>
              <w:t xml:space="preserve">Biometaani tootmisrajatiste gaasivõrguga liitumise kulude vähendamist käsitlevate õigusaktide jõustumine </w:t>
            </w:r>
          </w:p>
        </w:tc>
      </w:tr>
      <w:tr w:rsidR="00A612E2" w:rsidRPr="00D90835" w14:paraId="4900A3AC"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3E6698B" w14:textId="77777777" w:rsidR="00A612E2" w:rsidRPr="00246CC4" w:rsidRDefault="00A612E2" w:rsidP="00742B81">
            <w:pPr>
              <w:jc w:val="center"/>
              <w:rPr>
                <w:noProof/>
                <w:color w:val="006100"/>
                <w:sz w:val="20"/>
                <w:szCs w:val="20"/>
              </w:rPr>
            </w:pPr>
            <w:r>
              <w:rPr>
                <w:noProof/>
                <w:color w:val="006100"/>
                <w:sz w:val="20"/>
              </w:rPr>
              <w:t>M7-10</w:t>
            </w:r>
          </w:p>
        </w:tc>
        <w:tc>
          <w:tcPr>
            <w:tcW w:w="3150" w:type="dxa"/>
            <w:tcBorders>
              <w:top w:val="nil"/>
              <w:left w:val="nil"/>
              <w:bottom w:val="single" w:sz="4" w:space="0" w:color="auto"/>
              <w:right w:val="single" w:sz="4" w:space="0" w:color="auto"/>
            </w:tcBorders>
            <w:shd w:val="clear" w:color="auto" w:fill="C6EFCE"/>
            <w:noWrap/>
            <w:vAlign w:val="center"/>
          </w:tcPr>
          <w:p w14:paraId="396BB298" w14:textId="77777777" w:rsidR="00A612E2" w:rsidRPr="003B127D" w:rsidRDefault="00A612E2" w:rsidP="00392579">
            <w:pPr>
              <w:rPr>
                <w:noProof/>
                <w:color w:val="006100"/>
                <w:sz w:val="20"/>
                <w:szCs w:val="20"/>
              </w:rPr>
            </w:pPr>
            <w:r>
              <w:rPr>
                <w:noProof/>
                <w:color w:val="006100"/>
                <w:sz w:val="20"/>
              </w:rPr>
              <w:t>Reform 5. Uute oskuste kava – üleminekud</w:t>
            </w:r>
          </w:p>
        </w:tc>
        <w:tc>
          <w:tcPr>
            <w:tcW w:w="1425" w:type="dxa"/>
            <w:tcBorders>
              <w:top w:val="nil"/>
              <w:left w:val="nil"/>
              <w:bottom w:val="single" w:sz="4" w:space="0" w:color="auto"/>
              <w:right w:val="single" w:sz="4" w:space="0" w:color="auto"/>
            </w:tcBorders>
            <w:shd w:val="clear" w:color="auto" w:fill="C6EFCE"/>
            <w:noWrap/>
            <w:vAlign w:val="center"/>
          </w:tcPr>
          <w:p w14:paraId="73AF346D" w14:textId="77777777" w:rsidR="00A612E2" w:rsidRPr="00246CC4" w:rsidRDefault="00A612E2" w:rsidP="00742B81">
            <w:pPr>
              <w:jc w:val="center"/>
              <w:rPr>
                <w:noProof/>
                <w:color w:val="006100"/>
                <w:sz w:val="20"/>
                <w:szCs w:val="20"/>
              </w:rPr>
            </w:pPr>
            <w:r>
              <w:rPr>
                <w:noProof/>
                <w:color w:val="006100"/>
                <w:sz w:val="20"/>
              </w:rPr>
              <w:t>Eesmärk</w:t>
            </w:r>
          </w:p>
        </w:tc>
        <w:tc>
          <w:tcPr>
            <w:tcW w:w="3959" w:type="dxa"/>
            <w:tcBorders>
              <w:top w:val="nil"/>
              <w:left w:val="nil"/>
              <w:bottom w:val="single" w:sz="4" w:space="0" w:color="auto"/>
              <w:right w:val="single" w:sz="4" w:space="0" w:color="auto"/>
            </w:tcBorders>
            <w:shd w:val="clear" w:color="auto" w:fill="C6EFCE"/>
            <w:noWrap/>
            <w:vAlign w:val="center"/>
          </w:tcPr>
          <w:p w14:paraId="237B372E" w14:textId="77777777" w:rsidR="00A612E2" w:rsidRPr="003B127D" w:rsidRDefault="00A612E2" w:rsidP="00742B81">
            <w:pPr>
              <w:rPr>
                <w:noProof/>
                <w:color w:val="006100"/>
                <w:sz w:val="20"/>
                <w:szCs w:val="20"/>
              </w:rPr>
            </w:pPr>
            <w:r>
              <w:rPr>
                <w:noProof/>
                <w:color w:val="006100"/>
                <w:sz w:val="20"/>
              </w:rPr>
              <w:t>Piirkondlike seaduste jõustumine</w:t>
            </w:r>
          </w:p>
        </w:tc>
      </w:tr>
      <w:tr w:rsidR="00A612E2" w:rsidRPr="00D90835" w14:paraId="517CF7DC"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893CDA9" w14:textId="77777777" w:rsidR="00A612E2" w:rsidRPr="00246CC4" w:rsidRDefault="00A612E2" w:rsidP="00742B81">
            <w:pPr>
              <w:jc w:val="center"/>
              <w:rPr>
                <w:noProof/>
                <w:color w:val="006100"/>
                <w:sz w:val="20"/>
                <w:szCs w:val="20"/>
              </w:rPr>
            </w:pPr>
            <w:r>
              <w:rPr>
                <w:noProof/>
                <w:color w:val="006100"/>
                <w:sz w:val="20"/>
              </w:rPr>
              <w:t>M7-18</w:t>
            </w:r>
          </w:p>
        </w:tc>
        <w:tc>
          <w:tcPr>
            <w:tcW w:w="3150" w:type="dxa"/>
            <w:tcBorders>
              <w:top w:val="nil"/>
              <w:left w:val="nil"/>
              <w:bottom w:val="single" w:sz="4" w:space="0" w:color="auto"/>
              <w:right w:val="single" w:sz="4" w:space="0" w:color="auto"/>
            </w:tcBorders>
            <w:shd w:val="clear" w:color="auto" w:fill="C6EFCE"/>
            <w:noWrap/>
            <w:vAlign w:val="center"/>
          </w:tcPr>
          <w:p w14:paraId="19458D83" w14:textId="77777777" w:rsidR="00A612E2" w:rsidRPr="003B127D" w:rsidRDefault="00A612E2" w:rsidP="00392579">
            <w:pPr>
              <w:rPr>
                <w:noProof/>
                <w:color w:val="006100"/>
                <w:sz w:val="20"/>
                <w:szCs w:val="20"/>
              </w:rPr>
            </w:pPr>
            <w:r>
              <w:rPr>
                <w:noProof/>
                <w:color w:val="006100"/>
                <w:sz w:val="20"/>
              </w:rPr>
              <w:t>Investeering 6. Piiriülesed elektrivõrkude ühendamise projektid Itaalia ja naaberriikide vahel</w:t>
            </w:r>
          </w:p>
        </w:tc>
        <w:tc>
          <w:tcPr>
            <w:tcW w:w="1425" w:type="dxa"/>
            <w:tcBorders>
              <w:top w:val="nil"/>
              <w:left w:val="nil"/>
              <w:bottom w:val="single" w:sz="4" w:space="0" w:color="auto"/>
              <w:right w:val="single" w:sz="4" w:space="0" w:color="auto"/>
            </w:tcBorders>
            <w:shd w:val="clear" w:color="auto" w:fill="C6EFCE"/>
            <w:noWrap/>
            <w:vAlign w:val="center"/>
          </w:tcPr>
          <w:p w14:paraId="1C528826" w14:textId="77777777" w:rsidR="00A612E2" w:rsidRPr="00246CC4" w:rsidRDefault="00A612E2" w:rsidP="00742B81">
            <w:pPr>
              <w:jc w:val="center"/>
              <w:rPr>
                <w:noProof/>
                <w:color w:val="006100"/>
                <w:sz w:val="20"/>
                <w:szCs w:val="20"/>
              </w:rPr>
            </w:pPr>
            <w:r>
              <w:rPr>
                <w:noProof/>
                <w:color w:val="006100"/>
                <w:sz w:val="20"/>
              </w:rPr>
              <w:t>Eesmärk</w:t>
            </w:r>
          </w:p>
        </w:tc>
        <w:tc>
          <w:tcPr>
            <w:tcW w:w="3959" w:type="dxa"/>
            <w:tcBorders>
              <w:top w:val="nil"/>
              <w:left w:val="nil"/>
              <w:bottom w:val="single" w:sz="4" w:space="0" w:color="auto"/>
              <w:right w:val="single" w:sz="4" w:space="0" w:color="auto"/>
            </w:tcBorders>
            <w:shd w:val="clear" w:color="auto" w:fill="C6EFCE"/>
            <w:noWrap/>
            <w:vAlign w:val="center"/>
          </w:tcPr>
          <w:p w14:paraId="253DDE11" w14:textId="77777777" w:rsidR="00A612E2" w:rsidRPr="003B127D" w:rsidRDefault="00A612E2" w:rsidP="00742B81">
            <w:pPr>
              <w:rPr>
                <w:noProof/>
                <w:color w:val="006100"/>
                <w:sz w:val="20"/>
                <w:szCs w:val="20"/>
              </w:rPr>
            </w:pPr>
            <w:r>
              <w:rPr>
                <w:noProof/>
                <w:color w:val="006100"/>
                <w:sz w:val="20"/>
              </w:rPr>
              <w:t>Lepingute sõlmimine Itaalia ja Austria „Somplago – Würmlach“ võrkudevahelise ühenduse ehitamiseks</w:t>
            </w:r>
          </w:p>
        </w:tc>
      </w:tr>
      <w:tr w:rsidR="00A612E2" w:rsidRPr="00D90835" w14:paraId="3E36B6E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23D89EA" w14:textId="77777777" w:rsidR="00A612E2" w:rsidRPr="00246CC4" w:rsidRDefault="00A612E2" w:rsidP="00742B81">
            <w:pPr>
              <w:jc w:val="center"/>
              <w:rPr>
                <w:noProof/>
                <w:color w:val="006100"/>
                <w:sz w:val="20"/>
                <w:szCs w:val="20"/>
              </w:rPr>
            </w:pPr>
            <w:r>
              <w:rPr>
                <w:noProof/>
                <w:color w:val="006100"/>
                <w:sz w:val="20"/>
              </w:rPr>
              <w:t>M1C1-24</w:t>
            </w:r>
          </w:p>
        </w:tc>
        <w:tc>
          <w:tcPr>
            <w:tcW w:w="3150" w:type="dxa"/>
            <w:tcBorders>
              <w:top w:val="nil"/>
              <w:left w:val="nil"/>
              <w:bottom w:val="single" w:sz="4" w:space="0" w:color="auto"/>
              <w:right w:val="single" w:sz="4" w:space="0" w:color="auto"/>
            </w:tcBorders>
            <w:shd w:val="clear" w:color="auto" w:fill="C6EFCE"/>
            <w:noWrap/>
            <w:vAlign w:val="center"/>
          </w:tcPr>
          <w:p w14:paraId="4DE0AB6D" w14:textId="77777777" w:rsidR="00A612E2" w:rsidRPr="00246CC4" w:rsidRDefault="00A612E2" w:rsidP="00392579">
            <w:pPr>
              <w:rPr>
                <w:noProof/>
                <w:color w:val="006100"/>
                <w:sz w:val="20"/>
                <w:szCs w:val="20"/>
              </w:rPr>
            </w:pPr>
            <w:r>
              <w:rPr>
                <w:noProof/>
                <w:color w:val="006100"/>
                <w:sz w:val="20"/>
              </w:rPr>
              <w:t>Investeering 1.7.1. Digitaalne avalik teenistus</w:t>
            </w:r>
          </w:p>
        </w:tc>
        <w:tc>
          <w:tcPr>
            <w:tcW w:w="1425" w:type="dxa"/>
            <w:tcBorders>
              <w:top w:val="nil"/>
              <w:left w:val="nil"/>
              <w:bottom w:val="single" w:sz="4" w:space="0" w:color="auto"/>
              <w:right w:val="single" w:sz="4" w:space="0" w:color="auto"/>
            </w:tcBorders>
            <w:shd w:val="clear" w:color="auto" w:fill="C6EFCE"/>
            <w:noWrap/>
            <w:vAlign w:val="center"/>
          </w:tcPr>
          <w:p w14:paraId="3F1D5122" w14:textId="77777777" w:rsidR="00A612E2" w:rsidRPr="00246CC4" w:rsidRDefault="00A612E2" w:rsidP="00742B81">
            <w:pPr>
              <w:jc w:val="center"/>
              <w:rPr>
                <w:noProof/>
                <w:color w:val="006100"/>
                <w:sz w:val="20"/>
                <w:szCs w:val="20"/>
              </w:rPr>
            </w:pPr>
            <w:r>
              <w:rPr>
                <w:noProof/>
                <w:color w:val="006100"/>
                <w:sz w:val="20"/>
              </w:rPr>
              <w:t>Siht</w:t>
            </w:r>
          </w:p>
        </w:tc>
        <w:tc>
          <w:tcPr>
            <w:tcW w:w="3959" w:type="dxa"/>
            <w:tcBorders>
              <w:top w:val="nil"/>
              <w:left w:val="nil"/>
              <w:bottom w:val="single" w:sz="4" w:space="0" w:color="auto"/>
              <w:right w:val="single" w:sz="4" w:space="0" w:color="auto"/>
            </w:tcBorders>
            <w:shd w:val="clear" w:color="auto" w:fill="C6EFCE"/>
            <w:noWrap/>
            <w:vAlign w:val="center"/>
          </w:tcPr>
          <w:p w14:paraId="62BE6BB4" w14:textId="77777777" w:rsidR="00A612E2" w:rsidRPr="003B127D" w:rsidRDefault="00A612E2" w:rsidP="00742B81">
            <w:pPr>
              <w:rPr>
                <w:noProof/>
                <w:color w:val="006100"/>
                <w:sz w:val="20"/>
                <w:szCs w:val="20"/>
              </w:rPr>
            </w:pPr>
            <w:r>
              <w:rPr>
                <w:noProof/>
                <w:color w:val="006100"/>
                <w:sz w:val="20"/>
              </w:rPr>
              <w:t xml:space="preserve">Kodanikud, kes osalevad universaalsete avaliku teenistuse organisatsioonide riiklikus registris registreeritud organisatsioonide pakutavates digiõppe- ja/või hõlbustamisalgatustes </w:t>
            </w:r>
          </w:p>
        </w:tc>
      </w:tr>
      <w:tr w:rsidR="00A612E2" w:rsidRPr="00D90835" w14:paraId="48C07DD3"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4128B16" w14:textId="77777777" w:rsidR="00A612E2" w:rsidRPr="00246CC4" w:rsidRDefault="00A612E2" w:rsidP="00742B81">
            <w:pPr>
              <w:jc w:val="center"/>
              <w:rPr>
                <w:noProof/>
                <w:color w:val="006100"/>
                <w:sz w:val="20"/>
                <w:szCs w:val="20"/>
              </w:rPr>
            </w:pPr>
            <w:r>
              <w:rPr>
                <w:noProof/>
                <w:color w:val="006100"/>
                <w:sz w:val="20"/>
              </w:rPr>
              <w:t>M1C1-96</w:t>
            </w:r>
          </w:p>
        </w:tc>
        <w:tc>
          <w:tcPr>
            <w:tcW w:w="3150" w:type="dxa"/>
            <w:tcBorders>
              <w:top w:val="nil"/>
              <w:left w:val="nil"/>
              <w:bottom w:val="single" w:sz="4" w:space="0" w:color="auto"/>
              <w:right w:val="single" w:sz="4" w:space="0" w:color="auto"/>
            </w:tcBorders>
            <w:shd w:val="clear" w:color="auto" w:fill="C6EFCE"/>
            <w:noWrap/>
            <w:vAlign w:val="center"/>
          </w:tcPr>
          <w:p w14:paraId="666EB16B" w14:textId="77777777" w:rsidR="00A612E2" w:rsidRPr="003B127D" w:rsidRDefault="00A612E2" w:rsidP="00956361">
            <w:pPr>
              <w:rPr>
                <w:noProof/>
                <w:color w:val="006100"/>
                <w:sz w:val="20"/>
                <w:szCs w:val="20"/>
              </w:rPr>
            </w:pPr>
            <w:r>
              <w:rPr>
                <w:noProof/>
                <w:color w:val="006100"/>
                <w:sz w:val="20"/>
              </w:rPr>
              <w:t>Reform 1.10. Riigihangete õigusraamistiku reform</w:t>
            </w:r>
          </w:p>
        </w:tc>
        <w:tc>
          <w:tcPr>
            <w:tcW w:w="1425" w:type="dxa"/>
            <w:tcBorders>
              <w:top w:val="nil"/>
              <w:left w:val="nil"/>
              <w:bottom w:val="single" w:sz="4" w:space="0" w:color="auto"/>
              <w:right w:val="single" w:sz="4" w:space="0" w:color="auto"/>
            </w:tcBorders>
            <w:shd w:val="clear" w:color="auto" w:fill="C6EFCE"/>
            <w:noWrap/>
            <w:vAlign w:val="center"/>
          </w:tcPr>
          <w:p w14:paraId="3F993B53" w14:textId="77777777" w:rsidR="00A612E2" w:rsidRPr="00246CC4" w:rsidRDefault="00A612E2" w:rsidP="00742B81">
            <w:pPr>
              <w:jc w:val="center"/>
              <w:rPr>
                <w:noProof/>
                <w:color w:val="006100"/>
                <w:sz w:val="20"/>
                <w:szCs w:val="20"/>
              </w:rPr>
            </w:pPr>
            <w:r>
              <w:rPr>
                <w:noProof/>
                <w:color w:val="006100"/>
                <w:sz w:val="20"/>
              </w:rPr>
              <w:t>Siht</w:t>
            </w:r>
          </w:p>
        </w:tc>
        <w:tc>
          <w:tcPr>
            <w:tcW w:w="3959" w:type="dxa"/>
            <w:tcBorders>
              <w:top w:val="nil"/>
              <w:left w:val="nil"/>
              <w:bottom w:val="single" w:sz="4" w:space="0" w:color="auto"/>
              <w:right w:val="single" w:sz="4" w:space="0" w:color="auto"/>
            </w:tcBorders>
            <w:shd w:val="clear" w:color="auto" w:fill="C6EFCE"/>
            <w:noWrap/>
            <w:vAlign w:val="center"/>
          </w:tcPr>
          <w:p w14:paraId="7485B6BE" w14:textId="77777777" w:rsidR="00A612E2" w:rsidRPr="003B127D" w:rsidRDefault="00A612E2" w:rsidP="00742B81">
            <w:pPr>
              <w:rPr>
                <w:noProof/>
                <w:color w:val="006100"/>
                <w:sz w:val="20"/>
                <w:szCs w:val="20"/>
              </w:rPr>
            </w:pPr>
            <w:r>
              <w:rPr>
                <w:noProof/>
                <w:color w:val="006100"/>
                <w:sz w:val="20"/>
              </w:rPr>
              <w:t>Keskmine aeg avaldamise ja lepingu sõlmimise vahel</w:t>
            </w:r>
          </w:p>
        </w:tc>
      </w:tr>
      <w:tr w:rsidR="00A612E2" w:rsidRPr="00D90835" w14:paraId="4AB7F46B"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BA7E996" w14:textId="77777777" w:rsidR="00A612E2" w:rsidRPr="00246CC4" w:rsidRDefault="00A612E2" w:rsidP="00742B81">
            <w:pPr>
              <w:jc w:val="center"/>
              <w:rPr>
                <w:noProof/>
                <w:color w:val="006100"/>
                <w:sz w:val="20"/>
                <w:szCs w:val="20"/>
              </w:rPr>
            </w:pPr>
            <w:r>
              <w:rPr>
                <w:noProof/>
                <w:color w:val="006100"/>
                <w:sz w:val="20"/>
              </w:rPr>
              <w:t>M1C1–97bis</w:t>
            </w:r>
          </w:p>
        </w:tc>
        <w:tc>
          <w:tcPr>
            <w:tcW w:w="3150" w:type="dxa"/>
            <w:tcBorders>
              <w:top w:val="nil"/>
              <w:left w:val="nil"/>
              <w:bottom w:val="single" w:sz="4" w:space="0" w:color="auto"/>
              <w:right w:val="single" w:sz="4" w:space="0" w:color="auto"/>
            </w:tcBorders>
            <w:shd w:val="clear" w:color="auto" w:fill="C6EFCE"/>
            <w:noWrap/>
            <w:vAlign w:val="center"/>
          </w:tcPr>
          <w:p w14:paraId="13B8E27B" w14:textId="77777777" w:rsidR="00A612E2" w:rsidRPr="003B127D" w:rsidRDefault="00A612E2" w:rsidP="00956361">
            <w:pPr>
              <w:rPr>
                <w:noProof/>
                <w:color w:val="006100"/>
                <w:sz w:val="20"/>
                <w:szCs w:val="20"/>
              </w:rPr>
            </w:pPr>
            <w:r>
              <w:rPr>
                <w:noProof/>
                <w:color w:val="006100"/>
                <w:sz w:val="20"/>
              </w:rPr>
              <w:t>Reform 1.10. Riigihangete õigusraamistiku reform</w:t>
            </w:r>
          </w:p>
        </w:tc>
        <w:tc>
          <w:tcPr>
            <w:tcW w:w="1425" w:type="dxa"/>
            <w:tcBorders>
              <w:top w:val="nil"/>
              <w:left w:val="nil"/>
              <w:bottom w:val="single" w:sz="4" w:space="0" w:color="auto"/>
              <w:right w:val="single" w:sz="4" w:space="0" w:color="auto"/>
            </w:tcBorders>
            <w:shd w:val="clear" w:color="auto" w:fill="C6EFCE"/>
            <w:noWrap/>
            <w:vAlign w:val="center"/>
          </w:tcPr>
          <w:p w14:paraId="36D54AFF" w14:textId="77777777" w:rsidR="00A612E2" w:rsidRPr="00246CC4" w:rsidRDefault="00A612E2" w:rsidP="00742B81">
            <w:pPr>
              <w:jc w:val="center"/>
              <w:rPr>
                <w:noProof/>
                <w:color w:val="006100"/>
                <w:sz w:val="20"/>
                <w:szCs w:val="20"/>
              </w:rPr>
            </w:pPr>
            <w:r>
              <w:rPr>
                <w:noProof/>
                <w:color w:val="006100"/>
                <w:sz w:val="20"/>
              </w:rPr>
              <w:t>Siht</w:t>
            </w:r>
          </w:p>
        </w:tc>
        <w:tc>
          <w:tcPr>
            <w:tcW w:w="3959" w:type="dxa"/>
            <w:tcBorders>
              <w:top w:val="nil"/>
              <w:left w:val="nil"/>
              <w:bottom w:val="single" w:sz="4" w:space="0" w:color="auto"/>
              <w:right w:val="single" w:sz="4" w:space="0" w:color="auto"/>
            </w:tcBorders>
            <w:shd w:val="clear" w:color="auto" w:fill="C6EFCE"/>
            <w:noWrap/>
            <w:vAlign w:val="center"/>
          </w:tcPr>
          <w:p w14:paraId="2FAAE8F6" w14:textId="77777777" w:rsidR="00A612E2" w:rsidRPr="003B127D" w:rsidRDefault="00A612E2" w:rsidP="00742B81">
            <w:pPr>
              <w:rPr>
                <w:noProof/>
                <w:color w:val="006100"/>
                <w:sz w:val="20"/>
                <w:szCs w:val="20"/>
              </w:rPr>
            </w:pPr>
            <w:r>
              <w:rPr>
                <w:noProof/>
                <w:color w:val="006100"/>
                <w:sz w:val="20"/>
              </w:rPr>
              <w:t>Keskmine lepingu sõlmimise ja infrastruktuuri realiseerimise vaheline aeg</w:t>
            </w:r>
          </w:p>
        </w:tc>
      </w:tr>
      <w:tr w:rsidR="00A612E2" w:rsidRPr="00D90835" w14:paraId="5A9E828B"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E28788D" w14:textId="77777777" w:rsidR="00A612E2" w:rsidRPr="00246CC4" w:rsidRDefault="00A612E2" w:rsidP="00742B81">
            <w:pPr>
              <w:jc w:val="center"/>
              <w:rPr>
                <w:noProof/>
                <w:color w:val="006100"/>
                <w:sz w:val="20"/>
                <w:szCs w:val="20"/>
              </w:rPr>
            </w:pPr>
            <w:r>
              <w:rPr>
                <w:noProof/>
                <w:color w:val="006100"/>
                <w:sz w:val="20"/>
              </w:rPr>
              <w:t>M1C1–98bis</w:t>
            </w:r>
          </w:p>
        </w:tc>
        <w:tc>
          <w:tcPr>
            <w:tcW w:w="3150" w:type="dxa"/>
            <w:tcBorders>
              <w:top w:val="nil"/>
              <w:left w:val="nil"/>
              <w:bottom w:val="single" w:sz="4" w:space="0" w:color="auto"/>
              <w:right w:val="single" w:sz="4" w:space="0" w:color="auto"/>
            </w:tcBorders>
            <w:shd w:val="clear" w:color="auto" w:fill="C6EFCE"/>
            <w:noWrap/>
            <w:vAlign w:val="center"/>
          </w:tcPr>
          <w:p w14:paraId="41A57E3B" w14:textId="77777777" w:rsidR="00A612E2" w:rsidRPr="003B127D" w:rsidRDefault="00A612E2" w:rsidP="00956361">
            <w:pPr>
              <w:rPr>
                <w:noProof/>
                <w:color w:val="006100"/>
                <w:sz w:val="20"/>
                <w:szCs w:val="20"/>
              </w:rPr>
            </w:pPr>
            <w:r>
              <w:rPr>
                <w:noProof/>
                <w:color w:val="006100"/>
                <w:sz w:val="20"/>
              </w:rPr>
              <w:t>Reform 1.10. Riigihangete õigusraamistiku reform</w:t>
            </w:r>
          </w:p>
        </w:tc>
        <w:tc>
          <w:tcPr>
            <w:tcW w:w="1425" w:type="dxa"/>
            <w:tcBorders>
              <w:top w:val="nil"/>
              <w:left w:val="nil"/>
              <w:bottom w:val="single" w:sz="4" w:space="0" w:color="auto"/>
              <w:right w:val="single" w:sz="4" w:space="0" w:color="auto"/>
            </w:tcBorders>
            <w:shd w:val="clear" w:color="auto" w:fill="C6EFCE"/>
            <w:noWrap/>
            <w:vAlign w:val="center"/>
          </w:tcPr>
          <w:p w14:paraId="04E88271" w14:textId="77777777" w:rsidR="00A612E2" w:rsidRPr="00246CC4" w:rsidRDefault="00A612E2" w:rsidP="00742B81">
            <w:pPr>
              <w:jc w:val="center"/>
              <w:rPr>
                <w:noProof/>
                <w:color w:val="006100"/>
                <w:sz w:val="20"/>
                <w:szCs w:val="20"/>
              </w:rPr>
            </w:pPr>
            <w:r>
              <w:rPr>
                <w:noProof/>
                <w:color w:val="006100"/>
                <w:sz w:val="20"/>
              </w:rPr>
              <w:t>Siht</w:t>
            </w:r>
          </w:p>
        </w:tc>
        <w:tc>
          <w:tcPr>
            <w:tcW w:w="3959" w:type="dxa"/>
            <w:tcBorders>
              <w:top w:val="nil"/>
              <w:left w:val="nil"/>
              <w:bottom w:val="single" w:sz="4" w:space="0" w:color="auto"/>
              <w:right w:val="single" w:sz="4" w:space="0" w:color="auto"/>
            </w:tcBorders>
            <w:shd w:val="clear" w:color="auto" w:fill="C6EFCE"/>
            <w:noWrap/>
            <w:vAlign w:val="center"/>
          </w:tcPr>
          <w:p w14:paraId="66E0D6D4" w14:textId="77777777" w:rsidR="00A612E2" w:rsidRPr="003B127D" w:rsidRDefault="00A612E2" w:rsidP="00742B81">
            <w:pPr>
              <w:rPr>
                <w:noProof/>
                <w:color w:val="006100"/>
                <w:sz w:val="20"/>
                <w:szCs w:val="20"/>
              </w:rPr>
            </w:pPr>
            <w:r>
              <w:rPr>
                <w:noProof/>
                <w:color w:val="006100"/>
                <w:sz w:val="20"/>
              </w:rPr>
              <w:t>Avaliku sektori hankijad, keda on koolitatud avaliku sektori hankijate kutseliseks muutmise strateegia raames</w:t>
            </w:r>
          </w:p>
        </w:tc>
      </w:tr>
      <w:tr w:rsidR="00A612E2" w:rsidRPr="00D90835" w14:paraId="06F035B2"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E02EE2F" w14:textId="77777777" w:rsidR="00A612E2" w:rsidRPr="00246CC4" w:rsidRDefault="00A612E2" w:rsidP="00742B81">
            <w:pPr>
              <w:jc w:val="center"/>
              <w:rPr>
                <w:noProof/>
                <w:color w:val="006100"/>
                <w:sz w:val="20"/>
                <w:szCs w:val="20"/>
              </w:rPr>
            </w:pPr>
            <w:r>
              <w:rPr>
                <w:noProof/>
                <w:color w:val="006100"/>
                <w:sz w:val="20"/>
              </w:rPr>
              <w:t>M1C1–99bis</w:t>
            </w:r>
          </w:p>
        </w:tc>
        <w:tc>
          <w:tcPr>
            <w:tcW w:w="3150" w:type="dxa"/>
            <w:tcBorders>
              <w:top w:val="nil"/>
              <w:left w:val="nil"/>
              <w:bottom w:val="single" w:sz="4" w:space="0" w:color="auto"/>
              <w:right w:val="single" w:sz="4" w:space="0" w:color="auto"/>
            </w:tcBorders>
            <w:shd w:val="clear" w:color="auto" w:fill="C6EFCE"/>
            <w:noWrap/>
            <w:vAlign w:val="center"/>
          </w:tcPr>
          <w:p w14:paraId="217832D4" w14:textId="77777777" w:rsidR="00A612E2" w:rsidRPr="003B127D" w:rsidRDefault="00A612E2" w:rsidP="00392579">
            <w:pPr>
              <w:rPr>
                <w:noProof/>
                <w:color w:val="006100"/>
                <w:sz w:val="20"/>
                <w:szCs w:val="20"/>
              </w:rPr>
            </w:pPr>
            <w:r>
              <w:rPr>
                <w:noProof/>
                <w:color w:val="006100"/>
                <w:sz w:val="20"/>
              </w:rPr>
              <w:t>Reform 1.10. Riigihangete õigusraamistiku reform Investeering 1.10. Kvalifikatsioonitoetus ja e-hanked</w:t>
            </w:r>
          </w:p>
        </w:tc>
        <w:tc>
          <w:tcPr>
            <w:tcW w:w="1425" w:type="dxa"/>
            <w:tcBorders>
              <w:top w:val="nil"/>
              <w:left w:val="nil"/>
              <w:bottom w:val="single" w:sz="4" w:space="0" w:color="auto"/>
              <w:right w:val="single" w:sz="4" w:space="0" w:color="auto"/>
            </w:tcBorders>
            <w:shd w:val="clear" w:color="auto" w:fill="C6EFCE"/>
            <w:noWrap/>
            <w:vAlign w:val="center"/>
          </w:tcPr>
          <w:p w14:paraId="1B42B9DF" w14:textId="77777777" w:rsidR="00A612E2" w:rsidRPr="00246CC4" w:rsidRDefault="00A612E2" w:rsidP="00742B81">
            <w:pPr>
              <w:jc w:val="center"/>
              <w:rPr>
                <w:noProof/>
                <w:color w:val="006100"/>
                <w:sz w:val="20"/>
                <w:szCs w:val="20"/>
              </w:rPr>
            </w:pPr>
            <w:r>
              <w:rPr>
                <w:noProof/>
                <w:color w:val="006100"/>
                <w:sz w:val="20"/>
              </w:rPr>
              <w:t>Siht</w:t>
            </w:r>
          </w:p>
        </w:tc>
        <w:tc>
          <w:tcPr>
            <w:tcW w:w="3959" w:type="dxa"/>
            <w:tcBorders>
              <w:top w:val="nil"/>
              <w:left w:val="nil"/>
              <w:bottom w:val="single" w:sz="4" w:space="0" w:color="auto"/>
              <w:right w:val="single" w:sz="4" w:space="0" w:color="auto"/>
            </w:tcBorders>
            <w:shd w:val="clear" w:color="auto" w:fill="C6EFCE"/>
            <w:noWrap/>
            <w:vAlign w:val="center"/>
          </w:tcPr>
          <w:p w14:paraId="69E16518" w14:textId="77777777" w:rsidR="00A612E2" w:rsidRPr="003B127D" w:rsidRDefault="00A612E2" w:rsidP="00742B81">
            <w:pPr>
              <w:rPr>
                <w:noProof/>
                <w:color w:val="006100"/>
                <w:sz w:val="20"/>
                <w:szCs w:val="20"/>
              </w:rPr>
            </w:pPr>
            <w:r>
              <w:rPr>
                <w:noProof/>
                <w:color w:val="006100"/>
                <w:sz w:val="20"/>
              </w:rPr>
              <w:t xml:space="preserve">Avaliku sektori hankijate digipädevus </w:t>
            </w:r>
          </w:p>
        </w:tc>
      </w:tr>
      <w:tr w:rsidR="00A612E2" w:rsidRPr="00D90835" w14:paraId="0EA723C1"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8489753" w14:textId="77777777" w:rsidR="00A612E2" w:rsidRPr="00246CC4" w:rsidRDefault="00A612E2" w:rsidP="00742B81">
            <w:pPr>
              <w:jc w:val="center"/>
              <w:rPr>
                <w:noProof/>
                <w:color w:val="006100"/>
                <w:sz w:val="20"/>
                <w:szCs w:val="20"/>
              </w:rPr>
            </w:pPr>
            <w:r>
              <w:rPr>
                <w:noProof/>
                <w:color w:val="006100"/>
                <w:sz w:val="20"/>
              </w:rPr>
              <w:t>M1C1-116</w:t>
            </w:r>
          </w:p>
        </w:tc>
        <w:tc>
          <w:tcPr>
            <w:tcW w:w="3150" w:type="dxa"/>
            <w:tcBorders>
              <w:top w:val="nil"/>
              <w:left w:val="nil"/>
              <w:bottom w:val="single" w:sz="4" w:space="0" w:color="auto"/>
              <w:right w:val="single" w:sz="4" w:space="0" w:color="auto"/>
            </w:tcBorders>
            <w:shd w:val="clear" w:color="auto" w:fill="C6EFCE"/>
            <w:noWrap/>
            <w:vAlign w:val="center"/>
          </w:tcPr>
          <w:p w14:paraId="23E224B2" w14:textId="77777777" w:rsidR="00A612E2" w:rsidRPr="003B127D" w:rsidRDefault="00A612E2" w:rsidP="00392579">
            <w:pPr>
              <w:rPr>
                <w:noProof/>
                <w:color w:val="006100"/>
                <w:sz w:val="20"/>
                <w:szCs w:val="20"/>
              </w:rPr>
            </w:pPr>
            <w:r>
              <w:rPr>
                <w:noProof/>
                <w:color w:val="006100"/>
                <w:sz w:val="20"/>
              </w:rPr>
              <w:t>Reform 1.12. Maksuhalduse reform</w:t>
            </w:r>
          </w:p>
        </w:tc>
        <w:tc>
          <w:tcPr>
            <w:tcW w:w="1425" w:type="dxa"/>
            <w:tcBorders>
              <w:top w:val="nil"/>
              <w:left w:val="nil"/>
              <w:bottom w:val="single" w:sz="4" w:space="0" w:color="auto"/>
              <w:right w:val="single" w:sz="4" w:space="0" w:color="auto"/>
            </w:tcBorders>
            <w:shd w:val="clear" w:color="auto" w:fill="C6EFCE"/>
            <w:noWrap/>
            <w:vAlign w:val="center"/>
          </w:tcPr>
          <w:p w14:paraId="35A67677" w14:textId="77777777" w:rsidR="00A612E2" w:rsidRPr="00246CC4" w:rsidRDefault="00A612E2" w:rsidP="00742B81">
            <w:pPr>
              <w:jc w:val="center"/>
              <w:rPr>
                <w:noProof/>
                <w:color w:val="006100"/>
                <w:sz w:val="20"/>
                <w:szCs w:val="20"/>
              </w:rPr>
            </w:pPr>
            <w:r>
              <w:rPr>
                <w:noProof/>
                <w:color w:val="006100"/>
                <w:sz w:val="20"/>
              </w:rPr>
              <w:t>Siht</w:t>
            </w:r>
          </w:p>
        </w:tc>
        <w:tc>
          <w:tcPr>
            <w:tcW w:w="3959" w:type="dxa"/>
            <w:tcBorders>
              <w:top w:val="nil"/>
              <w:left w:val="nil"/>
              <w:bottom w:val="single" w:sz="4" w:space="0" w:color="auto"/>
              <w:right w:val="single" w:sz="4" w:space="0" w:color="auto"/>
            </w:tcBorders>
            <w:shd w:val="clear" w:color="auto" w:fill="C6EFCE"/>
            <w:noWrap/>
            <w:vAlign w:val="center"/>
          </w:tcPr>
          <w:p w14:paraId="4E1B76BE" w14:textId="77777777" w:rsidR="00A612E2" w:rsidRPr="003B127D" w:rsidRDefault="00A612E2" w:rsidP="00742B81">
            <w:pPr>
              <w:rPr>
                <w:noProof/>
                <w:color w:val="006100"/>
                <w:sz w:val="20"/>
                <w:szCs w:val="20"/>
              </w:rPr>
            </w:pPr>
            <w:r>
              <w:rPr>
                <w:noProof/>
                <w:color w:val="006100"/>
                <w:sz w:val="20"/>
              </w:rPr>
              <w:t>Maksudest kõrvalehoidumise vähendamine, nagu on määratletud näitajaga „võimalus maksudest kõrvale hoiduda“</w:t>
            </w:r>
          </w:p>
        </w:tc>
      </w:tr>
      <w:tr w:rsidR="00A612E2" w:rsidRPr="00D90835" w14:paraId="0B54C0FB"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D135697" w14:textId="77777777" w:rsidR="00A612E2" w:rsidRPr="00246CC4" w:rsidRDefault="00A612E2" w:rsidP="00742B81">
            <w:pPr>
              <w:jc w:val="center"/>
              <w:rPr>
                <w:noProof/>
                <w:color w:val="006100"/>
                <w:sz w:val="20"/>
                <w:szCs w:val="20"/>
              </w:rPr>
            </w:pPr>
            <w:r>
              <w:rPr>
                <w:noProof/>
                <w:color w:val="006100"/>
                <w:sz w:val="20"/>
              </w:rPr>
              <w:t>M1C2-5</w:t>
            </w:r>
          </w:p>
        </w:tc>
        <w:tc>
          <w:tcPr>
            <w:tcW w:w="3150" w:type="dxa"/>
            <w:tcBorders>
              <w:top w:val="nil"/>
              <w:left w:val="nil"/>
              <w:bottom w:val="single" w:sz="4" w:space="0" w:color="auto"/>
              <w:right w:val="single" w:sz="4" w:space="0" w:color="auto"/>
            </w:tcBorders>
            <w:shd w:val="clear" w:color="auto" w:fill="C6EFCE"/>
            <w:noWrap/>
            <w:vAlign w:val="center"/>
          </w:tcPr>
          <w:p w14:paraId="29EDB087" w14:textId="77777777" w:rsidR="00A612E2" w:rsidRPr="003B127D" w:rsidRDefault="00A612E2" w:rsidP="00392579">
            <w:pPr>
              <w:rPr>
                <w:noProof/>
                <w:color w:val="006100"/>
                <w:sz w:val="20"/>
                <w:szCs w:val="20"/>
              </w:rPr>
            </w:pPr>
            <w:r>
              <w:rPr>
                <w:noProof/>
                <w:color w:val="006100"/>
                <w:sz w:val="20"/>
              </w:rPr>
              <w:t>Investeering 6. Investeeringud tööstusomandi süsteemi</w:t>
            </w:r>
          </w:p>
        </w:tc>
        <w:tc>
          <w:tcPr>
            <w:tcW w:w="1425" w:type="dxa"/>
            <w:tcBorders>
              <w:top w:val="nil"/>
              <w:left w:val="nil"/>
              <w:bottom w:val="single" w:sz="4" w:space="0" w:color="auto"/>
              <w:right w:val="single" w:sz="4" w:space="0" w:color="auto"/>
            </w:tcBorders>
            <w:shd w:val="clear" w:color="auto" w:fill="C6EFCE"/>
            <w:noWrap/>
            <w:vAlign w:val="center"/>
          </w:tcPr>
          <w:p w14:paraId="1E9A046F" w14:textId="77777777" w:rsidR="00A612E2" w:rsidRPr="00246CC4" w:rsidRDefault="00A612E2" w:rsidP="00742B81">
            <w:pPr>
              <w:jc w:val="center"/>
              <w:rPr>
                <w:noProof/>
                <w:color w:val="006100"/>
                <w:sz w:val="20"/>
                <w:szCs w:val="20"/>
              </w:rPr>
            </w:pPr>
            <w:r>
              <w:rPr>
                <w:noProof/>
                <w:color w:val="006100"/>
                <w:sz w:val="20"/>
              </w:rPr>
              <w:t>Siht</w:t>
            </w:r>
          </w:p>
        </w:tc>
        <w:tc>
          <w:tcPr>
            <w:tcW w:w="3959" w:type="dxa"/>
            <w:tcBorders>
              <w:top w:val="nil"/>
              <w:left w:val="nil"/>
              <w:bottom w:val="single" w:sz="4" w:space="0" w:color="auto"/>
              <w:right w:val="single" w:sz="4" w:space="0" w:color="auto"/>
            </w:tcBorders>
            <w:shd w:val="clear" w:color="auto" w:fill="C6EFCE"/>
            <w:noWrap/>
            <w:vAlign w:val="center"/>
          </w:tcPr>
          <w:p w14:paraId="15A8E48D" w14:textId="77777777" w:rsidR="00A612E2" w:rsidRPr="003B127D" w:rsidRDefault="00A612E2" w:rsidP="00742B81">
            <w:pPr>
              <w:rPr>
                <w:noProof/>
                <w:color w:val="006100"/>
                <w:sz w:val="20"/>
                <w:szCs w:val="20"/>
              </w:rPr>
            </w:pPr>
            <w:r>
              <w:rPr>
                <w:noProof/>
                <w:color w:val="006100"/>
                <w:sz w:val="20"/>
              </w:rPr>
              <w:t>Tööstusomandiga seotud rahastamisvõimalustest toetatavad projektid</w:t>
            </w:r>
          </w:p>
        </w:tc>
      </w:tr>
      <w:tr w:rsidR="00A612E2" w:rsidRPr="00D90835" w14:paraId="44B64468"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D7C02CC" w14:textId="77777777" w:rsidR="00A612E2" w:rsidRPr="00246CC4" w:rsidRDefault="00A612E2" w:rsidP="00742B81">
            <w:pPr>
              <w:jc w:val="center"/>
              <w:rPr>
                <w:noProof/>
                <w:color w:val="006100"/>
                <w:sz w:val="20"/>
                <w:szCs w:val="20"/>
              </w:rPr>
            </w:pPr>
            <w:r>
              <w:rPr>
                <w:noProof/>
                <w:color w:val="006100"/>
                <w:sz w:val="20"/>
              </w:rPr>
              <w:t>M1C2-13</w:t>
            </w:r>
          </w:p>
        </w:tc>
        <w:tc>
          <w:tcPr>
            <w:tcW w:w="3150" w:type="dxa"/>
            <w:tcBorders>
              <w:top w:val="nil"/>
              <w:left w:val="nil"/>
              <w:bottom w:val="single" w:sz="4" w:space="0" w:color="auto"/>
              <w:right w:val="single" w:sz="4" w:space="0" w:color="auto"/>
            </w:tcBorders>
            <w:shd w:val="clear" w:color="auto" w:fill="C6EFCE"/>
            <w:noWrap/>
            <w:vAlign w:val="center"/>
          </w:tcPr>
          <w:p w14:paraId="29842CFE" w14:textId="77777777" w:rsidR="00A612E2" w:rsidRPr="00246CC4" w:rsidRDefault="00A612E2" w:rsidP="00392579">
            <w:pPr>
              <w:rPr>
                <w:noProof/>
                <w:color w:val="006100"/>
                <w:sz w:val="20"/>
                <w:szCs w:val="20"/>
              </w:rPr>
            </w:pPr>
            <w:r>
              <w:rPr>
                <w:noProof/>
                <w:color w:val="006100"/>
                <w:sz w:val="20"/>
              </w:rPr>
              <w:t>Reform 2. Iga-aastased konkurentsiseadused</w:t>
            </w:r>
          </w:p>
        </w:tc>
        <w:tc>
          <w:tcPr>
            <w:tcW w:w="1425" w:type="dxa"/>
            <w:tcBorders>
              <w:top w:val="nil"/>
              <w:left w:val="nil"/>
              <w:bottom w:val="single" w:sz="4" w:space="0" w:color="auto"/>
              <w:right w:val="single" w:sz="4" w:space="0" w:color="auto"/>
            </w:tcBorders>
            <w:shd w:val="clear" w:color="auto" w:fill="C6EFCE"/>
            <w:noWrap/>
            <w:vAlign w:val="center"/>
          </w:tcPr>
          <w:p w14:paraId="4EBEE0CB" w14:textId="77777777" w:rsidR="00A612E2" w:rsidRPr="00246CC4" w:rsidRDefault="00A612E2" w:rsidP="00742B81">
            <w:pPr>
              <w:jc w:val="center"/>
              <w:rPr>
                <w:noProof/>
                <w:color w:val="006100"/>
                <w:sz w:val="20"/>
                <w:szCs w:val="20"/>
              </w:rPr>
            </w:pPr>
            <w:r>
              <w:rPr>
                <w:noProof/>
                <w:color w:val="006100"/>
                <w:sz w:val="20"/>
              </w:rPr>
              <w:t>Eesmärk</w:t>
            </w:r>
          </w:p>
        </w:tc>
        <w:tc>
          <w:tcPr>
            <w:tcW w:w="3959" w:type="dxa"/>
            <w:tcBorders>
              <w:top w:val="nil"/>
              <w:left w:val="nil"/>
              <w:bottom w:val="single" w:sz="4" w:space="0" w:color="auto"/>
              <w:right w:val="single" w:sz="4" w:space="0" w:color="auto"/>
            </w:tcBorders>
            <w:shd w:val="clear" w:color="auto" w:fill="C6EFCE"/>
            <w:noWrap/>
            <w:vAlign w:val="center"/>
          </w:tcPr>
          <w:p w14:paraId="0BC2A165" w14:textId="77777777" w:rsidR="00A612E2" w:rsidRPr="003B127D" w:rsidRDefault="00A612E2" w:rsidP="00742B81">
            <w:pPr>
              <w:rPr>
                <w:noProof/>
                <w:color w:val="006100"/>
                <w:sz w:val="20"/>
                <w:szCs w:val="20"/>
              </w:rPr>
            </w:pPr>
            <w:r>
              <w:rPr>
                <w:noProof/>
                <w:color w:val="006100"/>
                <w:sz w:val="20"/>
              </w:rPr>
              <w:t>2024. aasta konkurentsiseaduse jõustumine</w:t>
            </w:r>
          </w:p>
        </w:tc>
      </w:tr>
      <w:tr w:rsidR="00A612E2" w:rsidRPr="00D90835" w14:paraId="1AC5EB1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F6B23C6" w14:textId="77777777" w:rsidR="00A612E2" w:rsidRPr="00246CC4" w:rsidRDefault="00A612E2" w:rsidP="00742B81">
            <w:pPr>
              <w:jc w:val="center"/>
              <w:rPr>
                <w:noProof/>
                <w:color w:val="006100"/>
                <w:sz w:val="20"/>
                <w:szCs w:val="20"/>
              </w:rPr>
            </w:pPr>
            <w:r>
              <w:rPr>
                <w:noProof/>
                <w:color w:val="006100"/>
                <w:sz w:val="20"/>
              </w:rPr>
              <w:t>M1C2-14</w:t>
            </w:r>
          </w:p>
        </w:tc>
        <w:tc>
          <w:tcPr>
            <w:tcW w:w="3150" w:type="dxa"/>
            <w:tcBorders>
              <w:top w:val="nil"/>
              <w:left w:val="nil"/>
              <w:bottom w:val="single" w:sz="4" w:space="0" w:color="auto"/>
              <w:right w:val="single" w:sz="4" w:space="0" w:color="auto"/>
            </w:tcBorders>
            <w:shd w:val="clear" w:color="auto" w:fill="C6EFCE"/>
            <w:noWrap/>
            <w:vAlign w:val="center"/>
          </w:tcPr>
          <w:p w14:paraId="6C481C2C" w14:textId="77777777" w:rsidR="00A612E2" w:rsidRPr="00246CC4" w:rsidRDefault="00A612E2" w:rsidP="00392579">
            <w:pPr>
              <w:rPr>
                <w:noProof/>
                <w:color w:val="006100"/>
                <w:sz w:val="20"/>
                <w:szCs w:val="20"/>
              </w:rPr>
            </w:pPr>
            <w:r>
              <w:rPr>
                <w:noProof/>
                <w:color w:val="006100"/>
                <w:sz w:val="20"/>
              </w:rPr>
              <w:t>Reform 2. Iga-aastased konkurentsiseadused</w:t>
            </w:r>
          </w:p>
        </w:tc>
        <w:tc>
          <w:tcPr>
            <w:tcW w:w="1425" w:type="dxa"/>
            <w:tcBorders>
              <w:top w:val="nil"/>
              <w:left w:val="nil"/>
              <w:bottom w:val="single" w:sz="4" w:space="0" w:color="auto"/>
              <w:right w:val="single" w:sz="4" w:space="0" w:color="auto"/>
            </w:tcBorders>
            <w:shd w:val="clear" w:color="auto" w:fill="C6EFCE"/>
            <w:noWrap/>
            <w:vAlign w:val="center"/>
          </w:tcPr>
          <w:p w14:paraId="256DBB7F" w14:textId="77777777" w:rsidR="00A612E2" w:rsidRPr="00246CC4" w:rsidRDefault="00A612E2" w:rsidP="00742B81">
            <w:pPr>
              <w:jc w:val="center"/>
              <w:rPr>
                <w:noProof/>
                <w:color w:val="006100"/>
                <w:sz w:val="20"/>
                <w:szCs w:val="20"/>
              </w:rPr>
            </w:pPr>
            <w:r>
              <w:rPr>
                <w:noProof/>
                <w:color w:val="006100"/>
                <w:sz w:val="20"/>
              </w:rPr>
              <w:t>Siht</w:t>
            </w:r>
          </w:p>
        </w:tc>
        <w:tc>
          <w:tcPr>
            <w:tcW w:w="3959" w:type="dxa"/>
            <w:tcBorders>
              <w:top w:val="nil"/>
              <w:left w:val="nil"/>
              <w:bottom w:val="single" w:sz="4" w:space="0" w:color="auto"/>
              <w:right w:val="single" w:sz="4" w:space="0" w:color="auto"/>
            </w:tcBorders>
            <w:shd w:val="clear" w:color="auto" w:fill="C6EFCE"/>
            <w:noWrap/>
            <w:vAlign w:val="center"/>
          </w:tcPr>
          <w:p w14:paraId="7DBEC62F" w14:textId="77777777" w:rsidR="00A612E2" w:rsidRPr="003B127D" w:rsidRDefault="00A612E2" w:rsidP="00742B81">
            <w:pPr>
              <w:rPr>
                <w:noProof/>
                <w:color w:val="006100"/>
                <w:sz w:val="20"/>
                <w:szCs w:val="20"/>
              </w:rPr>
            </w:pPr>
            <w:r>
              <w:rPr>
                <w:noProof/>
                <w:color w:val="006100"/>
                <w:sz w:val="20"/>
              </w:rPr>
              <w:t>Kasutusele on võetud miljoneid 2G arukaid arvesteid.</w:t>
            </w:r>
          </w:p>
        </w:tc>
      </w:tr>
      <w:tr w:rsidR="00A612E2" w:rsidRPr="00D90835" w14:paraId="18BB0907"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5D9A30F" w14:textId="77777777" w:rsidR="00A612E2" w:rsidRPr="00246CC4" w:rsidRDefault="00A612E2" w:rsidP="00742B81">
            <w:pPr>
              <w:jc w:val="center"/>
              <w:rPr>
                <w:noProof/>
                <w:color w:val="006100"/>
                <w:sz w:val="20"/>
                <w:szCs w:val="20"/>
              </w:rPr>
            </w:pPr>
            <w:r>
              <w:rPr>
                <w:noProof/>
                <w:color w:val="006100"/>
                <w:sz w:val="20"/>
              </w:rPr>
              <w:t>M1C3-1</w:t>
            </w:r>
          </w:p>
        </w:tc>
        <w:tc>
          <w:tcPr>
            <w:tcW w:w="3150" w:type="dxa"/>
            <w:tcBorders>
              <w:top w:val="nil"/>
              <w:left w:val="nil"/>
              <w:bottom w:val="single" w:sz="4" w:space="0" w:color="auto"/>
              <w:right w:val="single" w:sz="4" w:space="0" w:color="auto"/>
            </w:tcBorders>
            <w:shd w:val="clear" w:color="auto" w:fill="C6EFCE"/>
            <w:noWrap/>
            <w:vAlign w:val="center"/>
          </w:tcPr>
          <w:p w14:paraId="79514306" w14:textId="77777777" w:rsidR="00A612E2" w:rsidRPr="003B127D" w:rsidRDefault="00A612E2" w:rsidP="00392579">
            <w:pPr>
              <w:rPr>
                <w:noProof/>
                <w:color w:val="006100"/>
                <w:sz w:val="20"/>
                <w:szCs w:val="20"/>
              </w:rPr>
            </w:pPr>
            <w:r>
              <w:rPr>
                <w:noProof/>
                <w:color w:val="006100"/>
                <w:sz w:val="20"/>
              </w:rPr>
              <w:t>Investeering 1.1. Digitaalstrateegia ja kultuuripärandi platvormid</w:t>
            </w:r>
          </w:p>
        </w:tc>
        <w:tc>
          <w:tcPr>
            <w:tcW w:w="1425" w:type="dxa"/>
            <w:tcBorders>
              <w:top w:val="nil"/>
              <w:left w:val="nil"/>
              <w:bottom w:val="single" w:sz="4" w:space="0" w:color="auto"/>
              <w:right w:val="single" w:sz="4" w:space="0" w:color="auto"/>
            </w:tcBorders>
            <w:shd w:val="clear" w:color="auto" w:fill="C6EFCE"/>
            <w:noWrap/>
            <w:vAlign w:val="center"/>
          </w:tcPr>
          <w:p w14:paraId="3D852F72" w14:textId="77777777" w:rsidR="00A612E2" w:rsidRPr="00246CC4" w:rsidRDefault="00A612E2" w:rsidP="00742B81">
            <w:pPr>
              <w:jc w:val="center"/>
              <w:rPr>
                <w:noProof/>
                <w:color w:val="006100"/>
                <w:sz w:val="20"/>
                <w:szCs w:val="20"/>
              </w:rPr>
            </w:pPr>
            <w:r>
              <w:rPr>
                <w:noProof/>
                <w:color w:val="006100"/>
                <w:sz w:val="20"/>
              </w:rPr>
              <w:t>Siht</w:t>
            </w:r>
          </w:p>
        </w:tc>
        <w:tc>
          <w:tcPr>
            <w:tcW w:w="3959" w:type="dxa"/>
            <w:tcBorders>
              <w:top w:val="nil"/>
              <w:left w:val="nil"/>
              <w:bottom w:val="single" w:sz="4" w:space="0" w:color="auto"/>
              <w:right w:val="single" w:sz="4" w:space="0" w:color="auto"/>
            </w:tcBorders>
            <w:shd w:val="clear" w:color="auto" w:fill="C6EFCE"/>
            <w:noWrap/>
            <w:vAlign w:val="center"/>
          </w:tcPr>
          <w:p w14:paraId="397A0267" w14:textId="77777777" w:rsidR="00A612E2" w:rsidRPr="003B127D" w:rsidRDefault="00A612E2" w:rsidP="00742B81">
            <w:pPr>
              <w:rPr>
                <w:noProof/>
                <w:color w:val="006100"/>
                <w:sz w:val="20"/>
                <w:szCs w:val="20"/>
              </w:rPr>
            </w:pPr>
            <w:r>
              <w:rPr>
                <w:noProof/>
                <w:color w:val="006100"/>
                <w:sz w:val="20"/>
              </w:rPr>
              <w:t>Kasutajad, keda on koolitatud kultuuripärandi e-õppe platvormi kaudu</w:t>
            </w:r>
          </w:p>
        </w:tc>
      </w:tr>
      <w:tr w:rsidR="00A612E2" w:rsidRPr="00D90835" w14:paraId="588090E7"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A5622B0" w14:textId="77777777" w:rsidR="00A612E2" w:rsidRPr="00246CC4" w:rsidRDefault="00A612E2" w:rsidP="00742B81">
            <w:pPr>
              <w:jc w:val="center"/>
              <w:rPr>
                <w:noProof/>
                <w:color w:val="006100"/>
                <w:sz w:val="20"/>
                <w:szCs w:val="20"/>
              </w:rPr>
            </w:pPr>
            <w:r>
              <w:rPr>
                <w:noProof/>
                <w:color w:val="006100"/>
                <w:sz w:val="20"/>
              </w:rPr>
              <w:t>M1C3-2</w:t>
            </w:r>
          </w:p>
        </w:tc>
        <w:tc>
          <w:tcPr>
            <w:tcW w:w="3150" w:type="dxa"/>
            <w:tcBorders>
              <w:top w:val="nil"/>
              <w:left w:val="nil"/>
              <w:bottom w:val="single" w:sz="4" w:space="0" w:color="auto"/>
              <w:right w:val="single" w:sz="4" w:space="0" w:color="auto"/>
            </w:tcBorders>
            <w:shd w:val="clear" w:color="auto" w:fill="C6EFCE"/>
            <w:noWrap/>
            <w:vAlign w:val="center"/>
          </w:tcPr>
          <w:p w14:paraId="357DAF47" w14:textId="77777777" w:rsidR="00A612E2" w:rsidRPr="003B127D" w:rsidRDefault="00A612E2" w:rsidP="00392579">
            <w:pPr>
              <w:rPr>
                <w:noProof/>
                <w:color w:val="006100"/>
                <w:sz w:val="20"/>
                <w:szCs w:val="20"/>
              </w:rPr>
            </w:pPr>
            <w:r>
              <w:rPr>
                <w:noProof/>
                <w:color w:val="006100"/>
                <w:sz w:val="20"/>
              </w:rPr>
              <w:t>Investeering 1.1. Digitaalstrateegia ja kultuuripärandi platvormid</w:t>
            </w:r>
          </w:p>
        </w:tc>
        <w:tc>
          <w:tcPr>
            <w:tcW w:w="1425" w:type="dxa"/>
            <w:tcBorders>
              <w:top w:val="nil"/>
              <w:left w:val="nil"/>
              <w:bottom w:val="single" w:sz="4" w:space="0" w:color="auto"/>
              <w:right w:val="single" w:sz="4" w:space="0" w:color="auto"/>
            </w:tcBorders>
            <w:shd w:val="clear" w:color="auto" w:fill="C6EFCE"/>
            <w:noWrap/>
            <w:vAlign w:val="center"/>
          </w:tcPr>
          <w:p w14:paraId="31B9FB81" w14:textId="77777777" w:rsidR="00A612E2" w:rsidRPr="00246CC4" w:rsidRDefault="00A612E2" w:rsidP="00742B81">
            <w:pPr>
              <w:jc w:val="center"/>
              <w:rPr>
                <w:noProof/>
                <w:color w:val="006100"/>
                <w:sz w:val="20"/>
                <w:szCs w:val="20"/>
              </w:rPr>
            </w:pPr>
            <w:r>
              <w:rPr>
                <w:noProof/>
                <w:color w:val="006100"/>
                <w:sz w:val="20"/>
              </w:rPr>
              <w:t>Siht</w:t>
            </w:r>
          </w:p>
        </w:tc>
        <w:tc>
          <w:tcPr>
            <w:tcW w:w="3959" w:type="dxa"/>
            <w:tcBorders>
              <w:top w:val="nil"/>
              <w:left w:val="nil"/>
              <w:bottom w:val="single" w:sz="4" w:space="0" w:color="auto"/>
              <w:right w:val="single" w:sz="4" w:space="0" w:color="auto"/>
            </w:tcBorders>
            <w:shd w:val="clear" w:color="auto" w:fill="C6EFCE"/>
            <w:noWrap/>
            <w:vAlign w:val="center"/>
          </w:tcPr>
          <w:p w14:paraId="46F24CFE" w14:textId="77777777" w:rsidR="00A612E2" w:rsidRPr="003B127D" w:rsidRDefault="00A612E2" w:rsidP="00742B81">
            <w:pPr>
              <w:rPr>
                <w:noProof/>
                <w:color w:val="006100"/>
                <w:sz w:val="20"/>
                <w:szCs w:val="20"/>
              </w:rPr>
            </w:pPr>
            <w:r>
              <w:rPr>
                <w:noProof/>
                <w:color w:val="006100"/>
                <w:sz w:val="20"/>
              </w:rPr>
              <w:t xml:space="preserve">Digitaalsed ressursid, mis on loodud ja avaldatud digitaalses raamatukogus </w:t>
            </w:r>
          </w:p>
        </w:tc>
      </w:tr>
      <w:tr w:rsidR="00A612E2" w:rsidRPr="00D90835" w14:paraId="6D110C61"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743C595" w14:textId="77777777" w:rsidR="00A612E2" w:rsidRPr="00246CC4" w:rsidRDefault="00A612E2" w:rsidP="00742B81">
            <w:pPr>
              <w:jc w:val="center"/>
              <w:rPr>
                <w:noProof/>
                <w:color w:val="006100"/>
                <w:sz w:val="20"/>
                <w:szCs w:val="20"/>
              </w:rPr>
            </w:pPr>
            <w:r>
              <w:rPr>
                <w:noProof/>
                <w:color w:val="006100"/>
                <w:sz w:val="20"/>
              </w:rPr>
              <w:t>M1C3-5</w:t>
            </w:r>
          </w:p>
        </w:tc>
        <w:tc>
          <w:tcPr>
            <w:tcW w:w="3150" w:type="dxa"/>
            <w:tcBorders>
              <w:top w:val="nil"/>
              <w:left w:val="nil"/>
              <w:bottom w:val="single" w:sz="4" w:space="0" w:color="auto"/>
              <w:right w:val="single" w:sz="4" w:space="0" w:color="auto"/>
            </w:tcBorders>
            <w:shd w:val="clear" w:color="auto" w:fill="C6EFCE"/>
            <w:noWrap/>
            <w:vAlign w:val="center"/>
          </w:tcPr>
          <w:p w14:paraId="5DFFD2E6" w14:textId="77777777" w:rsidR="00A612E2" w:rsidRPr="003B127D" w:rsidRDefault="00A612E2" w:rsidP="00392579">
            <w:pPr>
              <w:rPr>
                <w:noProof/>
                <w:color w:val="006100"/>
                <w:sz w:val="20"/>
                <w:szCs w:val="20"/>
              </w:rPr>
            </w:pPr>
            <w:r>
              <w:rPr>
                <w:noProof/>
                <w:color w:val="006100"/>
                <w:sz w:val="20"/>
              </w:rPr>
              <w:t>Investeering 1.3. Energiatõhususe parandamine kinodes, teatrites ja muuseumides</w:t>
            </w:r>
          </w:p>
        </w:tc>
        <w:tc>
          <w:tcPr>
            <w:tcW w:w="1425" w:type="dxa"/>
            <w:tcBorders>
              <w:top w:val="nil"/>
              <w:left w:val="nil"/>
              <w:bottom w:val="single" w:sz="4" w:space="0" w:color="auto"/>
              <w:right w:val="single" w:sz="4" w:space="0" w:color="auto"/>
            </w:tcBorders>
            <w:shd w:val="clear" w:color="auto" w:fill="C6EFCE"/>
            <w:noWrap/>
            <w:vAlign w:val="center"/>
          </w:tcPr>
          <w:p w14:paraId="3A4A9F5E" w14:textId="77777777" w:rsidR="00A612E2" w:rsidRPr="00246CC4" w:rsidRDefault="00A612E2" w:rsidP="00742B81">
            <w:pPr>
              <w:jc w:val="center"/>
              <w:rPr>
                <w:noProof/>
                <w:color w:val="006100"/>
                <w:sz w:val="20"/>
                <w:szCs w:val="20"/>
              </w:rPr>
            </w:pPr>
            <w:r>
              <w:rPr>
                <w:noProof/>
                <w:color w:val="006100"/>
                <w:sz w:val="20"/>
              </w:rPr>
              <w:t>Siht</w:t>
            </w:r>
          </w:p>
        </w:tc>
        <w:tc>
          <w:tcPr>
            <w:tcW w:w="3959" w:type="dxa"/>
            <w:tcBorders>
              <w:top w:val="nil"/>
              <w:left w:val="nil"/>
              <w:bottom w:val="single" w:sz="4" w:space="0" w:color="auto"/>
              <w:right w:val="single" w:sz="4" w:space="0" w:color="auto"/>
            </w:tcBorders>
            <w:shd w:val="clear" w:color="auto" w:fill="C6EFCE"/>
            <w:noWrap/>
            <w:vAlign w:val="center"/>
          </w:tcPr>
          <w:p w14:paraId="5BD09C82" w14:textId="77777777" w:rsidR="00A612E2" w:rsidRPr="003B127D" w:rsidRDefault="00A612E2" w:rsidP="00742B81">
            <w:pPr>
              <w:rPr>
                <w:noProof/>
                <w:color w:val="006100"/>
                <w:sz w:val="20"/>
                <w:szCs w:val="20"/>
              </w:rPr>
            </w:pPr>
            <w:r>
              <w:rPr>
                <w:noProof/>
                <w:color w:val="006100"/>
                <w:sz w:val="20"/>
              </w:rPr>
              <w:t>Sõnavõtud riigimuuseumide ja kultuuriobjektide, teatrihallide ja kinode kohta on lõpule viidud (teine osa)</w:t>
            </w:r>
          </w:p>
        </w:tc>
      </w:tr>
      <w:tr w:rsidR="00A612E2" w:rsidRPr="00D90835" w14:paraId="150E34D2"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214C752" w14:textId="77777777" w:rsidR="00A612E2" w:rsidRPr="00246CC4" w:rsidRDefault="00A612E2" w:rsidP="00742B81">
            <w:pPr>
              <w:jc w:val="center"/>
              <w:rPr>
                <w:noProof/>
                <w:color w:val="006100"/>
                <w:sz w:val="20"/>
                <w:szCs w:val="20"/>
              </w:rPr>
            </w:pPr>
            <w:r>
              <w:rPr>
                <w:noProof/>
                <w:color w:val="006100"/>
                <w:sz w:val="20"/>
              </w:rPr>
              <w:t>M2C2-29</w:t>
            </w:r>
          </w:p>
        </w:tc>
        <w:tc>
          <w:tcPr>
            <w:tcW w:w="3150" w:type="dxa"/>
            <w:tcBorders>
              <w:top w:val="nil"/>
              <w:left w:val="nil"/>
              <w:bottom w:val="single" w:sz="4" w:space="0" w:color="auto"/>
              <w:right w:val="single" w:sz="4" w:space="0" w:color="auto"/>
            </w:tcBorders>
            <w:shd w:val="clear" w:color="auto" w:fill="C6EFCE"/>
            <w:noWrap/>
            <w:vAlign w:val="center"/>
          </w:tcPr>
          <w:p w14:paraId="322F65CA" w14:textId="77777777" w:rsidR="00A612E2" w:rsidRPr="003B127D" w:rsidRDefault="00A612E2" w:rsidP="00392579">
            <w:pPr>
              <w:rPr>
                <w:noProof/>
                <w:color w:val="006100"/>
                <w:sz w:val="20"/>
                <w:szCs w:val="20"/>
              </w:rPr>
            </w:pPr>
            <w:r>
              <w:rPr>
                <w:noProof/>
                <w:color w:val="006100"/>
                <w:sz w:val="20"/>
              </w:rPr>
              <w:t>Investeering 4.3. Laadimistaristu paigaldamine</w:t>
            </w:r>
          </w:p>
        </w:tc>
        <w:tc>
          <w:tcPr>
            <w:tcW w:w="1425" w:type="dxa"/>
            <w:tcBorders>
              <w:top w:val="nil"/>
              <w:left w:val="nil"/>
              <w:bottom w:val="single" w:sz="4" w:space="0" w:color="auto"/>
              <w:right w:val="single" w:sz="4" w:space="0" w:color="auto"/>
            </w:tcBorders>
            <w:shd w:val="clear" w:color="auto" w:fill="C6EFCE"/>
            <w:noWrap/>
            <w:vAlign w:val="center"/>
          </w:tcPr>
          <w:p w14:paraId="5F60B76B" w14:textId="77777777" w:rsidR="00A612E2" w:rsidRPr="00246CC4" w:rsidRDefault="00A612E2" w:rsidP="00742B81">
            <w:pPr>
              <w:jc w:val="center"/>
              <w:rPr>
                <w:noProof/>
                <w:color w:val="006100"/>
                <w:sz w:val="20"/>
                <w:szCs w:val="20"/>
              </w:rPr>
            </w:pPr>
            <w:r>
              <w:rPr>
                <w:noProof/>
                <w:color w:val="006100"/>
                <w:sz w:val="20"/>
              </w:rPr>
              <w:t>Siht</w:t>
            </w:r>
          </w:p>
        </w:tc>
        <w:tc>
          <w:tcPr>
            <w:tcW w:w="3959" w:type="dxa"/>
            <w:tcBorders>
              <w:top w:val="nil"/>
              <w:left w:val="nil"/>
              <w:bottom w:val="single" w:sz="4" w:space="0" w:color="auto"/>
              <w:right w:val="single" w:sz="4" w:space="0" w:color="auto"/>
            </w:tcBorders>
            <w:shd w:val="clear" w:color="auto" w:fill="C6EFCE"/>
            <w:noWrap/>
            <w:vAlign w:val="center"/>
          </w:tcPr>
          <w:p w14:paraId="1C697730" w14:textId="77777777" w:rsidR="00A612E2" w:rsidRPr="003B127D" w:rsidRDefault="00A612E2" w:rsidP="00742B81">
            <w:pPr>
              <w:rPr>
                <w:noProof/>
                <w:color w:val="006100"/>
                <w:sz w:val="20"/>
                <w:szCs w:val="20"/>
              </w:rPr>
            </w:pPr>
            <w:r>
              <w:rPr>
                <w:noProof/>
                <w:color w:val="006100"/>
                <w:sz w:val="20"/>
              </w:rPr>
              <w:t>Kiirlaadimisjaamade arv vabateedel</w:t>
            </w:r>
          </w:p>
        </w:tc>
      </w:tr>
      <w:tr w:rsidR="00A612E2" w:rsidRPr="00D90835" w14:paraId="3D5E4389"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D0D2199" w14:textId="77777777" w:rsidR="00A612E2" w:rsidRPr="00246CC4" w:rsidRDefault="00A612E2" w:rsidP="00742B81">
            <w:pPr>
              <w:jc w:val="center"/>
              <w:rPr>
                <w:noProof/>
                <w:color w:val="006100"/>
                <w:sz w:val="20"/>
                <w:szCs w:val="20"/>
              </w:rPr>
            </w:pPr>
            <w:r>
              <w:rPr>
                <w:noProof/>
                <w:color w:val="006100"/>
                <w:sz w:val="20"/>
              </w:rPr>
              <w:t>M2C2-29bis</w:t>
            </w:r>
          </w:p>
        </w:tc>
        <w:tc>
          <w:tcPr>
            <w:tcW w:w="3150" w:type="dxa"/>
            <w:tcBorders>
              <w:top w:val="nil"/>
              <w:left w:val="nil"/>
              <w:bottom w:val="single" w:sz="4" w:space="0" w:color="auto"/>
              <w:right w:val="single" w:sz="4" w:space="0" w:color="auto"/>
            </w:tcBorders>
            <w:shd w:val="clear" w:color="auto" w:fill="C6EFCE"/>
            <w:noWrap/>
            <w:vAlign w:val="center"/>
          </w:tcPr>
          <w:p w14:paraId="5BCEC518" w14:textId="77777777" w:rsidR="00A612E2" w:rsidRPr="003B127D" w:rsidRDefault="00A612E2" w:rsidP="00392579">
            <w:pPr>
              <w:rPr>
                <w:noProof/>
                <w:color w:val="006100"/>
                <w:sz w:val="20"/>
                <w:szCs w:val="20"/>
              </w:rPr>
            </w:pPr>
            <w:r>
              <w:rPr>
                <w:noProof/>
                <w:color w:val="006100"/>
                <w:sz w:val="20"/>
              </w:rPr>
              <w:t>Investeering 4.3. Laadimistaristu paigaldamine</w:t>
            </w:r>
          </w:p>
        </w:tc>
        <w:tc>
          <w:tcPr>
            <w:tcW w:w="1425" w:type="dxa"/>
            <w:tcBorders>
              <w:top w:val="nil"/>
              <w:left w:val="nil"/>
              <w:bottom w:val="single" w:sz="4" w:space="0" w:color="auto"/>
              <w:right w:val="single" w:sz="4" w:space="0" w:color="auto"/>
            </w:tcBorders>
            <w:shd w:val="clear" w:color="auto" w:fill="C6EFCE"/>
            <w:noWrap/>
            <w:vAlign w:val="center"/>
          </w:tcPr>
          <w:p w14:paraId="266C13BF" w14:textId="77777777" w:rsidR="00A612E2" w:rsidRPr="00246CC4" w:rsidRDefault="00A612E2" w:rsidP="00742B81">
            <w:pPr>
              <w:jc w:val="center"/>
              <w:rPr>
                <w:noProof/>
                <w:color w:val="006100"/>
                <w:sz w:val="20"/>
                <w:szCs w:val="20"/>
              </w:rPr>
            </w:pPr>
            <w:r>
              <w:rPr>
                <w:noProof/>
                <w:color w:val="006100"/>
                <w:sz w:val="20"/>
              </w:rPr>
              <w:t>Siht</w:t>
            </w:r>
          </w:p>
        </w:tc>
        <w:tc>
          <w:tcPr>
            <w:tcW w:w="3959" w:type="dxa"/>
            <w:tcBorders>
              <w:top w:val="nil"/>
              <w:left w:val="nil"/>
              <w:bottom w:val="single" w:sz="4" w:space="0" w:color="auto"/>
              <w:right w:val="single" w:sz="4" w:space="0" w:color="auto"/>
            </w:tcBorders>
            <w:shd w:val="clear" w:color="auto" w:fill="C6EFCE"/>
            <w:noWrap/>
            <w:vAlign w:val="center"/>
          </w:tcPr>
          <w:p w14:paraId="1B3E3AB0" w14:textId="77777777" w:rsidR="00A612E2" w:rsidRPr="003B127D" w:rsidRDefault="00A612E2" w:rsidP="00742B81">
            <w:pPr>
              <w:rPr>
                <w:noProof/>
                <w:color w:val="006100"/>
                <w:sz w:val="20"/>
                <w:szCs w:val="20"/>
              </w:rPr>
            </w:pPr>
            <w:r>
              <w:rPr>
                <w:noProof/>
                <w:color w:val="006100"/>
                <w:sz w:val="20"/>
              </w:rPr>
              <w:t>Kiirlaadimisjaamade arv linnapiirkondades</w:t>
            </w:r>
          </w:p>
        </w:tc>
      </w:tr>
      <w:tr w:rsidR="00A612E2" w:rsidRPr="00D90835" w14:paraId="599F808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451B130" w14:textId="77777777" w:rsidR="00A612E2" w:rsidRPr="00246CC4" w:rsidRDefault="00A612E2" w:rsidP="00742B81">
            <w:pPr>
              <w:jc w:val="center"/>
              <w:rPr>
                <w:noProof/>
                <w:color w:val="006100"/>
                <w:sz w:val="20"/>
                <w:szCs w:val="20"/>
              </w:rPr>
            </w:pPr>
            <w:r>
              <w:rPr>
                <w:noProof/>
                <w:color w:val="006100"/>
                <w:sz w:val="20"/>
              </w:rPr>
              <w:t>M2C2-30</w:t>
            </w:r>
          </w:p>
        </w:tc>
        <w:tc>
          <w:tcPr>
            <w:tcW w:w="3150" w:type="dxa"/>
            <w:tcBorders>
              <w:top w:val="nil"/>
              <w:left w:val="nil"/>
              <w:bottom w:val="single" w:sz="4" w:space="0" w:color="auto"/>
              <w:right w:val="single" w:sz="4" w:space="0" w:color="auto"/>
            </w:tcBorders>
            <w:shd w:val="clear" w:color="auto" w:fill="C6EFCE"/>
            <w:noWrap/>
            <w:vAlign w:val="center"/>
          </w:tcPr>
          <w:p w14:paraId="2D077726" w14:textId="77777777" w:rsidR="00A612E2" w:rsidRPr="003B127D" w:rsidRDefault="00A612E2" w:rsidP="00392579">
            <w:pPr>
              <w:rPr>
                <w:noProof/>
                <w:color w:val="006100"/>
                <w:sz w:val="20"/>
                <w:szCs w:val="20"/>
              </w:rPr>
            </w:pPr>
            <w:r>
              <w:rPr>
                <w:noProof/>
                <w:color w:val="006100"/>
                <w:sz w:val="20"/>
              </w:rPr>
              <w:t>Investeering 4.3. Laadimistaristute paigaldamine</w:t>
            </w:r>
          </w:p>
        </w:tc>
        <w:tc>
          <w:tcPr>
            <w:tcW w:w="1425" w:type="dxa"/>
            <w:tcBorders>
              <w:top w:val="nil"/>
              <w:left w:val="nil"/>
              <w:bottom w:val="single" w:sz="4" w:space="0" w:color="auto"/>
              <w:right w:val="single" w:sz="4" w:space="0" w:color="auto"/>
            </w:tcBorders>
            <w:shd w:val="clear" w:color="auto" w:fill="C6EFCE"/>
            <w:noWrap/>
            <w:vAlign w:val="center"/>
          </w:tcPr>
          <w:p w14:paraId="1272B830" w14:textId="77777777" w:rsidR="00A612E2" w:rsidRPr="00246CC4" w:rsidRDefault="00A612E2" w:rsidP="00742B81">
            <w:pPr>
              <w:jc w:val="center"/>
              <w:rPr>
                <w:noProof/>
                <w:color w:val="006100"/>
                <w:sz w:val="20"/>
                <w:szCs w:val="20"/>
              </w:rPr>
            </w:pPr>
            <w:r>
              <w:rPr>
                <w:noProof/>
                <w:color w:val="006100"/>
                <w:sz w:val="20"/>
              </w:rPr>
              <w:t>Siht</w:t>
            </w:r>
          </w:p>
        </w:tc>
        <w:tc>
          <w:tcPr>
            <w:tcW w:w="3959" w:type="dxa"/>
            <w:tcBorders>
              <w:top w:val="nil"/>
              <w:left w:val="nil"/>
              <w:bottom w:val="single" w:sz="4" w:space="0" w:color="auto"/>
              <w:right w:val="single" w:sz="4" w:space="0" w:color="auto"/>
            </w:tcBorders>
            <w:shd w:val="clear" w:color="auto" w:fill="C6EFCE"/>
            <w:noWrap/>
            <w:vAlign w:val="center"/>
          </w:tcPr>
          <w:p w14:paraId="5610B292" w14:textId="77777777" w:rsidR="00A612E2" w:rsidRPr="003B127D" w:rsidRDefault="00A612E2" w:rsidP="00742B81">
            <w:pPr>
              <w:rPr>
                <w:noProof/>
                <w:color w:val="006100"/>
                <w:sz w:val="20"/>
                <w:szCs w:val="20"/>
              </w:rPr>
            </w:pPr>
            <w:r>
              <w:rPr>
                <w:noProof/>
                <w:color w:val="006100"/>
                <w:sz w:val="20"/>
              </w:rPr>
              <w:t>Kiirlaadimisjaamade arv vabateedel</w:t>
            </w:r>
          </w:p>
        </w:tc>
      </w:tr>
      <w:tr w:rsidR="00A612E2" w:rsidRPr="00D90835" w14:paraId="7158E5A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7128DB0" w14:textId="77777777" w:rsidR="00A612E2" w:rsidRPr="00246CC4" w:rsidRDefault="00A612E2" w:rsidP="00742B81">
            <w:pPr>
              <w:jc w:val="center"/>
              <w:rPr>
                <w:noProof/>
                <w:color w:val="006100"/>
                <w:sz w:val="20"/>
                <w:szCs w:val="20"/>
              </w:rPr>
            </w:pPr>
            <w:r>
              <w:rPr>
                <w:noProof/>
                <w:color w:val="006100"/>
                <w:sz w:val="20"/>
              </w:rPr>
              <w:t>M2C2-30bis</w:t>
            </w:r>
          </w:p>
        </w:tc>
        <w:tc>
          <w:tcPr>
            <w:tcW w:w="3150" w:type="dxa"/>
            <w:tcBorders>
              <w:top w:val="nil"/>
              <w:left w:val="nil"/>
              <w:bottom w:val="single" w:sz="4" w:space="0" w:color="auto"/>
              <w:right w:val="single" w:sz="4" w:space="0" w:color="auto"/>
            </w:tcBorders>
            <w:shd w:val="clear" w:color="auto" w:fill="C6EFCE"/>
            <w:noWrap/>
            <w:vAlign w:val="center"/>
          </w:tcPr>
          <w:p w14:paraId="7DD2802F" w14:textId="77777777" w:rsidR="00A612E2" w:rsidRPr="003B127D" w:rsidRDefault="00A612E2" w:rsidP="00392579">
            <w:pPr>
              <w:rPr>
                <w:noProof/>
                <w:color w:val="006100"/>
                <w:sz w:val="20"/>
                <w:szCs w:val="20"/>
              </w:rPr>
            </w:pPr>
            <w:r>
              <w:rPr>
                <w:noProof/>
                <w:color w:val="006100"/>
                <w:sz w:val="20"/>
              </w:rPr>
              <w:t>Investeering 4.3. Laadimistaristute paigaldamine</w:t>
            </w:r>
          </w:p>
        </w:tc>
        <w:tc>
          <w:tcPr>
            <w:tcW w:w="1425" w:type="dxa"/>
            <w:tcBorders>
              <w:top w:val="nil"/>
              <w:left w:val="nil"/>
              <w:bottom w:val="single" w:sz="4" w:space="0" w:color="auto"/>
              <w:right w:val="single" w:sz="4" w:space="0" w:color="auto"/>
            </w:tcBorders>
            <w:shd w:val="clear" w:color="auto" w:fill="C6EFCE"/>
            <w:noWrap/>
            <w:vAlign w:val="center"/>
          </w:tcPr>
          <w:p w14:paraId="0F8C96D2" w14:textId="77777777" w:rsidR="00A612E2" w:rsidRPr="00246CC4" w:rsidRDefault="00A612E2" w:rsidP="00742B81">
            <w:pPr>
              <w:jc w:val="center"/>
              <w:rPr>
                <w:noProof/>
                <w:color w:val="006100"/>
                <w:sz w:val="20"/>
                <w:szCs w:val="20"/>
              </w:rPr>
            </w:pPr>
            <w:r>
              <w:rPr>
                <w:noProof/>
                <w:color w:val="006100"/>
                <w:sz w:val="20"/>
              </w:rPr>
              <w:t>Siht</w:t>
            </w:r>
          </w:p>
        </w:tc>
        <w:tc>
          <w:tcPr>
            <w:tcW w:w="3959" w:type="dxa"/>
            <w:tcBorders>
              <w:top w:val="nil"/>
              <w:left w:val="nil"/>
              <w:bottom w:val="single" w:sz="4" w:space="0" w:color="auto"/>
              <w:right w:val="single" w:sz="4" w:space="0" w:color="auto"/>
            </w:tcBorders>
            <w:shd w:val="clear" w:color="auto" w:fill="C6EFCE"/>
            <w:noWrap/>
            <w:vAlign w:val="center"/>
          </w:tcPr>
          <w:p w14:paraId="1F82A0A0" w14:textId="77777777" w:rsidR="00A612E2" w:rsidRPr="003B127D" w:rsidRDefault="00A612E2" w:rsidP="00742B81">
            <w:pPr>
              <w:rPr>
                <w:noProof/>
                <w:color w:val="006100"/>
                <w:sz w:val="20"/>
                <w:szCs w:val="20"/>
              </w:rPr>
            </w:pPr>
            <w:r>
              <w:rPr>
                <w:noProof/>
                <w:color w:val="006100"/>
                <w:sz w:val="20"/>
              </w:rPr>
              <w:t>Kiirlaadimisjaamade arv linnapiirkondades</w:t>
            </w:r>
          </w:p>
        </w:tc>
      </w:tr>
      <w:tr w:rsidR="00A612E2" w:rsidRPr="00D90835" w14:paraId="160803A4"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A6F151A" w14:textId="77777777" w:rsidR="00A612E2" w:rsidRPr="00246CC4" w:rsidRDefault="00A612E2" w:rsidP="00742B81">
            <w:pPr>
              <w:jc w:val="center"/>
              <w:rPr>
                <w:noProof/>
                <w:color w:val="006100"/>
                <w:sz w:val="20"/>
                <w:szCs w:val="20"/>
              </w:rPr>
            </w:pPr>
            <w:r>
              <w:rPr>
                <w:noProof/>
                <w:color w:val="006100"/>
                <w:sz w:val="20"/>
              </w:rPr>
              <w:t>M2C2-30ter</w:t>
            </w:r>
          </w:p>
        </w:tc>
        <w:tc>
          <w:tcPr>
            <w:tcW w:w="3150" w:type="dxa"/>
            <w:tcBorders>
              <w:top w:val="nil"/>
              <w:left w:val="nil"/>
              <w:bottom w:val="single" w:sz="4" w:space="0" w:color="auto"/>
              <w:right w:val="single" w:sz="4" w:space="0" w:color="auto"/>
            </w:tcBorders>
            <w:shd w:val="clear" w:color="auto" w:fill="C6EFCE"/>
            <w:noWrap/>
            <w:vAlign w:val="center"/>
          </w:tcPr>
          <w:p w14:paraId="128973C5" w14:textId="77777777" w:rsidR="00A612E2" w:rsidRPr="003B127D" w:rsidRDefault="00A612E2" w:rsidP="00392579">
            <w:pPr>
              <w:rPr>
                <w:noProof/>
                <w:color w:val="006100"/>
                <w:sz w:val="20"/>
                <w:szCs w:val="20"/>
              </w:rPr>
            </w:pPr>
            <w:r>
              <w:rPr>
                <w:noProof/>
                <w:color w:val="006100"/>
                <w:sz w:val="20"/>
              </w:rPr>
              <w:t>Investeering 4.3. Laadimistaristute paigaldamine</w:t>
            </w:r>
          </w:p>
        </w:tc>
        <w:tc>
          <w:tcPr>
            <w:tcW w:w="1425" w:type="dxa"/>
            <w:tcBorders>
              <w:top w:val="nil"/>
              <w:left w:val="nil"/>
              <w:bottom w:val="single" w:sz="4" w:space="0" w:color="auto"/>
              <w:right w:val="single" w:sz="4" w:space="0" w:color="auto"/>
            </w:tcBorders>
            <w:shd w:val="clear" w:color="auto" w:fill="C6EFCE"/>
            <w:noWrap/>
            <w:vAlign w:val="center"/>
          </w:tcPr>
          <w:p w14:paraId="3E2B00A4" w14:textId="77777777" w:rsidR="00A612E2" w:rsidRPr="00246CC4" w:rsidRDefault="00A612E2" w:rsidP="00742B81">
            <w:pPr>
              <w:jc w:val="center"/>
              <w:rPr>
                <w:noProof/>
                <w:color w:val="006100"/>
                <w:sz w:val="20"/>
                <w:szCs w:val="20"/>
              </w:rPr>
            </w:pPr>
            <w:r>
              <w:rPr>
                <w:noProof/>
                <w:color w:val="006100"/>
                <w:sz w:val="20"/>
              </w:rPr>
              <w:t>Siht</w:t>
            </w:r>
          </w:p>
        </w:tc>
        <w:tc>
          <w:tcPr>
            <w:tcW w:w="3959" w:type="dxa"/>
            <w:tcBorders>
              <w:top w:val="nil"/>
              <w:left w:val="nil"/>
              <w:bottom w:val="single" w:sz="4" w:space="0" w:color="auto"/>
              <w:right w:val="single" w:sz="4" w:space="0" w:color="auto"/>
            </w:tcBorders>
            <w:shd w:val="clear" w:color="auto" w:fill="C6EFCE"/>
            <w:noWrap/>
            <w:vAlign w:val="center"/>
          </w:tcPr>
          <w:p w14:paraId="12C476A3" w14:textId="77777777" w:rsidR="00A612E2" w:rsidRPr="003B127D" w:rsidRDefault="00A612E2" w:rsidP="00742B81">
            <w:pPr>
              <w:rPr>
                <w:noProof/>
                <w:color w:val="006100"/>
                <w:sz w:val="20"/>
                <w:szCs w:val="20"/>
              </w:rPr>
            </w:pPr>
            <w:r>
              <w:rPr>
                <w:noProof/>
                <w:color w:val="006100"/>
                <w:sz w:val="20"/>
              </w:rPr>
              <w:t>Kiirlaadimisjaamade arv</w:t>
            </w:r>
          </w:p>
        </w:tc>
      </w:tr>
      <w:tr w:rsidR="00A612E2" w:rsidRPr="00246CC4" w14:paraId="597DBA6F"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C805570" w14:textId="77777777" w:rsidR="00A612E2" w:rsidRPr="00246CC4" w:rsidRDefault="00A612E2" w:rsidP="00742B81">
            <w:pPr>
              <w:jc w:val="center"/>
              <w:rPr>
                <w:noProof/>
                <w:color w:val="006100"/>
                <w:sz w:val="20"/>
                <w:szCs w:val="20"/>
              </w:rPr>
            </w:pPr>
            <w:r>
              <w:rPr>
                <w:noProof/>
                <w:color w:val="006100"/>
                <w:sz w:val="20"/>
              </w:rPr>
              <w:t>M2C3-3</w:t>
            </w:r>
          </w:p>
        </w:tc>
        <w:tc>
          <w:tcPr>
            <w:tcW w:w="3150" w:type="dxa"/>
            <w:tcBorders>
              <w:top w:val="nil"/>
              <w:left w:val="nil"/>
              <w:bottom w:val="single" w:sz="4" w:space="0" w:color="auto"/>
              <w:right w:val="single" w:sz="4" w:space="0" w:color="auto"/>
            </w:tcBorders>
            <w:shd w:val="clear" w:color="auto" w:fill="C6EFCE"/>
            <w:noWrap/>
            <w:vAlign w:val="center"/>
          </w:tcPr>
          <w:p w14:paraId="725A7FA1" w14:textId="77777777" w:rsidR="00A612E2" w:rsidRPr="003B127D" w:rsidRDefault="00A612E2" w:rsidP="00392579">
            <w:pPr>
              <w:rPr>
                <w:noProof/>
                <w:color w:val="006100"/>
                <w:sz w:val="20"/>
                <w:szCs w:val="20"/>
              </w:rPr>
            </w:pPr>
            <w:r>
              <w:rPr>
                <w:noProof/>
                <w:color w:val="006100"/>
                <w:sz w:val="20"/>
              </w:rPr>
              <w:t xml:space="preserve">Investeering 2.1. Energiatõhususe ökoboonuse tugevdamine </w:t>
            </w:r>
          </w:p>
        </w:tc>
        <w:tc>
          <w:tcPr>
            <w:tcW w:w="1425" w:type="dxa"/>
            <w:tcBorders>
              <w:top w:val="nil"/>
              <w:left w:val="nil"/>
              <w:bottom w:val="single" w:sz="4" w:space="0" w:color="auto"/>
              <w:right w:val="single" w:sz="4" w:space="0" w:color="auto"/>
            </w:tcBorders>
            <w:shd w:val="clear" w:color="auto" w:fill="C6EFCE"/>
            <w:noWrap/>
            <w:vAlign w:val="center"/>
          </w:tcPr>
          <w:p w14:paraId="14DF2A71" w14:textId="77777777" w:rsidR="00A612E2" w:rsidRPr="00246CC4" w:rsidRDefault="00A612E2" w:rsidP="00742B81">
            <w:pPr>
              <w:jc w:val="center"/>
              <w:rPr>
                <w:noProof/>
                <w:color w:val="006100"/>
                <w:sz w:val="20"/>
                <w:szCs w:val="20"/>
              </w:rPr>
            </w:pPr>
            <w:r>
              <w:rPr>
                <w:noProof/>
                <w:color w:val="006100"/>
                <w:sz w:val="20"/>
              </w:rPr>
              <w:t>Siht</w:t>
            </w:r>
          </w:p>
        </w:tc>
        <w:tc>
          <w:tcPr>
            <w:tcW w:w="3959" w:type="dxa"/>
            <w:tcBorders>
              <w:top w:val="nil"/>
              <w:left w:val="nil"/>
              <w:bottom w:val="single" w:sz="4" w:space="0" w:color="auto"/>
              <w:right w:val="single" w:sz="4" w:space="0" w:color="auto"/>
            </w:tcBorders>
            <w:shd w:val="clear" w:color="auto" w:fill="C6EFCE"/>
            <w:noWrap/>
            <w:vAlign w:val="center"/>
          </w:tcPr>
          <w:p w14:paraId="506BFAB4" w14:textId="77777777" w:rsidR="00A612E2" w:rsidRPr="00246CC4" w:rsidRDefault="00A612E2" w:rsidP="00742B81">
            <w:pPr>
              <w:rPr>
                <w:noProof/>
                <w:color w:val="006100"/>
                <w:sz w:val="20"/>
                <w:szCs w:val="20"/>
              </w:rPr>
            </w:pPr>
            <w:r>
              <w:rPr>
                <w:noProof/>
                <w:color w:val="006100"/>
                <w:sz w:val="20"/>
              </w:rPr>
              <w:t>Hoonete renoveerimine Superbonus T2</w:t>
            </w:r>
          </w:p>
        </w:tc>
      </w:tr>
      <w:tr w:rsidR="00A612E2" w:rsidRPr="00D90835" w14:paraId="4E2B372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7661582" w14:textId="77777777" w:rsidR="00A612E2" w:rsidRPr="00246CC4" w:rsidRDefault="00A612E2" w:rsidP="00742B81">
            <w:pPr>
              <w:jc w:val="center"/>
              <w:rPr>
                <w:noProof/>
                <w:color w:val="006100"/>
                <w:sz w:val="20"/>
                <w:szCs w:val="20"/>
              </w:rPr>
            </w:pPr>
            <w:r>
              <w:rPr>
                <w:noProof/>
                <w:color w:val="006100"/>
                <w:sz w:val="20"/>
              </w:rPr>
              <w:t>M4C1-13</w:t>
            </w:r>
          </w:p>
        </w:tc>
        <w:tc>
          <w:tcPr>
            <w:tcW w:w="3150" w:type="dxa"/>
            <w:tcBorders>
              <w:top w:val="nil"/>
              <w:left w:val="nil"/>
              <w:bottom w:val="single" w:sz="4" w:space="0" w:color="auto"/>
              <w:right w:val="single" w:sz="4" w:space="0" w:color="auto"/>
            </w:tcBorders>
            <w:shd w:val="clear" w:color="auto" w:fill="C6EFCE"/>
            <w:noWrap/>
            <w:vAlign w:val="center"/>
          </w:tcPr>
          <w:p w14:paraId="3253E642" w14:textId="77777777" w:rsidR="00A612E2" w:rsidRPr="003B127D" w:rsidRDefault="00A612E2" w:rsidP="00392579">
            <w:pPr>
              <w:rPr>
                <w:noProof/>
                <w:color w:val="006100"/>
                <w:sz w:val="20"/>
                <w:szCs w:val="20"/>
              </w:rPr>
            </w:pPr>
            <w:r>
              <w:rPr>
                <w:noProof/>
                <w:color w:val="006100"/>
                <w:sz w:val="20"/>
              </w:rPr>
              <w:t>Investeering 2.1. Integreeritud digitaalne õpetamine ja koolitöötajate koolitamine digiülemineku valdkonnas;</w:t>
            </w:r>
          </w:p>
        </w:tc>
        <w:tc>
          <w:tcPr>
            <w:tcW w:w="1425" w:type="dxa"/>
            <w:tcBorders>
              <w:top w:val="nil"/>
              <w:left w:val="nil"/>
              <w:bottom w:val="single" w:sz="4" w:space="0" w:color="auto"/>
              <w:right w:val="single" w:sz="4" w:space="0" w:color="auto"/>
            </w:tcBorders>
            <w:shd w:val="clear" w:color="auto" w:fill="C6EFCE"/>
            <w:noWrap/>
            <w:vAlign w:val="center"/>
          </w:tcPr>
          <w:p w14:paraId="57B53722" w14:textId="77777777" w:rsidR="00A612E2" w:rsidRPr="00246CC4" w:rsidRDefault="00A612E2" w:rsidP="00742B81">
            <w:pPr>
              <w:jc w:val="center"/>
              <w:rPr>
                <w:noProof/>
                <w:color w:val="006100"/>
                <w:sz w:val="20"/>
                <w:szCs w:val="20"/>
              </w:rPr>
            </w:pPr>
            <w:r>
              <w:rPr>
                <w:noProof/>
                <w:color w:val="006100"/>
                <w:sz w:val="20"/>
              </w:rPr>
              <w:t>Siht</w:t>
            </w:r>
          </w:p>
        </w:tc>
        <w:tc>
          <w:tcPr>
            <w:tcW w:w="3959" w:type="dxa"/>
            <w:tcBorders>
              <w:top w:val="nil"/>
              <w:left w:val="nil"/>
              <w:bottom w:val="single" w:sz="4" w:space="0" w:color="auto"/>
              <w:right w:val="single" w:sz="4" w:space="0" w:color="auto"/>
            </w:tcBorders>
            <w:shd w:val="clear" w:color="auto" w:fill="C6EFCE"/>
            <w:noWrap/>
            <w:vAlign w:val="center"/>
          </w:tcPr>
          <w:p w14:paraId="5E11064A" w14:textId="77777777" w:rsidR="00A612E2" w:rsidRPr="003B127D" w:rsidRDefault="00A612E2" w:rsidP="00742B81">
            <w:pPr>
              <w:rPr>
                <w:noProof/>
                <w:color w:val="006100"/>
                <w:sz w:val="20"/>
                <w:szCs w:val="20"/>
              </w:rPr>
            </w:pPr>
            <w:r>
              <w:rPr>
                <w:noProof/>
                <w:color w:val="006100"/>
                <w:sz w:val="20"/>
              </w:rPr>
              <w:t xml:space="preserve">Koolijuhtide, õpetajate ja haldustöötajate koolitamine    </w:t>
            </w:r>
          </w:p>
        </w:tc>
      </w:tr>
      <w:tr w:rsidR="00A612E2" w:rsidRPr="00D90835" w14:paraId="6114F6AA"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AEF86B7" w14:textId="77777777" w:rsidR="00A612E2" w:rsidRPr="00246CC4" w:rsidRDefault="00A612E2" w:rsidP="00742B81">
            <w:pPr>
              <w:jc w:val="center"/>
              <w:rPr>
                <w:noProof/>
                <w:color w:val="006100"/>
                <w:sz w:val="20"/>
                <w:szCs w:val="20"/>
              </w:rPr>
            </w:pPr>
            <w:r>
              <w:rPr>
                <w:noProof/>
                <w:color w:val="006100"/>
                <w:sz w:val="20"/>
              </w:rPr>
              <w:t>M4C1–15a</w:t>
            </w:r>
          </w:p>
        </w:tc>
        <w:tc>
          <w:tcPr>
            <w:tcW w:w="3150" w:type="dxa"/>
            <w:tcBorders>
              <w:top w:val="nil"/>
              <w:left w:val="nil"/>
              <w:bottom w:val="single" w:sz="4" w:space="0" w:color="auto"/>
              <w:right w:val="single" w:sz="4" w:space="0" w:color="auto"/>
            </w:tcBorders>
            <w:shd w:val="clear" w:color="auto" w:fill="C6EFCE"/>
            <w:noWrap/>
            <w:vAlign w:val="center"/>
          </w:tcPr>
          <w:p w14:paraId="0210197D" w14:textId="77777777" w:rsidR="00A612E2" w:rsidRPr="003B127D" w:rsidRDefault="00A612E2" w:rsidP="00392579">
            <w:pPr>
              <w:rPr>
                <w:noProof/>
                <w:color w:val="006100"/>
                <w:sz w:val="20"/>
                <w:szCs w:val="20"/>
              </w:rPr>
            </w:pPr>
            <w:r>
              <w:rPr>
                <w:noProof/>
                <w:color w:val="006100"/>
                <w:sz w:val="20"/>
              </w:rPr>
              <w:t>Investeering 1.7. Stipendiumid ülikoolidesse pääsemiseks</w:t>
            </w:r>
          </w:p>
        </w:tc>
        <w:tc>
          <w:tcPr>
            <w:tcW w:w="1425" w:type="dxa"/>
            <w:tcBorders>
              <w:top w:val="nil"/>
              <w:left w:val="nil"/>
              <w:bottom w:val="single" w:sz="4" w:space="0" w:color="auto"/>
              <w:right w:val="single" w:sz="4" w:space="0" w:color="auto"/>
            </w:tcBorders>
            <w:shd w:val="clear" w:color="auto" w:fill="C6EFCE"/>
            <w:noWrap/>
            <w:vAlign w:val="center"/>
          </w:tcPr>
          <w:p w14:paraId="3EAE7F64" w14:textId="77777777" w:rsidR="00A612E2" w:rsidRPr="00246CC4" w:rsidRDefault="00A612E2" w:rsidP="00742B81">
            <w:pPr>
              <w:jc w:val="center"/>
              <w:rPr>
                <w:noProof/>
                <w:color w:val="006100"/>
                <w:sz w:val="20"/>
                <w:szCs w:val="20"/>
              </w:rPr>
            </w:pPr>
            <w:r>
              <w:rPr>
                <w:noProof/>
                <w:color w:val="006100"/>
                <w:sz w:val="20"/>
              </w:rPr>
              <w:t>Siht</w:t>
            </w:r>
          </w:p>
        </w:tc>
        <w:tc>
          <w:tcPr>
            <w:tcW w:w="3959" w:type="dxa"/>
            <w:tcBorders>
              <w:top w:val="nil"/>
              <w:left w:val="nil"/>
              <w:bottom w:val="single" w:sz="4" w:space="0" w:color="auto"/>
              <w:right w:val="single" w:sz="4" w:space="0" w:color="auto"/>
            </w:tcBorders>
            <w:shd w:val="clear" w:color="auto" w:fill="C6EFCE"/>
            <w:noWrap/>
            <w:vAlign w:val="center"/>
          </w:tcPr>
          <w:p w14:paraId="4759F4E6" w14:textId="77777777" w:rsidR="00A612E2" w:rsidRPr="003B127D" w:rsidRDefault="00A612E2" w:rsidP="00742B81">
            <w:pPr>
              <w:rPr>
                <w:noProof/>
                <w:color w:val="006100"/>
                <w:sz w:val="20"/>
                <w:szCs w:val="20"/>
              </w:rPr>
            </w:pPr>
            <w:r>
              <w:rPr>
                <w:noProof/>
                <w:color w:val="006100"/>
                <w:sz w:val="20"/>
              </w:rPr>
              <w:t>Stipendiumid ülikooli sisseelamiseks</w:t>
            </w:r>
          </w:p>
        </w:tc>
      </w:tr>
      <w:tr w:rsidR="00A612E2" w:rsidRPr="00D90835" w14:paraId="3CF694B3"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C47D329" w14:textId="77777777" w:rsidR="00A612E2" w:rsidRPr="00246CC4" w:rsidRDefault="00A612E2" w:rsidP="00742B81">
            <w:pPr>
              <w:jc w:val="center"/>
              <w:rPr>
                <w:noProof/>
                <w:color w:val="006100"/>
                <w:sz w:val="20"/>
                <w:szCs w:val="20"/>
              </w:rPr>
            </w:pPr>
            <w:r>
              <w:rPr>
                <w:noProof/>
                <w:color w:val="006100"/>
                <w:sz w:val="20"/>
              </w:rPr>
              <w:t>M4C1-19</w:t>
            </w:r>
          </w:p>
        </w:tc>
        <w:tc>
          <w:tcPr>
            <w:tcW w:w="3150" w:type="dxa"/>
            <w:tcBorders>
              <w:top w:val="nil"/>
              <w:left w:val="nil"/>
              <w:bottom w:val="single" w:sz="4" w:space="0" w:color="auto"/>
              <w:right w:val="single" w:sz="4" w:space="0" w:color="auto"/>
            </w:tcBorders>
            <w:shd w:val="clear" w:color="auto" w:fill="C6EFCE"/>
            <w:noWrap/>
            <w:vAlign w:val="center"/>
          </w:tcPr>
          <w:p w14:paraId="6A7CD250" w14:textId="77777777" w:rsidR="00A612E2" w:rsidRPr="003B127D" w:rsidRDefault="00A612E2" w:rsidP="00392579">
            <w:pPr>
              <w:rPr>
                <w:noProof/>
                <w:color w:val="006100"/>
                <w:sz w:val="20"/>
                <w:szCs w:val="20"/>
              </w:rPr>
            </w:pPr>
            <w:r>
              <w:rPr>
                <w:noProof/>
                <w:color w:val="006100"/>
                <w:sz w:val="20"/>
              </w:rPr>
              <w:t>Investeering 3.2. Kool 4.0: innovaatilised koolid, juhtmestik, uued klassiruumid ja õpikojad</w:t>
            </w:r>
          </w:p>
        </w:tc>
        <w:tc>
          <w:tcPr>
            <w:tcW w:w="1425" w:type="dxa"/>
            <w:tcBorders>
              <w:top w:val="nil"/>
              <w:left w:val="nil"/>
              <w:bottom w:val="single" w:sz="4" w:space="0" w:color="auto"/>
              <w:right w:val="single" w:sz="4" w:space="0" w:color="auto"/>
            </w:tcBorders>
            <w:shd w:val="clear" w:color="auto" w:fill="C6EFCE"/>
            <w:noWrap/>
            <w:vAlign w:val="center"/>
          </w:tcPr>
          <w:p w14:paraId="519D422B" w14:textId="77777777" w:rsidR="00A612E2" w:rsidRPr="00246CC4" w:rsidRDefault="00A612E2" w:rsidP="00742B81">
            <w:pPr>
              <w:jc w:val="center"/>
              <w:rPr>
                <w:noProof/>
                <w:color w:val="006100"/>
                <w:sz w:val="20"/>
                <w:szCs w:val="20"/>
              </w:rPr>
            </w:pPr>
            <w:r>
              <w:rPr>
                <w:noProof/>
                <w:color w:val="006100"/>
                <w:sz w:val="20"/>
              </w:rPr>
              <w:t>Siht</w:t>
            </w:r>
          </w:p>
        </w:tc>
        <w:tc>
          <w:tcPr>
            <w:tcW w:w="3959" w:type="dxa"/>
            <w:tcBorders>
              <w:top w:val="nil"/>
              <w:left w:val="nil"/>
              <w:bottom w:val="single" w:sz="4" w:space="0" w:color="auto"/>
              <w:right w:val="single" w:sz="4" w:space="0" w:color="auto"/>
            </w:tcBorders>
            <w:shd w:val="clear" w:color="auto" w:fill="C6EFCE"/>
            <w:noWrap/>
            <w:vAlign w:val="center"/>
          </w:tcPr>
          <w:p w14:paraId="1900562C" w14:textId="77777777" w:rsidR="00A612E2" w:rsidRPr="003B127D" w:rsidRDefault="00A612E2" w:rsidP="00742B81">
            <w:pPr>
              <w:rPr>
                <w:noProof/>
                <w:color w:val="006100"/>
                <w:sz w:val="20"/>
                <w:szCs w:val="20"/>
              </w:rPr>
            </w:pPr>
            <w:r>
              <w:rPr>
                <w:noProof/>
                <w:color w:val="006100"/>
                <w:sz w:val="20"/>
              </w:rPr>
              <w:t>Klassid muudetakse innovaatiliseks õpikeskkonnaks tänu 4.0 koolile.</w:t>
            </w:r>
          </w:p>
        </w:tc>
      </w:tr>
      <w:tr w:rsidR="00A612E2" w:rsidRPr="00D90835" w14:paraId="2AAB1337"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AB37224" w14:textId="77777777" w:rsidR="00A612E2" w:rsidRPr="00246CC4" w:rsidRDefault="00A612E2" w:rsidP="00742B81">
            <w:pPr>
              <w:jc w:val="center"/>
              <w:rPr>
                <w:noProof/>
                <w:color w:val="006100"/>
                <w:sz w:val="20"/>
                <w:szCs w:val="20"/>
              </w:rPr>
            </w:pPr>
            <w:r>
              <w:rPr>
                <w:noProof/>
                <w:color w:val="006100"/>
                <w:sz w:val="20"/>
              </w:rPr>
              <w:t>M4C1-20</w:t>
            </w:r>
          </w:p>
        </w:tc>
        <w:tc>
          <w:tcPr>
            <w:tcW w:w="3150" w:type="dxa"/>
            <w:tcBorders>
              <w:top w:val="nil"/>
              <w:left w:val="nil"/>
              <w:bottom w:val="single" w:sz="4" w:space="0" w:color="auto"/>
              <w:right w:val="single" w:sz="4" w:space="0" w:color="auto"/>
            </w:tcBorders>
            <w:shd w:val="clear" w:color="auto" w:fill="C6EFCE"/>
            <w:noWrap/>
            <w:vAlign w:val="center"/>
          </w:tcPr>
          <w:p w14:paraId="312EA41F" w14:textId="77777777" w:rsidR="00A612E2" w:rsidRPr="003B127D" w:rsidRDefault="00A612E2" w:rsidP="00392579">
            <w:pPr>
              <w:rPr>
                <w:noProof/>
                <w:color w:val="006100"/>
                <w:sz w:val="20"/>
                <w:szCs w:val="20"/>
              </w:rPr>
            </w:pPr>
            <w:r>
              <w:rPr>
                <w:noProof/>
                <w:color w:val="006100"/>
                <w:sz w:val="20"/>
              </w:rPr>
              <w:t>Investeering 1.5. Kolmanda taseme kutseõppesüsteemi arendamine</w:t>
            </w:r>
          </w:p>
        </w:tc>
        <w:tc>
          <w:tcPr>
            <w:tcW w:w="1425" w:type="dxa"/>
            <w:tcBorders>
              <w:top w:val="nil"/>
              <w:left w:val="nil"/>
              <w:bottom w:val="single" w:sz="4" w:space="0" w:color="auto"/>
              <w:right w:val="single" w:sz="4" w:space="0" w:color="auto"/>
            </w:tcBorders>
            <w:shd w:val="clear" w:color="auto" w:fill="C6EFCE"/>
            <w:noWrap/>
            <w:vAlign w:val="center"/>
          </w:tcPr>
          <w:p w14:paraId="655B1951" w14:textId="77777777" w:rsidR="00A612E2" w:rsidRPr="00246CC4" w:rsidRDefault="00A612E2" w:rsidP="00742B81">
            <w:pPr>
              <w:jc w:val="center"/>
              <w:rPr>
                <w:noProof/>
                <w:color w:val="006100"/>
                <w:sz w:val="20"/>
                <w:szCs w:val="20"/>
              </w:rPr>
            </w:pPr>
            <w:r>
              <w:rPr>
                <w:noProof/>
                <w:color w:val="006100"/>
                <w:sz w:val="20"/>
              </w:rPr>
              <w:t>Siht</w:t>
            </w:r>
          </w:p>
        </w:tc>
        <w:tc>
          <w:tcPr>
            <w:tcW w:w="3959" w:type="dxa"/>
            <w:tcBorders>
              <w:top w:val="nil"/>
              <w:left w:val="nil"/>
              <w:bottom w:val="single" w:sz="4" w:space="0" w:color="auto"/>
              <w:right w:val="single" w:sz="4" w:space="0" w:color="auto"/>
            </w:tcBorders>
            <w:shd w:val="clear" w:color="auto" w:fill="C6EFCE"/>
            <w:noWrap/>
            <w:vAlign w:val="center"/>
          </w:tcPr>
          <w:p w14:paraId="72E73361" w14:textId="77777777" w:rsidR="00A612E2" w:rsidRPr="003B127D" w:rsidRDefault="00A612E2" w:rsidP="00742B81">
            <w:pPr>
              <w:rPr>
                <w:noProof/>
                <w:color w:val="006100"/>
                <w:sz w:val="20"/>
                <w:szCs w:val="20"/>
              </w:rPr>
            </w:pPr>
            <w:r>
              <w:rPr>
                <w:noProof/>
                <w:color w:val="006100"/>
                <w:sz w:val="20"/>
              </w:rPr>
              <w:t>Kutseõppesüsteemi (ITS) õppurite arv</w:t>
            </w:r>
          </w:p>
        </w:tc>
      </w:tr>
      <w:tr w:rsidR="00A612E2" w:rsidRPr="00D90835" w14:paraId="546EB591"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00CEBF1" w14:textId="77777777" w:rsidR="00A612E2" w:rsidRPr="00246CC4" w:rsidRDefault="00A612E2" w:rsidP="00742B81">
            <w:pPr>
              <w:jc w:val="center"/>
              <w:rPr>
                <w:noProof/>
                <w:color w:val="006100"/>
                <w:sz w:val="20"/>
                <w:szCs w:val="20"/>
              </w:rPr>
            </w:pPr>
            <w:r>
              <w:rPr>
                <w:noProof/>
                <w:color w:val="006100"/>
                <w:sz w:val="20"/>
              </w:rPr>
              <w:t>M4C1–20a</w:t>
            </w:r>
          </w:p>
        </w:tc>
        <w:tc>
          <w:tcPr>
            <w:tcW w:w="3150" w:type="dxa"/>
            <w:tcBorders>
              <w:top w:val="nil"/>
              <w:left w:val="nil"/>
              <w:bottom w:val="single" w:sz="4" w:space="0" w:color="auto"/>
              <w:right w:val="single" w:sz="4" w:space="0" w:color="auto"/>
            </w:tcBorders>
            <w:shd w:val="clear" w:color="auto" w:fill="C6EFCE"/>
            <w:noWrap/>
            <w:vAlign w:val="center"/>
          </w:tcPr>
          <w:p w14:paraId="0AC4308E" w14:textId="77777777" w:rsidR="00A612E2" w:rsidRPr="003B127D" w:rsidRDefault="00A612E2" w:rsidP="00392579">
            <w:pPr>
              <w:rPr>
                <w:noProof/>
                <w:color w:val="006100"/>
                <w:sz w:val="20"/>
                <w:szCs w:val="20"/>
              </w:rPr>
            </w:pPr>
            <w:r>
              <w:rPr>
                <w:noProof/>
                <w:color w:val="006100"/>
                <w:sz w:val="20"/>
              </w:rPr>
              <w:t xml:space="preserve">Investeering 1.5. Kolmanda taseme kutseõppesüsteemi arendamine </w:t>
            </w:r>
          </w:p>
        </w:tc>
        <w:tc>
          <w:tcPr>
            <w:tcW w:w="1425" w:type="dxa"/>
            <w:tcBorders>
              <w:top w:val="nil"/>
              <w:left w:val="nil"/>
              <w:bottom w:val="single" w:sz="4" w:space="0" w:color="auto"/>
              <w:right w:val="single" w:sz="4" w:space="0" w:color="auto"/>
            </w:tcBorders>
            <w:shd w:val="clear" w:color="auto" w:fill="C6EFCE"/>
            <w:noWrap/>
            <w:vAlign w:val="center"/>
          </w:tcPr>
          <w:p w14:paraId="23876D50" w14:textId="77777777" w:rsidR="00A612E2" w:rsidRPr="00246CC4" w:rsidRDefault="00A612E2" w:rsidP="00742B81">
            <w:pPr>
              <w:jc w:val="center"/>
              <w:rPr>
                <w:noProof/>
                <w:color w:val="006100"/>
                <w:sz w:val="20"/>
                <w:szCs w:val="20"/>
              </w:rPr>
            </w:pPr>
            <w:r>
              <w:rPr>
                <w:noProof/>
                <w:color w:val="006100"/>
                <w:sz w:val="20"/>
              </w:rPr>
              <w:t>Eesmärk</w:t>
            </w:r>
          </w:p>
        </w:tc>
        <w:tc>
          <w:tcPr>
            <w:tcW w:w="3959" w:type="dxa"/>
            <w:tcBorders>
              <w:top w:val="nil"/>
              <w:left w:val="nil"/>
              <w:bottom w:val="single" w:sz="4" w:space="0" w:color="auto"/>
              <w:right w:val="single" w:sz="4" w:space="0" w:color="auto"/>
            </w:tcBorders>
            <w:shd w:val="clear" w:color="auto" w:fill="C6EFCE"/>
            <w:noWrap/>
            <w:vAlign w:val="center"/>
          </w:tcPr>
          <w:p w14:paraId="1D796043" w14:textId="77777777" w:rsidR="00A612E2" w:rsidRPr="003B127D" w:rsidRDefault="00A612E2" w:rsidP="00742B81">
            <w:pPr>
              <w:rPr>
                <w:noProof/>
                <w:color w:val="006100"/>
                <w:sz w:val="20"/>
                <w:szCs w:val="20"/>
              </w:rPr>
            </w:pPr>
            <w:r>
              <w:rPr>
                <w:noProof/>
                <w:color w:val="006100"/>
                <w:sz w:val="20"/>
              </w:rPr>
              <w:t xml:space="preserve">Uue riikliku järelevalvesüsteemi rakendamine </w:t>
            </w:r>
          </w:p>
        </w:tc>
      </w:tr>
      <w:tr w:rsidR="00A612E2" w:rsidRPr="00755A09" w14:paraId="3D2132B2"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638639A" w14:textId="77777777" w:rsidR="00A612E2" w:rsidRPr="00246CC4" w:rsidRDefault="00A612E2" w:rsidP="00742B81">
            <w:pPr>
              <w:jc w:val="center"/>
              <w:rPr>
                <w:noProof/>
                <w:color w:val="006100"/>
                <w:sz w:val="20"/>
                <w:szCs w:val="20"/>
              </w:rPr>
            </w:pPr>
            <w:r>
              <w:rPr>
                <w:noProof/>
                <w:color w:val="006100"/>
                <w:sz w:val="20"/>
              </w:rPr>
              <w:t>M4C2–2bis</w:t>
            </w:r>
          </w:p>
        </w:tc>
        <w:tc>
          <w:tcPr>
            <w:tcW w:w="3150" w:type="dxa"/>
            <w:tcBorders>
              <w:top w:val="nil"/>
              <w:left w:val="nil"/>
              <w:bottom w:val="single" w:sz="4" w:space="0" w:color="auto"/>
              <w:right w:val="single" w:sz="4" w:space="0" w:color="auto"/>
            </w:tcBorders>
            <w:shd w:val="clear" w:color="auto" w:fill="C6EFCE"/>
            <w:noWrap/>
            <w:vAlign w:val="center"/>
          </w:tcPr>
          <w:p w14:paraId="2C51E250" w14:textId="77777777" w:rsidR="00A612E2" w:rsidRPr="003B127D" w:rsidRDefault="00A612E2" w:rsidP="00392579">
            <w:pPr>
              <w:rPr>
                <w:noProof/>
                <w:sz w:val="20"/>
                <w:szCs w:val="20"/>
              </w:rPr>
            </w:pPr>
            <w:r>
              <w:rPr>
                <w:noProof/>
                <w:color w:val="006100"/>
                <w:sz w:val="20"/>
              </w:rPr>
              <w:t>Investeering 2.2 bis Innovatsioonilepingud</w:t>
            </w:r>
          </w:p>
        </w:tc>
        <w:tc>
          <w:tcPr>
            <w:tcW w:w="1425" w:type="dxa"/>
            <w:tcBorders>
              <w:top w:val="nil"/>
              <w:left w:val="nil"/>
              <w:bottom w:val="single" w:sz="4" w:space="0" w:color="auto"/>
              <w:right w:val="single" w:sz="4" w:space="0" w:color="auto"/>
            </w:tcBorders>
            <w:shd w:val="clear" w:color="auto" w:fill="C6EFCE"/>
            <w:noWrap/>
            <w:vAlign w:val="center"/>
          </w:tcPr>
          <w:p w14:paraId="5C63E8F5" w14:textId="77777777" w:rsidR="00A612E2" w:rsidRPr="00246CC4" w:rsidRDefault="00A612E2" w:rsidP="00742B81">
            <w:pPr>
              <w:jc w:val="center"/>
              <w:rPr>
                <w:noProof/>
                <w:color w:val="006100"/>
                <w:sz w:val="20"/>
                <w:szCs w:val="20"/>
              </w:rPr>
            </w:pPr>
            <w:r>
              <w:rPr>
                <w:noProof/>
                <w:color w:val="006100"/>
                <w:sz w:val="20"/>
              </w:rPr>
              <w:t>Siht</w:t>
            </w:r>
          </w:p>
        </w:tc>
        <w:tc>
          <w:tcPr>
            <w:tcW w:w="3959" w:type="dxa"/>
            <w:tcBorders>
              <w:top w:val="nil"/>
              <w:left w:val="nil"/>
              <w:bottom w:val="single" w:sz="4" w:space="0" w:color="auto"/>
              <w:right w:val="single" w:sz="4" w:space="0" w:color="auto"/>
            </w:tcBorders>
            <w:shd w:val="clear" w:color="auto" w:fill="C6EFCE"/>
            <w:noWrap/>
            <w:vAlign w:val="center"/>
          </w:tcPr>
          <w:p w14:paraId="3F5864D6" w14:textId="54BE4445" w:rsidR="00A612E2" w:rsidRPr="003B127D" w:rsidRDefault="00A612E2" w:rsidP="00D8527D">
            <w:pPr>
              <w:rPr>
                <w:noProof/>
                <w:color w:val="006100"/>
                <w:sz w:val="20"/>
                <w:szCs w:val="20"/>
              </w:rPr>
            </w:pPr>
            <w:r>
              <w:rPr>
                <w:noProof/>
                <w:color w:val="006100"/>
                <w:sz w:val="20"/>
              </w:rPr>
              <w:t xml:space="preserve"> Innovatsioonilepingud on lõpule viidud  </w:t>
            </w:r>
          </w:p>
        </w:tc>
      </w:tr>
      <w:tr w:rsidR="00A612E2" w:rsidRPr="00D90835" w14:paraId="47664A0A"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DA29F0C" w14:textId="77777777" w:rsidR="00A612E2" w:rsidRPr="00246CC4" w:rsidRDefault="00A612E2" w:rsidP="00742B81">
            <w:pPr>
              <w:jc w:val="center"/>
              <w:rPr>
                <w:noProof/>
                <w:color w:val="006100"/>
                <w:sz w:val="20"/>
                <w:szCs w:val="20"/>
              </w:rPr>
            </w:pPr>
            <w:r>
              <w:rPr>
                <w:noProof/>
                <w:color w:val="006100"/>
                <w:sz w:val="20"/>
              </w:rPr>
              <w:t xml:space="preserve">M5C1-3 </w:t>
            </w:r>
          </w:p>
        </w:tc>
        <w:tc>
          <w:tcPr>
            <w:tcW w:w="3150" w:type="dxa"/>
            <w:tcBorders>
              <w:top w:val="nil"/>
              <w:left w:val="nil"/>
              <w:bottom w:val="single" w:sz="4" w:space="0" w:color="auto"/>
              <w:right w:val="single" w:sz="4" w:space="0" w:color="auto"/>
            </w:tcBorders>
            <w:shd w:val="clear" w:color="auto" w:fill="C6EFCE"/>
            <w:noWrap/>
            <w:vAlign w:val="center"/>
          </w:tcPr>
          <w:p w14:paraId="22BC54AC" w14:textId="77777777" w:rsidR="00A612E2" w:rsidRPr="003B127D" w:rsidRDefault="00A612E2" w:rsidP="00392579">
            <w:pPr>
              <w:rPr>
                <w:noProof/>
                <w:color w:val="006100"/>
                <w:sz w:val="20"/>
                <w:szCs w:val="20"/>
              </w:rPr>
            </w:pPr>
            <w:r>
              <w:rPr>
                <w:noProof/>
                <w:color w:val="006100"/>
                <w:sz w:val="20"/>
              </w:rPr>
              <w:t>Reform 1. Aktiivne tööturupoliitika ja kutseõpe</w:t>
            </w:r>
          </w:p>
        </w:tc>
        <w:tc>
          <w:tcPr>
            <w:tcW w:w="1425" w:type="dxa"/>
            <w:tcBorders>
              <w:top w:val="nil"/>
              <w:left w:val="nil"/>
              <w:bottom w:val="single" w:sz="4" w:space="0" w:color="auto"/>
              <w:right w:val="single" w:sz="4" w:space="0" w:color="auto"/>
            </w:tcBorders>
            <w:shd w:val="clear" w:color="auto" w:fill="C6EFCE"/>
            <w:noWrap/>
            <w:vAlign w:val="center"/>
          </w:tcPr>
          <w:p w14:paraId="2E08FEA3" w14:textId="77777777" w:rsidR="00A612E2" w:rsidRPr="00246CC4" w:rsidRDefault="00A612E2" w:rsidP="00742B81">
            <w:pPr>
              <w:jc w:val="center"/>
              <w:rPr>
                <w:noProof/>
                <w:color w:val="006100"/>
                <w:sz w:val="20"/>
                <w:szCs w:val="20"/>
              </w:rPr>
            </w:pPr>
            <w:r>
              <w:rPr>
                <w:noProof/>
                <w:color w:val="006100"/>
                <w:sz w:val="20"/>
              </w:rPr>
              <w:t>Siht</w:t>
            </w:r>
          </w:p>
        </w:tc>
        <w:tc>
          <w:tcPr>
            <w:tcW w:w="3959" w:type="dxa"/>
            <w:tcBorders>
              <w:top w:val="nil"/>
              <w:left w:val="nil"/>
              <w:bottom w:val="single" w:sz="4" w:space="0" w:color="auto"/>
              <w:right w:val="single" w:sz="4" w:space="0" w:color="auto"/>
            </w:tcBorders>
            <w:shd w:val="clear" w:color="auto" w:fill="C6EFCE"/>
            <w:noWrap/>
            <w:vAlign w:val="center"/>
          </w:tcPr>
          <w:p w14:paraId="2A1D76E0" w14:textId="77777777" w:rsidR="00A612E2" w:rsidRPr="003B127D" w:rsidRDefault="00A612E2" w:rsidP="00742B81">
            <w:pPr>
              <w:rPr>
                <w:noProof/>
                <w:color w:val="006100"/>
                <w:sz w:val="20"/>
                <w:szCs w:val="20"/>
              </w:rPr>
            </w:pPr>
            <w:r>
              <w:rPr>
                <w:noProof/>
                <w:color w:val="006100"/>
                <w:sz w:val="20"/>
              </w:rPr>
              <w:t xml:space="preserve">Isikud, kes on hõlmatud töötajate tagatud tööalase konkurentsivõime programmiga. </w:t>
            </w:r>
          </w:p>
        </w:tc>
      </w:tr>
      <w:tr w:rsidR="00A612E2" w:rsidRPr="00D90835" w14:paraId="6B9900E4"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A33333B" w14:textId="77777777" w:rsidR="00A612E2" w:rsidRPr="00246CC4" w:rsidRDefault="00A612E2" w:rsidP="00742B81">
            <w:pPr>
              <w:jc w:val="center"/>
              <w:rPr>
                <w:noProof/>
                <w:color w:val="006100"/>
                <w:sz w:val="20"/>
                <w:szCs w:val="20"/>
              </w:rPr>
            </w:pPr>
            <w:r>
              <w:rPr>
                <w:noProof/>
                <w:color w:val="006100"/>
                <w:sz w:val="20"/>
              </w:rPr>
              <w:t xml:space="preserve">M5C1-4 </w:t>
            </w:r>
          </w:p>
        </w:tc>
        <w:tc>
          <w:tcPr>
            <w:tcW w:w="3150" w:type="dxa"/>
            <w:tcBorders>
              <w:top w:val="nil"/>
              <w:left w:val="nil"/>
              <w:bottom w:val="single" w:sz="4" w:space="0" w:color="auto"/>
              <w:right w:val="single" w:sz="4" w:space="0" w:color="auto"/>
            </w:tcBorders>
            <w:shd w:val="clear" w:color="auto" w:fill="C6EFCE"/>
            <w:noWrap/>
            <w:vAlign w:val="center"/>
          </w:tcPr>
          <w:p w14:paraId="594130DA" w14:textId="77777777" w:rsidR="00A612E2" w:rsidRPr="003B127D" w:rsidRDefault="00A612E2" w:rsidP="00392579">
            <w:pPr>
              <w:rPr>
                <w:noProof/>
                <w:color w:val="006100"/>
                <w:sz w:val="20"/>
                <w:szCs w:val="20"/>
              </w:rPr>
            </w:pPr>
            <w:r>
              <w:rPr>
                <w:noProof/>
                <w:color w:val="006100"/>
                <w:sz w:val="20"/>
              </w:rPr>
              <w:t xml:space="preserve">Reform 1. Aktiivne tööturupoliitika ja kutseõpe </w:t>
            </w:r>
          </w:p>
        </w:tc>
        <w:tc>
          <w:tcPr>
            <w:tcW w:w="1425" w:type="dxa"/>
            <w:tcBorders>
              <w:top w:val="nil"/>
              <w:left w:val="nil"/>
              <w:bottom w:val="single" w:sz="4" w:space="0" w:color="auto"/>
              <w:right w:val="single" w:sz="4" w:space="0" w:color="auto"/>
            </w:tcBorders>
            <w:shd w:val="clear" w:color="auto" w:fill="C6EFCE"/>
            <w:noWrap/>
            <w:vAlign w:val="center"/>
          </w:tcPr>
          <w:p w14:paraId="34FC13E8" w14:textId="77777777" w:rsidR="00A612E2" w:rsidRPr="00246CC4" w:rsidRDefault="00A612E2" w:rsidP="00742B81">
            <w:pPr>
              <w:jc w:val="center"/>
              <w:rPr>
                <w:noProof/>
                <w:color w:val="006100"/>
                <w:sz w:val="20"/>
                <w:szCs w:val="20"/>
              </w:rPr>
            </w:pPr>
            <w:r>
              <w:rPr>
                <w:noProof/>
                <w:color w:val="006100"/>
                <w:sz w:val="20"/>
              </w:rPr>
              <w:t>Siht</w:t>
            </w:r>
          </w:p>
        </w:tc>
        <w:tc>
          <w:tcPr>
            <w:tcW w:w="3959" w:type="dxa"/>
            <w:tcBorders>
              <w:top w:val="nil"/>
              <w:left w:val="nil"/>
              <w:bottom w:val="single" w:sz="4" w:space="0" w:color="auto"/>
              <w:right w:val="single" w:sz="4" w:space="0" w:color="auto"/>
            </w:tcBorders>
            <w:shd w:val="clear" w:color="auto" w:fill="C6EFCE"/>
            <w:noWrap/>
            <w:vAlign w:val="center"/>
          </w:tcPr>
          <w:p w14:paraId="459476A9" w14:textId="77777777" w:rsidR="00A612E2" w:rsidRPr="003B127D" w:rsidRDefault="00A612E2" w:rsidP="00742B81">
            <w:pPr>
              <w:rPr>
                <w:noProof/>
                <w:color w:val="006100"/>
                <w:sz w:val="20"/>
                <w:szCs w:val="20"/>
              </w:rPr>
            </w:pPr>
            <w:r>
              <w:rPr>
                <w:noProof/>
                <w:color w:val="006100"/>
                <w:sz w:val="20"/>
              </w:rPr>
              <w:t xml:space="preserve">Töötajate toetusesaajate tagatud tööalane konkurentsivõime on osalenud kutseõppes. </w:t>
            </w:r>
          </w:p>
        </w:tc>
      </w:tr>
      <w:tr w:rsidR="00A612E2" w:rsidRPr="00D90835" w14:paraId="35F35A77"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7C42050" w14:textId="77777777" w:rsidR="00A612E2" w:rsidRPr="00246CC4" w:rsidRDefault="00A612E2" w:rsidP="00742B81">
            <w:pPr>
              <w:jc w:val="center"/>
              <w:rPr>
                <w:noProof/>
                <w:color w:val="006100"/>
                <w:sz w:val="20"/>
                <w:szCs w:val="20"/>
              </w:rPr>
            </w:pPr>
            <w:r>
              <w:rPr>
                <w:noProof/>
                <w:color w:val="006100"/>
                <w:sz w:val="20"/>
              </w:rPr>
              <w:t xml:space="preserve">M5C1-5 </w:t>
            </w:r>
          </w:p>
        </w:tc>
        <w:tc>
          <w:tcPr>
            <w:tcW w:w="3150" w:type="dxa"/>
            <w:tcBorders>
              <w:top w:val="nil"/>
              <w:left w:val="nil"/>
              <w:bottom w:val="single" w:sz="4" w:space="0" w:color="auto"/>
              <w:right w:val="single" w:sz="4" w:space="0" w:color="auto"/>
            </w:tcBorders>
            <w:shd w:val="clear" w:color="auto" w:fill="C6EFCE"/>
            <w:noWrap/>
            <w:vAlign w:val="center"/>
          </w:tcPr>
          <w:p w14:paraId="6A189612" w14:textId="77777777" w:rsidR="00A612E2" w:rsidRPr="003B127D" w:rsidRDefault="00A612E2" w:rsidP="00392579">
            <w:pPr>
              <w:rPr>
                <w:noProof/>
                <w:color w:val="006100"/>
                <w:sz w:val="20"/>
                <w:szCs w:val="20"/>
              </w:rPr>
            </w:pPr>
            <w:r>
              <w:rPr>
                <w:noProof/>
                <w:color w:val="006100"/>
                <w:sz w:val="20"/>
              </w:rPr>
              <w:t>Reform 1. Aktiivne tööturupoliitika ja kutseõpe</w:t>
            </w:r>
          </w:p>
        </w:tc>
        <w:tc>
          <w:tcPr>
            <w:tcW w:w="1425" w:type="dxa"/>
            <w:tcBorders>
              <w:top w:val="nil"/>
              <w:left w:val="nil"/>
              <w:bottom w:val="single" w:sz="4" w:space="0" w:color="auto"/>
              <w:right w:val="single" w:sz="4" w:space="0" w:color="auto"/>
            </w:tcBorders>
            <w:shd w:val="clear" w:color="auto" w:fill="C6EFCE"/>
            <w:noWrap/>
            <w:vAlign w:val="center"/>
          </w:tcPr>
          <w:p w14:paraId="4C4217CA" w14:textId="77777777" w:rsidR="00A612E2" w:rsidRPr="00246CC4" w:rsidRDefault="00A612E2" w:rsidP="00742B81">
            <w:pPr>
              <w:jc w:val="center"/>
              <w:rPr>
                <w:noProof/>
                <w:color w:val="006100"/>
                <w:sz w:val="20"/>
                <w:szCs w:val="20"/>
              </w:rPr>
            </w:pPr>
            <w:r>
              <w:rPr>
                <w:noProof/>
                <w:color w:val="006100"/>
                <w:sz w:val="20"/>
              </w:rPr>
              <w:t>Siht</w:t>
            </w:r>
          </w:p>
        </w:tc>
        <w:tc>
          <w:tcPr>
            <w:tcW w:w="3959" w:type="dxa"/>
            <w:tcBorders>
              <w:top w:val="nil"/>
              <w:left w:val="nil"/>
              <w:bottom w:val="single" w:sz="4" w:space="0" w:color="auto"/>
              <w:right w:val="single" w:sz="4" w:space="0" w:color="auto"/>
            </w:tcBorders>
            <w:shd w:val="clear" w:color="auto" w:fill="C6EFCE"/>
            <w:noWrap/>
            <w:vAlign w:val="center"/>
          </w:tcPr>
          <w:p w14:paraId="1E9785C3" w14:textId="77777777" w:rsidR="00A612E2" w:rsidRPr="003B127D" w:rsidRDefault="00A612E2" w:rsidP="00742B81">
            <w:pPr>
              <w:rPr>
                <w:noProof/>
                <w:color w:val="006100"/>
                <w:sz w:val="20"/>
                <w:szCs w:val="20"/>
              </w:rPr>
            </w:pPr>
            <w:r>
              <w:rPr>
                <w:noProof/>
                <w:color w:val="006100"/>
                <w:sz w:val="20"/>
              </w:rPr>
              <w:t>Iga piirkonna riiklikud tööturuasutused on täitnud riiklike tööturuasutuste teenuste olulise taseme kriteeriumid, nagu on määratletud töötajate tööhõive tagamise (GOL) programmis</w:t>
            </w:r>
          </w:p>
        </w:tc>
      </w:tr>
      <w:tr w:rsidR="00A612E2" w:rsidRPr="00D90835" w14:paraId="3204DF99"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3E24BCA" w14:textId="77777777" w:rsidR="00A612E2" w:rsidRPr="00246CC4" w:rsidRDefault="00A612E2" w:rsidP="00742B81">
            <w:pPr>
              <w:jc w:val="center"/>
              <w:rPr>
                <w:noProof/>
                <w:color w:val="006100"/>
                <w:sz w:val="20"/>
                <w:szCs w:val="20"/>
              </w:rPr>
            </w:pPr>
            <w:r>
              <w:rPr>
                <w:noProof/>
                <w:color w:val="006100"/>
                <w:sz w:val="20"/>
              </w:rPr>
              <w:t>M5C1-7</w:t>
            </w:r>
          </w:p>
        </w:tc>
        <w:tc>
          <w:tcPr>
            <w:tcW w:w="3150" w:type="dxa"/>
            <w:tcBorders>
              <w:top w:val="nil"/>
              <w:left w:val="nil"/>
              <w:bottom w:val="single" w:sz="4" w:space="0" w:color="auto"/>
              <w:right w:val="single" w:sz="4" w:space="0" w:color="auto"/>
            </w:tcBorders>
            <w:shd w:val="clear" w:color="auto" w:fill="C6EFCE"/>
            <w:noWrap/>
            <w:vAlign w:val="center"/>
          </w:tcPr>
          <w:p w14:paraId="2B8265F1" w14:textId="77777777" w:rsidR="00A612E2" w:rsidRPr="003B127D" w:rsidRDefault="00A612E2" w:rsidP="00392579">
            <w:pPr>
              <w:rPr>
                <w:noProof/>
                <w:color w:val="006100"/>
                <w:sz w:val="20"/>
                <w:szCs w:val="20"/>
              </w:rPr>
            </w:pPr>
            <w:r>
              <w:rPr>
                <w:noProof/>
                <w:color w:val="006100"/>
                <w:sz w:val="20"/>
              </w:rPr>
              <w:t xml:space="preserve">Investeering 1. Avalike tööturuasutuste tugevdamine </w:t>
            </w:r>
          </w:p>
        </w:tc>
        <w:tc>
          <w:tcPr>
            <w:tcW w:w="1425" w:type="dxa"/>
            <w:tcBorders>
              <w:top w:val="nil"/>
              <w:left w:val="nil"/>
              <w:bottom w:val="single" w:sz="4" w:space="0" w:color="auto"/>
              <w:right w:val="single" w:sz="4" w:space="0" w:color="auto"/>
            </w:tcBorders>
            <w:shd w:val="clear" w:color="auto" w:fill="C6EFCE"/>
            <w:noWrap/>
            <w:vAlign w:val="center"/>
          </w:tcPr>
          <w:p w14:paraId="448D950F" w14:textId="77777777" w:rsidR="00A612E2" w:rsidRPr="00246CC4" w:rsidRDefault="00A612E2" w:rsidP="00742B81">
            <w:pPr>
              <w:jc w:val="center"/>
              <w:rPr>
                <w:noProof/>
                <w:color w:val="006100"/>
                <w:sz w:val="20"/>
                <w:szCs w:val="20"/>
              </w:rPr>
            </w:pPr>
            <w:r>
              <w:rPr>
                <w:noProof/>
                <w:color w:val="006100"/>
                <w:sz w:val="20"/>
              </w:rPr>
              <w:t>Siht</w:t>
            </w:r>
          </w:p>
        </w:tc>
        <w:tc>
          <w:tcPr>
            <w:tcW w:w="3959" w:type="dxa"/>
            <w:tcBorders>
              <w:top w:val="nil"/>
              <w:left w:val="nil"/>
              <w:bottom w:val="single" w:sz="4" w:space="0" w:color="auto"/>
              <w:right w:val="single" w:sz="4" w:space="0" w:color="auto"/>
            </w:tcBorders>
            <w:shd w:val="clear" w:color="auto" w:fill="C6EFCE"/>
            <w:noWrap/>
            <w:vAlign w:val="center"/>
          </w:tcPr>
          <w:p w14:paraId="069C375F" w14:textId="77777777" w:rsidR="00A612E2" w:rsidRPr="003B127D" w:rsidRDefault="00A612E2" w:rsidP="00742B81">
            <w:pPr>
              <w:rPr>
                <w:noProof/>
                <w:color w:val="006100"/>
                <w:sz w:val="20"/>
                <w:szCs w:val="20"/>
              </w:rPr>
            </w:pPr>
            <w:r>
              <w:rPr>
                <w:noProof/>
                <w:color w:val="006100"/>
                <w:sz w:val="20"/>
              </w:rPr>
              <w:t>Riiklikud tööturuasutused on viinud lõpule tugevdamise kavas kavandatud tegevused</w:t>
            </w:r>
          </w:p>
        </w:tc>
      </w:tr>
      <w:tr w:rsidR="00A612E2" w:rsidRPr="00D90835" w14:paraId="42CC479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002D13E" w14:textId="77777777" w:rsidR="00A612E2" w:rsidRPr="00246CC4" w:rsidRDefault="00A612E2" w:rsidP="00742B81">
            <w:pPr>
              <w:jc w:val="center"/>
              <w:rPr>
                <w:noProof/>
                <w:color w:val="006100"/>
                <w:sz w:val="20"/>
                <w:szCs w:val="20"/>
              </w:rPr>
            </w:pPr>
            <w:r>
              <w:rPr>
                <w:noProof/>
                <w:color w:val="006100"/>
                <w:sz w:val="20"/>
              </w:rPr>
              <w:t>M5C1-15</w:t>
            </w:r>
          </w:p>
        </w:tc>
        <w:tc>
          <w:tcPr>
            <w:tcW w:w="3150" w:type="dxa"/>
            <w:tcBorders>
              <w:top w:val="nil"/>
              <w:left w:val="nil"/>
              <w:bottom w:val="single" w:sz="4" w:space="0" w:color="auto"/>
              <w:right w:val="single" w:sz="4" w:space="0" w:color="auto"/>
            </w:tcBorders>
            <w:shd w:val="clear" w:color="auto" w:fill="C6EFCE"/>
            <w:noWrap/>
            <w:vAlign w:val="center"/>
          </w:tcPr>
          <w:p w14:paraId="0721F724" w14:textId="77777777" w:rsidR="00A612E2" w:rsidRPr="003B127D" w:rsidRDefault="00A612E2" w:rsidP="00392579">
            <w:pPr>
              <w:rPr>
                <w:noProof/>
                <w:color w:val="006100"/>
                <w:sz w:val="20"/>
                <w:szCs w:val="20"/>
              </w:rPr>
            </w:pPr>
            <w:r>
              <w:rPr>
                <w:noProof/>
                <w:color w:val="006100"/>
                <w:sz w:val="20"/>
              </w:rPr>
              <w:t>Investeering 3. Kahe süsteemi tugevdamine</w:t>
            </w:r>
          </w:p>
        </w:tc>
        <w:tc>
          <w:tcPr>
            <w:tcW w:w="1425" w:type="dxa"/>
            <w:tcBorders>
              <w:top w:val="nil"/>
              <w:left w:val="nil"/>
              <w:bottom w:val="single" w:sz="4" w:space="0" w:color="auto"/>
              <w:right w:val="single" w:sz="4" w:space="0" w:color="auto"/>
            </w:tcBorders>
            <w:shd w:val="clear" w:color="auto" w:fill="C6EFCE"/>
            <w:noWrap/>
            <w:vAlign w:val="center"/>
          </w:tcPr>
          <w:p w14:paraId="3D12DBB9" w14:textId="77777777" w:rsidR="00A612E2" w:rsidRPr="00246CC4" w:rsidRDefault="00A612E2" w:rsidP="00742B81">
            <w:pPr>
              <w:jc w:val="center"/>
              <w:rPr>
                <w:noProof/>
                <w:color w:val="006100"/>
                <w:sz w:val="20"/>
                <w:szCs w:val="20"/>
              </w:rPr>
            </w:pPr>
            <w:r>
              <w:rPr>
                <w:noProof/>
                <w:color w:val="006100"/>
                <w:sz w:val="20"/>
              </w:rPr>
              <w:t>Siht</w:t>
            </w:r>
          </w:p>
        </w:tc>
        <w:tc>
          <w:tcPr>
            <w:tcW w:w="3959" w:type="dxa"/>
            <w:tcBorders>
              <w:top w:val="nil"/>
              <w:left w:val="nil"/>
              <w:bottom w:val="single" w:sz="4" w:space="0" w:color="auto"/>
              <w:right w:val="single" w:sz="4" w:space="0" w:color="auto"/>
            </w:tcBorders>
            <w:shd w:val="clear" w:color="auto" w:fill="C6EFCE"/>
            <w:noWrap/>
            <w:vAlign w:val="center"/>
          </w:tcPr>
          <w:p w14:paraId="17841FFF" w14:textId="77777777" w:rsidR="00A612E2" w:rsidRPr="003B127D" w:rsidRDefault="00A612E2" w:rsidP="00742B81">
            <w:pPr>
              <w:rPr>
                <w:noProof/>
                <w:color w:val="006100"/>
                <w:sz w:val="20"/>
                <w:szCs w:val="20"/>
              </w:rPr>
            </w:pPr>
            <w:r>
              <w:rPr>
                <w:noProof/>
                <w:color w:val="006100"/>
                <w:sz w:val="20"/>
              </w:rPr>
              <w:t>Inimesed, kes on osalenud duaalses süsteemis ja saanud asjakohase sertifikaadi viieaastasel ajavahemikul 2021-2025</w:t>
            </w:r>
          </w:p>
        </w:tc>
      </w:tr>
      <w:tr w:rsidR="00A612E2" w:rsidRPr="00D90835" w14:paraId="013B46D4"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1E2358E" w14:textId="77777777" w:rsidR="00A612E2" w:rsidRPr="00246CC4" w:rsidRDefault="00A612E2" w:rsidP="00742B81">
            <w:pPr>
              <w:jc w:val="center"/>
              <w:rPr>
                <w:noProof/>
                <w:color w:val="006100"/>
                <w:sz w:val="20"/>
                <w:szCs w:val="20"/>
              </w:rPr>
            </w:pPr>
            <w:r>
              <w:rPr>
                <w:noProof/>
                <w:color w:val="006100"/>
                <w:sz w:val="20"/>
              </w:rPr>
              <w:t>M6C2-2</w:t>
            </w:r>
          </w:p>
        </w:tc>
        <w:tc>
          <w:tcPr>
            <w:tcW w:w="3150" w:type="dxa"/>
            <w:tcBorders>
              <w:top w:val="nil"/>
              <w:left w:val="nil"/>
              <w:bottom w:val="single" w:sz="4" w:space="0" w:color="auto"/>
              <w:right w:val="single" w:sz="4" w:space="0" w:color="auto"/>
            </w:tcBorders>
            <w:shd w:val="clear" w:color="auto" w:fill="C6EFCE"/>
            <w:noWrap/>
            <w:vAlign w:val="center"/>
          </w:tcPr>
          <w:p w14:paraId="4E2D650C" w14:textId="77777777" w:rsidR="00A612E2" w:rsidRPr="003B127D" w:rsidRDefault="00A612E2" w:rsidP="00392579">
            <w:pPr>
              <w:rPr>
                <w:noProof/>
                <w:color w:val="006100"/>
                <w:sz w:val="20"/>
                <w:szCs w:val="20"/>
              </w:rPr>
            </w:pPr>
            <w:r>
              <w:rPr>
                <w:noProof/>
                <w:color w:val="006100"/>
                <w:sz w:val="20"/>
              </w:rPr>
              <w:t>Investeering 2.1. NHSi biomeditsiiniliste uuringute tugevdamine ja tõhustamine.</w:t>
            </w:r>
          </w:p>
        </w:tc>
        <w:tc>
          <w:tcPr>
            <w:tcW w:w="1425" w:type="dxa"/>
            <w:tcBorders>
              <w:top w:val="nil"/>
              <w:left w:val="nil"/>
              <w:bottom w:val="single" w:sz="4" w:space="0" w:color="auto"/>
              <w:right w:val="single" w:sz="4" w:space="0" w:color="auto"/>
            </w:tcBorders>
            <w:shd w:val="clear" w:color="auto" w:fill="C6EFCE"/>
            <w:noWrap/>
            <w:vAlign w:val="center"/>
          </w:tcPr>
          <w:p w14:paraId="3E8A5CBE" w14:textId="77777777" w:rsidR="00A612E2" w:rsidRPr="00246CC4" w:rsidRDefault="00A612E2" w:rsidP="00742B81">
            <w:pPr>
              <w:jc w:val="center"/>
              <w:rPr>
                <w:noProof/>
                <w:color w:val="006100"/>
                <w:sz w:val="20"/>
                <w:szCs w:val="20"/>
              </w:rPr>
            </w:pPr>
            <w:r>
              <w:rPr>
                <w:noProof/>
                <w:color w:val="006100"/>
                <w:sz w:val="20"/>
              </w:rPr>
              <w:t>Siht</w:t>
            </w:r>
          </w:p>
        </w:tc>
        <w:tc>
          <w:tcPr>
            <w:tcW w:w="3959" w:type="dxa"/>
            <w:tcBorders>
              <w:top w:val="nil"/>
              <w:left w:val="nil"/>
              <w:bottom w:val="single" w:sz="4" w:space="0" w:color="auto"/>
              <w:right w:val="single" w:sz="4" w:space="0" w:color="auto"/>
            </w:tcBorders>
            <w:shd w:val="clear" w:color="auto" w:fill="C6EFCE"/>
            <w:noWrap/>
            <w:vAlign w:val="center"/>
          </w:tcPr>
          <w:p w14:paraId="5D14C7A1" w14:textId="77777777" w:rsidR="00A612E2" w:rsidRPr="003B127D" w:rsidRDefault="00A612E2" w:rsidP="00742B81">
            <w:pPr>
              <w:rPr>
                <w:noProof/>
                <w:color w:val="006100"/>
                <w:sz w:val="20"/>
                <w:szCs w:val="20"/>
              </w:rPr>
            </w:pPr>
            <w:r>
              <w:rPr>
                <w:noProof/>
                <w:color w:val="006100"/>
                <w:sz w:val="20"/>
              </w:rPr>
              <w:t>Haruldasi vähktõbe ja haigusi käsitlevad rahastatud uurimisprojektid</w:t>
            </w:r>
          </w:p>
        </w:tc>
      </w:tr>
      <w:tr w:rsidR="00A612E2" w:rsidRPr="00D90835" w14:paraId="0B4F572D"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A18F69A" w14:textId="77777777" w:rsidR="00A612E2" w:rsidRPr="00246CC4" w:rsidRDefault="00A612E2" w:rsidP="00742B81">
            <w:pPr>
              <w:jc w:val="center"/>
              <w:rPr>
                <w:noProof/>
                <w:color w:val="006100"/>
                <w:sz w:val="20"/>
                <w:szCs w:val="20"/>
              </w:rPr>
            </w:pPr>
            <w:r>
              <w:rPr>
                <w:noProof/>
                <w:color w:val="006100"/>
                <w:sz w:val="20"/>
              </w:rPr>
              <w:t>M6C2-3</w:t>
            </w:r>
          </w:p>
        </w:tc>
        <w:tc>
          <w:tcPr>
            <w:tcW w:w="3150" w:type="dxa"/>
            <w:tcBorders>
              <w:top w:val="nil"/>
              <w:left w:val="nil"/>
              <w:bottom w:val="single" w:sz="4" w:space="0" w:color="auto"/>
              <w:right w:val="single" w:sz="4" w:space="0" w:color="auto"/>
            </w:tcBorders>
            <w:shd w:val="clear" w:color="auto" w:fill="C6EFCE"/>
            <w:noWrap/>
            <w:vAlign w:val="center"/>
          </w:tcPr>
          <w:p w14:paraId="0AB945A5" w14:textId="77777777" w:rsidR="00A612E2" w:rsidRPr="003B127D" w:rsidRDefault="00A612E2" w:rsidP="00392579">
            <w:pPr>
              <w:rPr>
                <w:noProof/>
                <w:color w:val="006100"/>
                <w:sz w:val="20"/>
                <w:szCs w:val="20"/>
              </w:rPr>
            </w:pPr>
            <w:r>
              <w:rPr>
                <w:noProof/>
                <w:color w:val="006100"/>
                <w:sz w:val="20"/>
              </w:rPr>
              <w:t>Investeering 2.1. NHSi biomeditsiiniliste uuringute tugevdamine ja tõhustamine.</w:t>
            </w:r>
          </w:p>
        </w:tc>
        <w:tc>
          <w:tcPr>
            <w:tcW w:w="1425" w:type="dxa"/>
            <w:tcBorders>
              <w:top w:val="nil"/>
              <w:left w:val="nil"/>
              <w:bottom w:val="single" w:sz="4" w:space="0" w:color="auto"/>
              <w:right w:val="single" w:sz="4" w:space="0" w:color="auto"/>
            </w:tcBorders>
            <w:shd w:val="clear" w:color="auto" w:fill="C6EFCE"/>
            <w:noWrap/>
            <w:vAlign w:val="center"/>
          </w:tcPr>
          <w:p w14:paraId="00B185C4" w14:textId="77777777" w:rsidR="00A612E2" w:rsidRPr="00246CC4" w:rsidRDefault="00A612E2" w:rsidP="00742B81">
            <w:pPr>
              <w:jc w:val="center"/>
              <w:rPr>
                <w:noProof/>
                <w:color w:val="006100"/>
                <w:sz w:val="20"/>
                <w:szCs w:val="20"/>
              </w:rPr>
            </w:pPr>
            <w:r>
              <w:rPr>
                <w:noProof/>
                <w:color w:val="006100"/>
                <w:sz w:val="20"/>
              </w:rPr>
              <w:t>Siht</w:t>
            </w:r>
          </w:p>
        </w:tc>
        <w:tc>
          <w:tcPr>
            <w:tcW w:w="3959" w:type="dxa"/>
            <w:tcBorders>
              <w:top w:val="nil"/>
              <w:left w:val="nil"/>
              <w:bottom w:val="single" w:sz="4" w:space="0" w:color="auto"/>
              <w:right w:val="single" w:sz="4" w:space="0" w:color="auto"/>
            </w:tcBorders>
            <w:shd w:val="clear" w:color="auto" w:fill="C6EFCE"/>
            <w:noWrap/>
            <w:vAlign w:val="center"/>
          </w:tcPr>
          <w:p w14:paraId="356553DF" w14:textId="77777777" w:rsidR="00A612E2" w:rsidRPr="003B127D" w:rsidRDefault="00A612E2" w:rsidP="00742B81">
            <w:pPr>
              <w:rPr>
                <w:noProof/>
                <w:color w:val="006100"/>
                <w:sz w:val="20"/>
                <w:szCs w:val="20"/>
              </w:rPr>
            </w:pPr>
            <w:r>
              <w:rPr>
                <w:noProof/>
                <w:color w:val="006100"/>
                <w:sz w:val="20"/>
              </w:rPr>
              <w:t>Rahastatud teadusprojektid, mis käsitlevad suure tervisemõjuga haigusi</w:t>
            </w:r>
          </w:p>
        </w:tc>
      </w:tr>
      <w:tr w:rsidR="00A612E2" w:rsidRPr="00D90835" w14:paraId="15B04EE3"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DD00B06" w14:textId="77777777" w:rsidR="00A612E2" w:rsidRPr="00246CC4" w:rsidRDefault="00A612E2" w:rsidP="00742B81">
            <w:pPr>
              <w:jc w:val="center"/>
              <w:rPr>
                <w:noProof/>
                <w:color w:val="006100"/>
                <w:sz w:val="20"/>
                <w:szCs w:val="20"/>
              </w:rPr>
            </w:pPr>
            <w:r>
              <w:rPr>
                <w:noProof/>
                <w:color w:val="006100"/>
                <w:sz w:val="20"/>
              </w:rPr>
              <w:t>M7-3</w:t>
            </w:r>
          </w:p>
        </w:tc>
        <w:tc>
          <w:tcPr>
            <w:tcW w:w="3150" w:type="dxa"/>
            <w:tcBorders>
              <w:top w:val="nil"/>
              <w:left w:val="nil"/>
              <w:bottom w:val="single" w:sz="4" w:space="0" w:color="auto"/>
              <w:right w:val="single" w:sz="4" w:space="0" w:color="auto"/>
            </w:tcBorders>
            <w:shd w:val="clear" w:color="auto" w:fill="C6EFCE"/>
            <w:noWrap/>
            <w:vAlign w:val="center"/>
          </w:tcPr>
          <w:p w14:paraId="3143CF6E" w14:textId="77777777" w:rsidR="00A612E2" w:rsidRPr="00246CC4" w:rsidRDefault="00A612E2" w:rsidP="00742B81">
            <w:pPr>
              <w:rPr>
                <w:noProof/>
                <w:color w:val="006100"/>
                <w:sz w:val="20"/>
                <w:szCs w:val="20"/>
              </w:rPr>
            </w:pPr>
            <w:r>
              <w:rPr>
                <w:noProof/>
                <w:color w:val="006100"/>
                <w:sz w:val="20"/>
              </w:rPr>
              <w:t xml:space="preserve">Reform 1. Taastuvenergia loamenetluste lihtsustamine </w:t>
            </w:r>
          </w:p>
        </w:tc>
        <w:tc>
          <w:tcPr>
            <w:tcW w:w="1425" w:type="dxa"/>
            <w:tcBorders>
              <w:top w:val="nil"/>
              <w:left w:val="nil"/>
              <w:bottom w:val="single" w:sz="4" w:space="0" w:color="auto"/>
              <w:right w:val="single" w:sz="4" w:space="0" w:color="auto"/>
            </w:tcBorders>
            <w:shd w:val="clear" w:color="auto" w:fill="C6EFCE"/>
            <w:noWrap/>
            <w:vAlign w:val="center"/>
          </w:tcPr>
          <w:p w14:paraId="11797852" w14:textId="77777777" w:rsidR="00A612E2" w:rsidRPr="00246CC4" w:rsidRDefault="00A612E2" w:rsidP="00742B81">
            <w:pPr>
              <w:jc w:val="center"/>
              <w:rPr>
                <w:noProof/>
                <w:color w:val="006100"/>
                <w:sz w:val="20"/>
                <w:szCs w:val="20"/>
              </w:rPr>
            </w:pPr>
            <w:r>
              <w:rPr>
                <w:noProof/>
                <w:color w:val="006100"/>
                <w:sz w:val="20"/>
              </w:rPr>
              <w:t>Eesmärk</w:t>
            </w:r>
          </w:p>
        </w:tc>
        <w:tc>
          <w:tcPr>
            <w:tcW w:w="3959" w:type="dxa"/>
            <w:tcBorders>
              <w:top w:val="nil"/>
              <w:left w:val="nil"/>
              <w:bottom w:val="single" w:sz="4" w:space="0" w:color="auto"/>
              <w:right w:val="single" w:sz="4" w:space="0" w:color="auto"/>
            </w:tcBorders>
            <w:shd w:val="clear" w:color="auto" w:fill="C6EFCE"/>
            <w:noWrap/>
            <w:vAlign w:val="center"/>
          </w:tcPr>
          <w:p w14:paraId="7C098E98" w14:textId="77777777" w:rsidR="00A612E2" w:rsidRPr="003B127D" w:rsidRDefault="00A612E2" w:rsidP="00742B81">
            <w:pPr>
              <w:rPr>
                <w:noProof/>
                <w:color w:val="006100"/>
                <w:sz w:val="20"/>
                <w:szCs w:val="20"/>
              </w:rPr>
            </w:pPr>
            <w:r>
              <w:rPr>
                <w:noProof/>
                <w:color w:val="006100"/>
                <w:sz w:val="20"/>
              </w:rPr>
              <w:t>Taastuvenergiaga seotud lubade ühtse sisenemise digitaalse platvormi loomine ja kasutuselevõtmine</w:t>
            </w:r>
          </w:p>
        </w:tc>
      </w:tr>
      <w:tr w:rsidR="00A612E2" w:rsidRPr="00D90835" w14:paraId="0AC7E583"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7CF2312" w14:textId="77777777" w:rsidR="00A612E2" w:rsidRPr="00246CC4" w:rsidRDefault="00A612E2" w:rsidP="00742B81">
            <w:pPr>
              <w:jc w:val="center"/>
              <w:rPr>
                <w:noProof/>
                <w:color w:val="006100"/>
                <w:sz w:val="20"/>
                <w:szCs w:val="20"/>
              </w:rPr>
            </w:pPr>
            <w:r>
              <w:rPr>
                <w:noProof/>
                <w:color w:val="006100"/>
                <w:sz w:val="20"/>
              </w:rPr>
              <w:t>M7-5</w:t>
            </w:r>
          </w:p>
        </w:tc>
        <w:tc>
          <w:tcPr>
            <w:tcW w:w="3150" w:type="dxa"/>
            <w:tcBorders>
              <w:top w:val="nil"/>
              <w:left w:val="nil"/>
              <w:bottom w:val="single" w:sz="4" w:space="0" w:color="auto"/>
              <w:right w:val="single" w:sz="4" w:space="0" w:color="auto"/>
            </w:tcBorders>
            <w:shd w:val="clear" w:color="auto" w:fill="C6EFCE"/>
            <w:noWrap/>
            <w:vAlign w:val="center"/>
          </w:tcPr>
          <w:p w14:paraId="508143C1" w14:textId="77777777" w:rsidR="00A612E2" w:rsidRPr="003B127D" w:rsidRDefault="00A612E2" w:rsidP="00742B81">
            <w:pPr>
              <w:rPr>
                <w:noProof/>
                <w:color w:val="006100"/>
                <w:sz w:val="20"/>
                <w:szCs w:val="20"/>
              </w:rPr>
            </w:pPr>
            <w:r>
              <w:rPr>
                <w:noProof/>
                <w:color w:val="006100"/>
                <w:sz w:val="20"/>
              </w:rPr>
              <w:t>Reform 2. Keskkonnakahjulike toetuste vähendamine</w:t>
            </w:r>
          </w:p>
        </w:tc>
        <w:tc>
          <w:tcPr>
            <w:tcW w:w="1425" w:type="dxa"/>
            <w:tcBorders>
              <w:top w:val="nil"/>
              <w:left w:val="nil"/>
              <w:bottom w:val="single" w:sz="4" w:space="0" w:color="auto"/>
              <w:right w:val="single" w:sz="4" w:space="0" w:color="auto"/>
            </w:tcBorders>
            <w:shd w:val="clear" w:color="auto" w:fill="C6EFCE"/>
            <w:noWrap/>
            <w:vAlign w:val="center"/>
          </w:tcPr>
          <w:p w14:paraId="0A111144" w14:textId="77777777" w:rsidR="00A612E2" w:rsidRPr="00246CC4" w:rsidRDefault="00A612E2" w:rsidP="00742B81">
            <w:pPr>
              <w:jc w:val="center"/>
              <w:rPr>
                <w:noProof/>
                <w:color w:val="006100"/>
                <w:sz w:val="20"/>
                <w:szCs w:val="20"/>
              </w:rPr>
            </w:pPr>
            <w:r>
              <w:rPr>
                <w:noProof/>
                <w:color w:val="006100"/>
                <w:sz w:val="20"/>
              </w:rPr>
              <w:t>Eesmärk</w:t>
            </w:r>
          </w:p>
        </w:tc>
        <w:tc>
          <w:tcPr>
            <w:tcW w:w="3959" w:type="dxa"/>
            <w:tcBorders>
              <w:top w:val="nil"/>
              <w:left w:val="nil"/>
              <w:bottom w:val="single" w:sz="4" w:space="0" w:color="auto"/>
              <w:right w:val="single" w:sz="4" w:space="0" w:color="auto"/>
            </w:tcBorders>
            <w:shd w:val="clear" w:color="auto" w:fill="C6EFCE"/>
            <w:noWrap/>
            <w:vAlign w:val="center"/>
          </w:tcPr>
          <w:p w14:paraId="4BD0227D" w14:textId="77777777" w:rsidR="00A612E2" w:rsidRPr="003B127D" w:rsidRDefault="00A612E2" w:rsidP="00742B81">
            <w:pPr>
              <w:rPr>
                <w:noProof/>
                <w:color w:val="006100"/>
                <w:sz w:val="20"/>
                <w:szCs w:val="20"/>
              </w:rPr>
            </w:pPr>
            <w:r>
              <w:rPr>
                <w:noProof/>
                <w:color w:val="006100"/>
                <w:sz w:val="20"/>
              </w:rPr>
              <w:t>Esmaste ja teiseste õigusaktide jõustumine.</w:t>
            </w:r>
          </w:p>
        </w:tc>
      </w:tr>
      <w:tr w:rsidR="00A612E2" w:rsidRPr="00D90835" w14:paraId="45B9796B"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1BC8CBC" w14:textId="77777777" w:rsidR="00A612E2" w:rsidRPr="00246CC4" w:rsidRDefault="00A612E2" w:rsidP="00742B81">
            <w:pPr>
              <w:jc w:val="center"/>
              <w:rPr>
                <w:noProof/>
                <w:color w:val="006100"/>
                <w:sz w:val="20"/>
                <w:szCs w:val="20"/>
              </w:rPr>
            </w:pPr>
            <w:r>
              <w:rPr>
                <w:noProof/>
                <w:color w:val="006100"/>
                <w:sz w:val="20"/>
              </w:rPr>
              <w:t>M7-21</w:t>
            </w:r>
          </w:p>
        </w:tc>
        <w:tc>
          <w:tcPr>
            <w:tcW w:w="3150" w:type="dxa"/>
            <w:tcBorders>
              <w:top w:val="nil"/>
              <w:left w:val="nil"/>
              <w:bottom w:val="single" w:sz="4" w:space="0" w:color="auto"/>
              <w:right w:val="single" w:sz="4" w:space="0" w:color="auto"/>
            </w:tcBorders>
            <w:shd w:val="clear" w:color="auto" w:fill="C6EFCE"/>
            <w:noWrap/>
            <w:vAlign w:val="center"/>
          </w:tcPr>
          <w:p w14:paraId="296FE057" w14:textId="77777777" w:rsidR="00A612E2" w:rsidRPr="003B127D" w:rsidRDefault="00A612E2" w:rsidP="00742B81">
            <w:pPr>
              <w:rPr>
                <w:noProof/>
                <w:color w:val="006100"/>
                <w:sz w:val="20"/>
                <w:szCs w:val="20"/>
              </w:rPr>
            </w:pPr>
            <w:r>
              <w:rPr>
                <w:noProof/>
                <w:color w:val="006100"/>
                <w:sz w:val="20"/>
              </w:rPr>
              <w:t>Investeering 6. Piiriülesed elektrivõrkude ühendamise projektid Itaalia ja naaberriikide vahel</w:t>
            </w:r>
          </w:p>
        </w:tc>
        <w:tc>
          <w:tcPr>
            <w:tcW w:w="1425" w:type="dxa"/>
            <w:tcBorders>
              <w:top w:val="nil"/>
              <w:left w:val="nil"/>
              <w:bottom w:val="single" w:sz="4" w:space="0" w:color="auto"/>
              <w:right w:val="single" w:sz="4" w:space="0" w:color="auto"/>
            </w:tcBorders>
            <w:shd w:val="clear" w:color="auto" w:fill="C6EFCE"/>
            <w:noWrap/>
            <w:vAlign w:val="center"/>
          </w:tcPr>
          <w:p w14:paraId="43FE2D7E" w14:textId="77777777" w:rsidR="00A612E2" w:rsidRPr="00246CC4" w:rsidRDefault="00A612E2" w:rsidP="00742B81">
            <w:pPr>
              <w:jc w:val="center"/>
              <w:rPr>
                <w:noProof/>
                <w:color w:val="006100"/>
                <w:sz w:val="20"/>
                <w:szCs w:val="20"/>
              </w:rPr>
            </w:pPr>
            <w:r>
              <w:rPr>
                <w:noProof/>
                <w:color w:val="006100"/>
                <w:sz w:val="20"/>
              </w:rPr>
              <w:t>Siht</w:t>
            </w:r>
          </w:p>
        </w:tc>
        <w:tc>
          <w:tcPr>
            <w:tcW w:w="3959" w:type="dxa"/>
            <w:tcBorders>
              <w:top w:val="nil"/>
              <w:left w:val="nil"/>
              <w:bottom w:val="single" w:sz="4" w:space="0" w:color="auto"/>
              <w:right w:val="single" w:sz="4" w:space="0" w:color="auto"/>
            </w:tcBorders>
            <w:shd w:val="clear" w:color="auto" w:fill="C6EFCE"/>
            <w:noWrap/>
            <w:vAlign w:val="center"/>
          </w:tcPr>
          <w:p w14:paraId="092403FB" w14:textId="77777777" w:rsidR="00A612E2" w:rsidRPr="003B127D" w:rsidRDefault="00A612E2" w:rsidP="00742B81">
            <w:pPr>
              <w:rPr>
                <w:noProof/>
                <w:color w:val="006100"/>
                <w:sz w:val="20"/>
                <w:szCs w:val="20"/>
              </w:rPr>
            </w:pPr>
            <w:r>
              <w:rPr>
                <w:noProof/>
                <w:color w:val="006100"/>
                <w:sz w:val="20"/>
              </w:rPr>
              <w:t>Itaalia ja Sloveenia võrkudevahelise ühenduse nimivõimsuse suurendamine pärast tööde lõpetamist</w:t>
            </w:r>
          </w:p>
        </w:tc>
      </w:tr>
      <w:tr w:rsidR="00A612E2" w:rsidRPr="00D90835" w14:paraId="5337CD38"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773D16A" w14:textId="77777777" w:rsidR="00A612E2" w:rsidRPr="00246CC4" w:rsidRDefault="00A612E2" w:rsidP="00742B81">
            <w:pPr>
              <w:jc w:val="center"/>
              <w:rPr>
                <w:noProof/>
                <w:color w:val="006100"/>
                <w:sz w:val="20"/>
                <w:szCs w:val="20"/>
              </w:rPr>
            </w:pPr>
            <w:r>
              <w:rPr>
                <w:noProof/>
                <w:color w:val="006100"/>
                <w:sz w:val="20"/>
              </w:rPr>
              <w:t>M7-26</w:t>
            </w:r>
          </w:p>
        </w:tc>
        <w:tc>
          <w:tcPr>
            <w:tcW w:w="3150" w:type="dxa"/>
            <w:tcBorders>
              <w:top w:val="nil"/>
              <w:left w:val="nil"/>
              <w:bottom w:val="single" w:sz="4" w:space="0" w:color="auto"/>
              <w:right w:val="single" w:sz="4" w:space="0" w:color="auto"/>
            </w:tcBorders>
            <w:shd w:val="clear" w:color="auto" w:fill="C6EFCE"/>
            <w:noWrap/>
            <w:vAlign w:val="center"/>
          </w:tcPr>
          <w:p w14:paraId="3135BDA7" w14:textId="77777777" w:rsidR="00A612E2" w:rsidRPr="003B127D" w:rsidRDefault="00A612E2" w:rsidP="00742B81">
            <w:pPr>
              <w:rPr>
                <w:noProof/>
                <w:color w:val="006100"/>
                <w:sz w:val="20"/>
                <w:szCs w:val="20"/>
              </w:rPr>
            </w:pPr>
            <w:r>
              <w:rPr>
                <w:noProof/>
                <w:color w:val="006100"/>
                <w:sz w:val="20"/>
              </w:rPr>
              <w:t>Investeering 8. Kriitilise tähtsusega toorainete kestlik, ringluspõhine ja turvaline tarnimine</w:t>
            </w:r>
          </w:p>
        </w:tc>
        <w:tc>
          <w:tcPr>
            <w:tcW w:w="1425" w:type="dxa"/>
            <w:tcBorders>
              <w:top w:val="nil"/>
              <w:left w:val="nil"/>
              <w:bottom w:val="single" w:sz="4" w:space="0" w:color="auto"/>
              <w:right w:val="single" w:sz="4" w:space="0" w:color="auto"/>
            </w:tcBorders>
            <w:shd w:val="clear" w:color="auto" w:fill="C6EFCE"/>
            <w:noWrap/>
            <w:vAlign w:val="center"/>
          </w:tcPr>
          <w:p w14:paraId="75B98A1A" w14:textId="77777777" w:rsidR="00A612E2" w:rsidRPr="00246CC4" w:rsidRDefault="00A612E2" w:rsidP="00742B81">
            <w:pPr>
              <w:jc w:val="center"/>
              <w:rPr>
                <w:noProof/>
                <w:color w:val="006100"/>
                <w:sz w:val="20"/>
                <w:szCs w:val="20"/>
              </w:rPr>
            </w:pPr>
            <w:r>
              <w:rPr>
                <w:noProof/>
                <w:color w:val="006100"/>
                <w:sz w:val="20"/>
              </w:rPr>
              <w:t>Siht</w:t>
            </w:r>
          </w:p>
        </w:tc>
        <w:tc>
          <w:tcPr>
            <w:tcW w:w="3959" w:type="dxa"/>
            <w:tcBorders>
              <w:top w:val="nil"/>
              <w:left w:val="nil"/>
              <w:bottom w:val="single" w:sz="4" w:space="0" w:color="auto"/>
              <w:right w:val="single" w:sz="4" w:space="0" w:color="auto"/>
            </w:tcBorders>
            <w:shd w:val="clear" w:color="auto" w:fill="C6EFCE"/>
            <w:noWrap/>
            <w:vAlign w:val="center"/>
          </w:tcPr>
          <w:p w14:paraId="69F410DD" w14:textId="77777777" w:rsidR="00A612E2" w:rsidRPr="003B127D" w:rsidRDefault="00A612E2" w:rsidP="00742B81">
            <w:pPr>
              <w:rPr>
                <w:noProof/>
                <w:color w:val="006100"/>
                <w:sz w:val="20"/>
                <w:szCs w:val="20"/>
              </w:rPr>
            </w:pPr>
            <w:r>
              <w:rPr>
                <w:noProof/>
                <w:color w:val="006100"/>
                <w:sz w:val="20"/>
              </w:rPr>
              <w:t>Kaevandamisjäätmeid käsitlev geograafiline infosüsteem (GIS) kriitilise tähtsusega toorainete kestlikuks, ringluspõhiseks ja turvaliseks tarnimiseks</w:t>
            </w:r>
          </w:p>
        </w:tc>
      </w:tr>
      <w:tr w:rsidR="00A612E2" w:rsidRPr="00D90835" w14:paraId="3FE18045"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EC8BC81" w14:textId="77777777" w:rsidR="00A612E2" w:rsidRDefault="00A612E2" w:rsidP="00742B81">
            <w:pPr>
              <w:jc w:val="center"/>
              <w:rPr>
                <w:noProof/>
                <w:color w:val="006100"/>
                <w:sz w:val="20"/>
                <w:szCs w:val="20"/>
              </w:rPr>
            </w:pPr>
            <w:r>
              <w:rPr>
                <w:noProof/>
                <w:color w:val="006100"/>
                <w:sz w:val="20"/>
              </w:rPr>
              <w:t>M1C1–38bis</w:t>
            </w:r>
          </w:p>
        </w:tc>
        <w:tc>
          <w:tcPr>
            <w:tcW w:w="3150" w:type="dxa"/>
            <w:tcBorders>
              <w:top w:val="nil"/>
              <w:left w:val="nil"/>
              <w:bottom w:val="single" w:sz="4" w:space="0" w:color="auto"/>
              <w:right w:val="single" w:sz="4" w:space="0" w:color="auto"/>
            </w:tcBorders>
            <w:shd w:val="clear" w:color="auto" w:fill="C6EFCE"/>
            <w:noWrap/>
            <w:vAlign w:val="center"/>
          </w:tcPr>
          <w:p w14:paraId="15F46E91" w14:textId="77777777" w:rsidR="00A612E2" w:rsidRDefault="00A612E2" w:rsidP="00956361">
            <w:pPr>
              <w:rPr>
                <w:noProof/>
                <w:color w:val="006100"/>
                <w:sz w:val="20"/>
                <w:szCs w:val="20"/>
              </w:rPr>
            </w:pPr>
            <w:r>
              <w:rPr>
                <w:noProof/>
                <w:color w:val="006100"/>
                <w:sz w:val="20"/>
              </w:rPr>
              <w:t xml:space="preserve">Reform 1.8. Õiguse digiteerimine </w:t>
            </w:r>
          </w:p>
        </w:tc>
        <w:tc>
          <w:tcPr>
            <w:tcW w:w="1425" w:type="dxa"/>
            <w:tcBorders>
              <w:top w:val="nil"/>
              <w:left w:val="nil"/>
              <w:bottom w:val="single" w:sz="4" w:space="0" w:color="auto"/>
              <w:right w:val="single" w:sz="4" w:space="0" w:color="auto"/>
            </w:tcBorders>
            <w:shd w:val="clear" w:color="auto" w:fill="C6EFCE"/>
            <w:noWrap/>
            <w:vAlign w:val="center"/>
          </w:tcPr>
          <w:p w14:paraId="5D427203" w14:textId="77777777" w:rsidR="00A612E2" w:rsidRDefault="00A612E2" w:rsidP="00742B81">
            <w:pPr>
              <w:jc w:val="center"/>
              <w:rPr>
                <w:noProof/>
                <w:color w:val="006100"/>
                <w:sz w:val="20"/>
                <w:szCs w:val="20"/>
              </w:rPr>
            </w:pPr>
            <w:r>
              <w:rPr>
                <w:noProof/>
                <w:color w:val="006100"/>
                <w:sz w:val="20"/>
              </w:rPr>
              <w:t>Eesmärk</w:t>
            </w:r>
          </w:p>
        </w:tc>
        <w:tc>
          <w:tcPr>
            <w:tcW w:w="3959" w:type="dxa"/>
            <w:tcBorders>
              <w:top w:val="nil"/>
              <w:left w:val="nil"/>
              <w:bottom w:val="single" w:sz="4" w:space="0" w:color="auto"/>
              <w:right w:val="single" w:sz="4" w:space="0" w:color="auto"/>
            </w:tcBorders>
            <w:shd w:val="clear" w:color="auto" w:fill="C6EFCE"/>
            <w:noWrap/>
            <w:vAlign w:val="center"/>
          </w:tcPr>
          <w:p w14:paraId="591CC5EA" w14:textId="77777777" w:rsidR="00A612E2" w:rsidRDefault="00A612E2" w:rsidP="00742B81">
            <w:pPr>
              <w:rPr>
                <w:noProof/>
                <w:color w:val="006100"/>
                <w:sz w:val="20"/>
                <w:szCs w:val="20"/>
              </w:rPr>
            </w:pPr>
            <w:r>
              <w:rPr>
                <w:noProof/>
                <w:color w:val="006100"/>
                <w:sz w:val="20"/>
              </w:rPr>
              <w:t>Kohtusüsteemi digiteerimine</w:t>
            </w:r>
          </w:p>
        </w:tc>
      </w:tr>
      <w:tr w:rsidR="00A612E2" w:rsidRPr="00D90835" w14:paraId="0E1E6462"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9029DE0" w14:textId="77777777" w:rsidR="00A612E2" w:rsidRDefault="00A612E2" w:rsidP="00742B81">
            <w:pPr>
              <w:jc w:val="center"/>
              <w:rPr>
                <w:noProof/>
                <w:color w:val="006100"/>
                <w:sz w:val="20"/>
                <w:szCs w:val="20"/>
              </w:rPr>
            </w:pPr>
            <w:r>
              <w:rPr>
                <w:noProof/>
                <w:color w:val="006100"/>
                <w:sz w:val="20"/>
              </w:rPr>
              <w:t>M1C1–72quinquies</w:t>
            </w:r>
          </w:p>
        </w:tc>
        <w:tc>
          <w:tcPr>
            <w:tcW w:w="3150" w:type="dxa"/>
            <w:tcBorders>
              <w:top w:val="nil"/>
              <w:left w:val="nil"/>
              <w:bottom w:val="single" w:sz="4" w:space="0" w:color="auto"/>
              <w:right w:val="single" w:sz="4" w:space="0" w:color="auto"/>
            </w:tcBorders>
            <w:shd w:val="clear" w:color="auto" w:fill="C6EFCE"/>
            <w:noWrap/>
            <w:vAlign w:val="center"/>
          </w:tcPr>
          <w:p w14:paraId="046F66CE" w14:textId="77777777" w:rsidR="00A612E2" w:rsidRDefault="00A612E2" w:rsidP="00742B81">
            <w:pPr>
              <w:rPr>
                <w:noProof/>
                <w:color w:val="006100"/>
                <w:sz w:val="20"/>
                <w:szCs w:val="20"/>
              </w:rPr>
            </w:pPr>
            <w:r>
              <w:rPr>
                <w:noProof/>
                <w:color w:val="006100"/>
                <w:sz w:val="20"/>
              </w:rPr>
              <w:t>Reform 1.11. Avaliku halduse asutuste ja tervishoiuasutuste hilinenud maksete vähendamine</w:t>
            </w:r>
          </w:p>
        </w:tc>
        <w:tc>
          <w:tcPr>
            <w:tcW w:w="1425" w:type="dxa"/>
            <w:tcBorders>
              <w:top w:val="nil"/>
              <w:left w:val="nil"/>
              <w:bottom w:val="single" w:sz="4" w:space="0" w:color="auto"/>
              <w:right w:val="single" w:sz="4" w:space="0" w:color="auto"/>
            </w:tcBorders>
            <w:shd w:val="clear" w:color="auto" w:fill="C6EFCE"/>
            <w:noWrap/>
            <w:vAlign w:val="center"/>
          </w:tcPr>
          <w:p w14:paraId="40C7AACD" w14:textId="77777777" w:rsidR="00A612E2" w:rsidRDefault="00A612E2" w:rsidP="00742B81">
            <w:pPr>
              <w:rPr>
                <w:noProof/>
                <w:color w:val="006100"/>
                <w:sz w:val="20"/>
                <w:szCs w:val="20"/>
              </w:rPr>
            </w:pPr>
            <w:r>
              <w:rPr>
                <w:noProof/>
                <w:color w:val="006100"/>
                <w:sz w:val="20"/>
              </w:rPr>
              <w:t>Eesmärk</w:t>
            </w:r>
          </w:p>
        </w:tc>
        <w:tc>
          <w:tcPr>
            <w:tcW w:w="3959" w:type="dxa"/>
            <w:tcBorders>
              <w:top w:val="nil"/>
              <w:left w:val="nil"/>
              <w:bottom w:val="single" w:sz="4" w:space="0" w:color="auto"/>
              <w:right w:val="single" w:sz="4" w:space="0" w:color="auto"/>
            </w:tcBorders>
            <w:shd w:val="clear" w:color="auto" w:fill="C6EFCE"/>
            <w:noWrap/>
            <w:vAlign w:val="center"/>
          </w:tcPr>
          <w:p w14:paraId="46F05CA1" w14:textId="77777777" w:rsidR="00A612E2" w:rsidRDefault="00A612E2" w:rsidP="00742B81">
            <w:pPr>
              <w:rPr>
                <w:noProof/>
                <w:color w:val="006100"/>
                <w:sz w:val="20"/>
                <w:szCs w:val="20"/>
              </w:rPr>
            </w:pPr>
            <w:r>
              <w:rPr>
                <w:noProof/>
                <w:color w:val="006100"/>
                <w:sz w:val="20"/>
              </w:rPr>
              <w:t xml:space="preserve">Maksete tegemine InIT andmebaasis </w:t>
            </w:r>
          </w:p>
        </w:tc>
      </w:tr>
      <w:tr w:rsidR="00A612E2" w:rsidRPr="00D90835" w14:paraId="495B9534"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EFDB98D" w14:textId="77777777" w:rsidR="00A612E2" w:rsidRDefault="00A612E2" w:rsidP="00742B81">
            <w:pPr>
              <w:jc w:val="center"/>
              <w:rPr>
                <w:noProof/>
                <w:color w:val="006100"/>
                <w:sz w:val="20"/>
                <w:szCs w:val="20"/>
              </w:rPr>
            </w:pPr>
            <w:r>
              <w:rPr>
                <w:noProof/>
                <w:color w:val="006100"/>
                <w:sz w:val="20"/>
              </w:rPr>
              <w:t>M1C1–72sixies</w:t>
            </w:r>
          </w:p>
        </w:tc>
        <w:tc>
          <w:tcPr>
            <w:tcW w:w="3150" w:type="dxa"/>
            <w:tcBorders>
              <w:top w:val="nil"/>
              <w:left w:val="nil"/>
              <w:bottom w:val="single" w:sz="4" w:space="0" w:color="auto"/>
              <w:right w:val="single" w:sz="4" w:space="0" w:color="auto"/>
            </w:tcBorders>
            <w:shd w:val="clear" w:color="auto" w:fill="C6EFCE"/>
            <w:noWrap/>
            <w:vAlign w:val="center"/>
          </w:tcPr>
          <w:p w14:paraId="26C427AC" w14:textId="77777777" w:rsidR="00A612E2" w:rsidRDefault="00A612E2" w:rsidP="00742B81">
            <w:pPr>
              <w:rPr>
                <w:noProof/>
                <w:color w:val="006100"/>
                <w:sz w:val="20"/>
                <w:szCs w:val="20"/>
              </w:rPr>
            </w:pPr>
            <w:r>
              <w:rPr>
                <w:noProof/>
                <w:color w:val="006100"/>
                <w:sz w:val="20"/>
              </w:rPr>
              <w:t>Reform 1.11. Avaliku halduse asutuste ja tervishoiuasutuste hilinenud maksete vähendamine</w:t>
            </w:r>
          </w:p>
        </w:tc>
        <w:tc>
          <w:tcPr>
            <w:tcW w:w="1425" w:type="dxa"/>
            <w:tcBorders>
              <w:top w:val="nil"/>
              <w:left w:val="nil"/>
              <w:bottom w:val="single" w:sz="4" w:space="0" w:color="auto"/>
              <w:right w:val="single" w:sz="4" w:space="0" w:color="auto"/>
            </w:tcBorders>
            <w:shd w:val="clear" w:color="auto" w:fill="C6EFCE"/>
            <w:noWrap/>
            <w:vAlign w:val="center"/>
          </w:tcPr>
          <w:p w14:paraId="4E32B5F8" w14:textId="77777777" w:rsidR="00A612E2" w:rsidRDefault="00A612E2" w:rsidP="00742B81">
            <w:pPr>
              <w:rPr>
                <w:noProof/>
                <w:color w:val="006100"/>
                <w:sz w:val="20"/>
                <w:szCs w:val="20"/>
              </w:rPr>
            </w:pPr>
            <w:r>
              <w:rPr>
                <w:noProof/>
                <w:color w:val="006100"/>
                <w:sz w:val="20"/>
              </w:rPr>
              <w:t>Eesmärk</w:t>
            </w:r>
          </w:p>
        </w:tc>
        <w:tc>
          <w:tcPr>
            <w:tcW w:w="3959" w:type="dxa"/>
            <w:tcBorders>
              <w:top w:val="nil"/>
              <w:left w:val="nil"/>
              <w:bottom w:val="single" w:sz="4" w:space="0" w:color="auto"/>
              <w:right w:val="single" w:sz="4" w:space="0" w:color="auto"/>
            </w:tcBorders>
            <w:shd w:val="clear" w:color="auto" w:fill="C6EFCE"/>
            <w:noWrap/>
            <w:vAlign w:val="center"/>
          </w:tcPr>
          <w:p w14:paraId="0A7BC5B0" w14:textId="77777777" w:rsidR="00A612E2" w:rsidRDefault="00A612E2" w:rsidP="00742B81">
            <w:pPr>
              <w:rPr>
                <w:noProof/>
                <w:color w:val="006100"/>
                <w:sz w:val="20"/>
                <w:szCs w:val="20"/>
              </w:rPr>
            </w:pPr>
            <w:r>
              <w:rPr>
                <w:noProof/>
                <w:color w:val="006100"/>
                <w:sz w:val="20"/>
              </w:rPr>
              <w:t>Horisontaalsed meetmed maksete hilinemise vähendamiseks makseasutuse poolt ettevõtetele</w:t>
            </w:r>
          </w:p>
        </w:tc>
      </w:tr>
      <w:tr w:rsidR="00A612E2" w:rsidRPr="00246CC4" w14:paraId="54E5F521" w14:textId="77777777" w:rsidTr="00742B81">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5977C26E" w14:textId="77777777" w:rsidR="00A612E2" w:rsidRPr="003B127D" w:rsidRDefault="00A612E2" w:rsidP="00742B81">
            <w:pPr>
              <w:jc w:val="center"/>
              <w:rPr>
                <w:noProof/>
                <w:color w:val="006100"/>
                <w:sz w:val="20"/>
                <w:szCs w:val="20"/>
                <w:lang w:val="en-IE"/>
              </w:rPr>
            </w:pPr>
          </w:p>
        </w:tc>
        <w:tc>
          <w:tcPr>
            <w:tcW w:w="3150" w:type="dxa"/>
            <w:tcBorders>
              <w:top w:val="single" w:sz="4" w:space="0" w:color="auto"/>
              <w:left w:val="nil"/>
              <w:bottom w:val="single" w:sz="4" w:space="0" w:color="auto"/>
              <w:right w:val="single" w:sz="4" w:space="0" w:color="auto"/>
            </w:tcBorders>
            <w:shd w:val="clear" w:color="auto" w:fill="C6EFCE"/>
            <w:noWrap/>
            <w:vAlign w:val="bottom"/>
          </w:tcPr>
          <w:p w14:paraId="626AEE4B" w14:textId="77777777" w:rsidR="00A612E2" w:rsidRPr="003B127D" w:rsidRDefault="00A612E2" w:rsidP="00742B81">
            <w:pPr>
              <w:rPr>
                <w:noProof/>
                <w:color w:val="006100"/>
                <w:sz w:val="20"/>
                <w:szCs w:val="20"/>
                <w:lang w:val="en-IE"/>
              </w:rPr>
            </w:pPr>
          </w:p>
        </w:tc>
        <w:tc>
          <w:tcPr>
            <w:tcW w:w="1425" w:type="dxa"/>
            <w:tcBorders>
              <w:top w:val="single" w:sz="4" w:space="0" w:color="auto"/>
              <w:left w:val="nil"/>
              <w:bottom w:val="single" w:sz="4" w:space="0" w:color="auto"/>
              <w:right w:val="single" w:sz="4" w:space="0" w:color="auto"/>
            </w:tcBorders>
            <w:shd w:val="clear" w:color="auto" w:fill="C6EFCE"/>
            <w:noWrap/>
            <w:vAlign w:val="bottom"/>
          </w:tcPr>
          <w:p w14:paraId="3B44A882" w14:textId="77777777" w:rsidR="00A612E2" w:rsidRPr="00246CC4" w:rsidRDefault="00A612E2" w:rsidP="00742B81">
            <w:pPr>
              <w:rPr>
                <w:noProof/>
                <w:color w:val="006100"/>
                <w:sz w:val="20"/>
                <w:szCs w:val="20"/>
              </w:rPr>
            </w:pPr>
            <w:r>
              <w:rPr>
                <w:noProof/>
                <w:color w:val="006100"/>
                <w:sz w:val="20"/>
              </w:rPr>
              <w:t>Osamakse summa</w:t>
            </w:r>
          </w:p>
        </w:tc>
        <w:tc>
          <w:tcPr>
            <w:tcW w:w="3959" w:type="dxa"/>
            <w:tcBorders>
              <w:top w:val="single" w:sz="4" w:space="0" w:color="auto"/>
              <w:left w:val="nil"/>
              <w:bottom w:val="single" w:sz="4" w:space="0" w:color="auto"/>
              <w:right w:val="single" w:sz="4" w:space="0" w:color="auto"/>
            </w:tcBorders>
            <w:shd w:val="clear" w:color="auto" w:fill="C6EFCE"/>
            <w:noWrap/>
            <w:vAlign w:val="bottom"/>
          </w:tcPr>
          <w:p w14:paraId="54016754" w14:textId="77777777" w:rsidR="00A612E2" w:rsidRPr="00246CC4" w:rsidRDefault="00A612E2" w:rsidP="00742B81">
            <w:pPr>
              <w:rPr>
                <w:noProof/>
                <w:color w:val="006100"/>
                <w:sz w:val="20"/>
                <w:szCs w:val="20"/>
              </w:rPr>
            </w:pPr>
            <w:r>
              <w:rPr>
                <w:noProof/>
                <w:color w:val="006100"/>
                <w:sz w:val="20"/>
              </w:rPr>
              <w:t>7 670 089 282 eurot</w:t>
            </w:r>
          </w:p>
        </w:tc>
      </w:tr>
    </w:tbl>
    <w:p w14:paraId="14F9D73F" w14:textId="77777777" w:rsidR="00A612E2" w:rsidRPr="00246CC4" w:rsidRDefault="00A612E2" w:rsidP="00A612E2">
      <w:pPr>
        <w:numPr>
          <w:ilvl w:val="1"/>
          <w:numId w:val="6"/>
        </w:numPr>
        <w:spacing w:before="120" w:after="120"/>
        <w:jc w:val="both"/>
        <w:rPr>
          <w:rFonts w:eastAsia="Calibri"/>
          <w:noProof/>
        </w:rPr>
      </w:pPr>
      <w:r>
        <w:rPr>
          <w:noProof/>
        </w:rPr>
        <w:t>Kümnes osamakse (tagastamatu toetus):</w:t>
      </w:r>
    </w:p>
    <w:tbl>
      <w:tblPr>
        <w:tblW w:w="10023" w:type="dxa"/>
        <w:tblInd w:w="113" w:type="dxa"/>
        <w:tblLook w:val="04A0" w:firstRow="1" w:lastRow="0" w:firstColumn="1" w:lastColumn="0" w:noHBand="0" w:noVBand="1"/>
      </w:tblPr>
      <w:tblGrid>
        <w:gridCol w:w="1827"/>
        <w:gridCol w:w="3195"/>
        <w:gridCol w:w="1380"/>
        <w:gridCol w:w="4035"/>
      </w:tblGrid>
      <w:tr w:rsidR="00A612E2" w:rsidRPr="00246CC4" w14:paraId="16A8996B" w14:textId="77777777" w:rsidTr="00BC5B0E">
        <w:trPr>
          <w:trHeight w:val="906"/>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FC340B6" w14:textId="77777777" w:rsidR="00A612E2" w:rsidRPr="00246CC4" w:rsidRDefault="00A612E2" w:rsidP="00742B81">
            <w:pPr>
              <w:jc w:val="center"/>
              <w:rPr>
                <w:b/>
                <w:bCs/>
                <w:noProof/>
                <w:sz w:val="20"/>
                <w:szCs w:val="20"/>
              </w:rPr>
            </w:pPr>
            <w:r>
              <w:rPr>
                <w:b/>
                <w:noProof/>
                <w:sz w:val="20"/>
              </w:rPr>
              <w:t>Järjekorranumber</w:t>
            </w:r>
          </w:p>
        </w:tc>
        <w:tc>
          <w:tcPr>
            <w:tcW w:w="319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0966222" w14:textId="77777777" w:rsidR="00A612E2" w:rsidRPr="003B127D" w:rsidRDefault="00A612E2" w:rsidP="00742B81">
            <w:pPr>
              <w:jc w:val="center"/>
              <w:rPr>
                <w:b/>
                <w:bCs/>
                <w:noProof/>
                <w:sz w:val="20"/>
                <w:szCs w:val="20"/>
              </w:rPr>
            </w:pPr>
            <w:r>
              <w:rPr>
                <w:b/>
                <w:noProof/>
                <w:sz w:val="20"/>
              </w:rPr>
              <w:t>Seotud meede (reform või investeering)</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43F67EC" w14:textId="77777777" w:rsidR="00A612E2" w:rsidRPr="00246CC4" w:rsidRDefault="00A612E2" w:rsidP="00742B81">
            <w:pPr>
              <w:jc w:val="center"/>
              <w:rPr>
                <w:b/>
                <w:bCs/>
                <w:noProof/>
                <w:sz w:val="20"/>
                <w:szCs w:val="20"/>
              </w:rPr>
            </w:pPr>
            <w:r>
              <w:rPr>
                <w:b/>
                <w:noProof/>
                <w:sz w:val="20"/>
              </w:rPr>
              <w:t>Eesmärk / siht</w:t>
            </w:r>
          </w:p>
        </w:tc>
        <w:tc>
          <w:tcPr>
            <w:tcW w:w="403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F82C411" w14:textId="77777777" w:rsidR="00A612E2" w:rsidRPr="00246CC4" w:rsidRDefault="00A612E2" w:rsidP="00742B81">
            <w:pPr>
              <w:jc w:val="center"/>
              <w:rPr>
                <w:b/>
                <w:bCs/>
                <w:noProof/>
                <w:sz w:val="20"/>
                <w:szCs w:val="20"/>
              </w:rPr>
            </w:pPr>
            <w:r>
              <w:rPr>
                <w:b/>
                <w:noProof/>
                <w:sz w:val="20"/>
              </w:rPr>
              <w:t>Nimi</w:t>
            </w:r>
          </w:p>
        </w:tc>
      </w:tr>
      <w:tr w:rsidR="00A612E2" w:rsidRPr="00246CC4" w14:paraId="18136376" w14:textId="77777777" w:rsidTr="00BC5B0E">
        <w:trPr>
          <w:trHeight w:val="517"/>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5D125E28" w14:textId="77777777" w:rsidR="00A612E2" w:rsidRPr="00246CC4" w:rsidRDefault="00A612E2" w:rsidP="00742B81">
            <w:pPr>
              <w:rPr>
                <w:b/>
                <w:bCs/>
                <w:noProof/>
              </w:rPr>
            </w:pPr>
          </w:p>
        </w:tc>
        <w:tc>
          <w:tcPr>
            <w:tcW w:w="3195" w:type="dxa"/>
            <w:vMerge/>
            <w:tcBorders>
              <w:top w:val="single" w:sz="4" w:space="0" w:color="auto"/>
              <w:left w:val="single" w:sz="4" w:space="0" w:color="auto"/>
              <w:bottom w:val="single" w:sz="4" w:space="0" w:color="auto"/>
              <w:right w:val="single" w:sz="4" w:space="0" w:color="auto"/>
            </w:tcBorders>
            <w:vAlign w:val="center"/>
            <w:hideMark/>
          </w:tcPr>
          <w:p w14:paraId="24B31EE4" w14:textId="77777777" w:rsidR="00A612E2" w:rsidRPr="00246CC4" w:rsidRDefault="00A612E2" w:rsidP="00742B81">
            <w:pPr>
              <w:rPr>
                <w:b/>
                <w:bCs/>
                <w:noProof/>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06B4DC0F" w14:textId="77777777" w:rsidR="00A612E2" w:rsidRPr="00246CC4" w:rsidRDefault="00A612E2" w:rsidP="00742B81">
            <w:pPr>
              <w:rPr>
                <w:b/>
                <w:bCs/>
                <w:noProof/>
              </w:rPr>
            </w:pPr>
          </w:p>
        </w:tc>
        <w:tc>
          <w:tcPr>
            <w:tcW w:w="4035" w:type="dxa"/>
            <w:vMerge/>
            <w:tcBorders>
              <w:top w:val="single" w:sz="4" w:space="0" w:color="auto"/>
              <w:left w:val="single" w:sz="4" w:space="0" w:color="auto"/>
              <w:bottom w:val="single" w:sz="4" w:space="0" w:color="auto"/>
              <w:right w:val="single" w:sz="4" w:space="0" w:color="auto"/>
            </w:tcBorders>
            <w:vAlign w:val="center"/>
            <w:hideMark/>
          </w:tcPr>
          <w:p w14:paraId="636AED02" w14:textId="77777777" w:rsidR="00A612E2" w:rsidRPr="00246CC4" w:rsidRDefault="00A612E2" w:rsidP="00742B81">
            <w:pPr>
              <w:rPr>
                <w:b/>
                <w:bCs/>
                <w:noProof/>
              </w:rPr>
            </w:pPr>
          </w:p>
        </w:tc>
      </w:tr>
      <w:tr w:rsidR="00A612E2" w:rsidRPr="00D90835" w14:paraId="46C17A6E" w14:textId="77777777" w:rsidTr="00BC5B0E">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ADB5167" w14:textId="77777777" w:rsidR="00A612E2" w:rsidRPr="00246CC4" w:rsidRDefault="00A612E2" w:rsidP="00742B81">
            <w:pPr>
              <w:jc w:val="center"/>
              <w:rPr>
                <w:noProof/>
                <w:color w:val="006100"/>
                <w:sz w:val="20"/>
                <w:szCs w:val="20"/>
              </w:rPr>
            </w:pPr>
            <w:r>
              <w:rPr>
                <w:noProof/>
                <w:color w:val="006100"/>
                <w:sz w:val="20"/>
              </w:rPr>
              <w:t>M1C1-88</w:t>
            </w:r>
          </w:p>
        </w:tc>
        <w:tc>
          <w:tcPr>
            <w:tcW w:w="3195" w:type="dxa"/>
            <w:tcBorders>
              <w:top w:val="single" w:sz="4" w:space="0" w:color="auto"/>
              <w:left w:val="nil"/>
              <w:bottom w:val="single" w:sz="4" w:space="0" w:color="auto"/>
              <w:right w:val="single" w:sz="4" w:space="0" w:color="auto"/>
            </w:tcBorders>
            <w:shd w:val="clear" w:color="auto" w:fill="C6EFCE"/>
            <w:noWrap/>
            <w:vAlign w:val="center"/>
          </w:tcPr>
          <w:p w14:paraId="0ACEA45A" w14:textId="77777777" w:rsidR="00A612E2" w:rsidRPr="003B127D" w:rsidRDefault="00A612E2" w:rsidP="00392579">
            <w:pPr>
              <w:rPr>
                <w:noProof/>
                <w:color w:val="006100"/>
                <w:sz w:val="20"/>
                <w:szCs w:val="20"/>
              </w:rPr>
            </w:pPr>
            <w:r>
              <w:rPr>
                <w:noProof/>
                <w:color w:val="006100"/>
                <w:sz w:val="20"/>
              </w:rPr>
              <w:t>Reform 1.11. Avaliku halduse asutuste ja tervishoiuasutuste hilinenud maksete vähendamine</w:t>
            </w:r>
          </w:p>
        </w:tc>
        <w:tc>
          <w:tcPr>
            <w:tcW w:w="1380" w:type="dxa"/>
            <w:tcBorders>
              <w:top w:val="single" w:sz="4" w:space="0" w:color="auto"/>
              <w:left w:val="nil"/>
              <w:bottom w:val="single" w:sz="4" w:space="0" w:color="auto"/>
              <w:right w:val="single" w:sz="4" w:space="0" w:color="auto"/>
            </w:tcBorders>
            <w:shd w:val="clear" w:color="auto" w:fill="C6EFCE"/>
            <w:noWrap/>
            <w:vAlign w:val="center"/>
          </w:tcPr>
          <w:p w14:paraId="3483D28F"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single" w:sz="4" w:space="0" w:color="auto"/>
              <w:left w:val="nil"/>
              <w:bottom w:val="single" w:sz="4" w:space="0" w:color="auto"/>
              <w:right w:val="single" w:sz="4" w:space="0" w:color="auto"/>
            </w:tcBorders>
            <w:shd w:val="clear" w:color="auto" w:fill="C6EFCE"/>
            <w:noWrap/>
            <w:vAlign w:val="center"/>
          </w:tcPr>
          <w:p w14:paraId="403184D3" w14:textId="77777777" w:rsidR="00A612E2" w:rsidRPr="003B127D" w:rsidRDefault="00A612E2" w:rsidP="00742B81">
            <w:pPr>
              <w:rPr>
                <w:noProof/>
                <w:color w:val="006100"/>
                <w:sz w:val="20"/>
                <w:szCs w:val="20"/>
              </w:rPr>
            </w:pPr>
            <w:r>
              <w:rPr>
                <w:noProof/>
                <w:color w:val="006100"/>
                <w:sz w:val="20"/>
              </w:rPr>
              <w:t>Keskvalitsuste keskmine päevade arv ettevõtete eest tasumiseks on vähenenud</w:t>
            </w:r>
          </w:p>
        </w:tc>
      </w:tr>
      <w:tr w:rsidR="00A612E2" w:rsidRPr="00D90835" w14:paraId="400A8A4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7829765" w14:textId="77777777" w:rsidR="00A612E2" w:rsidRPr="00246CC4" w:rsidRDefault="00A612E2" w:rsidP="00742B81">
            <w:pPr>
              <w:jc w:val="center"/>
              <w:rPr>
                <w:noProof/>
                <w:color w:val="006100"/>
                <w:sz w:val="20"/>
                <w:szCs w:val="20"/>
              </w:rPr>
            </w:pPr>
            <w:r>
              <w:rPr>
                <w:noProof/>
                <w:color w:val="006100"/>
                <w:sz w:val="20"/>
              </w:rPr>
              <w:t>M1C1-89</w:t>
            </w:r>
          </w:p>
        </w:tc>
        <w:tc>
          <w:tcPr>
            <w:tcW w:w="3195" w:type="dxa"/>
            <w:tcBorders>
              <w:top w:val="nil"/>
              <w:left w:val="nil"/>
              <w:bottom w:val="single" w:sz="4" w:space="0" w:color="auto"/>
              <w:right w:val="single" w:sz="4" w:space="0" w:color="auto"/>
            </w:tcBorders>
            <w:shd w:val="clear" w:color="auto" w:fill="C6EFCE"/>
            <w:noWrap/>
            <w:vAlign w:val="center"/>
          </w:tcPr>
          <w:p w14:paraId="37F6B178" w14:textId="77777777" w:rsidR="00A612E2" w:rsidRPr="003B127D" w:rsidRDefault="00A612E2" w:rsidP="00392579">
            <w:pPr>
              <w:rPr>
                <w:noProof/>
                <w:color w:val="006100"/>
                <w:sz w:val="20"/>
                <w:szCs w:val="20"/>
              </w:rPr>
            </w:pPr>
            <w:r>
              <w:rPr>
                <w:noProof/>
                <w:color w:val="006100"/>
                <w:sz w:val="20"/>
              </w:rPr>
              <w:t>Reform 1.11. Avaliku halduse asutuste ja tervishoiuasutuste hilinenud maksete vähendamine</w:t>
            </w:r>
          </w:p>
        </w:tc>
        <w:tc>
          <w:tcPr>
            <w:tcW w:w="1380" w:type="dxa"/>
            <w:tcBorders>
              <w:top w:val="nil"/>
              <w:left w:val="nil"/>
              <w:bottom w:val="single" w:sz="4" w:space="0" w:color="auto"/>
              <w:right w:val="single" w:sz="4" w:space="0" w:color="auto"/>
            </w:tcBorders>
            <w:shd w:val="clear" w:color="auto" w:fill="C6EFCE"/>
            <w:noWrap/>
            <w:vAlign w:val="center"/>
          </w:tcPr>
          <w:p w14:paraId="0E030FC7"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26810E33" w14:textId="77777777" w:rsidR="00A612E2" w:rsidRPr="003B127D" w:rsidRDefault="00A612E2" w:rsidP="00742B81">
            <w:pPr>
              <w:rPr>
                <w:noProof/>
                <w:color w:val="006100"/>
                <w:sz w:val="20"/>
                <w:szCs w:val="20"/>
              </w:rPr>
            </w:pPr>
            <w:r>
              <w:rPr>
                <w:noProof/>
                <w:color w:val="006100"/>
                <w:sz w:val="20"/>
              </w:rPr>
              <w:t>Vähendatakse keskmist päevade arvu, mille jooksul piirkondlikud haldusasutused tasustavad ettevõtteid</w:t>
            </w:r>
          </w:p>
        </w:tc>
      </w:tr>
      <w:tr w:rsidR="00A612E2" w:rsidRPr="00D90835" w14:paraId="509FE37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F669D47" w14:textId="77777777" w:rsidR="00A612E2" w:rsidRPr="00246CC4" w:rsidRDefault="00A612E2" w:rsidP="00742B81">
            <w:pPr>
              <w:jc w:val="center"/>
              <w:rPr>
                <w:noProof/>
                <w:color w:val="006100"/>
                <w:sz w:val="20"/>
                <w:szCs w:val="20"/>
              </w:rPr>
            </w:pPr>
            <w:r>
              <w:rPr>
                <w:noProof/>
                <w:color w:val="006100"/>
                <w:sz w:val="20"/>
              </w:rPr>
              <w:t>M1C1-90</w:t>
            </w:r>
          </w:p>
        </w:tc>
        <w:tc>
          <w:tcPr>
            <w:tcW w:w="3195" w:type="dxa"/>
            <w:tcBorders>
              <w:top w:val="nil"/>
              <w:left w:val="nil"/>
              <w:bottom w:val="single" w:sz="4" w:space="0" w:color="auto"/>
              <w:right w:val="single" w:sz="4" w:space="0" w:color="auto"/>
            </w:tcBorders>
            <w:shd w:val="clear" w:color="auto" w:fill="C6EFCE"/>
            <w:noWrap/>
            <w:vAlign w:val="center"/>
          </w:tcPr>
          <w:p w14:paraId="4EAC9970" w14:textId="77777777" w:rsidR="00A612E2" w:rsidRPr="003B127D" w:rsidRDefault="00A612E2" w:rsidP="00392579">
            <w:pPr>
              <w:rPr>
                <w:noProof/>
                <w:color w:val="006100"/>
                <w:sz w:val="20"/>
                <w:szCs w:val="20"/>
              </w:rPr>
            </w:pPr>
            <w:r>
              <w:rPr>
                <w:noProof/>
                <w:color w:val="006100"/>
                <w:sz w:val="20"/>
              </w:rPr>
              <w:t>Reform 1.11. Avaliku halduse asutuste ja tervishoiuasutuste hilinenud maksete vähendamine</w:t>
            </w:r>
          </w:p>
        </w:tc>
        <w:tc>
          <w:tcPr>
            <w:tcW w:w="1380" w:type="dxa"/>
            <w:tcBorders>
              <w:top w:val="nil"/>
              <w:left w:val="nil"/>
              <w:bottom w:val="single" w:sz="4" w:space="0" w:color="auto"/>
              <w:right w:val="single" w:sz="4" w:space="0" w:color="auto"/>
            </w:tcBorders>
            <w:shd w:val="clear" w:color="auto" w:fill="C6EFCE"/>
            <w:noWrap/>
            <w:vAlign w:val="center"/>
          </w:tcPr>
          <w:p w14:paraId="4E874636"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369D6E5E" w14:textId="77777777" w:rsidR="00A612E2" w:rsidRPr="003B127D" w:rsidRDefault="00A612E2" w:rsidP="00742B81">
            <w:pPr>
              <w:rPr>
                <w:noProof/>
                <w:color w:val="006100"/>
                <w:sz w:val="20"/>
                <w:szCs w:val="20"/>
              </w:rPr>
            </w:pPr>
            <w:r>
              <w:rPr>
                <w:noProof/>
                <w:color w:val="006100"/>
                <w:sz w:val="20"/>
              </w:rPr>
              <w:t>Kohalike haldusasutuste keskmine päevade arv ettevõtete eest tasumiseks on vähenenud</w:t>
            </w:r>
          </w:p>
        </w:tc>
      </w:tr>
      <w:tr w:rsidR="00A612E2" w:rsidRPr="00D90835" w14:paraId="5FAAC968"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0E530FB" w14:textId="77777777" w:rsidR="00A612E2" w:rsidRPr="00246CC4" w:rsidRDefault="00A612E2" w:rsidP="00742B81">
            <w:pPr>
              <w:jc w:val="center"/>
              <w:rPr>
                <w:noProof/>
                <w:color w:val="006100"/>
                <w:sz w:val="20"/>
                <w:szCs w:val="20"/>
              </w:rPr>
            </w:pPr>
            <w:r>
              <w:rPr>
                <w:noProof/>
                <w:color w:val="006100"/>
                <w:sz w:val="20"/>
              </w:rPr>
              <w:t>M1C1-91</w:t>
            </w:r>
          </w:p>
        </w:tc>
        <w:tc>
          <w:tcPr>
            <w:tcW w:w="3195" w:type="dxa"/>
            <w:tcBorders>
              <w:top w:val="nil"/>
              <w:left w:val="nil"/>
              <w:bottom w:val="single" w:sz="4" w:space="0" w:color="auto"/>
              <w:right w:val="single" w:sz="4" w:space="0" w:color="auto"/>
            </w:tcBorders>
            <w:shd w:val="clear" w:color="auto" w:fill="C6EFCE"/>
            <w:noWrap/>
            <w:vAlign w:val="center"/>
          </w:tcPr>
          <w:p w14:paraId="1394D93D" w14:textId="77777777" w:rsidR="00A612E2" w:rsidRPr="003B127D" w:rsidRDefault="00A612E2" w:rsidP="00392579">
            <w:pPr>
              <w:rPr>
                <w:noProof/>
                <w:color w:val="006100"/>
                <w:sz w:val="20"/>
                <w:szCs w:val="20"/>
              </w:rPr>
            </w:pPr>
            <w:r>
              <w:rPr>
                <w:noProof/>
                <w:color w:val="006100"/>
                <w:sz w:val="20"/>
              </w:rPr>
              <w:t>Reform 1.11. Avaliku halduse asutuste ja tervishoiuasutuste hilinenud maksete vähendamine</w:t>
            </w:r>
          </w:p>
        </w:tc>
        <w:tc>
          <w:tcPr>
            <w:tcW w:w="1380" w:type="dxa"/>
            <w:tcBorders>
              <w:top w:val="nil"/>
              <w:left w:val="nil"/>
              <w:bottom w:val="single" w:sz="4" w:space="0" w:color="auto"/>
              <w:right w:val="single" w:sz="4" w:space="0" w:color="auto"/>
            </w:tcBorders>
            <w:shd w:val="clear" w:color="auto" w:fill="C6EFCE"/>
            <w:noWrap/>
            <w:vAlign w:val="center"/>
          </w:tcPr>
          <w:p w14:paraId="505EBAA6"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5D2B42B4" w14:textId="77777777" w:rsidR="00A612E2" w:rsidRPr="003B127D" w:rsidRDefault="00A612E2" w:rsidP="00742B81">
            <w:pPr>
              <w:rPr>
                <w:noProof/>
                <w:color w:val="006100"/>
                <w:sz w:val="20"/>
                <w:szCs w:val="20"/>
              </w:rPr>
            </w:pPr>
            <w:r>
              <w:rPr>
                <w:noProof/>
                <w:color w:val="006100"/>
                <w:sz w:val="20"/>
              </w:rPr>
              <w:t>Riiklike tervishoiuasutuste keskmine päevade arv ettevõtjate tasustamiseks on vähenenud</w:t>
            </w:r>
          </w:p>
        </w:tc>
      </w:tr>
      <w:tr w:rsidR="00A612E2" w:rsidRPr="00D90835" w14:paraId="69EDF465"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5FD88B4" w14:textId="77777777" w:rsidR="00A612E2" w:rsidRPr="00246CC4" w:rsidRDefault="00A612E2" w:rsidP="00742B81">
            <w:pPr>
              <w:jc w:val="center"/>
              <w:rPr>
                <w:noProof/>
                <w:color w:val="006100"/>
                <w:sz w:val="20"/>
                <w:szCs w:val="20"/>
              </w:rPr>
            </w:pPr>
            <w:r>
              <w:rPr>
                <w:noProof/>
                <w:color w:val="006100"/>
                <w:sz w:val="20"/>
              </w:rPr>
              <w:t>M1C1-92</w:t>
            </w:r>
          </w:p>
        </w:tc>
        <w:tc>
          <w:tcPr>
            <w:tcW w:w="3195" w:type="dxa"/>
            <w:tcBorders>
              <w:top w:val="nil"/>
              <w:left w:val="nil"/>
              <w:bottom w:val="single" w:sz="4" w:space="0" w:color="auto"/>
              <w:right w:val="single" w:sz="4" w:space="0" w:color="auto"/>
            </w:tcBorders>
            <w:shd w:val="clear" w:color="auto" w:fill="C6EFCE"/>
            <w:noWrap/>
            <w:vAlign w:val="center"/>
          </w:tcPr>
          <w:p w14:paraId="5A7226C6" w14:textId="77777777" w:rsidR="00A612E2" w:rsidRPr="003B127D" w:rsidRDefault="00A612E2" w:rsidP="00392579">
            <w:pPr>
              <w:rPr>
                <w:noProof/>
                <w:color w:val="006100"/>
                <w:sz w:val="20"/>
                <w:szCs w:val="20"/>
              </w:rPr>
            </w:pPr>
            <w:r>
              <w:rPr>
                <w:noProof/>
                <w:color w:val="006100"/>
                <w:sz w:val="20"/>
              </w:rPr>
              <w:t>Reform 1.11. Avaliku halduse asutuste ja tervishoiuasutuste hilinenud maksete vähendamine</w:t>
            </w:r>
          </w:p>
        </w:tc>
        <w:tc>
          <w:tcPr>
            <w:tcW w:w="1380" w:type="dxa"/>
            <w:tcBorders>
              <w:top w:val="nil"/>
              <w:left w:val="nil"/>
              <w:bottom w:val="single" w:sz="4" w:space="0" w:color="auto"/>
              <w:right w:val="single" w:sz="4" w:space="0" w:color="auto"/>
            </w:tcBorders>
            <w:shd w:val="clear" w:color="auto" w:fill="C6EFCE"/>
            <w:noWrap/>
            <w:vAlign w:val="center"/>
          </w:tcPr>
          <w:p w14:paraId="68465B69"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6E2DB10B" w14:textId="77777777" w:rsidR="00A612E2" w:rsidRPr="003B127D" w:rsidRDefault="00A612E2" w:rsidP="00742B81">
            <w:pPr>
              <w:rPr>
                <w:noProof/>
                <w:color w:val="006100"/>
                <w:sz w:val="20"/>
                <w:szCs w:val="20"/>
              </w:rPr>
            </w:pPr>
            <w:r>
              <w:rPr>
                <w:noProof/>
                <w:color w:val="006100"/>
                <w:sz w:val="20"/>
              </w:rPr>
              <w:t>Vähendatakse keskvalitsuste poolt ettevõtjatele maksmisega viivitatud päevade keskmist arvu</w:t>
            </w:r>
          </w:p>
        </w:tc>
      </w:tr>
      <w:tr w:rsidR="00A612E2" w:rsidRPr="00D90835" w14:paraId="79EE9517"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8C5BB34" w14:textId="77777777" w:rsidR="00A612E2" w:rsidRPr="00246CC4" w:rsidRDefault="00A612E2" w:rsidP="00742B81">
            <w:pPr>
              <w:jc w:val="center"/>
              <w:rPr>
                <w:noProof/>
                <w:color w:val="006100"/>
                <w:sz w:val="20"/>
                <w:szCs w:val="20"/>
              </w:rPr>
            </w:pPr>
            <w:r>
              <w:rPr>
                <w:noProof/>
                <w:color w:val="006100"/>
                <w:sz w:val="20"/>
              </w:rPr>
              <w:t>M1C1-93</w:t>
            </w:r>
          </w:p>
        </w:tc>
        <w:tc>
          <w:tcPr>
            <w:tcW w:w="3195" w:type="dxa"/>
            <w:tcBorders>
              <w:top w:val="nil"/>
              <w:left w:val="nil"/>
              <w:bottom w:val="single" w:sz="4" w:space="0" w:color="auto"/>
              <w:right w:val="single" w:sz="4" w:space="0" w:color="auto"/>
            </w:tcBorders>
            <w:shd w:val="clear" w:color="auto" w:fill="C6EFCE"/>
            <w:noWrap/>
            <w:vAlign w:val="center"/>
          </w:tcPr>
          <w:p w14:paraId="04ABA50B" w14:textId="77777777" w:rsidR="00A612E2" w:rsidRPr="003B127D" w:rsidRDefault="00A612E2" w:rsidP="00392579">
            <w:pPr>
              <w:rPr>
                <w:noProof/>
                <w:color w:val="006100"/>
                <w:sz w:val="20"/>
                <w:szCs w:val="20"/>
              </w:rPr>
            </w:pPr>
            <w:r>
              <w:rPr>
                <w:noProof/>
                <w:color w:val="006100"/>
                <w:sz w:val="20"/>
              </w:rPr>
              <w:t>Reform 1.11. Avaliku halduse asutuste ja tervishoiuasutuste hilinenud maksete vähendamine</w:t>
            </w:r>
          </w:p>
        </w:tc>
        <w:tc>
          <w:tcPr>
            <w:tcW w:w="1380" w:type="dxa"/>
            <w:tcBorders>
              <w:top w:val="nil"/>
              <w:left w:val="nil"/>
              <w:bottom w:val="single" w:sz="4" w:space="0" w:color="auto"/>
              <w:right w:val="single" w:sz="4" w:space="0" w:color="auto"/>
            </w:tcBorders>
            <w:shd w:val="clear" w:color="auto" w:fill="C6EFCE"/>
            <w:noWrap/>
            <w:vAlign w:val="center"/>
          </w:tcPr>
          <w:p w14:paraId="47E740BB"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0DAB2672" w14:textId="77777777" w:rsidR="00A612E2" w:rsidRPr="003B127D" w:rsidRDefault="00A612E2" w:rsidP="00742B81">
            <w:pPr>
              <w:rPr>
                <w:noProof/>
                <w:color w:val="006100"/>
                <w:sz w:val="20"/>
                <w:szCs w:val="20"/>
              </w:rPr>
            </w:pPr>
            <w:r>
              <w:rPr>
                <w:noProof/>
                <w:color w:val="006100"/>
                <w:sz w:val="20"/>
              </w:rPr>
              <w:t>Vähendatakse piirkondlike haldusasutuste poolt ettevõtetele maksmisega viivitatud päevade keskmist arvu</w:t>
            </w:r>
          </w:p>
        </w:tc>
      </w:tr>
      <w:tr w:rsidR="00A612E2" w:rsidRPr="00D90835" w14:paraId="260770BC"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0DA7D9A" w14:textId="77777777" w:rsidR="00A612E2" w:rsidRPr="00246CC4" w:rsidRDefault="00A612E2" w:rsidP="00742B81">
            <w:pPr>
              <w:jc w:val="center"/>
              <w:rPr>
                <w:noProof/>
                <w:color w:val="006100"/>
                <w:sz w:val="20"/>
                <w:szCs w:val="20"/>
              </w:rPr>
            </w:pPr>
            <w:r>
              <w:rPr>
                <w:noProof/>
                <w:color w:val="006100"/>
                <w:sz w:val="20"/>
              </w:rPr>
              <w:t>M1C1-94</w:t>
            </w:r>
          </w:p>
        </w:tc>
        <w:tc>
          <w:tcPr>
            <w:tcW w:w="3195" w:type="dxa"/>
            <w:tcBorders>
              <w:top w:val="nil"/>
              <w:left w:val="nil"/>
              <w:bottom w:val="single" w:sz="4" w:space="0" w:color="auto"/>
              <w:right w:val="single" w:sz="4" w:space="0" w:color="auto"/>
            </w:tcBorders>
            <w:shd w:val="clear" w:color="auto" w:fill="C6EFCE"/>
            <w:noWrap/>
            <w:vAlign w:val="center"/>
          </w:tcPr>
          <w:p w14:paraId="69116CA9" w14:textId="77777777" w:rsidR="00A612E2" w:rsidRPr="003B127D" w:rsidRDefault="00A612E2" w:rsidP="00392579">
            <w:pPr>
              <w:rPr>
                <w:noProof/>
                <w:color w:val="006100"/>
                <w:sz w:val="20"/>
                <w:szCs w:val="20"/>
              </w:rPr>
            </w:pPr>
            <w:r>
              <w:rPr>
                <w:noProof/>
                <w:color w:val="006100"/>
                <w:sz w:val="20"/>
              </w:rPr>
              <w:t>Reform 1.11. Avaliku halduse asutuste ja tervishoiuasutuste hilinenud maksete vähendamine</w:t>
            </w:r>
          </w:p>
        </w:tc>
        <w:tc>
          <w:tcPr>
            <w:tcW w:w="1380" w:type="dxa"/>
            <w:tcBorders>
              <w:top w:val="nil"/>
              <w:left w:val="nil"/>
              <w:bottom w:val="single" w:sz="4" w:space="0" w:color="auto"/>
              <w:right w:val="single" w:sz="4" w:space="0" w:color="auto"/>
            </w:tcBorders>
            <w:shd w:val="clear" w:color="auto" w:fill="C6EFCE"/>
            <w:noWrap/>
            <w:vAlign w:val="center"/>
          </w:tcPr>
          <w:p w14:paraId="5C8288ED"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16CBDDC4" w14:textId="77777777" w:rsidR="00A612E2" w:rsidRPr="003B127D" w:rsidRDefault="00A612E2" w:rsidP="00742B81">
            <w:pPr>
              <w:rPr>
                <w:noProof/>
                <w:color w:val="006100"/>
                <w:sz w:val="20"/>
                <w:szCs w:val="20"/>
              </w:rPr>
            </w:pPr>
            <w:r>
              <w:rPr>
                <w:noProof/>
                <w:color w:val="006100"/>
                <w:sz w:val="20"/>
              </w:rPr>
              <w:t>Kohalike haldusasutuste poolt ettevõtjatele maksmisega viivitatud päevade keskmine arv on väiksem</w:t>
            </w:r>
          </w:p>
        </w:tc>
      </w:tr>
      <w:tr w:rsidR="00A612E2" w:rsidRPr="00D90835" w14:paraId="7005EDAB"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67CAF8C" w14:textId="77777777" w:rsidR="00A612E2" w:rsidRPr="00246CC4" w:rsidRDefault="00A612E2" w:rsidP="00742B81">
            <w:pPr>
              <w:jc w:val="center"/>
              <w:rPr>
                <w:noProof/>
                <w:color w:val="006100"/>
                <w:sz w:val="20"/>
                <w:szCs w:val="20"/>
              </w:rPr>
            </w:pPr>
            <w:r>
              <w:rPr>
                <w:noProof/>
                <w:color w:val="006100"/>
                <w:sz w:val="20"/>
              </w:rPr>
              <w:t>M1C1-95</w:t>
            </w:r>
          </w:p>
        </w:tc>
        <w:tc>
          <w:tcPr>
            <w:tcW w:w="3195" w:type="dxa"/>
            <w:tcBorders>
              <w:top w:val="nil"/>
              <w:left w:val="nil"/>
              <w:bottom w:val="single" w:sz="4" w:space="0" w:color="auto"/>
              <w:right w:val="single" w:sz="4" w:space="0" w:color="auto"/>
            </w:tcBorders>
            <w:shd w:val="clear" w:color="auto" w:fill="C6EFCE"/>
            <w:noWrap/>
            <w:vAlign w:val="center"/>
          </w:tcPr>
          <w:p w14:paraId="786739C4" w14:textId="77777777" w:rsidR="00A612E2" w:rsidRPr="003B127D" w:rsidRDefault="00A612E2" w:rsidP="00392579">
            <w:pPr>
              <w:rPr>
                <w:noProof/>
                <w:color w:val="006100"/>
                <w:sz w:val="20"/>
                <w:szCs w:val="20"/>
              </w:rPr>
            </w:pPr>
            <w:r>
              <w:rPr>
                <w:noProof/>
                <w:color w:val="006100"/>
                <w:sz w:val="20"/>
              </w:rPr>
              <w:t>Reform 1.11. Avaliku halduse asutuste ja tervishoiuasutuste hilinenud maksete vähendamine</w:t>
            </w:r>
          </w:p>
        </w:tc>
        <w:tc>
          <w:tcPr>
            <w:tcW w:w="1380" w:type="dxa"/>
            <w:tcBorders>
              <w:top w:val="nil"/>
              <w:left w:val="nil"/>
              <w:bottom w:val="single" w:sz="4" w:space="0" w:color="auto"/>
              <w:right w:val="single" w:sz="4" w:space="0" w:color="auto"/>
            </w:tcBorders>
            <w:shd w:val="clear" w:color="auto" w:fill="C6EFCE"/>
            <w:noWrap/>
            <w:vAlign w:val="center"/>
          </w:tcPr>
          <w:p w14:paraId="2B1FFEFA"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05859085" w14:textId="77777777" w:rsidR="00A612E2" w:rsidRPr="003B127D" w:rsidRDefault="00A612E2" w:rsidP="00742B81">
            <w:pPr>
              <w:rPr>
                <w:noProof/>
                <w:color w:val="006100"/>
                <w:sz w:val="20"/>
                <w:szCs w:val="20"/>
              </w:rPr>
            </w:pPr>
            <w:r>
              <w:rPr>
                <w:noProof/>
                <w:color w:val="006100"/>
                <w:sz w:val="20"/>
              </w:rPr>
              <w:t>Tervishoiuasutuste poolt ettevõtjatele maksmisega viivitatud päevade keskmine arv on vähenenud</w:t>
            </w:r>
          </w:p>
        </w:tc>
      </w:tr>
      <w:tr w:rsidR="00A612E2" w:rsidRPr="00D90835" w14:paraId="48BBD249"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E7BB188" w14:textId="77777777" w:rsidR="00A612E2" w:rsidRPr="00246CC4" w:rsidRDefault="00A612E2" w:rsidP="00742B81">
            <w:pPr>
              <w:jc w:val="center"/>
              <w:rPr>
                <w:noProof/>
                <w:color w:val="006100"/>
                <w:sz w:val="20"/>
                <w:szCs w:val="20"/>
              </w:rPr>
            </w:pPr>
            <w:r>
              <w:rPr>
                <w:noProof/>
                <w:color w:val="006100"/>
                <w:sz w:val="20"/>
              </w:rPr>
              <w:t>M1C1-117</w:t>
            </w:r>
          </w:p>
        </w:tc>
        <w:tc>
          <w:tcPr>
            <w:tcW w:w="3195" w:type="dxa"/>
            <w:tcBorders>
              <w:top w:val="nil"/>
              <w:left w:val="nil"/>
              <w:bottom w:val="single" w:sz="4" w:space="0" w:color="auto"/>
              <w:right w:val="single" w:sz="4" w:space="0" w:color="auto"/>
            </w:tcBorders>
            <w:shd w:val="clear" w:color="auto" w:fill="C6EFCE"/>
            <w:noWrap/>
            <w:vAlign w:val="center"/>
          </w:tcPr>
          <w:p w14:paraId="5A568459" w14:textId="77777777" w:rsidR="00A612E2" w:rsidRPr="003B127D" w:rsidRDefault="00A612E2" w:rsidP="00392579">
            <w:pPr>
              <w:rPr>
                <w:noProof/>
                <w:color w:val="006100"/>
                <w:sz w:val="20"/>
                <w:szCs w:val="20"/>
              </w:rPr>
            </w:pPr>
            <w:r>
              <w:rPr>
                <w:noProof/>
                <w:color w:val="006100"/>
                <w:sz w:val="20"/>
              </w:rPr>
              <w:t>Reform 1.15. Avaliku sektori raamatupidamiseeskirjade reform</w:t>
            </w:r>
          </w:p>
        </w:tc>
        <w:tc>
          <w:tcPr>
            <w:tcW w:w="1380" w:type="dxa"/>
            <w:tcBorders>
              <w:top w:val="nil"/>
              <w:left w:val="nil"/>
              <w:bottom w:val="single" w:sz="4" w:space="0" w:color="auto"/>
              <w:right w:val="single" w:sz="4" w:space="0" w:color="auto"/>
            </w:tcBorders>
            <w:shd w:val="clear" w:color="auto" w:fill="C6EFCE"/>
            <w:noWrap/>
            <w:vAlign w:val="center"/>
          </w:tcPr>
          <w:p w14:paraId="44203149"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220F8707" w14:textId="77777777" w:rsidR="00A612E2" w:rsidRPr="003B127D" w:rsidRDefault="00A612E2" w:rsidP="00742B81">
            <w:pPr>
              <w:rPr>
                <w:noProof/>
                <w:color w:val="006100"/>
                <w:sz w:val="20"/>
                <w:szCs w:val="20"/>
              </w:rPr>
            </w:pPr>
            <w:r>
              <w:rPr>
                <w:noProof/>
                <w:color w:val="006100"/>
                <w:sz w:val="20"/>
              </w:rPr>
              <w:t>Avaliku sektori asutused, kes on saanud koolituse uuele tekkepõhisele raamatupidamissüsteemile üleminekuks</w:t>
            </w:r>
          </w:p>
        </w:tc>
      </w:tr>
      <w:tr w:rsidR="00A612E2" w:rsidRPr="00D90835" w14:paraId="4D76CE6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87F23F1" w14:textId="77777777" w:rsidR="00A612E2" w:rsidRPr="00246CC4" w:rsidRDefault="00A612E2" w:rsidP="00742B81">
            <w:pPr>
              <w:jc w:val="center"/>
              <w:rPr>
                <w:noProof/>
                <w:color w:val="006100"/>
                <w:sz w:val="20"/>
                <w:szCs w:val="20"/>
              </w:rPr>
            </w:pPr>
            <w:r>
              <w:rPr>
                <w:noProof/>
                <w:color w:val="006100"/>
                <w:sz w:val="20"/>
              </w:rPr>
              <w:t>M1C1-119</w:t>
            </w:r>
          </w:p>
        </w:tc>
        <w:tc>
          <w:tcPr>
            <w:tcW w:w="3195" w:type="dxa"/>
            <w:tcBorders>
              <w:top w:val="nil"/>
              <w:left w:val="nil"/>
              <w:bottom w:val="single" w:sz="4" w:space="0" w:color="auto"/>
              <w:right w:val="single" w:sz="4" w:space="0" w:color="auto"/>
            </w:tcBorders>
            <w:shd w:val="clear" w:color="auto" w:fill="C6EFCE"/>
            <w:noWrap/>
            <w:vAlign w:val="center"/>
          </w:tcPr>
          <w:p w14:paraId="7092C431" w14:textId="77777777" w:rsidR="00A612E2" w:rsidRPr="003B127D" w:rsidRDefault="00A612E2" w:rsidP="00392579">
            <w:pPr>
              <w:rPr>
                <w:noProof/>
                <w:color w:val="006100"/>
                <w:sz w:val="20"/>
                <w:szCs w:val="20"/>
              </w:rPr>
            </w:pPr>
            <w:r>
              <w:rPr>
                <w:noProof/>
                <w:color w:val="006100"/>
                <w:sz w:val="20"/>
              </w:rPr>
              <w:t>Reform 1.14. Piirkondliku eelarveraamistiku reform</w:t>
            </w:r>
          </w:p>
        </w:tc>
        <w:tc>
          <w:tcPr>
            <w:tcW w:w="1380" w:type="dxa"/>
            <w:tcBorders>
              <w:top w:val="nil"/>
              <w:left w:val="nil"/>
              <w:bottom w:val="single" w:sz="4" w:space="0" w:color="auto"/>
              <w:right w:val="single" w:sz="4" w:space="0" w:color="auto"/>
            </w:tcBorders>
            <w:shd w:val="clear" w:color="auto" w:fill="C6EFCE"/>
            <w:noWrap/>
            <w:vAlign w:val="center"/>
          </w:tcPr>
          <w:p w14:paraId="497D7E5E" w14:textId="77777777" w:rsidR="00A612E2" w:rsidRPr="00246CC4" w:rsidRDefault="00A612E2" w:rsidP="00742B81">
            <w:pPr>
              <w:jc w:val="center"/>
              <w:rPr>
                <w:noProof/>
                <w:color w:val="006100"/>
                <w:sz w:val="20"/>
                <w:szCs w:val="20"/>
              </w:rPr>
            </w:pPr>
            <w:r>
              <w:rPr>
                <w:noProof/>
                <w:color w:val="006100"/>
                <w:sz w:val="20"/>
              </w:rPr>
              <w:t>Eesmärk</w:t>
            </w:r>
          </w:p>
        </w:tc>
        <w:tc>
          <w:tcPr>
            <w:tcW w:w="4035" w:type="dxa"/>
            <w:tcBorders>
              <w:top w:val="nil"/>
              <w:left w:val="nil"/>
              <w:bottom w:val="single" w:sz="4" w:space="0" w:color="auto"/>
              <w:right w:val="single" w:sz="4" w:space="0" w:color="auto"/>
            </w:tcBorders>
            <w:shd w:val="clear" w:color="auto" w:fill="C6EFCE"/>
            <w:noWrap/>
            <w:vAlign w:val="center"/>
          </w:tcPr>
          <w:p w14:paraId="6E65ABA5" w14:textId="77777777" w:rsidR="00A612E2" w:rsidRPr="003B127D" w:rsidRDefault="00A612E2" w:rsidP="00742B81">
            <w:pPr>
              <w:rPr>
                <w:noProof/>
                <w:color w:val="006100"/>
                <w:sz w:val="20"/>
                <w:szCs w:val="20"/>
              </w:rPr>
            </w:pPr>
            <w:r>
              <w:rPr>
                <w:noProof/>
                <w:color w:val="006100"/>
                <w:sz w:val="20"/>
              </w:rPr>
              <w:t>Piirkondliku fiskaalse föderalismi rakendamiseks vajalike esmaste ja teiseste õigusaktide jõustumine</w:t>
            </w:r>
          </w:p>
        </w:tc>
      </w:tr>
      <w:tr w:rsidR="00A612E2" w:rsidRPr="00D90835" w14:paraId="66E0C8A3"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1DA249B" w14:textId="77777777" w:rsidR="00A612E2" w:rsidRPr="00246CC4" w:rsidRDefault="00A612E2" w:rsidP="00742B81">
            <w:pPr>
              <w:jc w:val="center"/>
              <w:rPr>
                <w:noProof/>
                <w:color w:val="006100"/>
                <w:sz w:val="20"/>
                <w:szCs w:val="20"/>
              </w:rPr>
            </w:pPr>
            <w:r>
              <w:rPr>
                <w:noProof/>
                <w:color w:val="006100"/>
                <w:sz w:val="20"/>
              </w:rPr>
              <w:t>M1C1-120</w:t>
            </w:r>
          </w:p>
        </w:tc>
        <w:tc>
          <w:tcPr>
            <w:tcW w:w="3195" w:type="dxa"/>
            <w:tcBorders>
              <w:top w:val="nil"/>
              <w:left w:val="nil"/>
              <w:bottom w:val="single" w:sz="4" w:space="0" w:color="auto"/>
              <w:right w:val="single" w:sz="4" w:space="0" w:color="auto"/>
            </w:tcBorders>
            <w:shd w:val="clear" w:color="auto" w:fill="C6EFCE"/>
            <w:noWrap/>
            <w:vAlign w:val="center"/>
          </w:tcPr>
          <w:p w14:paraId="08BB3590" w14:textId="77777777" w:rsidR="00A612E2" w:rsidRPr="003B127D" w:rsidRDefault="00A612E2" w:rsidP="00392579">
            <w:pPr>
              <w:rPr>
                <w:noProof/>
                <w:color w:val="006100"/>
                <w:sz w:val="20"/>
                <w:szCs w:val="20"/>
              </w:rPr>
            </w:pPr>
            <w:r>
              <w:rPr>
                <w:noProof/>
                <w:color w:val="006100"/>
                <w:sz w:val="20"/>
              </w:rPr>
              <w:t>Reform 1.14. Piirkondliku eelarveraamistiku reform</w:t>
            </w:r>
          </w:p>
        </w:tc>
        <w:tc>
          <w:tcPr>
            <w:tcW w:w="1380" w:type="dxa"/>
            <w:tcBorders>
              <w:top w:val="nil"/>
              <w:left w:val="nil"/>
              <w:bottom w:val="single" w:sz="4" w:space="0" w:color="auto"/>
              <w:right w:val="single" w:sz="4" w:space="0" w:color="auto"/>
            </w:tcBorders>
            <w:shd w:val="clear" w:color="auto" w:fill="C6EFCE"/>
            <w:noWrap/>
            <w:vAlign w:val="center"/>
          </w:tcPr>
          <w:p w14:paraId="11029455" w14:textId="77777777" w:rsidR="00A612E2" w:rsidRPr="00246CC4" w:rsidRDefault="00A612E2" w:rsidP="00742B81">
            <w:pPr>
              <w:jc w:val="center"/>
              <w:rPr>
                <w:noProof/>
                <w:color w:val="006100"/>
                <w:sz w:val="20"/>
                <w:szCs w:val="20"/>
              </w:rPr>
            </w:pPr>
            <w:r>
              <w:rPr>
                <w:noProof/>
                <w:color w:val="006100"/>
                <w:sz w:val="20"/>
              </w:rPr>
              <w:t>Eesmärk</w:t>
            </w:r>
          </w:p>
        </w:tc>
        <w:tc>
          <w:tcPr>
            <w:tcW w:w="4035" w:type="dxa"/>
            <w:tcBorders>
              <w:top w:val="nil"/>
              <w:left w:val="nil"/>
              <w:bottom w:val="single" w:sz="4" w:space="0" w:color="auto"/>
              <w:right w:val="single" w:sz="4" w:space="0" w:color="auto"/>
            </w:tcBorders>
            <w:shd w:val="clear" w:color="auto" w:fill="C6EFCE"/>
            <w:noWrap/>
            <w:vAlign w:val="center"/>
          </w:tcPr>
          <w:p w14:paraId="2B012B24" w14:textId="77777777" w:rsidR="00A612E2" w:rsidRPr="003B127D" w:rsidRDefault="00A612E2" w:rsidP="00742B81">
            <w:pPr>
              <w:rPr>
                <w:noProof/>
                <w:color w:val="006100"/>
                <w:sz w:val="20"/>
                <w:szCs w:val="20"/>
              </w:rPr>
            </w:pPr>
            <w:r>
              <w:rPr>
                <w:noProof/>
                <w:color w:val="006100"/>
                <w:sz w:val="20"/>
              </w:rPr>
              <w:t>Piirkondliku fiskaalse föderalismi rakendamiseks vajalike esmaste ja teiseste õigusaktide jõustumine</w:t>
            </w:r>
          </w:p>
        </w:tc>
      </w:tr>
      <w:tr w:rsidR="00A612E2" w:rsidRPr="00D90835" w14:paraId="6DC9C222"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87DF6C5" w14:textId="77777777" w:rsidR="00A612E2" w:rsidRPr="00246CC4" w:rsidRDefault="00A612E2" w:rsidP="00742B81">
            <w:pPr>
              <w:jc w:val="center"/>
              <w:rPr>
                <w:noProof/>
                <w:color w:val="006100"/>
                <w:sz w:val="20"/>
                <w:szCs w:val="20"/>
              </w:rPr>
            </w:pPr>
            <w:r>
              <w:rPr>
                <w:noProof/>
                <w:color w:val="006100"/>
                <w:sz w:val="20"/>
              </w:rPr>
              <w:t>M3C2-6</w:t>
            </w:r>
          </w:p>
        </w:tc>
        <w:tc>
          <w:tcPr>
            <w:tcW w:w="3195" w:type="dxa"/>
            <w:tcBorders>
              <w:top w:val="nil"/>
              <w:left w:val="nil"/>
              <w:bottom w:val="single" w:sz="4" w:space="0" w:color="auto"/>
              <w:right w:val="single" w:sz="4" w:space="0" w:color="auto"/>
            </w:tcBorders>
            <w:shd w:val="clear" w:color="auto" w:fill="C6EFCE"/>
            <w:noWrap/>
            <w:vAlign w:val="center"/>
          </w:tcPr>
          <w:p w14:paraId="7370D06F" w14:textId="77777777" w:rsidR="00A612E2" w:rsidRPr="003B127D" w:rsidRDefault="00A612E2" w:rsidP="00392579">
            <w:pPr>
              <w:rPr>
                <w:noProof/>
                <w:color w:val="006100"/>
                <w:sz w:val="20"/>
                <w:szCs w:val="20"/>
              </w:rPr>
            </w:pPr>
            <w:r>
              <w:rPr>
                <w:noProof/>
                <w:color w:val="006100"/>
                <w:sz w:val="20"/>
              </w:rPr>
              <w:t>Investeering 2.2. Lennuliikluse korraldamise digiteerimine</w:t>
            </w:r>
          </w:p>
        </w:tc>
        <w:tc>
          <w:tcPr>
            <w:tcW w:w="1380" w:type="dxa"/>
            <w:tcBorders>
              <w:top w:val="nil"/>
              <w:left w:val="nil"/>
              <w:bottom w:val="single" w:sz="4" w:space="0" w:color="auto"/>
              <w:right w:val="single" w:sz="4" w:space="0" w:color="auto"/>
            </w:tcBorders>
            <w:shd w:val="clear" w:color="auto" w:fill="C6EFCE"/>
            <w:noWrap/>
            <w:vAlign w:val="center"/>
          </w:tcPr>
          <w:p w14:paraId="49F92F9B" w14:textId="0ADB3BB0" w:rsidR="00A612E2" w:rsidRPr="00246CC4" w:rsidRDefault="00150B7E" w:rsidP="00742B81">
            <w:pPr>
              <w:jc w:val="center"/>
              <w:rPr>
                <w:noProof/>
                <w:color w:val="006100"/>
                <w:sz w:val="20"/>
                <w:szCs w:val="20"/>
              </w:rPr>
            </w:pPr>
            <w:r>
              <w:rPr>
                <w:noProof/>
                <w:color w:val="006100"/>
                <w:sz w:val="20"/>
              </w:rPr>
              <w:t>Eesmärk</w:t>
            </w:r>
          </w:p>
        </w:tc>
        <w:tc>
          <w:tcPr>
            <w:tcW w:w="4035" w:type="dxa"/>
            <w:tcBorders>
              <w:top w:val="nil"/>
              <w:left w:val="nil"/>
              <w:bottom w:val="single" w:sz="4" w:space="0" w:color="auto"/>
              <w:right w:val="single" w:sz="4" w:space="0" w:color="auto"/>
            </w:tcBorders>
            <w:shd w:val="clear" w:color="auto" w:fill="C6EFCE"/>
            <w:noWrap/>
            <w:vAlign w:val="center"/>
          </w:tcPr>
          <w:p w14:paraId="77A41BC1" w14:textId="77777777" w:rsidR="00A612E2" w:rsidRPr="003B127D" w:rsidRDefault="00A612E2" w:rsidP="00742B81">
            <w:pPr>
              <w:rPr>
                <w:noProof/>
                <w:color w:val="006100"/>
                <w:sz w:val="20"/>
                <w:szCs w:val="20"/>
              </w:rPr>
            </w:pPr>
            <w:r>
              <w:rPr>
                <w:noProof/>
                <w:color w:val="006100"/>
                <w:sz w:val="20"/>
              </w:rPr>
              <w:t>Lennuliikluse korraldamise digiteerimine: uute vahendite kasutuselevõtmine</w:t>
            </w:r>
          </w:p>
        </w:tc>
      </w:tr>
      <w:tr w:rsidR="00A612E2" w:rsidRPr="00D90835" w14:paraId="43EA235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029787A" w14:textId="77777777" w:rsidR="00A612E2" w:rsidRPr="00246CC4" w:rsidRDefault="00A612E2" w:rsidP="00742B81">
            <w:pPr>
              <w:jc w:val="center"/>
              <w:rPr>
                <w:noProof/>
                <w:color w:val="006100"/>
                <w:sz w:val="20"/>
                <w:szCs w:val="20"/>
              </w:rPr>
            </w:pPr>
            <w:r>
              <w:rPr>
                <w:noProof/>
                <w:color w:val="006100"/>
                <w:sz w:val="20"/>
              </w:rPr>
              <w:t xml:space="preserve">M5C1-11 </w:t>
            </w:r>
          </w:p>
        </w:tc>
        <w:tc>
          <w:tcPr>
            <w:tcW w:w="3195" w:type="dxa"/>
            <w:tcBorders>
              <w:top w:val="nil"/>
              <w:left w:val="nil"/>
              <w:bottom w:val="single" w:sz="4" w:space="0" w:color="auto"/>
              <w:right w:val="single" w:sz="4" w:space="0" w:color="auto"/>
            </w:tcBorders>
            <w:shd w:val="clear" w:color="auto" w:fill="C6EFCE"/>
            <w:noWrap/>
            <w:vAlign w:val="center"/>
          </w:tcPr>
          <w:p w14:paraId="01FFD058" w14:textId="77777777" w:rsidR="00A612E2" w:rsidRPr="00246CC4" w:rsidRDefault="00A612E2" w:rsidP="00392579">
            <w:pPr>
              <w:rPr>
                <w:noProof/>
                <w:color w:val="006100"/>
                <w:sz w:val="20"/>
                <w:szCs w:val="20"/>
              </w:rPr>
            </w:pPr>
            <w:r>
              <w:rPr>
                <w:noProof/>
                <w:color w:val="006100"/>
                <w:sz w:val="20"/>
              </w:rPr>
              <w:t xml:space="preserve">Reform 2. Deklareerimata töö </w:t>
            </w:r>
          </w:p>
        </w:tc>
        <w:tc>
          <w:tcPr>
            <w:tcW w:w="1380" w:type="dxa"/>
            <w:tcBorders>
              <w:top w:val="nil"/>
              <w:left w:val="nil"/>
              <w:bottom w:val="single" w:sz="4" w:space="0" w:color="auto"/>
              <w:right w:val="single" w:sz="4" w:space="0" w:color="auto"/>
            </w:tcBorders>
            <w:shd w:val="clear" w:color="auto" w:fill="C6EFCE"/>
            <w:noWrap/>
            <w:vAlign w:val="center"/>
          </w:tcPr>
          <w:p w14:paraId="4DE8625C"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67124B93" w14:textId="77777777" w:rsidR="00A612E2" w:rsidRPr="003B127D" w:rsidRDefault="00A612E2" w:rsidP="00742B81">
            <w:pPr>
              <w:rPr>
                <w:noProof/>
                <w:color w:val="006100"/>
                <w:sz w:val="20"/>
                <w:szCs w:val="20"/>
              </w:rPr>
            </w:pPr>
            <w:r>
              <w:rPr>
                <w:noProof/>
                <w:color w:val="006100"/>
                <w:sz w:val="20"/>
              </w:rPr>
              <w:t>Deklareerimata töö vähenemine</w:t>
            </w:r>
          </w:p>
        </w:tc>
      </w:tr>
      <w:tr w:rsidR="00A612E2" w:rsidRPr="00D90835" w14:paraId="6D50ED6F"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85996E6" w14:textId="77777777" w:rsidR="00A612E2" w:rsidRPr="00246CC4" w:rsidRDefault="00A612E2" w:rsidP="00742B81">
            <w:pPr>
              <w:jc w:val="center"/>
              <w:rPr>
                <w:noProof/>
                <w:color w:val="006100"/>
                <w:sz w:val="20"/>
                <w:szCs w:val="20"/>
              </w:rPr>
            </w:pPr>
            <w:r>
              <w:rPr>
                <w:noProof/>
                <w:color w:val="006100"/>
                <w:sz w:val="20"/>
              </w:rPr>
              <w:t>M5C2-6</w:t>
            </w:r>
          </w:p>
        </w:tc>
        <w:tc>
          <w:tcPr>
            <w:tcW w:w="3195" w:type="dxa"/>
            <w:tcBorders>
              <w:top w:val="nil"/>
              <w:left w:val="nil"/>
              <w:bottom w:val="single" w:sz="4" w:space="0" w:color="auto"/>
              <w:right w:val="single" w:sz="4" w:space="0" w:color="auto"/>
            </w:tcBorders>
            <w:shd w:val="clear" w:color="auto" w:fill="C6EFCE"/>
            <w:noWrap/>
            <w:vAlign w:val="center"/>
          </w:tcPr>
          <w:p w14:paraId="6FFE9911" w14:textId="77777777" w:rsidR="00A612E2" w:rsidRPr="003B127D" w:rsidRDefault="00A612E2" w:rsidP="00392579">
            <w:pPr>
              <w:rPr>
                <w:noProof/>
                <w:color w:val="006100"/>
                <w:sz w:val="20"/>
                <w:szCs w:val="20"/>
              </w:rPr>
            </w:pPr>
            <w:r>
              <w:rPr>
                <w:noProof/>
                <w:color w:val="006100"/>
                <w:sz w:val="20"/>
              </w:rPr>
              <w:t>Investeering 1. Haavatavate isikute toetamine ja institutsionaliseerimise ärahoidmine</w:t>
            </w:r>
          </w:p>
        </w:tc>
        <w:tc>
          <w:tcPr>
            <w:tcW w:w="1380" w:type="dxa"/>
            <w:tcBorders>
              <w:top w:val="nil"/>
              <w:left w:val="nil"/>
              <w:bottom w:val="single" w:sz="4" w:space="0" w:color="auto"/>
              <w:right w:val="single" w:sz="4" w:space="0" w:color="auto"/>
            </w:tcBorders>
            <w:shd w:val="clear" w:color="auto" w:fill="C6EFCE"/>
            <w:noWrap/>
            <w:vAlign w:val="center"/>
          </w:tcPr>
          <w:p w14:paraId="15432521"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4BF41185" w14:textId="77777777" w:rsidR="00A612E2" w:rsidRPr="003B127D" w:rsidRDefault="00A612E2" w:rsidP="00742B81">
            <w:pPr>
              <w:rPr>
                <w:noProof/>
                <w:color w:val="006100"/>
                <w:sz w:val="20"/>
                <w:szCs w:val="20"/>
              </w:rPr>
            </w:pPr>
            <w:r>
              <w:rPr>
                <w:noProof/>
                <w:color w:val="006100"/>
                <w:sz w:val="20"/>
              </w:rPr>
              <w:t>Sotsiaalpiirkonnad saavutavad vähemalt ühe järgmistest tulemustest: i) vanemate toetamine, ii) eakate iseseisvus, iii) koduteenused eakatele või iv) sotsiaaltöötajate soodustamine läbipõlemise vältimiseks</w:t>
            </w:r>
          </w:p>
        </w:tc>
      </w:tr>
      <w:tr w:rsidR="00A612E2" w:rsidRPr="00D90835" w14:paraId="30AFAFE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4B1BE86" w14:textId="77777777" w:rsidR="00A612E2" w:rsidRPr="00246CC4" w:rsidRDefault="00A612E2" w:rsidP="00742B81">
            <w:pPr>
              <w:jc w:val="center"/>
              <w:rPr>
                <w:noProof/>
                <w:color w:val="006100"/>
                <w:sz w:val="20"/>
                <w:szCs w:val="20"/>
              </w:rPr>
            </w:pPr>
            <w:r>
              <w:rPr>
                <w:noProof/>
                <w:color w:val="006100"/>
                <w:sz w:val="20"/>
              </w:rPr>
              <w:t>M5C2-8</w:t>
            </w:r>
          </w:p>
        </w:tc>
        <w:tc>
          <w:tcPr>
            <w:tcW w:w="3195" w:type="dxa"/>
            <w:tcBorders>
              <w:top w:val="nil"/>
              <w:left w:val="nil"/>
              <w:bottom w:val="single" w:sz="4" w:space="0" w:color="auto"/>
              <w:right w:val="single" w:sz="4" w:space="0" w:color="auto"/>
            </w:tcBorders>
            <w:shd w:val="clear" w:color="auto" w:fill="C6EFCE"/>
            <w:noWrap/>
            <w:vAlign w:val="center"/>
          </w:tcPr>
          <w:p w14:paraId="41E6F69E" w14:textId="77777777" w:rsidR="00A612E2" w:rsidRPr="003B127D" w:rsidRDefault="00A612E2" w:rsidP="00392579">
            <w:pPr>
              <w:rPr>
                <w:noProof/>
                <w:color w:val="006100"/>
                <w:sz w:val="20"/>
                <w:szCs w:val="20"/>
              </w:rPr>
            </w:pPr>
            <w:r>
              <w:rPr>
                <w:noProof/>
                <w:color w:val="006100"/>
                <w:sz w:val="20"/>
              </w:rPr>
              <w:t>Investeering 2. Autonoomsusmustrid puuetega inimeste jaoks</w:t>
            </w:r>
          </w:p>
        </w:tc>
        <w:tc>
          <w:tcPr>
            <w:tcW w:w="1380" w:type="dxa"/>
            <w:tcBorders>
              <w:top w:val="nil"/>
              <w:left w:val="nil"/>
              <w:bottom w:val="single" w:sz="4" w:space="0" w:color="auto"/>
              <w:right w:val="single" w:sz="4" w:space="0" w:color="auto"/>
            </w:tcBorders>
            <w:shd w:val="clear" w:color="auto" w:fill="C6EFCE"/>
            <w:noWrap/>
            <w:vAlign w:val="center"/>
          </w:tcPr>
          <w:p w14:paraId="548FE05E"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2E9F4F3D" w14:textId="77777777" w:rsidR="00A612E2" w:rsidRPr="003B127D" w:rsidRDefault="00A612E2" w:rsidP="00742B81">
            <w:pPr>
              <w:rPr>
                <w:noProof/>
                <w:color w:val="006100"/>
                <w:sz w:val="20"/>
                <w:szCs w:val="20"/>
              </w:rPr>
            </w:pPr>
            <w:r>
              <w:rPr>
                <w:noProof/>
                <w:color w:val="006100"/>
                <w:sz w:val="20"/>
              </w:rPr>
              <w:t>Puuetega inimesed on saanud koduruumi renoveerimise ja/või IKT-seadmete pakkumise. Teenustega kaasneb digioskuste alane koolitus.</w:t>
            </w:r>
          </w:p>
        </w:tc>
      </w:tr>
      <w:tr w:rsidR="00A612E2" w:rsidRPr="00D90835" w14:paraId="0600E669"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EFB009C" w14:textId="77777777" w:rsidR="00A612E2" w:rsidRPr="00246CC4" w:rsidRDefault="00A612E2" w:rsidP="00742B81">
            <w:pPr>
              <w:jc w:val="center"/>
              <w:rPr>
                <w:noProof/>
                <w:color w:val="006100"/>
                <w:sz w:val="20"/>
                <w:szCs w:val="20"/>
              </w:rPr>
            </w:pPr>
            <w:r>
              <w:rPr>
                <w:noProof/>
                <w:color w:val="006100"/>
                <w:sz w:val="20"/>
              </w:rPr>
              <w:t>M5C2-10</w:t>
            </w:r>
          </w:p>
        </w:tc>
        <w:tc>
          <w:tcPr>
            <w:tcW w:w="3195" w:type="dxa"/>
            <w:tcBorders>
              <w:top w:val="nil"/>
              <w:left w:val="nil"/>
              <w:bottom w:val="single" w:sz="4" w:space="0" w:color="auto"/>
              <w:right w:val="single" w:sz="4" w:space="0" w:color="auto"/>
            </w:tcBorders>
            <w:shd w:val="clear" w:color="auto" w:fill="C6EFCE"/>
            <w:noWrap/>
            <w:vAlign w:val="center"/>
          </w:tcPr>
          <w:p w14:paraId="5E535183" w14:textId="77777777" w:rsidR="00A612E2" w:rsidRPr="003B127D" w:rsidRDefault="00A612E2" w:rsidP="00392579">
            <w:pPr>
              <w:rPr>
                <w:noProof/>
                <w:color w:val="006100"/>
                <w:sz w:val="20"/>
                <w:szCs w:val="20"/>
              </w:rPr>
            </w:pPr>
            <w:r>
              <w:rPr>
                <w:noProof/>
                <w:color w:val="006100"/>
                <w:sz w:val="20"/>
              </w:rPr>
              <w:t>Investeering 3. Ees- ja järelpaigad elamumajanduseks</w:t>
            </w:r>
          </w:p>
        </w:tc>
        <w:tc>
          <w:tcPr>
            <w:tcW w:w="1380" w:type="dxa"/>
            <w:tcBorders>
              <w:top w:val="nil"/>
              <w:left w:val="nil"/>
              <w:bottom w:val="single" w:sz="4" w:space="0" w:color="auto"/>
              <w:right w:val="single" w:sz="4" w:space="0" w:color="auto"/>
            </w:tcBorders>
            <w:shd w:val="clear" w:color="auto" w:fill="C6EFCE"/>
            <w:noWrap/>
            <w:vAlign w:val="center"/>
          </w:tcPr>
          <w:p w14:paraId="3D6AFD8F"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4C8E312A" w14:textId="77777777" w:rsidR="00A612E2" w:rsidRPr="003B127D" w:rsidRDefault="00A612E2" w:rsidP="00742B81">
            <w:pPr>
              <w:rPr>
                <w:noProof/>
                <w:color w:val="006100"/>
                <w:sz w:val="20"/>
                <w:szCs w:val="20"/>
              </w:rPr>
            </w:pPr>
            <w:r>
              <w:rPr>
                <w:noProof/>
                <w:color w:val="006100"/>
                <w:sz w:val="20"/>
              </w:rPr>
              <w:t>Inimesed, kes elavad tõsises materiaalses puuduses, mille eest vastutavad projektid „Esmalt eluase“ vähemalt kuus kuud ja postijaamad</w:t>
            </w:r>
          </w:p>
        </w:tc>
      </w:tr>
      <w:tr w:rsidR="00A612E2" w:rsidRPr="00D90835" w14:paraId="53FA16A2"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B940EED" w14:textId="77777777" w:rsidR="00A612E2" w:rsidRPr="00246CC4" w:rsidRDefault="00A612E2" w:rsidP="00742B81">
            <w:pPr>
              <w:jc w:val="center"/>
              <w:rPr>
                <w:noProof/>
                <w:color w:val="006100"/>
                <w:sz w:val="20"/>
                <w:szCs w:val="20"/>
              </w:rPr>
            </w:pPr>
            <w:r>
              <w:rPr>
                <w:noProof/>
                <w:color w:val="006100"/>
                <w:sz w:val="20"/>
              </w:rPr>
              <w:t>M7-33</w:t>
            </w:r>
          </w:p>
        </w:tc>
        <w:tc>
          <w:tcPr>
            <w:tcW w:w="3195" w:type="dxa"/>
            <w:tcBorders>
              <w:top w:val="nil"/>
              <w:left w:val="nil"/>
              <w:bottom w:val="single" w:sz="4" w:space="0" w:color="auto"/>
              <w:right w:val="single" w:sz="4" w:space="0" w:color="auto"/>
            </w:tcBorders>
            <w:shd w:val="clear" w:color="auto" w:fill="C6EFCE"/>
            <w:noWrap/>
            <w:vAlign w:val="center"/>
          </w:tcPr>
          <w:p w14:paraId="2A0D9090" w14:textId="77777777" w:rsidR="00A612E2" w:rsidRPr="003B127D" w:rsidRDefault="00A612E2" w:rsidP="00392579">
            <w:pPr>
              <w:rPr>
                <w:noProof/>
                <w:color w:val="006100"/>
                <w:sz w:val="20"/>
                <w:szCs w:val="20"/>
              </w:rPr>
            </w:pPr>
            <w:r>
              <w:rPr>
                <w:noProof/>
                <w:color w:val="006100"/>
                <w:sz w:val="20"/>
              </w:rPr>
              <w:t>Investeering 12. Toetuskava rahvusvahelise, tööstusliku ning teadus- ja arendustegevuse alase juhtpositsiooni arendamiseks heitevabade busside valdkonnas</w:t>
            </w:r>
          </w:p>
        </w:tc>
        <w:tc>
          <w:tcPr>
            <w:tcW w:w="1380" w:type="dxa"/>
            <w:tcBorders>
              <w:top w:val="nil"/>
              <w:left w:val="nil"/>
              <w:bottom w:val="single" w:sz="4" w:space="0" w:color="auto"/>
              <w:right w:val="single" w:sz="4" w:space="0" w:color="auto"/>
            </w:tcBorders>
            <w:shd w:val="clear" w:color="auto" w:fill="C6EFCE"/>
            <w:noWrap/>
            <w:vAlign w:val="center"/>
          </w:tcPr>
          <w:p w14:paraId="656F9E88"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0621A66B" w14:textId="77777777" w:rsidR="00A612E2" w:rsidRPr="003B127D" w:rsidRDefault="00A612E2" w:rsidP="00742B81">
            <w:pPr>
              <w:rPr>
                <w:noProof/>
                <w:color w:val="006100"/>
                <w:sz w:val="20"/>
                <w:szCs w:val="20"/>
              </w:rPr>
            </w:pPr>
            <w:r>
              <w:rPr>
                <w:noProof/>
                <w:color w:val="006100"/>
                <w:sz w:val="20"/>
              </w:rPr>
              <w:t>Lõplike abisaajatega sõlmitud õiguslikud lepingud</w:t>
            </w:r>
          </w:p>
        </w:tc>
      </w:tr>
      <w:tr w:rsidR="00A612E2" w:rsidRPr="00D90835" w14:paraId="3E71C20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C4334CC" w14:textId="77777777" w:rsidR="00A612E2" w:rsidRPr="00246CC4" w:rsidRDefault="00A612E2" w:rsidP="00742B81">
            <w:pPr>
              <w:jc w:val="center"/>
              <w:rPr>
                <w:noProof/>
                <w:color w:val="006100"/>
                <w:sz w:val="20"/>
                <w:szCs w:val="20"/>
              </w:rPr>
            </w:pPr>
            <w:r>
              <w:rPr>
                <w:noProof/>
                <w:color w:val="006100"/>
                <w:sz w:val="20"/>
              </w:rPr>
              <w:t>M3C2-12</w:t>
            </w:r>
          </w:p>
        </w:tc>
        <w:tc>
          <w:tcPr>
            <w:tcW w:w="3195" w:type="dxa"/>
            <w:tcBorders>
              <w:top w:val="nil"/>
              <w:left w:val="nil"/>
              <w:bottom w:val="single" w:sz="4" w:space="0" w:color="auto"/>
              <w:right w:val="single" w:sz="4" w:space="0" w:color="auto"/>
            </w:tcBorders>
            <w:shd w:val="clear" w:color="auto" w:fill="C6EFCE"/>
            <w:noWrap/>
            <w:vAlign w:val="center"/>
          </w:tcPr>
          <w:p w14:paraId="794D37D1" w14:textId="77777777" w:rsidR="00A612E2" w:rsidRPr="00246CC4" w:rsidRDefault="00A612E2" w:rsidP="00392579">
            <w:pPr>
              <w:rPr>
                <w:noProof/>
                <w:color w:val="006100"/>
                <w:sz w:val="20"/>
                <w:szCs w:val="20"/>
              </w:rPr>
            </w:pPr>
            <w:r>
              <w:rPr>
                <w:noProof/>
                <w:color w:val="006100"/>
                <w:sz w:val="20"/>
              </w:rPr>
              <w:t xml:space="preserve">Investeering 2.3. Külm triikimine </w:t>
            </w:r>
          </w:p>
        </w:tc>
        <w:tc>
          <w:tcPr>
            <w:tcW w:w="1380" w:type="dxa"/>
            <w:tcBorders>
              <w:top w:val="nil"/>
              <w:left w:val="nil"/>
              <w:bottom w:val="single" w:sz="4" w:space="0" w:color="auto"/>
              <w:right w:val="single" w:sz="4" w:space="0" w:color="auto"/>
            </w:tcBorders>
            <w:shd w:val="clear" w:color="auto" w:fill="C6EFCE"/>
            <w:noWrap/>
            <w:vAlign w:val="center"/>
          </w:tcPr>
          <w:p w14:paraId="22635898" w14:textId="77777777" w:rsidR="00A612E2" w:rsidRPr="00246CC4" w:rsidRDefault="00A612E2" w:rsidP="00742B81">
            <w:pPr>
              <w:jc w:val="center"/>
              <w:rPr>
                <w:noProof/>
                <w:color w:val="006100"/>
                <w:sz w:val="20"/>
                <w:szCs w:val="20"/>
              </w:rPr>
            </w:pPr>
            <w:r>
              <w:rPr>
                <w:noProof/>
                <w:color w:val="006100"/>
                <w:sz w:val="20"/>
              </w:rPr>
              <w:t xml:space="preserve">Siht </w:t>
            </w:r>
          </w:p>
        </w:tc>
        <w:tc>
          <w:tcPr>
            <w:tcW w:w="4035" w:type="dxa"/>
            <w:tcBorders>
              <w:top w:val="nil"/>
              <w:left w:val="nil"/>
              <w:bottom w:val="single" w:sz="4" w:space="0" w:color="auto"/>
              <w:right w:val="single" w:sz="4" w:space="0" w:color="auto"/>
            </w:tcBorders>
            <w:shd w:val="clear" w:color="auto" w:fill="C6EFCE"/>
            <w:noWrap/>
            <w:vAlign w:val="center"/>
          </w:tcPr>
          <w:p w14:paraId="584A88DF" w14:textId="77777777" w:rsidR="00A612E2" w:rsidRPr="003B127D" w:rsidRDefault="00A612E2" w:rsidP="00742B81">
            <w:pPr>
              <w:rPr>
                <w:noProof/>
                <w:color w:val="006100"/>
                <w:sz w:val="20"/>
                <w:szCs w:val="20"/>
              </w:rPr>
            </w:pPr>
            <w:r>
              <w:rPr>
                <w:noProof/>
                <w:color w:val="006100"/>
                <w:sz w:val="20"/>
              </w:rPr>
              <w:t xml:space="preserve">Külma triikimistaristu kasutuselevõtmine. </w:t>
            </w:r>
          </w:p>
        </w:tc>
      </w:tr>
      <w:tr w:rsidR="00A612E2" w:rsidRPr="00D90835" w14:paraId="06C1095A"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D2E7445" w14:textId="77777777" w:rsidR="00A612E2" w:rsidRPr="00246CC4" w:rsidRDefault="00A612E2" w:rsidP="00742B81">
            <w:pPr>
              <w:jc w:val="center"/>
              <w:rPr>
                <w:noProof/>
                <w:color w:val="006100"/>
                <w:sz w:val="20"/>
                <w:szCs w:val="20"/>
              </w:rPr>
            </w:pPr>
            <w:r>
              <w:rPr>
                <w:noProof/>
                <w:color w:val="006100"/>
                <w:sz w:val="20"/>
              </w:rPr>
              <w:t>M1C1-26</w:t>
            </w:r>
          </w:p>
        </w:tc>
        <w:tc>
          <w:tcPr>
            <w:tcW w:w="3195" w:type="dxa"/>
            <w:tcBorders>
              <w:top w:val="nil"/>
              <w:left w:val="nil"/>
              <w:bottom w:val="single" w:sz="4" w:space="0" w:color="auto"/>
              <w:right w:val="single" w:sz="4" w:space="0" w:color="auto"/>
            </w:tcBorders>
            <w:shd w:val="clear" w:color="auto" w:fill="C6EFCE"/>
            <w:noWrap/>
            <w:vAlign w:val="center"/>
          </w:tcPr>
          <w:p w14:paraId="6A2F4518" w14:textId="77777777" w:rsidR="00A612E2" w:rsidRPr="00246CC4" w:rsidRDefault="00A612E2" w:rsidP="00392579">
            <w:pPr>
              <w:rPr>
                <w:noProof/>
                <w:color w:val="006100"/>
                <w:sz w:val="20"/>
                <w:szCs w:val="20"/>
              </w:rPr>
            </w:pPr>
            <w:r>
              <w:rPr>
                <w:noProof/>
                <w:color w:val="006100"/>
                <w:sz w:val="20"/>
              </w:rPr>
              <w:t>Investeering 1.1. Digitaristu</w:t>
            </w:r>
          </w:p>
        </w:tc>
        <w:tc>
          <w:tcPr>
            <w:tcW w:w="1380" w:type="dxa"/>
            <w:tcBorders>
              <w:top w:val="nil"/>
              <w:left w:val="nil"/>
              <w:bottom w:val="single" w:sz="4" w:space="0" w:color="auto"/>
              <w:right w:val="single" w:sz="4" w:space="0" w:color="auto"/>
            </w:tcBorders>
            <w:shd w:val="clear" w:color="auto" w:fill="C6EFCE"/>
            <w:noWrap/>
            <w:vAlign w:val="center"/>
          </w:tcPr>
          <w:p w14:paraId="327A953E"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23BC381A" w14:textId="77777777" w:rsidR="00A612E2" w:rsidRPr="003B127D" w:rsidRDefault="00A612E2" w:rsidP="00742B81">
            <w:pPr>
              <w:rPr>
                <w:noProof/>
                <w:color w:val="006100"/>
                <w:sz w:val="20"/>
                <w:szCs w:val="20"/>
              </w:rPr>
            </w:pPr>
            <w:r>
              <w:rPr>
                <w:noProof/>
                <w:color w:val="006100"/>
                <w:sz w:val="20"/>
              </w:rPr>
              <w:t>Migratsioon Polo Strategico Nazionale T2-le</w:t>
            </w:r>
          </w:p>
        </w:tc>
      </w:tr>
      <w:tr w:rsidR="00A612E2" w:rsidRPr="00246CC4" w14:paraId="2D8982FD"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690753F" w14:textId="77777777" w:rsidR="00A612E2" w:rsidRPr="00246CC4" w:rsidRDefault="00A612E2" w:rsidP="00742B81">
            <w:pPr>
              <w:jc w:val="center"/>
              <w:rPr>
                <w:noProof/>
                <w:color w:val="006100"/>
                <w:sz w:val="20"/>
                <w:szCs w:val="20"/>
              </w:rPr>
            </w:pPr>
            <w:r>
              <w:rPr>
                <w:noProof/>
                <w:color w:val="006100"/>
                <w:sz w:val="20"/>
              </w:rPr>
              <w:t>M1C1-27</w:t>
            </w:r>
          </w:p>
        </w:tc>
        <w:tc>
          <w:tcPr>
            <w:tcW w:w="3195" w:type="dxa"/>
            <w:tcBorders>
              <w:top w:val="nil"/>
              <w:left w:val="nil"/>
              <w:bottom w:val="single" w:sz="4" w:space="0" w:color="auto"/>
              <w:right w:val="single" w:sz="4" w:space="0" w:color="auto"/>
            </w:tcBorders>
            <w:shd w:val="clear" w:color="auto" w:fill="C6EFCE"/>
            <w:noWrap/>
            <w:vAlign w:val="center"/>
          </w:tcPr>
          <w:p w14:paraId="5EEECA86" w14:textId="77777777" w:rsidR="00A612E2" w:rsidRPr="00246CC4" w:rsidRDefault="00A612E2" w:rsidP="00392579">
            <w:pPr>
              <w:rPr>
                <w:noProof/>
                <w:color w:val="006100"/>
                <w:sz w:val="20"/>
                <w:szCs w:val="20"/>
              </w:rPr>
            </w:pPr>
            <w:r>
              <w:rPr>
                <w:noProof/>
                <w:color w:val="006100"/>
                <w:sz w:val="20"/>
              </w:rPr>
              <w:t>Investeering 1.3.1. Riiklik digitaalsete andmete platvorm</w:t>
            </w:r>
          </w:p>
        </w:tc>
        <w:tc>
          <w:tcPr>
            <w:tcW w:w="1380" w:type="dxa"/>
            <w:tcBorders>
              <w:top w:val="nil"/>
              <w:left w:val="nil"/>
              <w:bottom w:val="single" w:sz="4" w:space="0" w:color="auto"/>
              <w:right w:val="single" w:sz="4" w:space="0" w:color="auto"/>
            </w:tcBorders>
            <w:shd w:val="clear" w:color="auto" w:fill="C6EFCE"/>
            <w:noWrap/>
            <w:vAlign w:val="center"/>
          </w:tcPr>
          <w:p w14:paraId="09DC7251"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691A35A9" w14:textId="77777777" w:rsidR="00A612E2" w:rsidRPr="00246CC4" w:rsidRDefault="00A612E2" w:rsidP="00742B81">
            <w:pPr>
              <w:rPr>
                <w:noProof/>
                <w:color w:val="006100"/>
                <w:sz w:val="20"/>
                <w:szCs w:val="20"/>
              </w:rPr>
            </w:pPr>
            <w:r>
              <w:rPr>
                <w:noProof/>
                <w:color w:val="006100"/>
                <w:sz w:val="20"/>
              </w:rPr>
              <w:t>Rakendusliidesed riiklikus digitaalse andmeplatvormis T2</w:t>
            </w:r>
          </w:p>
        </w:tc>
      </w:tr>
      <w:tr w:rsidR="00A612E2" w:rsidRPr="00D90835" w14:paraId="71F977A2"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F7301A6" w14:textId="77777777" w:rsidR="00A612E2" w:rsidRPr="00246CC4" w:rsidRDefault="00A612E2" w:rsidP="00742B81">
            <w:pPr>
              <w:jc w:val="center"/>
              <w:rPr>
                <w:noProof/>
                <w:color w:val="006100"/>
                <w:sz w:val="20"/>
                <w:szCs w:val="20"/>
              </w:rPr>
            </w:pPr>
            <w:r>
              <w:rPr>
                <w:noProof/>
                <w:color w:val="006100"/>
                <w:sz w:val="20"/>
              </w:rPr>
              <w:t>M1C1-28</w:t>
            </w:r>
          </w:p>
        </w:tc>
        <w:tc>
          <w:tcPr>
            <w:tcW w:w="3195" w:type="dxa"/>
            <w:tcBorders>
              <w:top w:val="nil"/>
              <w:left w:val="nil"/>
              <w:bottom w:val="single" w:sz="4" w:space="0" w:color="auto"/>
              <w:right w:val="single" w:sz="4" w:space="0" w:color="auto"/>
            </w:tcBorders>
            <w:shd w:val="clear" w:color="auto" w:fill="C6EFCE"/>
            <w:noWrap/>
            <w:vAlign w:val="center"/>
          </w:tcPr>
          <w:p w14:paraId="4A12F9B2" w14:textId="77777777" w:rsidR="00A612E2" w:rsidRPr="003B127D" w:rsidRDefault="00A612E2" w:rsidP="00392579">
            <w:pPr>
              <w:rPr>
                <w:noProof/>
                <w:color w:val="006100"/>
                <w:sz w:val="20"/>
                <w:szCs w:val="20"/>
              </w:rPr>
            </w:pPr>
            <w:r>
              <w:rPr>
                <w:noProof/>
                <w:color w:val="006100"/>
                <w:sz w:val="20"/>
              </w:rPr>
              <w:t>Investeering 1.7.2. Digitaalsete hõlbustusteenuste võrgustik</w:t>
            </w:r>
          </w:p>
        </w:tc>
        <w:tc>
          <w:tcPr>
            <w:tcW w:w="1380" w:type="dxa"/>
            <w:tcBorders>
              <w:top w:val="nil"/>
              <w:left w:val="nil"/>
              <w:bottom w:val="single" w:sz="4" w:space="0" w:color="auto"/>
              <w:right w:val="single" w:sz="4" w:space="0" w:color="auto"/>
            </w:tcBorders>
            <w:shd w:val="clear" w:color="auto" w:fill="C6EFCE"/>
            <w:noWrap/>
            <w:vAlign w:val="center"/>
          </w:tcPr>
          <w:p w14:paraId="55020AF0"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4A6A7AE5" w14:textId="77777777" w:rsidR="00A612E2" w:rsidRPr="003B127D" w:rsidRDefault="00A612E2" w:rsidP="00742B81">
            <w:pPr>
              <w:rPr>
                <w:noProof/>
                <w:color w:val="006100"/>
                <w:sz w:val="20"/>
                <w:szCs w:val="20"/>
              </w:rPr>
            </w:pPr>
            <w:r>
              <w:rPr>
                <w:noProof/>
                <w:color w:val="006100"/>
                <w:sz w:val="20"/>
              </w:rPr>
              <w:t>Digilihtsustuskeskuste pakutavates uutes digiõppe- ja/või hõlbustamisalgatustes osalevate kodanike arv</w:t>
            </w:r>
          </w:p>
        </w:tc>
      </w:tr>
      <w:tr w:rsidR="00A612E2" w:rsidRPr="00D90835" w14:paraId="4672245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A6F76E5" w14:textId="77777777" w:rsidR="00A612E2" w:rsidRPr="00246CC4" w:rsidRDefault="00A612E2" w:rsidP="00742B81">
            <w:pPr>
              <w:jc w:val="center"/>
              <w:rPr>
                <w:noProof/>
                <w:color w:val="006100"/>
                <w:sz w:val="20"/>
                <w:szCs w:val="20"/>
              </w:rPr>
            </w:pPr>
            <w:r>
              <w:rPr>
                <w:noProof/>
                <w:color w:val="006100"/>
                <w:sz w:val="20"/>
              </w:rPr>
              <w:t>M1C1-45</w:t>
            </w:r>
          </w:p>
        </w:tc>
        <w:tc>
          <w:tcPr>
            <w:tcW w:w="3195" w:type="dxa"/>
            <w:tcBorders>
              <w:top w:val="nil"/>
              <w:left w:val="nil"/>
              <w:bottom w:val="single" w:sz="4" w:space="0" w:color="auto"/>
              <w:right w:val="single" w:sz="4" w:space="0" w:color="auto"/>
            </w:tcBorders>
            <w:shd w:val="clear" w:color="auto" w:fill="C6EFCE"/>
            <w:noWrap/>
            <w:vAlign w:val="center"/>
          </w:tcPr>
          <w:p w14:paraId="7130D82D" w14:textId="77777777" w:rsidR="00A612E2" w:rsidRPr="003B127D" w:rsidRDefault="00A612E2" w:rsidP="00392579">
            <w:pPr>
              <w:rPr>
                <w:noProof/>
                <w:color w:val="006100"/>
                <w:sz w:val="20"/>
                <w:szCs w:val="20"/>
              </w:rPr>
            </w:pPr>
            <w:r>
              <w:rPr>
                <w:noProof/>
                <w:color w:val="006100"/>
                <w:sz w:val="20"/>
              </w:rPr>
              <w:t>Reform 1.4. Tsiviilõiguse reform</w:t>
            </w:r>
          </w:p>
        </w:tc>
        <w:tc>
          <w:tcPr>
            <w:tcW w:w="1380" w:type="dxa"/>
            <w:tcBorders>
              <w:top w:val="nil"/>
              <w:left w:val="nil"/>
              <w:bottom w:val="single" w:sz="4" w:space="0" w:color="auto"/>
              <w:right w:val="single" w:sz="4" w:space="0" w:color="auto"/>
            </w:tcBorders>
            <w:shd w:val="clear" w:color="auto" w:fill="C6EFCE"/>
            <w:noWrap/>
            <w:vAlign w:val="center"/>
          </w:tcPr>
          <w:p w14:paraId="79E21DE5"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72A1DB97" w14:textId="77777777" w:rsidR="00A612E2" w:rsidRPr="003B127D" w:rsidRDefault="00A612E2" w:rsidP="00742B81">
            <w:pPr>
              <w:rPr>
                <w:noProof/>
                <w:color w:val="006100"/>
                <w:sz w:val="20"/>
                <w:szCs w:val="20"/>
              </w:rPr>
            </w:pPr>
            <w:r>
              <w:rPr>
                <w:noProof/>
                <w:color w:val="006100"/>
                <w:sz w:val="20"/>
              </w:rPr>
              <w:t>Tsiviilkohtumenetluse kestuse lühendamine</w:t>
            </w:r>
          </w:p>
        </w:tc>
      </w:tr>
      <w:tr w:rsidR="00A612E2" w:rsidRPr="00D90835" w14:paraId="51DF88DB"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3EA155F" w14:textId="77777777" w:rsidR="00A612E2" w:rsidRPr="00246CC4" w:rsidRDefault="00A612E2" w:rsidP="00742B81">
            <w:pPr>
              <w:jc w:val="center"/>
              <w:rPr>
                <w:noProof/>
                <w:color w:val="006100"/>
                <w:sz w:val="20"/>
                <w:szCs w:val="20"/>
              </w:rPr>
            </w:pPr>
            <w:r>
              <w:rPr>
                <w:noProof/>
                <w:color w:val="006100"/>
                <w:sz w:val="20"/>
              </w:rPr>
              <w:t>M1C1-46</w:t>
            </w:r>
          </w:p>
        </w:tc>
        <w:tc>
          <w:tcPr>
            <w:tcW w:w="3195" w:type="dxa"/>
            <w:tcBorders>
              <w:top w:val="nil"/>
              <w:left w:val="nil"/>
              <w:bottom w:val="single" w:sz="4" w:space="0" w:color="auto"/>
              <w:right w:val="single" w:sz="4" w:space="0" w:color="auto"/>
            </w:tcBorders>
            <w:shd w:val="clear" w:color="auto" w:fill="C6EFCE"/>
            <w:noWrap/>
            <w:vAlign w:val="center"/>
          </w:tcPr>
          <w:p w14:paraId="6642B494" w14:textId="77777777" w:rsidR="00A612E2" w:rsidRPr="003B127D" w:rsidRDefault="00A612E2" w:rsidP="00392579">
            <w:pPr>
              <w:rPr>
                <w:noProof/>
                <w:color w:val="006100"/>
                <w:sz w:val="20"/>
                <w:szCs w:val="20"/>
              </w:rPr>
            </w:pPr>
            <w:r>
              <w:rPr>
                <w:noProof/>
                <w:color w:val="006100"/>
                <w:sz w:val="20"/>
              </w:rPr>
              <w:t>Reform 1.5. Kriminaalõiguse reform</w:t>
            </w:r>
          </w:p>
        </w:tc>
        <w:tc>
          <w:tcPr>
            <w:tcW w:w="1380" w:type="dxa"/>
            <w:tcBorders>
              <w:top w:val="nil"/>
              <w:left w:val="nil"/>
              <w:bottom w:val="single" w:sz="4" w:space="0" w:color="auto"/>
              <w:right w:val="single" w:sz="4" w:space="0" w:color="auto"/>
            </w:tcBorders>
            <w:shd w:val="clear" w:color="auto" w:fill="C6EFCE"/>
            <w:noWrap/>
            <w:vAlign w:val="center"/>
          </w:tcPr>
          <w:p w14:paraId="28166E27"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7F8CA694" w14:textId="77777777" w:rsidR="00A612E2" w:rsidRPr="003B127D" w:rsidRDefault="00A612E2" w:rsidP="00742B81">
            <w:pPr>
              <w:rPr>
                <w:noProof/>
                <w:color w:val="006100"/>
                <w:sz w:val="20"/>
                <w:szCs w:val="20"/>
              </w:rPr>
            </w:pPr>
            <w:r>
              <w:rPr>
                <w:noProof/>
                <w:color w:val="006100"/>
                <w:sz w:val="20"/>
              </w:rPr>
              <w:t>Kriminaalmenetluse kestuse lühendamine</w:t>
            </w:r>
          </w:p>
        </w:tc>
      </w:tr>
      <w:tr w:rsidR="00A612E2" w:rsidRPr="00D90835" w14:paraId="2E31A4E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792149A" w14:textId="77777777" w:rsidR="00A612E2" w:rsidRPr="00246CC4" w:rsidRDefault="00A612E2" w:rsidP="00742B81">
            <w:pPr>
              <w:jc w:val="center"/>
              <w:rPr>
                <w:noProof/>
                <w:color w:val="006100"/>
                <w:sz w:val="20"/>
                <w:szCs w:val="20"/>
              </w:rPr>
            </w:pPr>
            <w:r>
              <w:rPr>
                <w:noProof/>
                <w:color w:val="006100"/>
                <w:sz w:val="20"/>
              </w:rPr>
              <w:t>M1C1-47</w:t>
            </w:r>
          </w:p>
        </w:tc>
        <w:tc>
          <w:tcPr>
            <w:tcW w:w="3195" w:type="dxa"/>
            <w:tcBorders>
              <w:top w:val="nil"/>
              <w:left w:val="nil"/>
              <w:bottom w:val="single" w:sz="4" w:space="0" w:color="auto"/>
              <w:right w:val="single" w:sz="4" w:space="0" w:color="auto"/>
            </w:tcBorders>
            <w:shd w:val="clear" w:color="auto" w:fill="C6EFCE"/>
            <w:noWrap/>
            <w:vAlign w:val="center"/>
          </w:tcPr>
          <w:p w14:paraId="0A2CFFA9" w14:textId="77777777" w:rsidR="00A612E2" w:rsidRPr="003B127D" w:rsidRDefault="00A612E2" w:rsidP="00392579">
            <w:pPr>
              <w:rPr>
                <w:noProof/>
                <w:color w:val="006100"/>
                <w:sz w:val="20"/>
                <w:szCs w:val="20"/>
              </w:rPr>
            </w:pPr>
            <w:r>
              <w:rPr>
                <w:noProof/>
                <w:color w:val="006100"/>
                <w:sz w:val="20"/>
              </w:rPr>
              <w:t>Reform 1.4. Tsiviilõiguse reform</w:t>
            </w:r>
          </w:p>
        </w:tc>
        <w:tc>
          <w:tcPr>
            <w:tcW w:w="1380" w:type="dxa"/>
            <w:tcBorders>
              <w:top w:val="nil"/>
              <w:left w:val="nil"/>
              <w:bottom w:val="single" w:sz="4" w:space="0" w:color="auto"/>
              <w:right w:val="single" w:sz="4" w:space="0" w:color="auto"/>
            </w:tcBorders>
            <w:shd w:val="clear" w:color="auto" w:fill="C6EFCE"/>
            <w:noWrap/>
            <w:vAlign w:val="center"/>
          </w:tcPr>
          <w:p w14:paraId="7B58B435"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15064FD7" w14:textId="77777777" w:rsidR="00A612E2" w:rsidRPr="003B127D" w:rsidRDefault="00A612E2" w:rsidP="00742B81">
            <w:pPr>
              <w:rPr>
                <w:noProof/>
                <w:color w:val="006100"/>
                <w:sz w:val="20"/>
                <w:szCs w:val="20"/>
              </w:rPr>
            </w:pPr>
            <w:r>
              <w:rPr>
                <w:noProof/>
                <w:color w:val="006100"/>
                <w:sz w:val="20"/>
              </w:rPr>
              <w:t>Tsiviil- ja üldkohtute kohtuasjade kuhjumise vähendamine (esimene aste)</w:t>
            </w:r>
          </w:p>
        </w:tc>
      </w:tr>
      <w:tr w:rsidR="00A612E2" w:rsidRPr="00D90835" w14:paraId="7195251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18F00F0" w14:textId="77777777" w:rsidR="00A612E2" w:rsidRPr="00246CC4" w:rsidRDefault="00A612E2" w:rsidP="00742B81">
            <w:pPr>
              <w:jc w:val="center"/>
              <w:rPr>
                <w:noProof/>
                <w:color w:val="006100"/>
                <w:sz w:val="20"/>
                <w:szCs w:val="20"/>
              </w:rPr>
            </w:pPr>
            <w:r>
              <w:rPr>
                <w:noProof/>
                <w:color w:val="006100"/>
                <w:sz w:val="20"/>
              </w:rPr>
              <w:t>M1C1-48</w:t>
            </w:r>
          </w:p>
        </w:tc>
        <w:tc>
          <w:tcPr>
            <w:tcW w:w="3195" w:type="dxa"/>
            <w:tcBorders>
              <w:top w:val="nil"/>
              <w:left w:val="nil"/>
              <w:bottom w:val="single" w:sz="4" w:space="0" w:color="auto"/>
              <w:right w:val="single" w:sz="4" w:space="0" w:color="auto"/>
            </w:tcBorders>
            <w:shd w:val="clear" w:color="auto" w:fill="C6EFCE"/>
            <w:noWrap/>
            <w:vAlign w:val="center"/>
          </w:tcPr>
          <w:p w14:paraId="2623CFAE" w14:textId="77777777" w:rsidR="00A612E2" w:rsidRPr="003B127D" w:rsidRDefault="00A612E2" w:rsidP="00392579">
            <w:pPr>
              <w:rPr>
                <w:noProof/>
                <w:color w:val="006100"/>
                <w:sz w:val="20"/>
                <w:szCs w:val="20"/>
              </w:rPr>
            </w:pPr>
            <w:r>
              <w:rPr>
                <w:noProof/>
                <w:color w:val="006100"/>
                <w:sz w:val="20"/>
              </w:rPr>
              <w:t>Reform 1.4. Tsiviilõiguse reform</w:t>
            </w:r>
          </w:p>
        </w:tc>
        <w:tc>
          <w:tcPr>
            <w:tcW w:w="1380" w:type="dxa"/>
            <w:tcBorders>
              <w:top w:val="nil"/>
              <w:left w:val="nil"/>
              <w:bottom w:val="single" w:sz="4" w:space="0" w:color="auto"/>
              <w:right w:val="single" w:sz="4" w:space="0" w:color="auto"/>
            </w:tcBorders>
            <w:shd w:val="clear" w:color="auto" w:fill="C6EFCE"/>
            <w:noWrap/>
            <w:vAlign w:val="center"/>
          </w:tcPr>
          <w:p w14:paraId="46E30D8B"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0F8B6457" w14:textId="77777777" w:rsidR="00A612E2" w:rsidRPr="003B127D" w:rsidRDefault="00A612E2" w:rsidP="00742B81">
            <w:pPr>
              <w:rPr>
                <w:noProof/>
                <w:color w:val="006100"/>
                <w:sz w:val="20"/>
                <w:szCs w:val="20"/>
              </w:rPr>
            </w:pPr>
            <w:r>
              <w:rPr>
                <w:noProof/>
                <w:color w:val="006100"/>
                <w:sz w:val="20"/>
              </w:rPr>
              <w:t>Tsiviilapellatsioonikohtu pooleliolevate kohtuasjade arvu vähendamine (teine aste)</w:t>
            </w:r>
          </w:p>
        </w:tc>
      </w:tr>
      <w:tr w:rsidR="00A612E2" w:rsidRPr="00D90835" w14:paraId="7794C1F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1BCA1C6" w14:textId="77777777" w:rsidR="00A612E2" w:rsidRPr="00246CC4" w:rsidRDefault="00A612E2" w:rsidP="00742B81">
            <w:pPr>
              <w:jc w:val="center"/>
              <w:rPr>
                <w:noProof/>
                <w:color w:val="006100"/>
                <w:sz w:val="20"/>
                <w:szCs w:val="20"/>
              </w:rPr>
            </w:pPr>
            <w:r>
              <w:rPr>
                <w:noProof/>
                <w:color w:val="006100"/>
                <w:sz w:val="20"/>
              </w:rPr>
              <w:t>M1C1-49</w:t>
            </w:r>
          </w:p>
        </w:tc>
        <w:tc>
          <w:tcPr>
            <w:tcW w:w="3195" w:type="dxa"/>
            <w:tcBorders>
              <w:top w:val="nil"/>
              <w:left w:val="nil"/>
              <w:bottom w:val="single" w:sz="4" w:space="0" w:color="auto"/>
              <w:right w:val="single" w:sz="4" w:space="0" w:color="auto"/>
            </w:tcBorders>
            <w:shd w:val="clear" w:color="auto" w:fill="C6EFCE"/>
            <w:noWrap/>
            <w:vAlign w:val="center"/>
          </w:tcPr>
          <w:p w14:paraId="3C96E83F" w14:textId="77777777" w:rsidR="00A612E2" w:rsidRPr="003B127D" w:rsidRDefault="00A612E2" w:rsidP="00392579">
            <w:pPr>
              <w:rPr>
                <w:noProof/>
                <w:color w:val="006100"/>
                <w:sz w:val="20"/>
                <w:szCs w:val="20"/>
              </w:rPr>
            </w:pPr>
            <w:r>
              <w:rPr>
                <w:noProof/>
                <w:color w:val="006100"/>
                <w:sz w:val="20"/>
              </w:rPr>
              <w:t>Investeering 1.8. Halduskohtute värbamismenetlused</w:t>
            </w:r>
          </w:p>
        </w:tc>
        <w:tc>
          <w:tcPr>
            <w:tcW w:w="1380" w:type="dxa"/>
            <w:tcBorders>
              <w:top w:val="nil"/>
              <w:left w:val="nil"/>
              <w:bottom w:val="single" w:sz="4" w:space="0" w:color="auto"/>
              <w:right w:val="single" w:sz="4" w:space="0" w:color="auto"/>
            </w:tcBorders>
            <w:shd w:val="clear" w:color="auto" w:fill="C6EFCE"/>
            <w:noWrap/>
            <w:vAlign w:val="center"/>
          </w:tcPr>
          <w:p w14:paraId="04587F07"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520DD442" w14:textId="77777777" w:rsidR="00A612E2" w:rsidRPr="003B127D" w:rsidRDefault="00A612E2" w:rsidP="00742B81">
            <w:pPr>
              <w:rPr>
                <w:noProof/>
                <w:color w:val="006100"/>
                <w:sz w:val="20"/>
                <w:szCs w:val="20"/>
              </w:rPr>
            </w:pPr>
            <w:r>
              <w:rPr>
                <w:noProof/>
                <w:color w:val="006100"/>
                <w:sz w:val="20"/>
              </w:rPr>
              <w:t>Piirkondlike halduskohtute kohtuasjade kuhjumise vähendamine (esimene aste).</w:t>
            </w:r>
          </w:p>
        </w:tc>
      </w:tr>
      <w:tr w:rsidR="00A612E2" w:rsidRPr="00D90835" w14:paraId="2E436562"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0E20057" w14:textId="77777777" w:rsidR="00A612E2" w:rsidRPr="00246CC4" w:rsidRDefault="00A612E2" w:rsidP="00742B81">
            <w:pPr>
              <w:jc w:val="center"/>
              <w:rPr>
                <w:noProof/>
                <w:color w:val="006100"/>
                <w:sz w:val="20"/>
                <w:szCs w:val="20"/>
              </w:rPr>
            </w:pPr>
            <w:r>
              <w:rPr>
                <w:noProof/>
                <w:color w:val="006100"/>
                <w:sz w:val="20"/>
              </w:rPr>
              <w:t>M1C1-50</w:t>
            </w:r>
          </w:p>
        </w:tc>
        <w:tc>
          <w:tcPr>
            <w:tcW w:w="3195" w:type="dxa"/>
            <w:tcBorders>
              <w:top w:val="nil"/>
              <w:left w:val="nil"/>
              <w:bottom w:val="single" w:sz="4" w:space="0" w:color="auto"/>
              <w:right w:val="single" w:sz="4" w:space="0" w:color="auto"/>
            </w:tcBorders>
            <w:shd w:val="clear" w:color="auto" w:fill="C6EFCE"/>
            <w:noWrap/>
            <w:vAlign w:val="center"/>
          </w:tcPr>
          <w:p w14:paraId="1933DAC1" w14:textId="77777777" w:rsidR="00A612E2" w:rsidRPr="003B127D" w:rsidRDefault="00A612E2" w:rsidP="00392579">
            <w:pPr>
              <w:rPr>
                <w:noProof/>
                <w:color w:val="006100"/>
                <w:sz w:val="20"/>
                <w:szCs w:val="20"/>
              </w:rPr>
            </w:pPr>
            <w:r>
              <w:rPr>
                <w:noProof/>
                <w:color w:val="006100"/>
                <w:sz w:val="20"/>
              </w:rPr>
              <w:t>Investeering 1.8. Halduskohtute värbamismenetlused</w:t>
            </w:r>
          </w:p>
        </w:tc>
        <w:tc>
          <w:tcPr>
            <w:tcW w:w="1380" w:type="dxa"/>
            <w:tcBorders>
              <w:top w:val="nil"/>
              <w:left w:val="nil"/>
              <w:bottom w:val="single" w:sz="4" w:space="0" w:color="auto"/>
              <w:right w:val="single" w:sz="4" w:space="0" w:color="auto"/>
            </w:tcBorders>
            <w:shd w:val="clear" w:color="auto" w:fill="C6EFCE"/>
            <w:noWrap/>
            <w:vAlign w:val="center"/>
          </w:tcPr>
          <w:p w14:paraId="755BED16"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62A35010" w14:textId="77777777" w:rsidR="00A612E2" w:rsidRPr="003B127D" w:rsidRDefault="00A612E2" w:rsidP="00742B81">
            <w:pPr>
              <w:rPr>
                <w:noProof/>
                <w:color w:val="006100"/>
                <w:sz w:val="20"/>
                <w:szCs w:val="20"/>
              </w:rPr>
            </w:pPr>
            <w:r>
              <w:rPr>
                <w:noProof/>
                <w:color w:val="006100"/>
                <w:sz w:val="20"/>
              </w:rPr>
              <w:t>Kuhjunud kohtuasjade arvu vähendamine riiginõukogus</w:t>
            </w:r>
          </w:p>
        </w:tc>
      </w:tr>
      <w:tr w:rsidR="00A612E2" w:rsidRPr="00D90835" w14:paraId="2E8AE138"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A9525D5" w14:textId="77777777" w:rsidR="00A612E2" w:rsidRPr="00B77079" w:rsidRDefault="00A612E2" w:rsidP="00742B81">
            <w:pPr>
              <w:jc w:val="center"/>
              <w:rPr>
                <w:noProof/>
                <w:color w:val="006100"/>
                <w:sz w:val="20"/>
                <w:szCs w:val="20"/>
              </w:rPr>
            </w:pPr>
            <w:r>
              <w:rPr>
                <w:noProof/>
                <w:color w:val="006100"/>
                <w:sz w:val="20"/>
              </w:rPr>
              <w:t>M1C1–59ter</w:t>
            </w:r>
          </w:p>
        </w:tc>
        <w:tc>
          <w:tcPr>
            <w:tcW w:w="3195" w:type="dxa"/>
            <w:tcBorders>
              <w:top w:val="nil"/>
              <w:left w:val="nil"/>
              <w:bottom w:val="single" w:sz="4" w:space="0" w:color="auto"/>
              <w:right w:val="single" w:sz="4" w:space="0" w:color="auto"/>
            </w:tcBorders>
            <w:shd w:val="clear" w:color="auto" w:fill="C6EFCE"/>
            <w:noWrap/>
            <w:vAlign w:val="center"/>
          </w:tcPr>
          <w:p w14:paraId="76D95649" w14:textId="77777777" w:rsidR="00A612E2" w:rsidRPr="00B77079" w:rsidRDefault="00A612E2" w:rsidP="00392579">
            <w:pPr>
              <w:rPr>
                <w:noProof/>
                <w:color w:val="006100"/>
                <w:sz w:val="20"/>
                <w:szCs w:val="20"/>
              </w:rPr>
            </w:pPr>
            <w:r>
              <w:rPr>
                <w:noProof/>
                <w:color w:val="006100"/>
                <w:sz w:val="20"/>
              </w:rPr>
              <w:t>Reform 1.9. Avaliku halduse reform</w:t>
            </w:r>
          </w:p>
        </w:tc>
        <w:tc>
          <w:tcPr>
            <w:tcW w:w="1380" w:type="dxa"/>
            <w:tcBorders>
              <w:top w:val="nil"/>
              <w:left w:val="nil"/>
              <w:bottom w:val="single" w:sz="4" w:space="0" w:color="auto"/>
              <w:right w:val="single" w:sz="4" w:space="0" w:color="auto"/>
            </w:tcBorders>
            <w:shd w:val="clear" w:color="auto" w:fill="C6EFCE"/>
            <w:noWrap/>
            <w:vAlign w:val="center"/>
          </w:tcPr>
          <w:p w14:paraId="0AD01CAB" w14:textId="77777777" w:rsidR="00A612E2" w:rsidRPr="00B77079" w:rsidRDefault="00A612E2" w:rsidP="00742B81">
            <w:pPr>
              <w:jc w:val="center"/>
              <w:rPr>
                <w:noProof/>
                <w:color w:val="006100"/>
                <w:sz w:val="20"/>
                <w:szCs w:val="20"/>
              </w:rPr>
            </w:pPr>
            <w:r>
              <w:rPr>
                <w:noProof/>
                <w:color w:val="006100"/>
                <w:sz w:val="20"/>
              </w:rPr>
              <w:t>Eesmärk</w:t>
            </w:r>
          </w:p>
        </w:tc>
        <w:tc>
          <w:tcPr>
            <w:tcW w:w="4035" w:type="dxa"/>
            <w:tcBorders>
              <w:top w:val="nil"/>
              <w:left w:val="nil"/>
              <w:bottom w:val="single" w:sz="4" w:space="0" w:color="auto"/>
              <w:right w:val="single" w:sz="4" w:space="0" w:color="auto"/>
            </w:tcBorders>
            <w:shd w:val="clear" w:color="auto" w:fill="C6EFCE"/>
            <w:noWrap/>
            <w:vAlign w:val="center"/>
          </w:tcPr>
          <w:p w14:paraId="6CE88032" w14:textId="77777777" w:rsidR="00A612E2" w:rsidRPr="00B77079" w:rsidRDefault="00A612E2" w:rsidP="00742B81">
            <w:pPr>
              <w:rPr>
                <w:noProof/>
                <w:color w:val="006100"/>
                <w:sz w:val="20"/>
                <w:szCs w:val="20"/>
              </w:rPr>
            </w:pPr>
            <w:r>
              <w:rPr>
                <w:noProof/>
                <w:color w:val="006100"/>
                <w:sz w:val="20"/>
              </w:rPr>
              <w:t xml:space="preserve"> Strateegilise personalijuhtimise rakendamine avalikus halduses  </w:t>
            </w:r>
          </w:p>
        </w:tc>
      </w:tr>
      <w:tr w:rsidR="00A612E2" w:rsidRPr="00D90835" w14:paraId="52987E29"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0EF0048" w14:textId="77777777" w:rsidR="00A612E2" w:rsidRPr="00246CC4" w:rsidRDefault="00A612E2" w:rsidP="00742B81">
            <w:pPr>
              <w:jc w:val="center"/>
              <w:rPr>
                <w:noProof/>
                <w:color w:val="006100"/>
                <w:sz w:val="20"/>
                <w:szCs w:val="20"/>
              </w:rPr>
            </w:pPr>
            <w:r>
              <w:rPr>
                <w:noProof/>
                <w:color w:val="006100"/>
                <w:sz w:val="20"/>
              </w:rPr>
              <w:t>M1C1-63</w:t>
            </w:r>
          </w:p>
        </w:tc>
        <w:tc>
          <w:tcPr>
            <w:tcW w:w="3195" w:type="dxa"/>
            <w:tcBorders>
              <w:top w:val="nil"/>
              <w:left w:val="nil"/>
              <w:bottom w:val="single" w:sz="4" w:space="0" w:color="auto"/>
              <w:right w:val="single" w:sz="4" w:space="0" w:color="auto"/>
            </w:tcBorders>
            <w:shd w:val="clear" w:color="auto" w:fill="C6EFCE"/>
            <w:noWrap/>
            <w:vAlign w:val="center"/>
          </w:tcPr>
          <w:p w14:paraId="0BEA82F5" w14:textId="77777777" w:rsidR="00A612E2" w:rsidRPr="003B127D" w:rsidRDefault="00A612E2" w:rsidP="00392579">
            <w:pPr>
              <w:rPr>
                <w:noProof/>
                <w:color w:val="006100"/>
                <w:sz w:val="20"/>
                <w:szCs w:val="20"/>
              </w:rPr>
            </w:pPr>
            <w:r>
              <w:rPr>
                <w:noProof/>
                <w:color w:val="006100"/>
                <w:sz w:val="20"/>
              </w:rPr>
              <w:t>Reform 1.9. Avaliku halduse reform</w:t>
            </w:r>
          </w:p>
        </w:tc>
        <w:tc>
          <w:tcPr>
            <w:tcW w:w="1380" w:type="dxa"/>
            <w:tcBorders>
              <w:top w:val="nil"/>
              <w:left w:val="nil"/>
              <w:bottom w:val="single" w:sz="4" w:space="0" w:color="auto"/>
              <w:right w:val="single" w:sz="4" w:space="0" w:color="auto"/>
            </w:tcBorders>
            <w:shd w:val="clear" w:color="auto" w:fill="C6EFCE"/>
            <w:noWrap/>
            <w:vAlign w:val="center"/>
          </w:tcPr>
          <w:p w14:paraId="3EAE9857" w14:textId="77777777" w:rsidR="00A612E2" w:rsidRPr="00246CC4" w:rsidRDefault="00A612E2" w:rsidP="00742B81">
            <w:pPr>
              <w:jc w:val="center"/>
              <w:rPr>
                <w:noProof/>
                <w:color w:val="006100"/>
                <w:sz w:val="20"/>
                <w:szCs w:val="20"/>
              </w:rPr>
            </w:pPr>
            <w:r>
              <w:rPr>
                <w:noProof/>
                <w:color w:val="006100"/>
                <w:sz w:val="20"/>
              </w:rPr>
              <w:t>Eesmärk</w:t>
            </w:r>
          </w:p>
        </w:tc>
        <w:tc>
          <w:tcPr>
            <w:tcW w:w="4035" w:type="dxa"/>
            <w:tcBorders>
              <w:top w:val="nil"/>
              <w:left w:val="nil"/>
              <w:bottom w:val="single" w:sz="4" w:space="0" w:color="auto"/>
              <w:right w:val="single" w:sz="4" w:space="0" w:color="auto"/>
            </w:tcBorders>
            <w:shd w:val="clear" w:color="auto" w:fill="C6EFCE"/>
            <w:noWrap/>
            <w:vAlign w:val="center"/>
          </w:tcPr>
          <w:p w14:paraId="4B17294E" w14:textId="77777777" w:rsidR="00A612E2" w:rsidRPr="003B127D" w:rsidRDefault="00A612E2" w:rsidP="00742B81">
            <w:pPr>
              <w:rPr>
                <w:noProof/>
                <w:color w:val="006100"/>
                <w:sz w:val="20"/>
                <w:szCs w:val="20"/>
              </w:rPr>
            </w:pPr>
            <w:r>
              <w:rPr>
                <w:noProof/>
                <w:color w:val="006100"/>
                <w:sz w:val="20"/>
              </w:rPr>
              <w:t>Lihtsustamise lõpuleviimine ning kõigi lihtsustatud menetluste ja vastavate halduskordade registri loomine, millel on kogu riigi territooriumil täielik õiguslik kehtivus</w:t>
            </w:r>
          </w:p>
        </w:tc>
      </w:tr>
      <w:tr w:rsidR="00A612E2" w:rsidRPr="00246CC4" w14:paraId="539A32F4"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F2CC928" w14:textId="77777777" w:rsidR="00A612E2" w:rsidRPr="00246CC4" w:rsidRDefault="00A612E2" w:rsidP="00742B81">
            <w:pPr>
              <w:jc w:val="center"/>
              <w:rPr>
                <w:noProof/>
                <w:color w:val="006100"/>
                <w:sz w:val="20"/>
                <w:szCs w:val="20"/>
              </w:rPr>
            </w:pPr>
            <w:r>
              <w:rPr>
                <w:noProof/>
                <w:color w:val="006100"/>
                <w:sz w:val="20"/>
              </w:rPr>
              <w:t>M1C1-64</w:t>
            </w:r>
          </w:p>
        </w:tc>
        <w:tc>
          <w:tcPr>
            <w:tcW w:w="3195" w:type="dxa"/>
            <w:tcBorders>
              <w:top w:val="nil"/>
              <w:left w:val="nil"/>
              <w:bottom w:val="single" w:sz="4" w:space="0" w:color="auto"/>
              <w:right w:val="single" w:sz="4" w:space="0" w:color="auto"/>
            </w:tcBorders>
            <w:shd w:val="clear" w:color="auto" w:fill="C6EFCE"/>
            <w:noWrap/>
            <w:vAlign w:val="center"/>
          </w:tcPr>
          <w:p w14:paraId="342DCA57" w14:textId="77777777" w:rsidR="00A612E2" w:rsidRPr="003B127D" w:rsidRDefault="00A612E2" w:rsidP="00392579">
            <w:pPr>
              <w:rPr>
                <w:noProof/>
                <w:color w:val="006100"/>
                <w:sz w:val="20"/>
                <w:szCs w:val="20"/>
              </w:rPr>
            </w:pPr>
            <w:r>
              <w:rPr>
                <w:noProof/>
                <w:color w:val="006100"/>
                <w:sz w:val="20"/>
              </w:rPr>
              <w:t>Investeering 1.9. Anda tehnilist abi ja tugevdada suutlikkust Itaalia taaste- ja vastupidavuskava rakendamiseks</w:t>
            </w:r>
          </w:p>
        </w:tc>
        <w:tc>
          <w:tcPr>
            <w:tcW w:w="1380" w:type="dxa"/>
            <w:tcBorders>
              <w:top w:val="nil"/>
              <w:left w:val="nil"/>
              <w:bottom w:val="single" w:sz="4" w:space="0" w:color="auto"/>
              <w:right w:val="single" w:sz="4" w:space="0" w:color="auto"/>
            </w:tcBorders>
            <w:shd w:val="clear" w:color="auto" w:fill="C6EFCE"/>
            <w:noWrap/>
            <w:vAlign w:val="center"/>
          </w:tcPr>
          <w:p w14:paraId="5BB83808"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454A6F3C" w14:textId="77777777" w:rsidR="00A612E2" w:rsidRPr="00246CC4" w:rsidRDefault="00A612E2" w:rsidP="00742B81">
            <w:pPr>
              <w:rPr>
                <w:noProof/>
                <w:color w:val="006100"/>
                <w:sz w:val="20"/>
                <w:szCs w:val="20"/>
              </w:rPr>
            </w:pPr>
            <w:r>
              <w:rPr>
                <w:noProof/>
                <w:color w:val="006100"/>
                <w:sz w:val="20"/>
              </w:rPr>
              <w:t>Haridus ja koolitus</w:t>
            </w:r>
          </w:p>
        </w:tc>
      </w:tr>
      <w:tr w:rsidR="00A612E2" w:rsidRPr="00246CC4" w14:paraId="3C86248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DA19288" w14:textId="77777777" w:rsidR="00A612E2" w:rsidRPr="00246CC4" w:rsidRDefault="00A612E2" w:rsidP="00742B81">
            <w:pPr>
              <w:jc w:val="center"/>
              <w:rPr>
                <w:noProof/>
                <w:color w:val="006100"/>
                <w:sz w:val="20"/>
                <w:szCs w:val="20"/>
              </w:rPr>
            </w:pPr>
            <w:r>
              <w:rPr>
                <w:noProof/>
                <w:color w:val="006100"/>
                <w:sz w:val="20"/>
              </w:rPr>
              <w:t>M1C1-65</w:t>
            </w:r>
          </w:p>
        </w:tc>
        <w:tc>
          <w:tcPr>
            <w:tcW w:w="3195" w:type="dxa"/>
            <w:tcBorders>
              <w:top w:val="nil"/>
              <w:left w:val="nil"/>
              <w:bottom w:val="single" w:sz="4" w:space="0" w:color="auto"/>
              <w:right w:val="single" w:sz="4" w:space="0" w:color="auto"/>
            </w:tcBorders>
            <w:shd w:val="clear" w:color="auto" w:fill="C6EFCE"/>
            <w:noWrap/>
            <w:vAlign w:val="center"/>
          </w:tcPr>
          <w:p w14:paraId="1A7F47B8" w14:textId="77777777" w:rsidR="00A612E2" w:rsidRPr="003B127D" w:rsidRDefault="00A612E2" w:rsidP="00392579">
            <w:pPr>
              <w:rPr>
                <w:noProof/>
                <w:color w:val="006100"/>
                <w:sz w:val="20"/>
                <w:szCs w:val="20"/>
              </w:rPr>
            </w:pPr>
            <w:r>
              <w:rPr>
                <w:noProof/>
                <w:color w:val="006100"/>
                <w:sz w:val="20"/>
              </w:rPr>
              <w:t>Investeering 1.9. Anda tehnilist abi ja tugevdada suutlikkust Itaalia taaste- ja vastupidavuskava rakendamiseks</w:t>
            </w:r>
          </w:p>
        </w:tc>
        <w:tc>
          <w:tcPr>
            <w:tcW w:w="1380" w:type="dxa"/>
            <w:tcBorders>
              <w:top w:val="nil"/>
              <w:left w:val="nil"/>
              <w:bottom w:val="single" w:sz="4" w:space="0" w:color="auto"/>
              <w:right w:val="single" w:sz="4" w:space="0" w:color="auto"/>
            </w:tcBorders>
            <w:shd w:val="clear" w:color="auto" w:fill="C6EFCE"/>
            <w:noWrap/>
            <w:vAlign w:val="center"/>
          </w:tcPr>
          <w:p w14:paraId="1FEF2F4B"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35F614BB" w14:textId="77777777" w:rsidR="00A612E2" w:rsidRPr="00246CC4" w:rsidRDefault="00A612E2" w:rsidP="00742B81">
            <w:pPr>
              <w:rPr>
                <w:noProof/>
                <w:color w:val="006100"/>
                <w:sz w:val="20"/>
                <w:szCs w:val="20"/>
              </w:rPr>
            </w:pPr>
            <w:r>
              <w:rPr>
                <w:noProof/>
                <w:color w:val="006100"/>
                <w:sz w:val="20"/>
              </w:rPr>
              <w:t>Haridus ja koolitus</w:t>
            </w:r>
          </w:p>
        </w:tc>
      </w:tr>
      <w:tr w:rsidR="00A612E2" w:rsidRPr="00246CC4" w14:paraId="541AE49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133F350" w14:textId="77777777" w:rsidR="00A612E2" w:rsidRPr="00246CC4" w:rsidRDefault="00A612E2" w:rsidP="00742B81">
            <w:pPr>
              <w:jc w:val="center"/>
              <w:rPr>
                <w:noProof/>
                <w:color w:val="006100"/>
                <w:sz w:val="20"/>
                <w:szCs w:val="20"/>
              </w:rPr>
            </w:pPr>
            <w:r>
              <w:rPr>
                <w:noProof/>
                <w:color w:val="006100"/>
                <w:sz w:val="20"/>
              </w:rPr>
              <w:t>M1C1-66</w:t>
            </w:r>
          </w:p>
        </w:tc>
        <w:tc>
          <w:tcPr>
            <w:tcW w:w="3195" w:type="dxa"/>
            <w:tcBorders>
              <w:top w:val="nil"/>
              <w:left w:val="nil"/>
              <w:bottom w:val="single" w:sz="4" w:space="0" w:color="auto"/>
              <w:right w:val="single" w:sz="4" w:space="0" w:color="auto"/>
            </w:tcBorders>
            <w:shd w:val="clear" w:color="auto" w:fill="C6EFCE"/>
            <w:noWrap/>
            <w:vAlign w:val="center"/>
          </w:tcPr>
          <w:p w14:paraId="4109F43E" w14:textId="77777777" w:rsidR="00A612E2" w:rsidRPr="003B127D" w:rsidRDefault="00A612E2" w:rsidP="00392579">
            <w:pPr>
              <w:rPr>
                <w:noProof/>
                <w:color w:val="006100"/>
                <w:sz w:val="20"/>
                <w:szCs w:val="20"/>
              </w:rPr>
            </w:pPr>
            <w:r>
              <w:rPr>
                <w:noProof/>
                <w:color w:val="006100"/>
                <w:sz w:val="20"/>
              </w:rPr>
              <w:t>Investeering 1.9. Anda tehnilist abi ja tugevdada suutlikkust Itaalia taaste- ja vastupidavuskava rakendamiseks</w:t>
            </w:r>
          </w:p>
        </w:tc>
        <w:tc>
          <w:tcPr>
            <w:tcW w:w="1380" w:type="dxa"/>
            <w:tcBorders>
              <w:top w:val="nil"/>
              <w:left w:val="nil"/>
              <w:bottom w:val="single" w:sz="4" w:space="0" w:color="auto"/>
              <w:right w:val="single" w:sz="4" w:space="0" w:color="auto"/>
            </w:tcBorders>
            <w:shd w:val="clear" w:color="auto" w:fill="C6EFCE"/>
            <w:noWrap/>
            <w:vAlign w:val="center"/>
          </w:tcPr>
          <w:p w14:paraId="35EBC07F"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3044A280" w14:textId="77777777" w:rsidR="00A612E2" w:rsidRPr="00246CC4" w:rsidRDefault="00A612E2" w:rsidP="00742B81">
            <w:pPr>
              <w:rPr>
                <w:noProof/>
                <w:color w:val="006100"/>
                <w:sz w:val="20"/>
                <w:szCs w:val="20"/>
              </w:rPr>
            </w:pPr>
            <w:r>
              <w:rPr>
                <w:noProof/>
                <w:color w:val="006100"/>
                <w:sz w:val="20"/>
              </w:rPr>
              <w:t>Haridus ja koolitus</w:t>
            </w:r>
          </w:p>
        </w:tc>
      </w:tr>
      <w:tr w:rsidR="00A612E2" w:rsidRPr="00246CC4" w14:paraId="62953AB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6C03166" w14:textId="77777777" w:rsidR="00A612E2" w:rsidRPr="00246CC4" w:rsidRDefault="00A612E2" w:rsidP="00742B81">
            <w:pPr>
              <w:jc w:val="center"/>
              <w:rPr>
                <w:noProof/>
                <w:color w:val="006100"/>
                <w:sz w:val="20"/>
                <w:szCs w:val="20"/>
              </w:rPr>
            </w:pPr>
            <w:r>
              <w:rPr>
                <w:noProof/>
                <w:color w:val="006100"/>
                <w:sz w:val="20"/>
              </w:rPr>
              <w:t>M1C1-67</w:t>
            </w:r>
          </w:p>
        </w:tc>
        <w:tc>
          <w:tcPr>
            <w:tcW w:w="3195" w:type="dxa"/>
            <w:tcBorders>
              <w:top w:val="nil"/>
              <w:left w:val="nil"/>
              <w:bottom w:val="single" w:sz="4" w:space="0" w:color="auto"/>
              <w:right w:val="single" w:sz="4" w:space="0" w:color="auto"/>
            </w:tcBorders>
            <w:shd w:val="clear" w:color="auto" w:fill="C6EFCE"/>
            <w:noWrap/>
            <w:vAlign w:val="center"/>
          </w:tcPr>
          <w:p w14:paraId="3633E6E7" w14:textId="77777777" w:rsidR="00A612E2" w:rsidRPr="003B127D" w:rsidRDefault="00A612E2" w:rsidP="00392579">
            <w:pPr>
              <w:rPr>
                <w:noProof/>
                <w:color w:val="006100"/>
                <w:sz w:val="20"/>
                <w:szCs w:val="20"/>
              </w:rPr>
            </w:pPr>
            <w:r>
              <w:rPr>
                <w:noProof/>
                <w:color w:val="006100"/>
                <w:sz w:val="20"/>
              </w:rPr>
              <w:t>Investeering 1.9. Anda tehnilist abi ja tugevdada suutlikkust Itaalia taaste- ja vastupidavuskava rakendamiseks</w:t>
            </w:r>
          </w:p>
        </w:tc>
        <w:tc>
          <w:tcPr>
            <w:tcW w:w="1380" w:type="dxa"/>
            <w:tcBorders>
              <w:top w:val="nil"/>
              <w:left w:val="nil"/>
              <w:bottom w:val="single" w:sz="4" w:space="0" w:color="auto"/>
              <w:right w:val="single" w:sz="4" w:space="0" w:color="auto"/>
            </w:tcBorders>
            <w:shd w:val="clear" w:color="auto" w:fill="C6EFCE"/>
            <w:noWrap/>
            <w:vAlign w:val="center"/>
          </w:tcPr>
          <w:p w14:paraId="002E0563"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009155CD" w14:textId="77777777" w:rsidR="00A612E2" w:rsidRPr="00246CC4" w:rsidRDefault="00A612E2" w:rsidP="00742B81">
            <w:pPr>
              <w:rPr>
                <w:noProof/>
                <w:color w:val="006100"/>
                <w:sz w:val="20"/>
                <w:szCs w:val="20"/>
              </w:rPr>
            </w:pPr>
            <w:r>
              <w:rPr>
                <w:noProof/>
                <w:color w:val="006100"/>
                <w:sz w:val="20"/>
              </w:rPr>
              <w:t>Haridus ja koolitus</w:t>
            </w:r>
          </w:p>
        </w:tc>
      </w:tr>
      <w:tr w:rsidR="00A612E2" w:rsidRPr="00D90835" w14:paraId="46A2B427"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1FB65C0" w14:textId="77777777" w:rsidR="00A612E2" w:rsidRPr="00246CC4" w:rsidRDefault="00A612E2" w:rsidP="00742B81">
            <w:pPr>
              <w:jc w:val="center"/>
              <w:rPr>
                <w:noProof/>
                <w:color w:val="006100"/>
                <w:sz w:val="20"/>
                <w:szCs w:val="20"/>
              </w:rPr>
            </w:pPr>
            <w:r>
              <w:rPr>
                <w:noProof/>
                <w:color w:val="006100"/>
                <w:sz w:val="20"/>
              </w:rPr>
              <w:t>M1C1-118</w:t>
            </w:r>
          </w:p>
        </w:tc>
        <w:tc>
          <w:tcPr>
            <w:tcW w:w="3195" w:type="dxa"/>
            <w:tcBorders>
              <w:top w:val="nil"/>
              <w:left w:val="nil"/>
              <w:bottom w:val="single" w:sz="4" w:space="0" w:color="auto"/>
              <w:right w:val="single" w:sz="4" w:space="0" w:color="auto"/>
            </w:tcBorders>
            <w:shd w:val="clear" w:color="auto" w:fill="C6EFCE"/>
            <w:noWrap/>
            <w:vAlign w:val="center"/>
          </w:tcPr>
          <w:p w14:paraId="747B43EC" w14:textId="77777777" w:rsidR="00A612E2" w:rsidRPr="003B127D" w:rsidRDefault="00A612E2" w:rsidP="00392579">
            <w:pPr>
              <w:rPr>
                <w:noProof/>
                <w:color w:val="006100"/>
                <w:sz w:val="20"/>
                <w:szCs w:val="20"/>
              </w:rPr>
            </w:pPr>
            <w:r>
              <w:rPr>
                <w:noProof/>
                <w:color w:val="006100"/>
                <w:sz w:val="20"/>
              </w:rPr>
              <w:t>Reform 1.15. Avaliku sektori raamatupidamiseeskirjade reform</w:t>
            </w:r>
          </w:p>
        </w:tc>
        <w:tc>
          <w:tcPr>
            <w:tcW w:w="1380" w:type="dxa"/>
            <w:tcBorders>
              <w:top w:val="nil"/>
              <w:left w:val="nil"/>
              <w:bottom w:val="single" w:sz="4" w:space="0" w:color="auto"/>
              <w:right w:val="single" w:sz="4" w:space="0" w:color="auto"/>
            </w:tcBorders>
            <w:shd w:val="clear" w:color="auto" w:fill="C6EFCE"/>
            <w:noWrap/>
            <w:vAlign w:val="center"/>
          </w:tcPr>
          <w:p w14:paraId="37E9B862" w14:textId="77777777" w:rsidR="00A612E2" w:rsidRPr="00246CC4" w:rsidRDefault="00A612E2" w:rsidP="00742B81">
            <w:pPr>
              <w:jc w:val="center"/>
              <w:rPr>
                <w:noProof/>
                <w:color w:val="006100"/>
                <w:sz w:val="20"/>
                <w:szCs w:val="20"/>
              </w:rPr>
            </w:pPr>
            <w:r>
              <w:rPr>
                <w:noProof/>
                <w:color w:val="006100"/>
                <w:sz w:val="20"/>
              </w:rPr>
              <w:t>Eesmärk</w:t>
            </w:r>
          </w:p>
        </w:tc>
        <w:tc>
          <w:tcPr>
            <w:tcW w:w="4035" w:type="dxa"/>
            <w:tcBorders>
              <w:top w:val="nil"/>
              <w:left w:val="nil"/>
              <w:bottom w:val="single" w:sz="4" w:space="0" w:color="auto"/>
              <w:right w:val="single" w:sz="4" w:space="0" w:color="auto"/>
            </w:tcBorders>
            <w:shd w:val="clear" w:color="auto" w:fill="C6EFCE"/>
            <w:noWrap/>
            <w:vAlign w:val="center"/>
          </w:tcPr>
          <w:p w14:paraId="1C5366FD" w14:textId="77777777" w:rsidR="00A612E2" w:rsidRPr="003B127D" w:rsidRDefault="00A612E2" w:rsidP="00742B81">
            <w:pPr>
              <w:rPr>
                <w:noProof/>
                <w:color w:val="006100"/>
                <w:sz w:val="20"/>
                <w:szCs w:val="20"/>
              </w:rPr>
            </w:pPr>
            <w:r>
              <w:rPr>
                <w:noProof/>
                <w:color w:val="006100"/>
                <w:sz w:val="20"/>
              </w:rPr>
              <w:t>Jõustub tekkepõhise raamatupidamisarvestuse reform, mis hõlmab vähemalt 90 % kogu avalikust sektorist.</w:t>
            </w:r>
          </w:p>
        </w:tc>
      </w:tr>
      <w:tr w:rsidR="00A612E2" w:rsidRPr="00D90835" w14:paraId="4B64BB7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AE61781" w14:textId="77777777" w:rsidR="00A612E2" w:rsidRPr="00246CC4" w:rsidRDefault="00A612E2" w:rsidP="00742B81">
            <w:pPr>
              <w:jc w:val="center"/>
              <w:rPr>
                <w:noProof/>
                <w:color w:val="006100"/>
                <w:sz w:val="20"/>
                <w:szCs w:val="20"/>
              </w:rPr>
            </w:pPr>
            <w:r>
              <w:rPr>
                <w:noProof/>
                <w:color w:val="006100"/>
                <w:sz w:val="20"/>
              </w:rPr>
              <w:t>M1C1-121</w:t>
            </w:r>
          </w:p>
        </w:tc>
        <w:tc>
          <w:tcPr>
            <w:tcW w:w="3195" w:type="dxa"/>
            <w:tcBorders>
              <w:top w:val="nil"/>
              <w:left w:val="nil"/>
              <w:bottom w:val="single" w:sz="4" w:space="0" w:color="auto"/>
              <w:right w:val="single" w:sz="4" w:space="0" w:color="auto"/>
            </w:tcBorders>
            <w:shd w:val="clear" w:color="auto" w:fill="C6EFCE"/>
            <w:noWrap/>
            <w:vAlign w:val="center"/>
          </w:tcPr>
          <w:p w14:paraId="182099D1" w14:textId="77777777" w:rsidR="00A612E2" w:rsidRPr="003B127D" w:rsidRDefault="00A612E2" w:rsidP="00392579">
            <w:pPr>
              <w:rPr>
                <w:noProof/>
                <w:color w:val="006100"/>
                <w:sz w:val="20"/>
                <w:szCs w:val="20"/>
              </w:rPr>
            </w:pPr>
            <w:r>
              <w:rPr>
                <w:noProof/>
                <w:color w:val="006100"/>
                <w:sz w:val="20"/>
              </w:rPr>
              <w:t>Reform 1.12. Maksuhalduse reform</w:t>
            </w:r>
          </w:p>
        </w:tc>
        <w:tc>
          <w:tcPr>
            <w:tcW w:w="1380" w:type="dxa"/>
            <w:tcBorders>
              <w:top w:val="nil"/>
              <w:left w:val="nil"/>
              <w:bottom w:val="single" w:sz="4" w:space="0" w:color="auto"/>
              <w:right w:val="single" w:sz="4" w:space="0" w:color="auto"/>
            </w:tcBorders>
            <w:shd w:val="clear" w:color="auto" w:fill="C6EFCE"/>
            <w:noWrap/>
            <w:vAlign w:val="center"/>
          </w:tcPr>
          <w:p w14:paraId="35B99469"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2B7F3D70" w14:textId="77777777" w:rsidR="00A612E2" w:rsidRPr="003B127D" w:rsidRDefault="00A612E2" w:rsidP="00742B81">
            <w:pPr>
              <w:rPr>
                <w:noProof/>
                <w:color w:val="006100"/>
                <w:sz w:val="20"/>
                <w:szCs w:val="20"/>
              </w:rPr>
            </w:pPr>
            <w:r>
              <w:rPr>
                <w:noProof/>
                <w:color w:val="006100"/>
                <w:sz w:val="20"/>
              </w:rPr>
              <w:t>Maksudest kõrvalehoidumise vähendamine, nagu on määratletud näitajaga „võimalus maksudest kõrvale hoiduda“</w:t>
            </w:r>
          </w:p>
        </w:tc>
      </w:tr>
      <w:tr w:rsidR="00A612E2" w:rsidRPr="00D90835" w14:paraId="34B000E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279A763" w14:textId="77777777" w:rsidR="00A612E2" w:rsidRPr="00246CC4" w:rsidRDefault="00A612E2" w:rsidP="00742B81">
            <w:pPr>
              <w:jc w:val="center"/>
              <w:rPr>
                <w:noProof/>
                <w:color w:val="006100"/>
                <w:sz w:val="20"/>
                <w:szCs w:val="20"/>
              </w:rPr>
            </w:pPr>
            <w:r>
              <w:rPr>
                <w:noProof/>
                <w:color w:val="006100"/>
                <w:sz w:val="20"/>
              </w:rPr>
              <w:t>M1C1-122</w:t>
            </w:r>
          </w:p>
        </w:tc>
        <w:tc>
          <w:tcPr>
            <w:tcW w:w="3195" w:type="dxa"/>
            <w:tcBorders>
              <w:top w:val="nil"/>
              <w:left w:val="nil"/>
              <w:bottom w:val="single" w:sz="4" w:space="0" w:color="auto"/>
              <w:right w:val="single" w:sz="4" w:space="0" w:color="auto"/>
            </w:tcBorders>
            <w:shd w:val="clear" w:color="auto" w:fill="C6EFCE"/>
            <w:noWrap/>
            <w:vAlign w:val="center"/>
          </w:tcPr>
          <w:p w14:paraId="40178045" w14:textId="77777777" w:rsidR="00A612E2" w:rsidRPr="003B127D" w:rsidRDefault="00A612E2" w:rsidP="00392579">
            <w:pPr>
              <w:rPr>
                <w:noProof/>
                <w:color w:val="006100"/>
                <w:sz w:val="20"/>
                <w:szCs w:val="20"/>
              </w:rPr>
            </w:pPr>
            <w:r>
              <w:rPr>
                <w:noProof/>
                <w:color w:val="006100"/>
                <w:sz w:val="20"/>
              </w:rPr>
              <w:t>Reform 1.13. Kulude läbivaatamise raamistiku reform</w:t>
            </w:r>
          </w:p>
        </w:tc>
        <w:tc>
          <w:tcPr>
            <w:tcW w:w="1380" w:type="dxa"/>
            <w:tcBorders>
              <w:top w:val="nil"/>
              <w:left w:val="nil"/>
              <w:bottom w:val="single" w:sz="4" w:space="0" w:color="auto"/>
              <w:right w:val="single" w:sz="4" w:space="0" w:color="auto"/>
            </w:tcBorders>
            <w:shd w:val="clear" w:color="auto" w:fill="C6EFCE"/>
            <w:noWrap/>
            <w:vAlign w:val="center"/>
          </w:tcPr>
          <w:p w14:paraId="60A0A1EB" w14:textId="77777777" w:rsidR="00A612E2" w:rsidRPr="00246CC4" w:rsidRDefault="00A612E2" w:rsidP="00742B81">
            <w:pPr>
              <w:jc w:val="center"/>
              <w:rPr>
                <w:noProof/>
                <w:color w:val="006100"/>
                <w:sz w:val="20"/>
                <w:szCs w:val="20"/>
              </w:rPr>
            </w:pPr>
            <w:r>
              <w:rPr>
                <w:noProof/>
                <w:color w:val="006100"/>
                <w:sz w:val="20"/>
              </w:rPr>
              <w:t>Eesmärk</w:t>
            </w:r>
          </w:p>
        </w:tc>
        <w:tc>
          <w:tcPr>
            <w:tcW w:w="4035" w:type="dxa"/>
            <w:tcBorders>
              <w:top w:val="nil"/>
              <w:left w:val="nil"/>
              <w:bottom w:val="single" w:sz="4" w:space="0" w:color="auto"/>
              <w:right w:val="single" w:sz="4" w:space="0" w:color="auto"/>
            </w:tcBorders>
            <w:shd w:val="clear" w:color="auto" w:fill="C6EFCE"/>
            <w:noWrap/>
            <w:vAlign w:val="center"/>
          </w:tcPr>
          <w:p w14:paraId="0D709FD2" w14:textId="77777777" w:rsidR="00A612E2" w:rsidRPr="003B127D" w:rsidRDefault="00A612E2" w:rsidP="00742B81">
            <w:pPr>
              <w:rPr>
                <w:noProof/>
                <w:color w:val="006100"/>
                <w:sz w:val="20"/>
                <w:szCs w:val="20"/>
              </w:rPr>
            </w:pPr>
            <w:r>
              <w:rPr>
                <w:noProof/>
                <w:color w:val="006100"/>
                <w:sz w:val="20"/>
              </w:rPr>
              <w:t>Iga-aastase kulutuste läbivaatamise lõpuleviimine 2025. aastaks, võttes arvesse 2022., 2023., 2024. ja 2025. aastaks seatud säästueesmärki.</w:t>
            </w:r>
          </w:p>
        </w:tc>
      </w:tr>
      <w:tr w:rsidR="00A612E2" w:rsidRPr="00D90835" w14:paraId="55772FD1"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F1F4794" w14:textId="77777777" w:rsidR="00A612E2" w:rsidRPr="00246CC4" w:rsidRDefault="00A612E2" w:rsidP="00742B81">
            <w:pPr>
              <w:jc w:val="center"/>
              <w:rPr>
                <w:noProof/>
                <w:color w:val="006100"/>
                <w:sz w:val="20"/>
                <w:szCs w:val="20"/>
              </w:rPr>
            </w:pPr>
            <w:r>
              <w:rPr>
                <w:noProof/>
                <w:color w:val="006100"/>
                <w:sz w:val="20"/>
              </w:rPr>
              <w:t>M1C3-3</w:t>
            </w:r>
          </w:p>
        </w:tc>
        <w:tc>
          <w:tcPr>
            <w:tcW w:w="3195" w:type="dxa"/>
            <w:tcBorders>
              <w:top w:val="nil"/>
              <w:left w:val="nil"/>
              <w:bottom w:val="single" w:sz="4" w:space="0" w:color="auto"/>
              <w:right w:val="single" w:sz="4" w:space="0" w:color="auto"/>
            </w:tcBorders>
            <w:shd w:val="clear" w:color="auto" w:fill="C6EFCE"/>
            <w:noWrap/>
            <w:vAlign w:val="center"/>
          </w:tcPr>
          <w:p w14:paraId="4E09D24E" w14:textId="77777777" w:rsidR="00A612E2" w:rsidRPr="003B127D" w:rsidRDefault="00A612E2" w:rsidP="00392579">
            <w:pPr>
              <w:rPr>
                <w:noProof/>
                <w:color w:val="006100"/>
                <w:sz w:val="20"/>
                <w:szCs w:val="20"/>
              </w:rPr>
            </w:pPr>
            <w:r>
              <w:rPr>
                <w:noProof/>
                <w:color w:val="006100"/>
                <w:sz w:val="20"/>
              </w:rPr>
              <w:t>Investeering 1.2. Füüsiliste ja kognitiivsete tõkete eemaldamine muuseumides, raamatukogudes ja arhiivides, et võimaldada kultuurile laiemat juurdepääsu ja selles osalemist</w:t>
            </w:r>
          </w:p>
        </w:tc>
        <w:tc>
          <w:tcPr>
            <w:tcW w:w="1380" w:type="dxa"/>
            <w:tcBorders>
              <w:top w:val="nil"/>
              <w:left w:val="nil"/>
              <w:bottom w:val="single" w:sz="4" w:space="0" w:color="auto"/>
              <w:right w:val="single" w:sz="4" w:space="0" w:color="auto"/>
            </w:tcBorders>
            <w:shd w:val="clear" w:color="auto" w:fill="C6EFCE"/>
            <w:noWrap/>
            <w:vAlign w:val="center"/>
          </w:tcPr>
          <w:p w14:paraId="69D5D67F"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4B92B003" w14:textId="77777777" w:rsidR="00A612E2" w:rsidRPr="003B127D" w:rsidRDefault="00A612E2" w:rsidP="00742B81">
            <w:pPr>
              <w:rPr>
                <w:noProof/>
                <w:color w:val="006100"/>
                <w:sz w:val="20"/>
                <w:szCs w:val="20"/>
              </w:rPr>
            </w:pPr>
            <w:r>
              <w:rPr>
                <w:noProof/>
                <w:color w:val="006100"/>
                <w:sz w:val="20"/>
              </w:rPr>
              <w:t>Sekkumised füüsilise ja kognitiivse juurdepääsetavuse parandamiseks kultuuripaikades</w:t>
            </w:r>
          </w:p>
        </w:tc>
      </w:tr>
      <w:tr w:rsidR="00A612E2" w:rsidRPr="00D90835" w14:paraId="675A68B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8723EC3" w14:textId="77777777" w:rsidR="00A612E2" w:rsidRPr="00246CC4" w:rsidRDefault="00A612E2" w:rsidP="00742B81">
            <w:pPr>
              <w:jc w:val="center"/>
              <w:rPr>
                <w:noProof/>
                <w:color w:val="006100"/>
                <w:sz w:val="20"/>
                <w:szCs w:val="20"/>
              </w:rPr>
            </w:pPr>
            <w:r>
              <w:rPr>
                <w:noProof/>
                <w:color w:val="006100"/>
                <w:sz w:val="20"/>
              </w:rPr>
              <w:t>M2C1-8</w:t>
            </w:r>
          </w:p>
        </w:tc>
        <w:tc>
          <w:tcPr>
            <w:tcW w:w="3195" w:type="dxa"/>
            <w:tcBorders>
              <w:top w:val="nil"/>
              <w:left w:val="nil"/>
              <w:bottom w:val="single" w:sz="4" w:space="0" w:color="auto"/>
              <w:right w:val="single" w:sz="4" w:space="0" w:color="auto"/>
            </w:tcBorders>
            <w:shd w:val="clear" w:color="auto" w:fill="C6EFCE"/>
            <w:noWrap/>
            <w:vAlign w:val="center"/>
          </w:tcPr>
          <w:p w14:paraId="31DEB6E0" w14:textId="77777777" w:rsidR="00A612E2" w:rsidRPr="003B127D" w:rsidRDefault="00A612E2" w:rsidP="00392579">
            <w:pPr>
              <w:rPr>
                <w:noProof/>
                <w:color w:val="006100"/>
                <w:sz w:val="20"/>
                <w:szCs w:val="20"/>
              </w:rPr>
            </w:pPr>
            <w:r>
              <w:rPr>
                <w:noProof/>
                <w:color w:val="006100"/>
                <w:sz w:val="20"/>
              </w:rPr>
              <w:t>Investeering 2.3. Innovatsioon ja mehhaniseerimine põllumajandus- ja toiduainesektoris</w:t>
            </w:r>
          </w:p>
        </w:tc>
        <w:tc>
          <w:tcPr>
            <w:tcW w:w="1380" w:type="dxa"/>
            <w:tcBorders>
              <w:top w:val="nil"/>
              <w:left w:val="nil"/>
              <w:bottom w:val="single" w:sz="4" w:space="0" w:color="auto"/>
              <w:right w:val="single" w:sz="4" w:space="0" w:color="auto"/>
            </w:tcBorders>
            <w:shd w:val="clear" w:color="auto" w:fill="C6EFCE"/>
            <w:noWrap/>
            <w:vAlign w:val="center"/>
          </w:tcPr>
          <w:p w14:paraId="481A88C4"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3CFD956E" w14:textId="77777777" w:rsidR="00A612E2" w:rsidRPr="003B127D" w:rsidRDefault="00A612E2" w:rsidP="00742B81">
            <w:pPr>
              <w:rPr>
                <w:noProof/>
                <w:color w:val="006100"/>
                <w:sz w:val="20"/>
                <w:szCs w:val="20"/>
              </w:rPr>
            </w:pPr>
            <w:r>
              <w:rPr>
                <w:noProof/>
                <w:color w:val="006100"/>
                <w:sz w:val="20"/>
              </w:rPr>
              <w:t>Toetus investeeringutele innovatsiooni ringmajanduses ja biomajanduses</w:t>
            </w:r>
          </w:p>
        </w:tc>
      </w:tr>
      <w:tr w:rsidR="00A612E2" w:rsidRPr="00246CC4" w14:paraId="1C975A62"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2700076" w14:textId="77777777" w:rsidR="00A612E2" w:rsidRPr="00246CC4" w:rsidRDefault="00A612E2" w:rsidP="00742B81">
            <w:pPr>
              <w:jc w:val="center"/>
              <w:rPr>
                <w:noProof/>
                <w:color w:val="006100"/>
                <w:sz w:val="20"/>
                <w:szCs w:val="20"/>
              </w:rPr>
            </w:pPr>
            <w:r>
              <w:rPr>
                <w:noProof/>
                <w:color w:val="006100"/>
                <w:sz w:val="20"/>
              </w:rPr>
              <w:t>M2C1-9</w:t>
            </w:r>
          </w:p>
        </w:tc>
        <w:tc>
          <w:tcPr>
            <w:tcW w:w="3195" w:type="dxa"/>
            <w:tcBorders>
              <w:top w:val="nil"/>
              <w:left w:val="nil"/>
              <w:bottom w:val="single" w:sz="4" w:space="0" w:color="auto"/>
              <w:right w:val="single" w:sz="4" w:space="0" w:color="auto"/>
            </w:tcBorders>
            <w:shd w:val="clear" w:color="auto" w:fill="C6EFCE"/>
            <w:noWrap/>
            <w:vAlign w:val="center"/>
          </w:tcPr>
          <w:p w14:paraId="6DCE6962" w14:textId="77777777" w:rsidR="00A612E2" w:rsidRPr="00246CC4" w:rsidRDefault="00A612E2" w:rsidP="00392579">
            <w:pPr>
              <w:rPr>
                <w:noProof/>
                <w:color w:val="006100"/>
                <w:sz w:val="20"/>
                <w:szCs w:val="20"/>
              </w:rPr>
            </w:pPr>
            <w:r>
              <w:rPr>
                <w:noProof/>
                <w:color w:val="006100"/>
                <w:sz w:val="20"/>
              </w:rPr>
              <w:t>Investeering 2.2. Põllumajanduslik päikesepark</w:t>
            </w:r>
          </w:p>
        </w:tc>
        <w:tc>
          <w:tcPr>
            <w:tcW w:w="1380" w:type="dxa"/>
            <w:tcBorders>
              <w:top w:val="nil"/>
              <w:left w:val="nil"/>
              <w:bottom w:val="single" w:sz="4" w:space="0" w:color="auto"/>
              <w:right w:val="single" w:sz="4" w:space="0" w:color="auto"/>
            </w:tcBorders>
            <w:shd w:val="clear" w:color="auto" w:fill="C6EFCE"/>
            <w:noWrap/>
            <w:vAlign w:val="center"/>
          </w:tcPr>
          <w:p w14:paraId="22ADCF7C"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00FD9DB2" w14:textId="77777777" w:rsidR="00A612E2" w:rsidRPr="00246CC4" w:rsidRDefault="00A612E2" w:rsidP="00742B81">
            <w:pPr>
              <w:rPr>
                <w:noProof/>
                <w:color w:val="006100"/>
                <w:sz w:val="20"/>
                <w:szCs w:val="20"/>
              </w:rPr>
            </w:pPr>
            <w:r>
              <w:rPr>
                <w:noProof/>
                <w:color w:val="006100"/>
                <w:sz w:val="20"/>
              </w:rPr>
              <w:t>Põllumajanduslik vulkaaniline energiatootmine</w:t>
            </w:r>
          </w:p>
        </w:tc>
      </w:tr>
      <w:tr w:rsidR="00A612E2" w:rsidRPr="00D90835" w14:paraId="5BEA8AFB"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573153A" w14:textId="77777777" w:rsidR="00A612E2" w:rsidRPr="00246CC4" w:rsidRDefault="00A612E2" w:rsidP="00742B81">
            <w:pPr>
              <w:jc w:val="center"/>
              <w:rPr>
                <w:noProof/>
                <w:color w:val="006100"/>
                <w:sz w:val="20"/>
                <w:szCs w:val="20"/>
              </w:rPr>
            </w:pPr>
            <w:r>
              <w:rPr>
                <w:noProof/>
                <w:color w:val="006100"/>
                <w:sz w:val="20"/>
              </w:rPr>
              <w:t>M2C1-10</w:t>
            </w:r>
          </w:p>
        </w:tc>
        <w:tc>
          <w:tcPr>
            <w:tcW w:w="3195" w:type="dxa"/>
            <w:tcBorders>
              <w:top w:val="nil"/>
              <w:left w:val="nil"/>
              <w:bottom w:val="single" w:sz="4" w:space="0" w:color="auto"/>
              <w:right w:val="single" w:sz="4" w:space="0" w:color="auto"/>
            </w:tcBorders>
            <w:shd w:val="clear" w:color="auto" w:fill="C6EFCE"/>
            <w:noWrap/>
            <w:vAlign w:val="center"/>
          </w:tcPr>
          <w:p w14:paraId="5B023D2E" w14:textId="77777777" w:rsidR="00A612E2" w:rsidRPr="003B127D" w:rsidRDefault="00A612E2" w:rsidP="00392579">
            <w:pPr>
              <w:rPr>
                <w:noProof/>
                <w:color w:val="006100"/>
                <w:sz w:val="20"/>
                <w:szCs w:val="20"/>
              </w:rPr>
            </w:pPr>
            <w:r>
              <w:rPr>
                <w:noProof/>
                <w:color w:val="006100"/>
                <w:sz w:val="20"/>
              </w:rPr>
              <w:t>Investeering 2.1. Logistikakava põllumajandusliku toidutööstuse, kalanduse ja vesiviljeluse, metsanduse, lillekasvatuse ja taimekasvatussektori jaoks</w:t>
            </w:r>
          </w:p>
        </w:tc>
        <w:tc>
          <w:tcPr>
            <w:tcW w:w="1380" w:type="dxa"/>
            <w:tcBorders>
              <w:top w:val="nil"/>
              <w:left w:val="nil"/>
              <w:bottom w:val="single" w:sz="4" w:space="0" w:color="auto"/>
              <w:right w:val="single" w:sz="4" w:space="0" w:color="auto"/>
            </w:tcBorders>
            <w:shd w:val="clear" w:color="auto" w:fill="C6EFCE"/>
            <w:noWrap/>
            <w:vAlign w:val="center"/>
          </w:tcPr>
          <w:p w14:paraId="7FF1ED8A"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7F32D38B" w14:textId="77777777" w:rsidR="00A612E2" w:rsidRPr="003B127D" w:rsidRDefault="00A612E2" w:rsidP="00742B81">
            <w:pPr>
              <w:rPr>
                <w:noProof/>
                <w:color w:val="006100"/>
                <w:sz w:val="20"/>
                <w:szCs w:val="20"/>
              </w:rPr>
            </w:pPr>
            <w:r>
              <w:rPr>
                <w:noProof/>
                <w:color w:val="006100"/>
                <w:sz w:val="20"/>
              </w:rPr>
              <w:t>Sekkumised põllumajandusliku toidutööstuse, kalanduse ja vesiviljeluse, metsanduse, lillekasvatuse ja taimekasvatussektori logistika parandamiseks</w:t>
            </w:r>
          </w:p>
        </w:tc>
      </w:tr>
      <w:tr w:rsidR="00A612E2" w:rsidRPr="00246CC4" w14:paraId="6710160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FE2B964" w14:textId="77777777" w:rsidR="00A612E2" w:rsidRPr="00246CC4" w:rsidRDefault="00A612E2" w:rsidP="00742B81">
            <w:pPr>
              <w:jc w:val="center"/>
              <w:rPr>
                <w:noProof/>
                <w:color w:val="006100"/>
                <w:sz w:val="20"/>
                <w:szCs w:val="20"/>
              </w:rPr>
            </w:pPr>
            <w:r>
              <w:rPr>
                <w:noProof/>
                <w:color w:val="006100"/>
                <w:sz w:val="20"/>
              </w:rPr>
              <w:t>M2C1-12</w:t>
            </w:r>
          </w:p>
        </w:tc>
        <w:tc>
          <w:tcPr>
            <w:tcW w:w="3195" w:type="dxa"/>
            <w:tcBorders>
              <w:top w:val="nil"/>
              <w:left w:val="nil"/>
              <w:bottom w:val="single" w:sz="4" w:space="0" w:color="auto"/>
              <w:right w:val="single" w:sz="4" w:space="0" w:color="auto"/>
            </w:tcBorders>
            <w:shd w:val="clear" w:color="auto" w:fill="C6EFCE"/>
            <w:noWrap/>
            <w:vAlign w:val="center"/>
          </w:tcPr>
          <w:p w14:paraId="47EF14FC" w14:textId="77777777" w:rsidR="00A612E2" w:rsidRPr="003B127D" w:rsidRDefault="00A612E2" w:rsidP="00392579">
            <w:pPr>
              <w:rPr>
                <w:noProof/>
                <w:color w:val="006100"/>
                <w:sz w:val="20"/>
                <w:szCs w:val="20"/>
              </w:rPr>
            </w:pPr>
            <w:r>
              <w:rPr>
                <w:noProof/>
                <w:color w:val="006100"/>
                <w:sz w:val="20"/>
              </w:rPr>
              <w:t>Investeering 3.3. Kultuur ja teadlikkus keskkonnateemadest ja -probleemidest</w:t>
            </w:r>
          </w:p>
        </w:tc>
        <w:tc>
          <w:tcPr>
            <w:tcW w:w="1380" w:type="dxa"/>
            <w:tcBorders>
              <w:top w:val="nil"/>
              <w:left w:val="nil"/>
              <w:bottom w:val="single" w:sz="4" w:space="0" w:color="auto"/>
              <w:right w:val="single" w:sz="4" w:space="0" w:color="auto"/>
            </w:tcBorders>
            <w:shd w:val="clear" w:color="auto" w:fill="C6EFCE"/>
            <w:noWrap/>
            <w:vAlign w:val="center"/>
          </w:tcPr>
          <w:p w14:paraId="3A04D15A"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65E0404F" w14:textId="77777777" w:rsidR="00A612E2" w:rsidRPr="00246CC4" w:rsidRDefault="00A612E2" w:rsidP="00742B81">
            <w:pPr>
              <w:rPr>
                <w:noProof/>
                <w:color w:val="006100"/>
                <w:sz w:val="20"/>
                <w:szCs w:val="20"/>
              </w:rPr>
            </w:pPr>
            <w:r>
              <w:rPr>
                <w:noProof/>
                <w:color w:val="006100"/>
                <w:sz w:val="20"/>
              </w:rPr>
              <w:t>Audiovisuaalsed materjalid keskkonnaalase ülemineku kohta</w:t>
            </w:r>
          </w:p>
        </w:tc>
      </w:tr>
      <w:tr w:rsidR="00A612E2" w:rsidRPr="00246CC4" w14:paraId="599013DF"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F28EF24" w14:textId="77777777" w:rsidR="00A612E2" w:rsidRPr="00246CC4" w:rsidRDefault="00A612E2" w:rsidP="00742B81">
            <w:pPr>
              <w:jc w:val="center"/>
              <w:rPr>
                <w:noProof/>
                <w:color w:val="006100"/>
                <w:sz w:val="20"/>
                <w:szCs w:val="20"/>
              </w:rPr>
            </w:pPr>
            <w:r>
              <w:rPr>
                <w:noProof/>
                <w:color w:val="006100"/>
                <w:sz w:val="20"/>
              </w:rPr>
              <w:t>M2C2-23</w:t>
            </w:r>
          </w:p>
        </w:tc>
        <w:tc>
          <w:tcPr>
            <w:tcW w:w="3195" w:type="dxa"/>
            <w:tcBorders>
              <w:top w:val="nil"/>
              <w:left w:val="nil"/>
              <w:bottom w:val="single" w:sz="4" w:space="0" w:color="auto"/>
              <w:right w:val="single" w:sz="4" w:space="0" w:color="auto"/>
            </w:tcBorders>
            <w:shd w:val="clear" w:color="auto" w:fill="C6EFCE"/>
            <w:noWrap/>
            <w:vAlign w:val="center"/>
          </w:tcPr>
          <w:p w14:paraId="106B1C8F" w14:textId="77777777" w:rsidR="00A612E2" w:rsidRPr="003B127D" w:rsidRDefault="00A612E2" w:rsidP="00392579">
            <w:pPr>
              <w:rPr>
                <w:noProof/>
                <w:color w:val="006100"/>
                <w:sz w:val="20"/>
                <w:szCs w:val="20"/>
              </w:rPr>
            </w:pPr>
            <w:r>
              <w:rPr>
                <w:noProof/>
                <w:color w:val="006100"/>
                <w:sz w:val="20"/>
              </w:rPr>
              <w:t>Investeering 4.1. Investeeringud pehmesse liikuvusse (riiklik jalgrattateede kava)</w:t>
            </w:r>
          </w:p>
        </w:tc>
        <w:tc>
          <w:tcPr>
            <w:tcW w:w="1380" w:type="dxa"/>
            <w:tcBorders>
              <w:top w:val="nil"/>
              <w:left w:val="nil"/>
              <w:bottom w:val="single" w:sz="4" w:space="0" w:color="auto"/>
              <w:right w:val="single" w:sz="4" w:space="0" w:color="auto"/>
            </w:tcBorders>
            <w:shd w:val="clear" w:color="auto" w:fill="C6EFCE"/>
            <w:noWrap/>
            <w:vAlign w:val="center"/>
          </w:tcPr>
          <w:p w14:paraId="783363C0"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6686B9BA" w14:textId="77777777" w:rsidR="00A612E2" w:rsidRPr="00246CC4" w:rsidRDefault="00A612E2" w:rsidP="00742B81">
            <w:pPr>
              <w:rPr>
                <w:noProof/>
                <w:color w:val="006100"/>
                <w:sz w:val="20"/>
                <w:szCs w:val="20"/>
              </w:rPr>
            </w:pPr>
            <w:r>
              <w:rPr>
                <w:noProof/>
                <w:color w:val="006100"/>
                <w:sz w:val="20"/>
              </w:rPr>
              <w:t>Jalgrattateed T2</w:t>
            </w:r>
          </w:p>
        </w:tc>
      </w:tr>
      <w:tr w:rsidR="00A612E2" w:rsidRPr="00D90835" w14:paraId="16C9756F"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7574328" w14:textId="77777777" w:rsidR="00A612E2" w:rsidRPr="00246CC4" w:rsidRDefault="00A612E2" w:rsidP="00742B81">
            <w:pPr>
              <w:jc w:val="center"/>
              <w:rPr>
                <w:noProof/>
                <w:color w:val="006100"/>
                <w:sz w:val="20"/>
                <w:szCs w:val="20"/>
              </w:rPr>
            </w:pPr>
            <w:r>
              <w:rPr>
                <w:noProof/>
                <w:color w:val="006100"/>
                <w:sz w:val="20"/>
              </w:rPr>
              <w:t>M4C1-18</w:t>
            </w:r>
          </w:p>
        </w:tc>
        <w:tc>
          <w:tcPr>
            <w:tcW w:w="3195" w:type="dxa"/>
            <w:tcBorders>
              <w:top w:val="nil"/>
              <w:left w:val="nil"/>
              <w:bottom w:val="single" w:sz="4" w:space="0" w:color="auto"/>
              <w:right w:val="single" w:sz="4" w:space="0" w:color="auto"/>
            </w:tcBorders>
            <w:shd w:val="clear" w:color="auto" w:fill="C6EFCE"/>
            <w:noWrap/>
            <w:vAlign w:val="center"/>
          </w:tcPr>
          <w:p w14:paraId="39B813A6" w14:textId="77777777" w:rsidR="00A612E2" w:rsidRPr="003B127D" w:rsidRDefault="00A612E2" w:rsidP="00392579">
            <w:pPr>
              <w:rPr>
                <w:noProof/>
                <w:color w:val="006100"/>
                <w:sz w:val="20"/>
                <w:szCs w:val="20"/>
              </w:rPr>
            </w:pPr>
            <w:r>
              <w:rPr>
                <w:noProof/>
                <w:color w:val="006100"/>
                <w:sz w:val="20"/>
              </w:rPr>
              <w:t>Investeering 1.1. Lasteaedu, eelkoole ning alusharidust ja lastehoiuteenuseid käsitlev kava</w:t>
            </w:r>
          </w:p>
        </w:tc>
        <w:tc>
          <w:tcPr>
            <w:tcW w:w="1380" w:type="dxa"/>
            <w:tcBorders>
              <w:top w:val="nil"/>
              <w:left w:val="nil"/>
              <w:bottom w:val="single" w:sz="4" w:space="0" w:color="auto"/>
              <w:right w:val="single" w:sz="4" w:space="0" w:color="auto"/>
            </w:tcBorders>
            <w:shd w:val="clear" w:color="auto" w:fill="C6EFCE"/>
            <w:noWrap/>
            <w:vAlign w:val="center"/>
          </w:tcPr>
          <w:p w14:paraId="65D69108"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7386D5EA" w14:textId="77777777" w:rsidR="00A612E2" w:rsidRPr="003B127D" w:rsidRDefault="00A612E2" w:rsidP="00742B81">
            <w:pPr>
              <w:rPr>
                <w:noProof/>
                <w:color w:val="006100"/>
                <w:sz w:val="20"/>
                <w:szCs w:val="20"/>
              </w:rPr>
            </w:pPr>
            <w:r>
              <w:rPr>
                <w:noProof/>
                <w:color w:val="006100"/>
                <w:sz w:val="20"/>
              </w:rPr>
              <w:t>Uued kohad, mis on aktiveeritud haridus- ja alusharidusteenuste jaoks (null kuni kuus aastat vanad)</w:t>
            </w:r>
          </w:p>
        </w:tc>
      </w:tr>
      <w:tr w:rsidR="00A612E2" w:rsidRPr="00D90835" w14:paraId="72DD44B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9AAEDE1" w14:textId="77777777" w:rsidR="00A612E2" w:rsidRPr="00246CC4" w:rsidRDefault="00A612E2" w:rsidP="00742B81">
            <w:pPr>
              <w:jc w:val="center"/>
              <w:rPr>
                <w:noProof/>
                <w:color w:val="006100"/>
                <w:sz w:val="20"/>
                <w:szCs w:val="20"/>
              </w:rPr>
            </w:pPr>
            <w:r>
              <w:rPr>
                <w:noProof/>
                <w:color w:val="006100"/>
                <w:sz w:val="20"/>
              </w:rPr>
              <w:t>M4C1-21</w:t>
            </w:r>
          </w:p>
        </w:tc>
        <w:tc>
          <w:tcPr>
            <w:tcW w:w="3195" w:type="dxa"/>
            <w:tcBorders>
              <w:top w:val="nil"/>
              <w:left w:val="nil"/>
              <w:bottom w:val="single" w:sz="4" w:space="0" w:color="auto"/>
              <w:right w:val="single" w:sz="4" w:space="0" w:color="auto"/>
            </w:tcBorders>
            <w:shd w:val="clear" w:color="auto" w:fill="C6EFCE"/>
            <w:noWrap/>
            <w:vAlign w:val="center"/>
          </w:tcPr>
          <w:p w14:paraId="3D74A050" w14:textId="77777777" w:rsidR="00A612E2" w:rsidRPr="003B127D" w:rsidRDefault="00A612E2" w:rsidP="00392579">
            <w:pPr>
              <w:rPr>
                <w:noProof/>
                <w:color w:val="006100"/>
                <w:sz w:val="20"/>
                <w:szCs w:val="20"/>
              </w:rPr>
            </w:pPr>
            <w:r>
              <w:rPr>
                <w:noProof/>
                <w:color w:val="006100"/>
                <w:sz w:val="20"/>
              </w:rPr>
              <w:t>Investeering 1.2. Täistööajaga töötamise pikendamise kava</w:t>
            </w:r>
          </w:p>
        </w:tc>
        <w:tc>
          <w:tcPr>
            <w:tcW w:w="1380" w:type="dxa"/>
            <w:tcBorders>
              <w:top w:val="nil"/>
              <w:left w:val="nil"/>
              <w:bottom w:val="single" w:sz="4" w:space="0" w:color="auto"/>
              <w:right w:val="single" w:sz="4" w:space="0" w:color="auto"/>
            </w:tcBorders>
            <w:shd w:val="clear" w:color="auto" w:fill="C6EFCE"/>
            <w:noWrap/>
            <w:vAlign w:val="center"/>
          </w:tcPr>
          <w:p w14:paraId="3E36F328"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5D1B140E" w14:textId="77777777" w:rsidR="00A612E2" w:rsidRPr="003B127D" w:rsidRDefault="00A612E2" w:rsidP="00742B81">
            <w:pPr>
              <w:rPr>
                <w:noProof/>
                <w:color w:val="375623"/>
                <w:sz w:val="20"/>
                <w:szCs w:val="20"/>
              </w:rPr>
            </w:pPr>
            <w:r>
              <w:rPr>
                <w:noProof/>
                <w:color w:val="375623"/>
                <w:sz w:val="20"/>
              </w:rPr>
              <w:t>Struktuurid, mis võimaldavad õpilasi vastu võtta ka pärast kooliaja lõppu</w:t>
            </w:r>
          </w:p>
        </w:tc>
      </w:tr>
      <w:tr w:rsidR="00A612E2" w:rsidRPr="00D90835" w14:paraId="3AAC919B"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DA1DBFA" w14:textId="77777777" w:rsidR="00A612E2" w:rsidRPr="00246CC4" w:rsidRDefault="00A612E2" w:rsidP="00742B81">
            <w:pPr>
              <w:jc w:val="center"/>
              <w:rPr>
                <w:noProof/>
                <w:color w:val="006100"/>
                <w:sz w:val="20"/>
                <w:szCs w:val="20"/>
              </w:rPr>
            </w:pPr>
            <w:r>
              <w:rPr>
                <w:noProof/>
                <w:color w:val="006100"/>
                <w:sz w:val="20"/>
              </w:rPr>
              <w:t>M4C1-22</w:t>
            </w:r>
          </w:p>
        </w:tc>
        <w:tc>
          <w:tcPr>
            <w:tcW w:w="3195" w:type="dxa"/>
            <w:tcBorders>
              <w:top w:val="nil"/>
              <w:left w:val="nil"/>
              <w:bottom w:val="single" w:sz="4" w:space="0" w:color="auto"/>
              <w:right w:val="single" w:sz="4" w:space="0" w:color="auto"/>
            </w:tcBorders>
            <w:shd w:val="clear" w:color="auto" w:fill="C6EFCE"/>
            <w:noWrap/>
            <w:vAlign w:val="center"/>
          </w:tcPr>
          <w:p w14:paraId="3580C1FD" w14:textId="77777777" w:rsidR="00A612E2" w:rsidRPr="00246CC4" w:rsidRDefault="00A612E2" w:rsidP="00392579">
            <w:pPr>
              <w:rPr>
                <w:noProof/>
                <w:color w:val="006100"/>
                <w:sz w:val="20"/>
                <w:szCs w:val="20"/>
              </w:rPr>
            </w:pPr>
            <w:r>
              <w:rPr>
                <w:noProof/>
                <w:color w:val="006100"/>
                <w:sz w:val="20"/>
              </w:rPr>
              <w:t>Investeering 1.3. Koolispordi infrastruktuuri edendamise kava</w:t>
            </w:r>
          </w:p>
        </w:tc>
        <w:tc>
          <w:tcPr>
            <w:tcW w:w="1380" w:type="dxa"/>
            <w:tcBorders>
              <w:top w:val="nil"/>
              <w:left w:val="nil"/>
              <w:bottom w:val="single" w:sz="4" w:space="0" w:color="auto"/>
              <w:right w:val="single" w:sz="4" w:space="0" w:color="auto"/>
            </w:tcBorders>
            <w:shd w:val="clear" w:color="auto" w:fill="C6EFCE"/>
            <w:noWrap/>
            <w:vAlign w:val="center"/>
          </w:tcPr>
          <w:p w14:paraId="279EDB48"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144F20DE" w14:textId="77777777" w:rsidR="00A612E2" w:rsidRPr="003B127D" w:rsidRDefault="00A612E2" w:rsidP="00742B81">
            <w:pPr>
              <w:rPr>
                <w:noProof/>
                <w:color w:val="006100"/>
                <w:sz w:val="20"/>
                <w:szCs w:val="20"/>
              </w:rPr>
            </w:pPr>
            <w:r>
              <w:rPr>
                <w:noProof/>
                <w:color w:val="006100"/>
                <w:sz w:val="20"/>
              </w:rPr>
              <w:t>Ehitatud või renoveeritud ruutmeetrit kasutatakse võimlate või spordirajatistena</w:t>
            </w:r>
          </w:p>
        </w:tc>
      </w:tr>
      <w:tr w:rsidR="00A612E2" w:rsidRPr="00D90835" w14:paraId="59DE6DA4"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95AC08D" w14:textId="77777777" w:rsidR="00A612E2" w:rsidRPr="00246CC4" w:rsidRDefault="00A612E2" w:rsidP="00742B81">
            <w:pPr>
              <w:jc w:val="center"/>
              <w:rPr>
                <w:noProof/>
                <w:color w:val="006100"/>
                <w:sz w:val="20"/>
                <w:szCs w:val="20"/>
              </w:rPr>
            </w:pPr>
            <w:r>
              <w:rPr>
                <w:noProof/>
                <w:color w:val="006100"/>
                <w:sz w:val="20"/>
              </w:rPr>
              <w:t>M4C1-23</w:t>
            </w:r>
          </w:p>
        </w:tc>
        <w:tc>
          <w:tcPr>
            <w:tcW w:w="3195" w:type="dxa"/>
            <w:tcBorders>
              <w:top w:val="nil"/>
              <w:left w:val="nil"/>
              <w:bottom w:val="single" w:sz="4" w:space="0" w:color="auto"/>
              <w:right w:val="single" w:sz="4" w:space="0" w:color="auto"/>
            </w:tcBorders>
            <w:shd w:val="clear" w:color="auto" w:fill="C6EFCE"/>
            <w:noWrap/>
            <w:vAlign w:val="center"/>
          </w:tcPr>
          <w:p w14:paraId="7999A182" w14:textId="77777777" w:rsidR="00A612E2" w:rsidRPr="003B127D" w:rsidRDefault="00A612E2" w:rsidP="00392579">
            <w:pPr>
              <w:rPr>
                <w:noProof/>
                <w:color w:val="006100"/>
                <w:sz w:val="20"/>
                <w:szCs w:val="20"/>
              </w:rPr>
            </w:pPr>
            <w:r>
              <w:rPr>
                <w:noProof/>
                <w:color w:val="006100"/>
                <w:sz w:val="20"/>
              </w:rPr>
              <w:t xml:space="preserve">Investeering 3.4. Õpetamise ja kõrgema taseme ülikooli oskused </w:t>
            </w:r>
          </w:p>
        </w:tc>
        <w:tc>
          <w:tcPr>
            <w:tcW w:w="1380" w:type="dxa"/>
            <w:tcBorders>
              <w:top w:val="nil"/>
              <w:left w:val="nil"/>
              <w:bottom w:val="single" w:sz="4" w:space="0" w:color="auto"/>
              <w:right w:val="single" w:sz="4" w:space="0" w:color="auto"/>
            </w:tcBorders>
            <w:shd w:val="clear" w:color="auto" w:fill="C6EFCE"/>
            <w:noWrap/>
            <w:vAlign w:val="center"/>
          </w:tcPr>
          <w:p w14:paraId="15D5F296"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4BC82FCB" w14:textId="77777777" w:rsidR="00A612E2" w:rsidRPr="003B127D" w:rsidRDefault="00A612E2" w:rsidP="00742B81">
            <w:pPr>
              <w:rPr>
                <w:noProof/>
                <w:color w:val="006100"/>
                <w:sz w:val="20"/>
                <w:szCs w:val="20"/>
              </w:rPr>
            </w:pPr>
            <w:r>
              <w:rPr>
                <w:noProof/>
                <w:color w:val="006100"/>
                <w:sz w:val="20"/>
              </w:rPr>
              <w:t xml:space="preserve">Uued doktorikraadid, mis antakse kolmeks aastaks digitaal- ja keskkonnavaldkonnale ülemineku programmide raames  </w:t>
            </w:r>
          </w:p>
        </w:tc>
      </w:tr>
      <w:tr w:rsidR="00A612E2" w:rsidRPr="00D90835" w14:paraId="1D75909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520FFD3" w14:textId="77777777" w:rsidR="00A612E2" w:rsidRPr="00246CC4" w:rsidRDefault="00A612E2" w:rsidP="00742B81">
            <w:pPr>
              <w:jc w:val="center"/>
              <w:rPr>
                <w:noProof/>
                <w:color w:val="006100"/>
                <w:sz w:val="20"/>
                <w:szCs w:val="20"/>
              </w:rPr>
            </w:pPr>
            <w:r>
              <w:rPr>
                <w:noProof/>
                <w:color w:val="006100"/>
                <w:sz w:val="20"/>
              </w:rPr>
              <w:t>M4C1–23a</w:t>
            </w:r>
          </w:p>
        </w:tc>
        <w:tc>
          <w:tcPr>
            <w:tcW w:w="3195" w:type="dxa"/>
            <w:tcBorders>
              <w:top w:val="nil"/>
              <w:left w:val="nil"/>
              <w:bottom w:val="single" w:sz="4" w:space="0" w:color="auto"/>
              <w:right w:val="single" w:sz="4" w:space="0" w:color="auto"/>
            </w:tcBorders>
            <w:shd w:val="clear" w:color="auto" w:fill="C6EFCE"/>
            <w:noWrap/>
            <w:vAlign w:val="center"/>
          </w:tcPr>
          <w:p w14:paraId="1E0313ED" w14:textId="77777777" w:rsidR="00A612E2" w:rsidRPr="003B127D" w:rsidRDefault="00A612E2" w:rsidP="00392579">
            <w:pPr>
              <w:rPr>
                <w:noProof/>
                <w:color w:val="006100"/>
                <w:sz w:val="20"/>
                <w:szCs w:val="20"/>
              </w:rPr>
            </w:pPr>
            <w:r>
              <w:rPr>
                <w:noProof/>
                <w:color w:val="006100"/>
                <w:sz w:val="20"/>
              </w:rPr>
              <w:t xml:space="preserve">Investeering 3.4. Õpetamise ja kõrgema taseme ülikooli oskused </w:t>
            </w:r>
          </w:p>
        </w:tc>
        <w:tc>
          <w:tcPr>
            <w:tcW w:w="1380" w:type="dxa"/>
            <w:tcBorders>
              <w:top w:val="nil"/>
              <w:left w:val="nil"/>
              <w:bottom w:val="single" w:sz="4" w:space="0" w:color="auto"/>
              <w:right w:val="single" w:sz="4" w:space="0" w:color="auto"/>
            </w:tcBorders>
            <w:shd w:val="clear" w:color="auto" w:fill="C6EFCE"/>
            <w:noWrap/>
            <w:vAlign w:val="center"/>
          </w:tcPr>
          <w:p w14:paraId="77202F81" w14:textId="77777777" w:rsidR="00A612E2" w:rsidRPr="00246CC4" w:rsidRDefault="00A612E2" w:rsidP="00742B81">
            <w:pPr>
              <w:jc w:val="center"/>
              <w:rPr>
                <w:noProof/>
                <w:color w:val="006100"/>
                <w:sz w:val="20"/>
                <w:szCs w:val="20"/>
              </w:rPr>
            </w:pPr>
            <w:r>
              <w:rPr>
                <w:noProof/>
                <w:color w:val="006100"/>
                <w:sz w:val="20"/>
              </w:rPr>
              <w:t>Eesmärk</w:t>
            </w:r>
          </w:p>
        </w:tc>
        <w:tc>
          <w:tcPr>
            <w:tcW w:w="4035" w:type="dxa"/>
            <w:tcBorders>
              <w:top w:val="nil"/>
              <w:left w:val="nil"/>
              <w:bottom w:val="single" w:sz="4" w:space="0" w:color="auto"/>
              <w:right w:val="single" w:sz="4" w:space="0" w:color="auto"/>
            </w:tcBorders>
            <w:shd w:val="clear" w:color="auto" w:fill="C6EFCE"/>
            <w:noWrap/>
            <w:vAlign w:val="center"/>
          </w:tcPr>
          <w:p w14:paraId="28CB61D9" w14:textId="77777777" w:rsidR="00A612E2" w:rsidRPr="003B127D" w:rsidRDefault="00A612E2" w:rsidP="00742B81">
            <w:pPr>
              <w:rPr>
                <w:noProof/>
                <w:color w:val="006100"/>
                <w:sz w:val="20"/>
                <w:szCs w:val="20"/>
              </w:rPr>
            </w:pPr>
            <w:r>
              <w:rPr>
                <w:noProof/>
                <w:color w:val="006100"/>
                <w:sz w:val="20"/>
              </w:rPr>
              <w:t>Õpetamise ja kõrgtasemel ülikoolioskuste allmeetmete rakendamise lõpuleviimine</w:t>
            </w:r>
          </w:p>
        </w:tc>
      </w:tr>
      <w:tr w:rsidR="00A612E2" w:rsidRPr="00D90835" w14:paraId="2158B517"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2387A4C" w14:textId="77777777" w:rsidR="00A612E2" w:rsidRPr="00246CC4" w:rsidRDefault="00A612E2" w:rsidP="00742B81">
            <w:pPr>
              <w:jc w:val="center"/>
              <w:rPr>
                <w:noProof/>
                <w:color w:val="006100"/>
                <w:sz w:val="20"/>
                <w:szCs w:val="20"/>
              </w:rPr>
            </w:pPr>
            <w:r>
              <w:rPr>
                <w:noProof/>
                <w:color w:val="006100"/>
                <w:sz w:val="20"/>
              </w:rPr>
              <w:t>M4C1-24</w:t>
            </w:r>
          </w:p>
        </w:tc>
        <w:tc>
          <w:tcPr>
            <w:tcW w:w="3195" w:type="dxa"/>
            <w:tcBorders>
              <w:top w:val="nil"/>
              <w:left w:val="nil"/>
              <w:bottom w:val="single" w:sz="4" w:space="0" w:color="auto"/>
              <w:right w:val="single" w:sz="4" w:space="0" w:color="auto"/>
            </w:tcBorders>
            <w:shd w:val="clear" w:color="auto" w:fill="C6EFCE"/>
            <w:noWrap/>
            <w:vAlign w:val="center"/>
          </w:tcPr>
          <w:p w14:paraId="0BB88B1B" w14:textId="77777777" w:rsidR="00A612E2" w:rsidRPr="003B127D" w:rsidRDefault="00A612E2" w:rsidP="00392579">
            <w:pPr>
              <w:rPr>
                <w:noProof/>
                <w:color w:val="006100"/>
                <w:sz w:val="20"/>
                <w:szCs w:val="20"/>
              </w:rPr>
            </w:pPr>
            <w:r>
              <w:rPr>
                <w:noProof/>
                <w:color w:val="006100"/>
                <w:sz w:val="20"/>
              </w:rPr>
              <w:t>Investeering 1.6. Aktiivne orientatsioon üleminekul kooli-ülikooli vahel</w:t>
            </w:r>
          </w:p>
        </w:tc>
        <w:tc>
          <w:tcPr>
            <w:tcW w:w="1380" w:type="dxa"/>
            <w:tcBorders>
              <w:top w:val="nil"/>
              <w:left w:val="nil"/>
              <w:bottom w:val="single" w:sz="4" w:space="0" w:color="auto"/>
              <w:right w:val="single" w:sz="4" w:space="0" w:color="auto"/>
            </w:tcBorders>
            <w:shd w:val="clear" w:color="auto" w:fill="C6EFCE"/>
            <w:noWrap/>
            <w:vAlign w:val="center"/>
          </w:tcPr>
          <w:p w14:paraId="41BD47F3"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157E1783" w14:textId="77777777" w:rsidR="00A612E2" w:rsidRPr="003B127D" w:rsidRDefault="00A612E2" w:rsidP="00742B81">
            <w:pPr>
              <w:rPr>
                <w:noProof/>
                <w:color w:val="006100"/>
                <w:sz w:val="20"/>
                <w:szCs w:val="20"/>
              </w:rPr>
            </w:pPr>
            <w:r>
              <w:rPr>
                <w:noProof/>
                <w:color w:val="006100"/>
                <w:sz w:val="20"/>
              </w:rPr>
              <w:t>Õpilased, kes on osalenud kooli-ülikooli üleminekukursustel</w:t>
            </w:r>
          </w:p>
        </w:tc>
      </w:tr>
      <w:tr w:rsidR="00A612E2" w:rsidRPr="00D90835" w14:paraId="4D14F379"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327E52E" w14:textId="77777777" w:rsidR="00A612E2" w:rsidRPr="00246CC4" w:rsidRDefault="00A612E2" w:rsidP="00742B81">
            <w:pPr>
              <w:jc w:val="center"/>
              <w:rPr>
                <w:noProof/>
                <w:color w:val="006100"/>
                <w:sz w:val="20"/>
                <w:szCs w:val="20"/>
              </w:rPr>
            </w:pPr>
            <w:r>
              <w:rPr>
                <w:noProof/>
                <w:color w:val="006100"/>
                <w:sz w:val="20"/>
              </w:rPr>
              <w:t>M4C1-25</w:t>
            </w:r>
          </w:p>
        </w:tc>
        <w:tc>
          <w:tcPr>
            <w:tcW w:w="3195" w:type="dxa"/>
            <w:tcBorders>
              <w:top w:val="nil"/>
              <w:left w:val="nil"/>
              <w:bottom w:val="single" w:sz="4" w:space="0" w:color="auto"/>
              <w:right w:val="single" w:sz="4" w:space="0" w:color="auto"/>
            </w:tcBorders>
            <w:shd w:val="clear" w:color="auto" w:fill="C6EFCE"/>
            <w:noWrap/>
            <w:vAlign w:val="center"/>
          </w:tcPr>
          <w:p w14:paraId="0C900DE6" w14:textId="77777777" w:rsidR="00A612E2" w:rsidRPr="003B127D" w:rsidRDefault="00A612E2" w:rsidP="00392579">
            <w:pPr>
              <w:rPr>
                <w:noProof/>
                <w:color w:val="006100"/>
                <w:sz w:val="20"/>
                <w:szCs w:val="20"/>
              </w:rPr>
            </w:pPr>
            <w:r>
              <w:rPr>
                <w:noProof/>
                <w:color w:val="006100"/>
                <w:sz w:val="20"/>
              </w:rPr>
              <w:t>Investeering 1.4. Erakorraline sekkumine, mille eesmärk on vähendada territoriaalseid erinevusi keskkooli I ja II tsüklis ning võidelda koolist väljalangemise vastu</w:t>
            </w:r>
          </w:p>
        </w:tc>
        <w:tc>
          <w:tcPr>
            <w:tcW w:w="1380" w:type="dxa"/>
            <w:tcBorders>
              <w:top w:val="nil"/>
              <w:left w:val="nil"/>
              <w:bottom w:val="single" w:sz="4" w:space="0" w:color="auto"/>
              <w:right w:val="single" w:sz="4" w:space="0" w:color="auto"/>
            </w:tcBorders>
            <w:shd w:val="clear" w:color="auto" w:fill="C6EFCE"/>
            <w:noWrap/>
            <w:vAlign w:val="center"/>
          </w:tcPr>
          <w:p w14:paraId="0D71F185"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674B414C" w14:textId="77777777" w:rsidR="00A612E2" w:rsidRPr="003B127D" w:rsidRDefault="00A612E2" w:rsidP="00742B81">
            <w:pPr>
              <w:rPr>
                <w:noProof/>
                <w:color w:val="006100"/>
                <w:sz w:val="20"/>
                <w:szCs w:val="20"/>
              </w:rPr>
            </w:pPr>
            <w:r>
              <w:rPr>
                <w:noProof/>
                <w:color w:val="006100"/>
                <w:sz w:val="20"/>
              </w:rPr>
              <w:t>Erinevus koolist väljalangemise määras keskhariduses</w:t>
            </w:r>
          </w:p>
        </w:tc>
      </w:tr>
      <w:tr w:rsidR="00A612E2" w:rsidRPr="00D90835" w14:paraId="2CABF039"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7CD5441" w14:textId="77777777" w:rsidR="00A612E2" w:rsidRPr="00246CC4" w:rsidRDefault="00A612E2" w:rsidP="00742B81">
            <w:pPr>
              <w:jc w:val="center"/>
              <w:rPr>
                <w:noProof/>
                <w:color w:val="006100"/>
                <w:sz w:val="20"/>
                <w:szCs w:val="20"/>
              </w:rPr>
            </w:pPr>
            <w:r>
              <w:rPr>
                <w:noProof/>
                <w:color w:val="006100"/>
                <w:sz w:val="20"/>
              </w:rPr>
              <w:t>M4C1-26</w:t>
            </w:r>
          </w:p>
        </w:tc>
        <w:tc>
          <w:tcPr>
            <w:tcW w:w="3195" w:type="dxa"/>
            <w:tcBorders>
              <w:top w:val="nil"/>
              <w:left w:val="nil"/>
              <w:bottom w:val="single" w:sz="4" w:space="0" w:color="auto"/>
              <w:right w:val="single" w:sz="4" w:space="0" w:color="auto"/>
            </w:tcBorders>
            <w:shd w:val="clear" w:color="auto" w:fill="C6EFCE"/>
            <w:noWrap/>
            <w:vAlign w:val="center"/>
          </w:tcPr>
          <w:p w14:paraId="5B261FA6" w14:textId="77777777" w:rsidR="00A612E2" w:rsidRPr="003B127D" w:rsidRDefault="00A612E2" w:rsidP="00392579">
            <w:pPr>
              <w:rPr>
                <w:noProof/>
                <w:color w:val="006100"/>
                <w:sz w:val="20"/>
                <w:szCs w:val="20"/>
              </w:rPr>
            </w:pPr>
            <w:r>
              <w:rPr>
                <w:noProof/>
                <w:color w:val="006100"/>
                <w:sz w:val="20"/>
              </w:rPr>
              <w:t>Investeering 3.3. Koolihoonete turvalisuse ja struktuurilise taastamise kava</w:t>
            </w:r>
          </w:p>
        </w:tc>
        <w:tc>
          <w:tcPr>
            <w:tcW w:w="1380" w:type="dxa"/>
            <w:tcBorders>
              <w:top w:val="nil"/>
              <w:left w:val="nil"/>
              <w:bottom w:val="single" w:sz="4" w:space="0" w:color="auto"/>
              <w:right w:val="single" w:sz="4" w:space="0" w:color="auto"/>
            </w:tcBorders>
            <w:shd w:val="clear" w:color="auto" w:fill="C6EFCE"/>
            <w:noWrap/>
            <w:vAlign w:val="center"/>
          </w:tcPr>
          <w:p w14:paraId="6098FB92"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67F7E8D4" w14:textId="77777777" w:rsidR="00A612E2" w:rsidRPr="003B127D" w:rsidRDefault="00A612E2" w:rsidP="00742B81">
            <w:pPr>
              <w:rPr>
                <w:noProof/>
                <w:color w:val="006100"/>
                <w:sz w:val="20"/>
                <w:szCs w:val="20"/>
              </w:rPr>
            </w:pPr>
            <w:r>
              <w:rPr>
                <w:noProof/>
                <w:color w:val="006100"/>
                <w:sz w:val="20"/>
              </w:rPr>
              <w:t>Renoveeritud koolihoonete ruutmeeter</w:t>
            </w:r>
          </w:p>
        </w:tc>
      </w:tr>
      <w:tr w:rsidR="00A612E2" w:rsidRPr="00D90835" w14:paraId="53D22D0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B2B8110" w14:textId="77777777" w:rsidR="00A612E2" w:rsidRPr="00246CC4" w:rsidRDefault="00A612E2" w:rsidP="00742B81">
            <w:pPr>
              <w:jc w:val="center"/>
              <w:rPr>
                <w:noProof/>
                <w:color w:val="006100"/>
                <w:sz w:val="20"/>
                <w:szCs w:val="20"/>
              </w:rPr>
            </w:pPr>
            <w:r>
              <w:rPr>
                <w:noProof/>
                <w:color w:val="006100"/>
                <w:sz w:val="20"/>
              </w:rPr>
              <w:t>M5C1–7bis</w:t>
            </w:r>
          </w:p>
        </w:tc>
        <w:tc>
          <w:tcPr>
            <w:tcW w:w="3195" w:type="dxa"/>
            <w:tcBorders>
              <w:top w:val="nil"/>
              <w:left w:val="nil"/>
              <w:bottom w:val="single" w:sz="4" w:space="0" w:color="auto"/>
              <w:right w:val="single" w:sz="4" w:space="0" w:color="auto"/>
            </w:tcBorders>
            <w:shd w:val="clear" w:color="auto" w:fill="C6EFCE"/>
            <w:noWrap/>
            <w:vAlign w:val="center"/>
          </w:tcPr>
          <w:p w14:paraId="2F033228" w14:textId="77777777" w:rsidR="00A612E2" w:rsidRPr="003B127D" w:rsidRDefault="00A612E2" w:rsidP="00392579">
            <w:pPr>
              <w:rPr>
                <w:noProof/>
                <w:color w:val="006100"/>
                <w:sz w:val="20"/>
                <w:szCs w:val="20"/>
              </w:rPr>
            </w:pPr>
            <w:r>
              <w:rPr>
                <w:noProof/>
                <w:color w:val="006100"/>
                <w:sz w:val="20"/>
              </w:rPr>
              <w:t xml:space="preserve">Investeering 1. Avalike tööturuasutuste tugevdamine </w:t>
            </w:r>
          </w:p>
        </w:tc>
        <w:tc>
          <w:tcPr>
            <w:tcW w:w="1380" w:type="dxa"/>
            <w:tcBorders>
              <w:top w:val="nil"/>
              <w:left w:val="nil"/>
              <w:bottom w:val="single" w:sz="4" w:space="0" w:color="auto"/>
              <w:right w:val="single" w:sz="4" w:space="0" w:color="auto"/>
            </w:tcBorders>
            <w:shd w:val="clear" w:color="auto" w:fill="C6EFCE"/>
            <w:noWrap/>
            <w:vAlign w:val="center"/>
          </w:tcPr>
          <w:p w14:paraId="28A7FF3A"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4FF70D9D" w14:textId="77777777" w:rsidR="00A612E2" w:rsidRPr="003B127D" w:rsidRDefault="00A612E2" w:rsidP="00742B81">
            <w:pPr>
              <w:rPr>
                <w:noProof/>
                <w:color w:val="006100"/>
                <w:sz w:val="20"/>
                <w:szCs w:val="20"/>
              </w:rPr>
            </w:pPr>
            <w:r>
              <w:rPr>
                <w:noProof/>
                <w:color w:val="006100"/>
                <w:sz w:val="20"/>
              </w:rPr>
              <w:t>Riiklikud tööturuasutused on viinud lõpule tugevdamise kavas kavandatud tegevused</w:t>
            </w:r>
          </w:p>
        </w:tc>
      </w:tr>
      <w:tr w:rsidR="00A612E2" w:rsidRPr="00D90835" w14:paraId="1E61516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11756F1" w14:textId="77777777" w:rsidR="00A612E2" w:rsidRPr="00246CC4" w:rsidRDefault="00A612E2" w:rsidP="00742B81">
            <w:pPr>
              <w:jc w:val="center"/>
              <w:rPr>
                <w:noProof/>
                <w:color w:val="006100"/>
                <w:sz w:val="20"/>
                <w:szCs w:val="20"/>
              </w:rPr>
            </w:pPr>
            <w:r>
              <w:rPr>
                <w:noProof/>
                <w:color w:val="006100"/>
                <w:sz w:val="20"/>
              </w:rPr>
              <w:t xml:space="preserve">M5C1-13 </w:t>
            </w:r>
          </w:p>
        </w:tc>
        <w:tc>
          <w:tcPr>
            <w:tcW w:w="3195" w:type="dxa"/>
            <w:tcBorders>
              <w:top w:val="nil"/>
              <w:left w:val="nil"/>
              <w:bottom w:val="single" w:sz="4" w:space="0" w:color="auto"/>
              <w:right w:val="single" w:sz="4" w:space="0" w:color="auto"/>
            </w:tcBorders>
            <w:shd w:val="clear" w:color="auto" w:fill="C6EFCE"/>
            <w:noWrap/>
            <w:vAlign w:val="center"/>
          </w:tcPr>
          <w:p w14:paraId="376F21C2" w14:textId="77777777" w:rsidR="00A612E2" w:rsidRPr="003B127D" w:rsidRDefault="00A612E2" w:rsidP="00392579">
            <w:pPr>
              <w:rPr>
                <w:noProof/>
                <w:color w:val="006100"/>
                <w:sz w:val="20"/>
                <w:szCs w:val="20"/>
              </w:rPr>
            </w:pPr>
            <w:r>
              <w:rPr>
                <w:noProof/>
                <w:color w:val="006100"/>
                <w:sz w:val="20"/>
              </w:rPr>
              <w:t>Investeering 2. Soolise võrdõiguslikkuse sertifitseerimise süsteem</w:t>
            </w:r>
          </w:p>
        </w:tc>
        <w:tc>
          <w:tcPr>
            <w:tcW w:w="1380" w:type="dxa"/>
            <w:tcBorders>
              <w:top w:val="nil"/>
              <w:left w:val="nil"/>
              <w:bottom w:val="single" w:sz="4" w:space="0" w:color="auto"/>
              <w:right w:val="single" w:sz="4" w:space="0" w:color="auto"/>
            </w:tcBorders>
            <w:shd w:val="clear" w:color="auto" w:fill="C6EFCE"/>
            <w:noWrap/>
            <w:vAlign w:val="center"/>
          </w:tcPr>
          <w:p w14:paraId="3D6EF0E2"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641BED09" w14:textId="77777777" w:rsidR="00A612E2" w:rsidRPr="003B127D" w:rsidRDefault="00A612E2" w:rsidP="00742B81">
            <w:pPr>
              <w:rPr>
                <w:noProof/>
                <w:color w:val="006100"/>
                <w:sz w:val="20"/>
                <w:szCs w:val="20"/>
              </w:rPr>
            </w:pPr>
            <w:r>
              <w:rPr>
                <w:noProof/>
                <w:color w:val="006100"/>
                <w:sz w:val="20"/>
              </w:rPr>
              <w:t>Ettevõtted on saanud soolise võrdõiguslikkuse sertifikaadi.</w:t>
            </w:r>
          </w:p>
        </w:tc>
      </w:tr>
      <w:tr w:rsidR="00A612E2" w:rsidRPr="00D90835" w14:paraId="5CBB6927"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67DB6AA" w14:textId="77777777" w:rsidR="00A612E2" w:rsidRPr="00246CC4" w:rsidRDefault="00A612E2" w:rsidP="00742B81">
            <w:pPr>
              <w:jc w:val="center"/>
              <w:rPr>
                <w:noProof/>
                <w:color w:val="006100"/>
                <w:sz w:val="20"/>
                <w:szCs w:val="20"/>
              </w:rPr>
            </w:pPr>
            <w:r>
              <w:rPr>
                <w:noProof/>
                <w:color w:val="006100"/>
                <w:sz w:val="20"/>
              </w:rPr>
              <w:t>M5C1-14</w:t>
            </w:r>
          </w:p>
        </w:tc>
        <w:tc>
          <w:tcPr>
            <w:tcW w:w="3195" w:type="dxa"/>
            <w:tcBorders>
              <w:top w:val="nil"/>
              <w:left w:val="nil"/>
              <w:bottom w:val="single" w:sz="4" w:space="0" w:color="auto"/>
              <w:right w:val="single" w:sz="4" w:space="0" w:color="auto"/>
            </w:tcBorders>
            <w:shd w:val="clear" w:color="auto" w:fill="C6EFCE"/>
            <w:noWrap/>
            <w:vAlign w:val="center"/>
          </w:tcPr>
          <w:p w14:paraId="6FD55918" w14:textId="77777777" w:rsidR="00A612E2" w:rsidRPr="003B127D" w:rsidRDefault="00A612E2" w:rsidP="00392579">
            <w:pPr>
              <w:rPr>
                <w:noProof/>
                <w:color w:val="006100"/>
                <w:sz w:val="20"/>
                <w:szCs w:val="20"/>
              </w:rPr>
            </w:pPr>
            <w:r>
              <w:rPr>
                <w:noProof/>
                <w:color w:val="006100"/>
                <w:sz w:val="20"/>
              </w:rPr>
              <w:t>Investeering 2. Soolise võrdõiguslikkuse sertifitseerimise süsteem</w:t>
            </w:r>
          </w:p>
        </w:tc>
        <w:tc>
          <w:tcPr>
            <w:tcW w:w="1380" w:type="dxa"/>
            <w:tcBorders>
              <w:top w:val="nil"/>
              <w:left w:val="nil"/>
              <w:bottom w:val="single" w:sz="4" w:space="0" w:color="auto"/>
              <w:right w:val="single" w:sz="4" w:space="0" w:color="auto"/>
            </w:tcBorders>
            <w:shd w:val="clear" w:color="auto" w:fill="C6EFCE"/>
            <w:noWrap/>
            <w:vAlign w:val="center"/>
          </w:tcPr>
          <w:p w14:paraId="66C7D68B"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1B7E70D5" w14:textId="77777777" w:rsidR="00A612E2" w:rsidRPr="003B127D" w:rsidRDefault="00A612E2" w:rsidP="00742B81">
            <w:pPr>
              <w:rPr>
                <w:noProof/>
                <w:color w:val="006100"/>
                <w:sz w:val="20"/>
                <w:szCs w:val="20"/>
              </w:rPr>
            </w:pPr>
            <w:r>
              <w:rPr>
                <w:noProof/>
                <w:color w:val="006100"/>
                <w:sz w:val="20"/>
              </w:rPr>
              <w:t>Ettevõtjad, keda toetatakse tehnilise abiga, on saanud soolise võrdõiguslikkuse sertifikaadi.</w:t>
            </w:r>
          </w:p>
        </w:tc>
      </w:tr>
      <w:tr w:rsidR="00A612E2" w:rsidRPr="00D90835" w14:paraId="3CBC85E9"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CBDEBD7" w14:textId="77777777" w:rsidR="00A612E2" w:rsidRPr="00246CC4" w:rsidRDefault="00A612E2" w:rsidP="00742B81">
            <w:pPr>
              <w:jc w:val="center"/>
              <w:rPr>
                <w:noProof/>
                <w:color w:val="006100"/>
                <w:sz w:val="20"/>
                <w:szCs w:val="20"/>
              </w:rPr>
            </w:pPr>
            <w:r>
              <w:rPr>
                <w:noProof/>
                <w:color w:val="006100"/>
                <w:sz w:val="20"/>
              </w:rPr>
              <w:t>M5C1-16</w:t>
            </w:r>
          </w:p>
        </w:tc>
        <w:tc>
          <w:tcPr>
            <w:tcW w:w="3195" w:type="dxa"/>
            <w:tcBorders>
              <w:top w:val="nil"/>
              <w:left w:val="nil"/>
              <w:bottom w:val="single" w:sz="4" w:space="0" w:color="auto"/>
              <w:right w:val="single" w:sz="4" w:space="0" w:color="auto"/>
            </w:tcBorders>
            <w:shd w:val="clear" w:color="auto" w:fill="C6EFCE"/>
            <w:noWrap/>
            <w:vAlign w:val="center"/>
          </w:tcPr>
          <w:p w14:paraId="3D0D5572" w14:textId="77777777" w:rsidR="00A612E2" w:rsidRPr="00246CC4" w:rsidRDefault="00A612E2" w:rsidP="00392579">
            <w:pPr>
              <w:rPr>
                <w:noProof/>
                <w:color w:val="006100"/>
                <w:sz w:val="20"/>
                <w:szCs w:val="20"/>
              </w:rPr>
            </w:pPr>
            <w:r>
              <w:rPr>
                <w:noProof/>
                <w:color w:val="006100"/>
                <w:sz w:val="20"/>
              </w:rPr>
              <w:t>Investeering 4. Avalik teenistus</w:t>
            </w:r>
          </w:p>
        </w:tc>
        <w:tc>
          <w:tcPr>
            <w:tcW w:w="1380" w:type="dxa"/>
            <w:tcBorders>
              <w:top w:val="nil"/>
              <w:left w:val="nil"/>
              <w:bottom w:val="single" w:sz="4" w:space="0" w:color="auto"/>
              <w:right w:val="single" w:sz="4" w:space="0" w:color="auto"/>
            </w:tcBorders>
            <w:shd w:val="clear" w:color="auto" w:fill="C6EFCE"/>
            <w:noWrap/>
            <w:vAlign w:val="center"/>
          </w:tcPr>
          <w:p w14:paraId="4393D50C"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19611703" w14:textId="77777777" w:rsidR="00A612E2" w:rsidRPr="003B127D" w:rsidRDefault="00A612E2" w:rsidP="00742B81">
            <w:pPr>
              <w:rPr>
                <w:noProof/>
                <w:color w:val="006100"/>
                <w:sz w:val="20"/>
                <w:szCs w:val="20"/>
              </w:rPr>
            </w:pPr>
            <w:r>
              <w:rPr>
                <w:noProof/>
                <w:color w:val="006100"/>
                <w:sz w:val="20"/>
              </w:rPr>
              <w:t>Inimesed on osalenud universaalses avaliku teenistuse programmis ja saanud nelja-aastasel ajavahemikul 2021-2024 asjakohase sertifikaadi.</w:t>
            </w:r>
          </w:p>
        </w:tc>
      </w:tr>
      <w:tr w:rsidR="00A612E2" w:rsidRPr="00D90835" w14:paraId="4FBF8CD1"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76A21D9" w14:textId="77777777" w:rsidR="00A612E2" w:rsidRPr="00246CC4" w:rsidRDefault="00A612E2" w:rsidP="00742B81">
            <w:pPr>
              <w:jc w:val="center"/>
              <w:rPr>
                <w:noProof/>
                <w:color w:val="006100"/>
                <w:sz w:val="20"/>
                <w:szCs w:val="20"/>
              </w:rPr>
            </w:pPr>
            <w:r>
              <w:rPr>
                <w:noProof/>
                <w:color w:val="006100"/>
                <w:sz w:val="20"/>
              </w:rPr>
              <w:t>M5C3-4</w:t>
            </w:r>
          </w:p>
        </w:tc>
        <w:tc>
          <w:tcPr>
            <w:tcW w:w="3195" w:type="dxa"/>
            <w:tcBorders>
              <w:top w:val="nil"/>
              <w:left w:val="nil"/>
              <w:bottom w:val="single" w:sz="4" w:space="0" w:color="auto"/>
              <w:right w:val="single" w:sz="4" w:space="0" w:color="auto"/>
            </w:tcBorders>
            <w:shd w:val="clear" w:color="auto" w:fill="C6EFCE"/>
            <w:noWrap/>
            <w:vAlign w:val="center"/>
          </w:tcPr>
          <w:p w14:paraId="2DA15262" w14:textId="77777777" w:rsidR="00A612E2" w:rsidRPr="003B127D" w:rsidRDefault="00A612E2" w:rsidP="00392579">
            <w:pPr>
              <w:rPr>
                <w:noProof/>
                <w:color w:val="006100"/>
                <w:sz w:val="20"/>
                <w:szCs w:val="20"/>
              </w:rPr>
            </w:pPr>
            <w:r>
              <w:rPr>
                <w:noProof/>
                <w:color w:val="006100"/>
                <w:sz w:val="20"/>
              </w:rPr>
              <w:t>Investeering 2. Territoriaalse läheduse tervishoiuasutused</w:t>
            </w:r>
          </w:p>
        </w:tc>
        <w:tc>
          <w:tcPr>
            <w:tcW w:w="1380" w:type="dxa"/>
            <w:tcBorders>
              <w:top w:val="nil"/>
              <w:left w:val="nil"/>
              <w:bottom w:val="single" w:sz="4" w:space="0" w:color="auto"/>
              <w:right w:val="single" w:sz="4" w:space="0" w:color="auto"/>
            </w:tcBorders>
            <w:shd w:val="clear" w:color="auto" w:fill="C6EFCE"/>
            <w:noWrap/>
            <w:vAlign w:val="center"/>
          </w:tcPr>
          <w:p w14:paraId="20E23732"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216C387B" w14:textId="77777777" w:rsidR="00A612E2" w:rsidRPr="003B127D" w:rsidRDefault="00A612E2" w:rsidP="00742B81">
            <w:pPr>
              <w:rPr>
                <w:noProof/>
                <w:color w:val="006100"/>
                <w:sz w:val="20"/>
                <w:szCs w:val="20"/>
              </w:rPr>
            </w:pPr>
            <w:r>
              <w:rPr>
                <w:noProof/>
                <w:color w:val="006100"/>
                <w:sz w:val="20"/>
              </w:rPr>
              <w:t>Maapiirkondade apteekide toetamine vähem kui 5 000 elanikuga omavalitsusüksustes, hamlettides või asulates (teine partii)</w:t>
            </w:r>
          </w:p>
        </w:tc>
      </w:tr>
      <w:tr w:rsidR="00A612E2" w:rsidRPr="00D90835" w14:paraId="2F1D58F4"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28A085E" w14:textId="77777777" w:rsidR="00A612E2" w:rsidRPr="00246CC4" w:rsidRDefault="00A612E2" w:rsidP="00742B81">
            <w:pPr>
              <w:jc w:val="center"/>
              <w:rPr>
                <w:noProof/>
                <w:color w:val="006100"/>
                <w:sz w:val="20"/>
                <w:szCs w:val="20"/>
              </w:rPr>
            </w:pPr>
            <w:r>
              <w:rPr>
                <w:noProof/>
                <w:color w:val="006100"/>
                <w:sz w:val="20"/>
              </w:rPr>
              <w:t>M5C3-9</w:t>
            </w:r>
          </w:p>
        </w:tc>
        <w:tc>
          <w:tcPr>
            <w:tcW w:w="3195" w:type="dxa"/>
            <w:tcBorders>
              <w:top w:val="nil"/>
              <w:left w:val="nil"/>
              <w:bottom w:val="single" w:sz="4" w:space="0" w:color="auto"/>
              <w:right w:val="single" w:sz="4" w:space="0" w:color="auto"/>
            </w:tcBorders>
            <w:shd w:val="clear" w:color="auto" w:fill="C6EFCE"/>
            <w:noWrap/>
            <w:vAlign w:val="center"/>
          </w:tcPr>
          <w:p w14:paraId="046FBAD8" w14:textId="77777777" w:rsidR="00A612E2" w:rsidRPr="003B127D" w:rsidRDefault="00A612E2" w:rsidP="00392579">
            <w:pPr>
              <w:rPr>
                <w:noProof/>
                <w:color w:val="006100"/>
                <w:sz w:val="20"/>
                <w:szCs w:val="20"/>
              </w:rPr>
            </w:pPr>
            <w:r>
              <w:rPr>
                <w:noProof/>
                <w:color w:val="006100"/>
                <w:sz w:val="20"/>
              </w:rPr>
              <w:t>Investeering 1.3. Struktureeritud sotsiaal-haridusmeetmed haridusvaesuse vastu võitlemiseks lõunas, millega toetatakse kolmandat sektorit</w:t>
            </w:r>
          </w:p>
        </w:tc>
        <w:tc>
          <w:tcPr>
            <w:tcW w:w="1380" w:type="dxa"/>
            <w:tcBorders>
              <w:top w:val="nil"/>
              <w:left w:val="nil"/>
              <w:bottom w:val="single" w:sz="4" w:space="0" w:color="auto"/>
              <w:right w:val="single" w:sz="4" w:space="0" w:color="auto"/>
            </w:tcBorders>
            <w:shd w:val="clear" w:color="auto" w:fill="C6EFCE"/>
            <w:noWrap/>
            <w:vAlign w:val="center"/>
          </w:tcPr>
          <w:p w14:paraId="4D5FA8E4"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69DF1B0B" w14:textId="77777777" w:rsidR="00A612E2" w:rsidRPr="003B127D" w:rsidRDefault="00A612E2" w:rsidP="00742B81">
            <w:pPr>
              <w:rPr>
                <w:noProof/>
                <w:color w:val="006100"/>
                <w:sz w:val="20"/>
                <w:szCs w:val="20"/>
              </w:rPr>
            </w:pPr>
            <w:r>
              <w:rPr>
                <w:noProof/>
                <w:color w:val="006100"/>
                <w:sz w:val="20"/>
              </w:rPr>
              <w:t>Alaealiste haridusalane toetamine (teine pakett)</w:t>
            </w:r>
          </w:p>
        </w:tc>
      </w:tr>
      <w:tr w:rsidR="00A612E2" w:rsidRPr="00D90835" w14:paraId="1AC4617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3EA47F5" w14:textId="77777777" w:rsidR="00A612E2" w:rsidRPr="00246CC4" w:rsidRDefault="00A612E2" w:rsidP="00742B81">
            <w:pPr>
              <w:jc w:val="center"/>
              <w:rPr>
                <w:noProof/>
                <w:color w:val="006100"/>
                <w:sz w:val="20"/>
                <w:szCs w:val="20"/>
              </w:rPr>
            </w:pPr>
            <w:r>
              <w:rPr>
                <w:noProof/>
                <w:color w:val="006100"/>
                <w:sz w:val="20"/>
              </w:rPr>
              <w:t>M7-11</w:t>
            </w:r>
          </w:p>
        </w:tc>
        <w:tc>
          <w:tcPr>
            <w:tcW w:w="3195" w:type="dxa"/>
            <w:tcBorders>
              <w:top w:val="nil"/>
              <w:left w:val="nil"/>
              <w:bottom w:val="single" w:sz="4" w:space="0" w:color="auto"/>
              <w:right w:val="single" w:sz="4" w:space="0" w:color="auto"/>
            </w:tcBorders>
            <w:shd w:val="clear" w:color="auto" w:fill="C6EFCE"/>
            <w:noWrap/>
            <w:vAlign w:val="center"/>
          </w:tcPr>
          <w:p w14:paraId="1DD74824" w14:textId="702A358E" w:rsidR="00A612E2" w:rsidRPr="003B127D" w:rsidRDefault="00A612E2" w:rsidP="00742B81">
            <w:pPr>
              <w:rPr>
                <w:noProof/>
                <w:color w:val="006100"/>
                <w:sz w:val="20"/>
                <w:szCs w:val="20"/>
              </w:rPr>
            </w:pPr>
            <w:r>
              <w:rPr>
                <w:noProof/>
                <w:color w:val="006100"/>
                <w:sz w:val="20"/>
              </w:rPr>
              <w:t xml:space="preserve">Investeering 1. </w:t>
            </w:r>
            <w:r w:rsidR="00956361">
              <w:rPr>
                <w:noProof/>
                <w:color w:val="006100"/>
                <w:sz w:val="20"/>
              </w:rPr>
              <w:t>V</w:t>
            </w:r>
            <w:r>
              <w:rPr>
                <w:noProof/>
                <w:color w:val="006100"/>
                <w:sz w:val="20"/>
              </w:rPr>
              <w:t>õimendatud meede: Arukate võrkude tugevdamine</w:t>
            </w:r>
          </w:p>
        </w:tc>
        <w:tc>
          <w:tcPr>
            <w:tcW w:w="1380" w:type="dxa"/>
            <w:tcBorders>
              <w:top w:val="nil"/>
              <w:left w:val="nil"/>
              <w:bottom w:val="single" w:sz="4" w:space="0" w:color="auto"/>
              <w:right w:val="single" w:sz="4" w:space="0" w:color="auto"/>
            </w:tcBorders>
            <w:shd w:val="clear" w:color="auto" w:fill="C6EFCE"/>
            <w:noWrap/>
            <w:vAlign w:val="center"/>
          </w:tcPr>
          <w:p w14:paraId="66F74127"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368B5839" w14:textId="77777777" w:rsidR="00A612E2" w:rsidRPr="003B127D" w:rsidRDefault="00A612E2" w:rsidP="00742B81">
            <w:pPr>
              <w:rPr>
                <w:noProof/>
                <w:color w:val="006100"/>
                <w:sz w:val="20"/>
                <w:szCs w:val="20"/>
              </w:rPr>
            </w:pPr>
            <w:r>
              <w:rPr>
                <w:noProof/>
                <w:color w:val="006100"/>
                <w:sz w:val="20"/>
              </w:rPr>
              <w:t>Arukad võrgud – energiatarbimise elektrifitseerimine</w:t>
            </w:r>
          </w:p>
        </w:tc>
      </w:tr>
      <w:tr w:rsidR="00A612E2" w:rsidRPr="00D90835" w14:paraId="64E81C7A"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ADCEFFE" w14:textId="77777777" w:rsidR="00A612E2" w:rsidRPr="00246CC4" w:rsidRDefault="00A612E2" w:rsidP="00742B81">
            <w:pPr>
              <w:jc w:val="center"/>
              <w:rPr>
                <w:noProof/>
                <w:color w:val="006100"/>
                <w:sz w:val="20"/>
                <w:szCs w:val="20"/>
              </w:rPr>
            </w:pPr>
            <w:r>
              <w:rPr>
                <w:noProof/>
                <w:color w:val="006100"/>
                <w:sz w:val="20"/>
              </w:rPr>
              <w:t>M7-12</w:t>
            </w:r>
          </w:p>
        </w:tc>
        <w:tc>
          <w:tcPr>
            <w:tcW w:w="3195" w:type="dxa"/>
            <w:tcBorders>
              <w:top w:val="nil"/>
              <w:left w:val="nil"/>
              <w:bottom w:val="single" w:sz="4" w:space="0" w:color="auto"/>
              <w:right w:val="single" w:sz="4" w:space="0" w:color="auto"/>
            </w:tcBorders>
            <w:shd w:val="clear" w:color="auto" w:fill="C6EFCE"/>
            <w:noWrap/>
            <w:vAlign w:val="center"/>
          </w:tcPr>
          <w:p w14:paraId="08EFDF95" w14:textId="1EE147B5" w:rsidR="00A612E2" w:rsidRPr="003B127D" w:rsidRDefault="00A612E2" w:rsidP="00742B81">
            <w:pPr>
              <w:rPr>
                <w:noProof/>
                <w:color w:val="006100"/>
                <w:sz w:val="20"/>
                <w:szCs w:val="20"/>
              </w:rPr>
            </w:pPr>
            <w:r>
              <w:rPr>
                <w:noProof/>
                <w:color w:val="006100"/>
                <w:sz w:val="20"/>
              </w:rPr>
              <w:t xml:space="preserve">Investeering 2. </w:t>
            </w:r>
            <w:r w:rsidR="00956361">
              <w:rPr>
                <w:noProof/>
                <w:color w:val="006100"/>
                <w:sz w:val="20"/>
              </w:rPr>
              <w:t>V</w:t>
            </w:r>
            <w:r>
              <w:rPr>
                <w:noProof/>
                <w:color w:val="006100"/>
                <w:sz w:val="20"/>
              </w:rPr>
              <w:t>õimendatud meede: Sekkumised elektrivõrgu vastupidavuse suurendamiseks</w:t>
            </w:r>
          </w:p>
        </w:tc>
        <w:tc>
          <w:tcPr>
            <w:tcW w:w="1380" w:type="dxa"/>
            <w:tcBorders>
              <w:top w:val="nil"/>
              <w:left w:val="nil"/>
              <w:bottom w:val="single" w:sz="4" w:space="0" w:color="auto"/>
              <w:right w:val="single" w:sz="4" w:space="0" w:color="auto"/>
            </w:tcBorders>
            <w:shd w:val="clear" w:color="auto" w:fill="C6EFCE"/>
            <w:noWrap/>
            <w:vAlign w:val="center"/>
          </w:tcPr>
          <w:p w14:paraId="756117CA"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28DA9739" w14:textId="77777777" w:rsidR="00A612E2" w:rsidRPr="003B127D" w:rsidRDefault="00A612E2" w:rsidP="00742B81">
            <w:pPr>
              <w:rPr>
                <w:noProof/>
                <w:color w:val="006100"/>
                <w:sz w:val="20"/>
                <w:szCs w:val="20"/>
              </w:rPr>
            </w:pPr>
            <w:r>
              <w:rPr>
                <w:noProof/>
                <w:color w:val="006100"/>
                <w:sz w:val="20"/>
              </w:rPr>
              <w:t>Suurendada elektrisüsteemi võrgu vastupidavust</w:t>
            </w:r>
          </w:p>
        </w:tc>
      </w:tr>
      <w:tr w:rsidR="00A612E2" w:rsidRPr="00D90835" w14:paraId="393F4967"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7996C0E" w14:textId="77777777" w:rsidR="00A612E2" w:rsidRPr="00246CC4" w:rsidRDefault="00A612E2" w:rsidP="00742B81">
            <w:pPr>
              <w:jc w:val="center"/>
              <w:rPr>
                <w:noProof/>
                <w:color w:val="006100"/>
                <w:sz w:val="20"/>
                <w:szCs w:val="20"/>
              </w:rPr>
            </w:pPr>
            <w:r>
              <w:rPr>
                <w:noProof/>
                <w:color w:val="006100"/>
                <w:sz w:val="20"/>
              </w:rPr>
              <w:t>M7-13</w:t>
            </w:r>
          </w:p>
        </w:tc>
        <w:tc>
          <w:tcPr>
            <w:tcW w:w="3195" w:type="dxa"/>
            <w:tcBorders>
              <w:top w:val="nil"/>
              <w:left w:val="nil"/>
              <w:bottom w:val="single" w:sz="4" w:space="0" w:color="auto"/>
              <w:right w:val="single" w:sz="4" w:space="0" w:color="auto"/>
            </w:tcBorders>
            <w:shd w:val="clear" w:color="auto" w:fill="C6EFCE"/>
            <w:noWrap/>
            <w:vAlign w:val="center"/>
          </w:tcPr>
          <w:p w14:paraId="13D338F8" w14:textId="4DBED522" w:rsidR="00A612E2" w:rsidRPr="003B127D" w:rsidRDefault="00A612E2" w:rsidP="00742B81">
            <w:pPr>
              <w:rPr>
                <w:noProof/>
                <w:color w:val="006100"/>
                <w:sz w:val="20"/>
                <w:szCs w:val="20"/>
              </w:rPr>
            </w:pPr>
            <w:r>
              <w:rPr>
                <w:noProof/>
                <w:color w:val="006100"/>
                <w:sz w:val="20"/>
              </w:rPr>
              <w:t xml:space="preserve">Investeering 3. </w:t>
            </w:r>
            <w:r w:rsidR="00956361">
              <w:rPr>
                <w:noProof/>
                <w:color w:val="006100"/>
                <w:sz w:val="20"/>
              </w:rPr>
              <w:t>V</w:t>
            </w:r>
            <w:r>
              <w:rPr>
                <w:noProof/>
                <w:color w:val="006100"/>
                <w:sz w:val="20"/>
              </w:rPr>
              <w:t>õimendatud meede: Vesiniku tootmine mahajäetud tööstusaladel (Hydrogen Valleys)</w:t>
            </w:r>
          </w:p>
        </w:tc>
        <w:tc>
          <w:tcPr>
            <w:tcW w:w="1380" w:type="dxa"/>
            <w:tcBorders>
              <w:top w:val="nil"/>
              <w:left w:val="nil"/>
              <w:bottom w:val="single" w:sz="4" w:space="0" w:color="auto"/>
              <w:right w:val="single" w:sz="4" w:space="0" w:color="auto"/>
            </w:tcBorders>
            <w:shd w:val="clear" w:color="auto" w:fill="C6EFCE"/>
            <w:noWrap/>
            <w:vAlign w:val="center"/>
          </w:tcPr>
          <w:p w14:paraId="293D3A71"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2CF7CB4E" w14:textId="77777777" w:rsidR="00A612E2" w:rsidRPr="003B127D" w:rsidRDefault="00A612E2" w:rsidP="00742B81">
            <w:pPr>
              <w:rPr>
                <w:noProof/>
                <w:color w:val="006100"/>
                <w:sz w:val="20"/>
                <w:szCs w:val="20"/>
              </w:rPr>
            </w:pPr>
            <w:r>
              <w:rPr>
                <w:noProof/>
                <w:color w:val="006100"/>
                <w:sz w:val="20"/>
              </w:rPr>
              <w:t>Vesiniku tootmist tööstuspiirkondades käsitleva projekti lõpuleviimine</w:t>
            </w:r>
          </w:p>
        </w:tc>
      </w:tr>
      <w:tr w:rsidR="00A612E2" w:rsidRPr="00D90835" w14:paraId="59788862"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BEFB4A2" w14:textId="77777777" w:rsidR="00A612E2" w:rsidRPr="00246CC4" w:rsidRDefault="00A612E2" w:rsidP="00742B81">
            <w:pPr>
              <w:jc w:val="center"/>
              <w:rPr>
                <w:noProof/>
                <w:color w:val="006100"/>
                <w:sz w:val="20"/>
                <w:szCs w:val="20"/>
              </w:rPr>
            </w:pPr>
            <w:r>
              <w:rPr>
                <w:noProof/>
                <w:color w:val="006100"/>
                <w:sz w:val="20"/>
              </w:rPr>
              <w:t>M7-15</w:t>
            </w:r>
          </w:p>
        </w:tc>
        <w:tc>
          <w:tcPr>
            <w:tcW w:w="3195" w:type="dxa"/>
            <w:tcBorders>
              <w:top w:val="nil"/>
              <w:left w:val="nil"/>
              <w:bottom w:val="single" w:sz="4" w:space="0" w:color="auto"/>
              <w:right w:val="single" w:sz="4" w:space="0" w:color="auto"/>
            </w:tcBorders>
            <w:shd w:val="clear" w:color="auto" w:fill="C6EFCE"/>
            <w:noWrap/>
            <w:vAlign w:val="center"/>
          </w:tcPr>
          <w:p w14:paraId="45F177E1" w14:textId="77777777" w:rsidR="00A612E2" w:rsidRPr="00246CC4" w:rsidRDefault="00A612E2" w:rsidP="00742B81">
            <w:pPr>
              <w:rPr>
                <w:noProof/>
                <w:color w:val="006100"/>
                <w:sz w:val="20"/>
                <w:szCs w:val="20"/>
              </w:rPr>
            </w:pPr>
            <w:r>
              <w:rPr>
                <w:noProof/>
                <w:color w:val="006100"/>
                <w:sz w:val="20"/>
              </w:rPr>
              <w:t>Investeering 4. Türreenini ühendus</w:t>
            </w:r>
          </w:p>
        </w:tc>
        <w:tc>
          <w:tcPr>
            <w:tcW w:w="1380" w:type="dxa"/>
            <w:tcBorders>
              <w:top w:val="nil"/>
              <w:left w:val="nil"/>
              <w:bottom w:val="single" w:sz="4" w:space="0" w:color="auto"/>
              <w:right w:val="single" w:sz="4" w:space="0" w:color="auto"/>
            </w:tcBorders>
            <w:shd w:val="clear" w:color="auto" w:fill="C6EFCE"/>
            <w:noWrap/>
            <w:vAlign w:val="center"/>
          </w:tcPr>
          <w:p w14:paraId="5B90C216"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5B72AD8B" w14:textId="77777777" w:rsidR="00A612E2" w:rsidRPr="003B127D" w:rsidRDefault="00A612E2" w:rsidP="00742B81">
            <w:pPr>
              <w:rPr>
                <w:noProof/>
                <w:color w:val="006100"/>
                <w:sz w:val="20"/>
                <w:szCs w:val="20"/>
              </w:rPr>
            </w:pPr>
            <w:r>
              <w:rPr>
                <w:noProof/>
                <w:color w:val="006100"/>
                <w:sz w:val="20"/>
              </w:rPr>
              <w:t>514 km kaablit on kinnitatud</w:t>
            </w:r>
          </w:p>
        </w:tc>
      </w:tr>
      <w:tr w:rsidR="00A612E2" w:rsidRPr="00D90835" w14:paraId="7F6B38C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014FE1C" w14:textId="77777777" w:rsidR="00A612E2" w:rsidRPr="00246CC4" w:rsidRDefault="00A612E2" w:rsidP="00742B81">
            <w:pPr>
              <w:jc w:val="center"/>
              <w:rPr>
                <w:noProof/>
                <w:color w:val="006100"/>
                <w:sz w:val="20"/>
                <w:szCs w:val="20"/>
              </w:rPr>
            </w:pPr>
            <w:r>
              <w:rPr>
                <w:noProof/>
                <w:color w:val="006100"/>
                <w:sz w:val="20"/>
              </w:rPr>
              <w:t>M7-17</w:t>
            </w:r>
          </w:p>
        </w:tc>
        <w:tc>
          <w:tcPr>
            <w:tcW w:w="3195" w:type="dxa"/>
            <w:tcBorders>
              <w:top w:val="nil"/>
              <w:left w:val="nil"/>
              <w:bottom w:val="single" w:sz="4" w:space="0" w:color="auto"/>
              <w:right w:val="single" w:sz="4" w:space="0" w:color="auto"/>
            </w:tcBorders>
            <w:shd w:val="clear" w:color="auto" w:fill="C6EFCE"/>
            <w:noWrap/>
            <w:vAlign w:val="center"/>
          </w:tcPr>
          <w:p w14:paraId="406517DE" w14:textId="77777777" w:rsidR="00A612E2" w:rsidRPr="00246CC4" w:rsidRDefault="00A612E2" w:rsidP="00742B81">
            <w:pPr>
              <w:rPr>
                <w:noProof/>
                <w:color w:val="006100"/>
                <w:sz w:val="20"/>
                <w:szCs w:val="20"/>
              </w:rPr>
            </w:pPr>
            <w:r>
              <w:rPr>
                <w:noProof/>
                <w:color w:val="006100"/>
                <w:sz w:val="20"/>
              </w:rPr>
              <w:t>Investeering 5. SA.CO.I.3</w:t>
            </w:r>
          </w:p>
        </w:tc>
        <w:tc>
          <w:tcPr>
            <w:tcW w:w="1380" w:type="dxa"/>
            <w:tcBorders>
              <w:top w:val="nil"/>
              <w:left w:val="nil"/>
              <w:bottom w:val="single" w:sz="4" w:space="0" w:color="auto"/>
              <w:right w:val="single" w:sz="4" w:space="0" w:color="auto"/>
            </w:tcBorders>
            <w:shd w:val="clear" w:color="auto" w:fill="C6EFCE"/>
            <w:noWrap/>
            <w:vAlign w:val="center"/>
          </w:tcPr>
          <w:p w14:paraId="01517320" w14:textId="77777777" w:rsidR="00A612E2" w:rsidRPr="00246CC4" w:rsidRDefault="00A612E2" w:rsidP="00742B81">
            <w:pPr>
              <w:jc w:val="center"/>
              <w:rPr>
                <w:noProof/>
                <w:color w:val="006100"/>
                <w:sz w:val="20"/>
                <w:szCs w:val="20"/>
              </w:rPr>
            </w:pPr>
            <w:r>
              <w:rPr>
                <w:noProof/>
                <w:color w:val="006100"/>
                <w:sz w:val="20"/>
              </w:rPr>
              <w:t>Eesmärk</w:t>
            </w:r>
          </w:p>
        </w:tc>
        <w:tc>
          <w:tcPr>
            <w:tcW w:w="4035" w:type="dxa"/>
            <w:tcBorders>
              <w:top w:val="nil"/>
              <w:left w:val="nil"/>
              <w:bottom w:val="single" w:sz="4" w:space="0" w:color="auto"/>
              <w:right w:val="single" w:sz="4" w:space="0" w:color="auto"/>
            </w:tcBorders>
            <w:shd w:val="clear" w:color="auto" w:fill="C6EFCE"/>
            <w:noWrap/>
            <w:vAlign w:val="center"/>
          </w:tcPr>
          <w:p w14:paraId="2CBA3AB7" w14:textId="77777777" w:rsidR="00A612E2" w:rsidRPr="003B127D" w:rsidRDefault="00A612E2" w:rsidP="00742B81">
            <w:pPr>
              <w:rPr>
                <w:noProof/>
                <w:color w:val="006100"/>
                <w:sz w:val="20"/>
                <w:szCs w:val="20"/>
              </w:rPr>
            </w:pPr>
            <w:r>
              <w:rPr>
                <w:noProof/>
                <w:color w:val="006100"/>
                <w:sz w:val="20"/>
              </w:rPr>
              <w:t>Sardiinia (Codrongianos) ja Toscana (Suvereto) ümberehitusjaamade karbid</w:t>
            </w:r>
          </w:p>
        </w:tc>
      </w:tr>
      <w:tr w:rsidR="00A612E2" w:rsidRPr="00D90835" w14:paraId="308C84C1"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F6DF568" w14:textId="77777777" w:rsidR="00A612E2" w:rsidRPr="00246CC4" w:rsidRDefault="00A612E2" w:rsidP="00742B81">
            <w:pPr>
              <w:jc w:val="center"/>
              <w:rPr>
                <w:noProof/>
                <w:color w:val="006100"/>
                <w:sz w:val="20"/>
                <w:szCs w:val="20"/>
              </w:rPr>
            </w:pPr>
            <w:r>
              <w:rPr>
                <w:noProof/>
                <w:color w:val="006100"/>
                <w:sz w:val="20"/>
              </w:rPr>
              <w:t>M7-19</w:t>
            </w:r>
          </w:p>
        </w:tc>
        <w:tc>
          <w:tcPr>
            <w:tcW w:w="3195" w:type="dxa"/>
            <w:tcBorders>
              <w:top w:val="nil"/>
              <w:left w:val="nil"/>
              <w:bottom w:val="single" w:sz="4" w:space="0" w:color="auto"/>
              <w:right w:val="single" w:sz="4" w:space="0" w:color="auto"/>
            </w:tcBorders>
            <w:shd w:val="clear" w:color="auto" w:fill="C6EFCE"/>
            <w:noWrap/>
            <w:vAlign w:val="center"/>
          </w:tcPr>
          <w:p w14:paraId="486C878C" w14:textId="77777777" w:rsidR="00A612E2" w:rsidRPr="003B127D" w:rsidRDefault="00A612E2" w:rsidP="00742B81">
            <w:pPr>
              <w:rPr>
                <w:noProof/>
                <w:color w:val="006100"/>
                <w:sz w:val="20"/>
                <w:szCs w:val="20"/>
              </w:rPr>
            </w:pPr>
            <w:r>
              <w:rPr>
                <w:noProof/>
                <w:color w:val="006100"/>
                <w:sz w:val="20"/>
              </w:rPr>
              <w:t>Investeering 6. Piiriülesed elektrivõrkude ühendamise projektid Itaalia ja naaberriikide vahel</w:t>
            </w:r>
          </w:p>
        </w:tc>
        <w:tc>
          <w:tcPr>
            <w:tcW w:w="1380" w:type="dxa"/>
            <w:tcBorders>
              <w:top w:val="nil"/>
              <w:left w:val="nil"/>
              <w:bottom w:val="single" w:sz="4" w:space="0" w:color="auto"/>
              <w:right w:val="single" w:sz="4" w:space="0" w:color="auto"/>
            </w:tcBorders>
            <w:shd w:val="clear" w:color="auto" w:fill="C6EFCE"/>
            <w:noWrap/>
            <w:vAlign w:val="center"/>
          </w:tcPr>
          <w:p w14:paraId="0698EDDD"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33E9EF42" w14:textId="77777777" w:rsidR="00A612E2" w:rsidRPr="003B127D" w:rsidRDefault="00A612E2" w:rsidP="00742B81">
            <w:pPr>
              <w:rPr>
                <w:noProof/>
                <w:color w:val="006100"/>
                <w:sz w:val="20"/>
                <w:szCs w:val="20"/>
              </w:rPr>
            </w:pPr>
            <w:r>
              <w:rPr>
                <w:noProof/>
                <w:color w:val="006100"/>
                <w:sz w:val="20"/>
              </w:rPr>
              <w:t>Itaalia ja Austria võrkudevahelise ühenduse nimivõimsuse suurenemine seoses võrkudevahelise ühenduse lõpuleviimisega</w:t>
            </w:r>
          </w:p>
        </w:tc>
      </w:tr>
      <w:tr w:rsidR="00A612E2" w:rsidRPr="00D90835" w14:paraId="0095859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9CDA86C" w14:textId="77777777" w:rsidR="00A612E2" w:rsidRPr="00246CC4" w:rsidRDefault="00A612E2" w:rsidP="00742B81">
            <w:pPr>
              <w:jc w:val="center"/>
              <w:rPr>
                <w:noProof/>
                <w:color w:val="006100"/>
                <w:sz w:val="20"/>
                <w:szCs w:val="20"/>
              </w:rPr>
            </w:pPr>
            <w:r>
              <w:rPr>
                <w:noProof/>
                <w:color w:val="006100"/>
                <w:sz w:val="20"/>
              </w:rPr>
              <w:t>M7-22</w:t>
            </w:r>
          </w:p>
        </w:tc>
        <w:tc>
          <w:tcPr>
            <w:tcW w:w="3195" w:type="dxa"/>
            <w:tcBorders>
              <w:top w:val="nil"/>
              <w:left w:val="nil"/>
              <w:bottom w:val="single" w:sz="4" w:space="0" w:color="auto"/>
              <w:right w:val="single" w:sz="4" w:space="0" w:color="auto"/>
            </w:tcBorders>
            <w:shd w:val="clear" w:color="auto" w:fill="C6EFCE"/>
            <w:noWrap/>
            <w:vAlign w:val="center"/>
          </w:tcPr>
          <w:p w14:paraId="01C2F594" w14:textId="77777777" w:rsidR="00A612E2" w:rsidRPr="00246CC4" w:rsidRDefault="00A612E2" w:rsidP="00742B81">
            <w:pPr>
              <w:rPr>
                <w:noProof/>
                <w:color w:val="006100"/>
                <w:sz w:val="20"/>
                <w:szCs w:val="20"/>
              </w:rPr>
            </w:pPr>
            <w:r>
              <w:rPr>
                <w:noProof/>
                <w:color w:val="006100"/>
                <w:sz w:val="20"/>
              </w:rPr>
              <w:t>Investeering 7. Arukas riiklik ülekandevõrk</w:t>
            </w:r>
          </w:p>
        </w:tc>
        <w:tc>
          <w:tcPr>
            <w:tcW w:w="1380" w:type="dxa"/>
            <w:tcBorders>
              <w:top w:val="nil"/>
              <w:left w:val="nil"/>
              <w:bottom w:val="single" w:sz="4" w:space="0" w:color="auto"/>
              <w:right w:val="single" w:sz="4" w:space="0" w:color="auto"/>
            </w:tcBorders>
            <w:shd w:val="clear" w:color="auto" w:fill="C6EFCE"/>
            <w:noWrap/>
            <w:vAlign w:val="center"/>
          </w:tcPr>
          <w:p w14:paraId="2F53E70A"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40D32DEC" w14:textId="77777777" w:rsidR="00A612E2" w:rsidRPr="003B127D" w:rsidRDefault="00A612E2" w:rsidP="00742B81">
            <w:pPr>
              <w:rPr>
                <w:noProof/>
                <w:color w:val="006100"/>
                <w:sz w:val="20"/>
                <w:szCs w:val="20"/>
              </w:rPr>
            </w:pPr>
            <w:r>
              <w:rPr>
                <w:noProof/>
                <w:color w:val="006100"/>
                <w:sz w:val="20"/>
              </w:rPr>
              <w:t>5G-seadmete või IKT-arhitektuuri paigaldamine jaamadesse</w:t>
            </w:r>
          </w:p>
        </w:tc>
      </w:tr>
      <w:tr w:rsidR="00A612E2" w:rsidRPr="00D90835" w14:paraId="5DF65BC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3319C17" w14:textId="77777777" w:rsidR="00A612E2" w:rsidRPr="00246CC4" w:rsidRDefault="00A612E2" w:rsidP="00742B81">
            <w:pPr>
              <w:jc w:val="center"/>
              <w:rPr>
                <w:noProof/>
                <w:color w:val="006100"/>
                <w:sz w:val="20"/>
                <w:szCs w:val="20"/>
              </w:rPr>
            </w:pPr>
            <w:r>
              <w:rPr>
                <w:noProof/>
                <w:color w:val="006100"/>
                <w:sz w:val="20"/>
              </w:rPr>
              <w:t>M7-23</w:t>
            </w:r>
          </w:p>
        </w:tc>
        <w:tc>
          <w:tcPr>
            <w:tcW w:w="3195" w:type="dxa"/>
            <w:tcBorders>
              <w:top w:val="nil"/>
              <w:left w:val="nil"/>
              <w:bottom w:val="single" w:sz="4" w:space="0" w:color="auto"/>
              <w:right w:val="single" w:sz="4" w:space="0" w:color="auto"/>
            </w:tcBorders>
            <w:shd w:val="clear" w:color="auto" w:fill="C6EFCE"/>
            <w:noWrap/>
            <w:vAlign w:val="center"/>
          </w:tcPr>
          <w:p w14:paraId="213DC95E" w14:textId="77777777" w:rsidR="00A612E2" w:rsidRPr="00246CC4" w:rsidRDefault="00A612E2" w:rsidP="00742B81">
            <w:pPr>
              <w:rPr>
                <w:noProof/>
                <w:color w:val="006100"/>
                <w:sz w:val="20"/>
                <w:szCs w:val="20"/>
              </w:rPr>
            </w:pPr>
            <w:r>
              <w:rPr>
                <w:noProof/>
                <w:color w:val="006100"/>
                <w:sz w:val="20"/>
              </w:rPr>
              <w:t>Investeering 7. Arukas riiklik ülekandevõrk</w:t>
            </w:r>
          </w:p>
        </w:tc>
        <w:tc>
          <w:tcPr>
            <w:tcW w:w="1380" w:type="dxa"/>
            <w:tcBorders>
              <w:top w:val="nil"/>
              <w:left w:val="nil"/>
              <w:bottom w:val="single" w:sz="4" w:space="0" w:color="auto"/>
              <w:right w:val="single" w:sz="4" w:space="0" w:color="auto"/>
            </w:tcBorders>
            <w:shd w:val="clear" w:color="auto" w:fill="C6EFCE"/>
            <w:noWrap/>
            <w:vAlign w:val="center"/>
          </w:tcPr>
          <w:p w14:paraId="5A62E42A"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1ED7F59D" w14:textId="77777777" w:rsidR="00A612E2" w:rsidRPr="003B127D" w:rsidRDefault="00A612E2" w:rsidP="00742B81">
            <w:pPr>
              <w:rPr>
                <w:noProof/>
                <w:color w:val="006100"/>
                <w:sz w:val="20"/>
                <w:szCs w:val="20"/>
              </w:rPr>
            </w:pPr>
            <w:r>
              <w:rPr>
                <w:noProof/>
                <w:color w:val="006100"/>
                <w:sz w:val="20"/>
              </w:rPr>
              <w:t>Uus võrguhaldus- ja kontrollisüsteem</w:t>
            </w:r>
          </w:p>
        </w:tc>
      </w:tr>
      <w:tr w:rsidR="00A612E2" w:rsidRPr="00246CC4" w14:paraId="4839E5F5"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F2CCA86" w14:textId="77777777" w:rsidR="00A612E2" w:rsidRPr="00246CC4" w:rsidRDefault="00A612E2" w:rsidP="00742B81">
            <w:pPr>
              <w:jc w:val="center"/>
              <w:rPr>
                <w:noProof/>
                <w:color w:val="006100"/>
                <w:sz w:val="20"/>
                <w:szCs w:val="20"/>
              </w:rPr>
            </w:pPr>
            <w:r>
              <w:rPr>
                <w:noProof/>
                <w:color w:val="006100"/>
                <w:sz w:val="20"/>
              </w:rPr>
              <w:t>M7-24</w:t>
            </w:r>
          </w:p>
        </w:tc>
        <w:tc>
          <w:tcPr>
            <w:tcW w:w="3195" w:type="dxa"/>
            <w:tcBorders>
              <w:top w:val="nil"/>
              <w:left w:val="nil"/>
              <w:bottom w:val="single" w:sz="4" w:space="0" w:color="auto"/>
              <w:right w:val="single" w:sz="4" w:space="0" w:color="auto"/>
            </w:tcBorders>
            <w:shd w:val="clear" w:color="auto" w:fill="C6EFCE"/>
            <w:noWrap/>
            <w:vAlign w:val="center"/>
          </w:tcPr>
          <w:p w14:paraId="0462449C" w14:textId="77777777" w:rsidR="00A612E2" w:rsidRPr="00246CC4" w:rsidRDefault="00A612E2" w:rsidP="00742B81">
            <w:pPr>
              <w:rPr>
                <w:noProof/>
                <w:color w:val="006100"/>
                <w:sz w:val="20"/>
                <w:szCs w:val="20"/>
              </w:rPr>
            </w:pPr>
            <w:r>
              <w:rPr>
                <w:noProof/>
                <w:color w:val="006100"/>
                <w:sz w:val="20"/>
              </w:rPr>
              <w:t>Investeering 7. Arukas riiklik ülekandevõrk</w:t>
            </w:r>
          </w:p>
        </w:tc>
        <w:tc>
          <w:tcPr>
            <w:tcW w:w="1380" w:type="dxa"/>
            <w:tcBorders>
              <w:top w:val="nil"/>
              <w:left w:val="nil"/>
              <w:bottom w:val="single" w:sz="4" w:space="0" w:color="auto"/>
              <w:right w:val="single" w:sz="4" w:space="0" w:color="auto"/>
            </w:tcBorders>
            <w:shd w:val="clear" w:color="auto" w:fill="C6EFCE"/>
            <w:noWrap/>
            <w:vAlign w:val="center"/>
          </w:tcPr>
          <w:p w14:paraId="48EEC48D" w14:textId="77777777" w:rsidR="00A612E2" w:rsidRPr="00246CC4" w:rsidRDefault="00A612E2" w:rsidP="00742B81">
            <w:pPr>
              <w:jc w:val="center"/>
              <w:rPr>
                <w:noProof/>
                <w:color w:val="006100"/>
                <w:sz w:val="20"/>
                <w:szCs w:val="20"/>
              </w:rPr>
            </w:pPr>
            <w:r>
              <w:rPr>
                <w:noProof/>
                <w:color w:val="006100"/>
                <w:sz w:val="20"/>
              </w:rPr>
              <w:t xml:space="preserve">Siht </w:t>
            </w:r>
          </w:p>
        </w:tc>
        <w:tc>
          <w:tcPr>
            <w:tcW w:w="4035" w:type="dxa"/>
            <w:tcBorders>
              <w:top w:val="nil"/>
              <w:left w:val="nil"/>
              <w:bottom w:val="single" w:sz="4" w:space="0" w:color="auto"/>
              <w:right w:val="single" w:sz="4" w:space="0" w:color="auto"/>
            </w:tcBorders>
            <w:shd w:val="clear" w:color="auto" w:fill="C6EFCE"/>
            <w:noWrap/>
            <w:vAlign w:val="center"/>
          </w:tcPr>
          <w:p w14:paraId="0AF731B0" w14:textId="77777777" w:rsidR="00A612E2" w:rsidRPr="00246CC4" w:rsidRDefault="00A612E2" w:rsidP="00742B81">
            <w:pPr>
              <w:rPr>
                <w:noProof/>
                <w:color w:val="006100"/>
                <w:sz w:val="20"/>
                <w:szCs w:val="20"/>
              </w:rPr>
            </w:pPr>
            <w:r>
              <w:rPr>
                <w:noProof/>
                <w:color w:val="006100"/>
                <w:sz w:val="20"/>
              </w:rPr>
              <w:t>Tööstuslik asjade internet</w:t>
            </w:r>
          </w:p>
        </w:tc>
      </w:tr>
      <w:tr w:rsidR="00A612E2" w:rsidRPr="00D90835" w14:paraId="09A0501C"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037CA9B" w14:textId="77777777" w:rsidR="00A612E2" w:rsidRPr="00246CC4" w:rsidRDefault="00A612E2" w:rsidP="00742B81">
            <w:pPr>
              <w:jc w:val="center"/>
              <w:rPr>
                <w:noProof/>
                <w:color w:val="006100"/>
                <w:sz w:val="20"/>
                <w:szCs w:val="20"/>
              </w:rPr>
            </w:pPr>
            <w:r>
              <w:rPr>
                <w:noProof/>
                <w:color w:val="006100"/>
                <w:sz w:val="20"/>
              </w:rPr>
              <w:t>M7-27</w:t>
            </w:r>
          </w:p>
        </w:tc>
        <w:tc>
          <w:tcPr>
            <w:tcW w:w="3195" w:type="dxa"/>
            <w:tcBorders>
              <w:top w:val="nil"/>
              <w:left w:val="nil"/>
              <w:bottom w:val="single" w:sz="4" w:space="0" w:color="auto"/>
              <w:right w:val="single" w:sz="4" w:space="0" w:color="auto"/>
            </w:tcBorders>
            <w:shd w:val="clear" w:color="auto" w:fill="C6EFCE"/>
            <w:noWrap/>
            <w:vAlign w:val="center"/>
          </w:tcPr>
          <w:p w14:paraId="27649E03" w14:textId="77777777" w:rsidR="00A612E2" w:rsidRPr="003B127D" w:rsidRDefault="00A612E2" w:rsidP="00742B81">
            <w:pPr>
              <w:rPr>
                <w:noProof/>
                <w:color w:val="006100"/>
                <w:sz w:val="20"/>
                <w:szCs w:val="20"/>
              </w:rPr>
            </w:pPr>
            <w:r>
              <w:rPr>
                <w:noProof/>
                <w:color w:val="006100"/>
                <w:sz w:val="20"/>
              </w:rPr>
              <w:t>Investeering 8. Kriitilise tähtsusega toorainete kestlik, ringluspõhine ja turvaline tarnimine</w:t>
            </w:r>
          </w:p>
        </w:tc>
        <w:tc>
          <w:tcPr>
            <w:tcW w:w="1380" w:type="dxa"/>
            <w:tcBorders>
              <w:top w:val="nil"/>
              <w:left w:val="nil"/>
              <w:bottom w:val="single" w:sz="4" w:space="0" w:color="auto"/>
              <w:right w:val="single" w:sz="4" w:space="0" w:color="auto"/>
            </w:tcBorders>
            <w:shd w:val="clear" w:color="auto" w:fill="C6EFCE"/>
            <w:noWrap/>
            <w:vAlign w:val="center"/>
          </w:tcPr>
          <w:p w14:paraId="5A0E9CC0" w14:textId="77777777" w:rsidR="00A612E2" w:rsidRPr="00246CC4" w:rsidRDefault="00A612E2" w:rsidP="00742B81">
            <w:pPr>
              <w:jc w:val="center"/>
              <w:rPr>
                <w:noProof/>
                <w:color w:val="006100"/>
                <w:sz w:val="20"/>
                <w:szCs w:val="20"/>
              </w:rPr>
            </w:pPr>
            <w:r>
              <w:rPr>
                <w:noProof/>
                <w:color w:val="006100"/>
                <w:sz w:val="20"/>
              </w:rPr>
              <w:t xml:space="preserve">Siht </w:t>
            </w:r>
          </w:p>
        </w:tc>
        <w:tc>
          <w:tcPr>
            <w:tcW w:w="4035" w:type="dxa"/>
            <w:tcBorders>
              <w:top w:val="nil"/>
              <w:left w:val="nil"/>
              <w:bottom w:val="single" w:sz="4" w:space="0" w:color="auto"/>
              <w:right w:val="single" w:sz="4" w:space="0" w:color="auto"/>
            </w:tcBorders>
            <w:shd w:val="clear" w:color="auto" w:fill="C6EFCE"/>
            <w:noWrap/>
            <w:vAlign w:val="center"/>
          </w:tcPr>
          <w:p w14:paraId="7DA04C69" w14:textId="77777777" w:rsidR="00A612E2" w:rsidRPr="003B127D" w:rsidRDefault="00A612E2" w:rsidP="00742B81">
            <w:pPr>
              <w:rPr>
                <w:noProof/>
                <w:color w:val="006100"/>
                <w:sz w:val="20"/>
                <w:szCs w:val="20"/>
              </w:rPr>
            </w:pPr>
            <w:r>
              <w:rPr>
                <w:noProof/>
                <w:color w:val="006100"/>
                <w:sz w:val="20"/>
              </w:rPr>
              <w:t>Ökodisaini ja linnakaevandamise teadus- ja arendusprojektide lõpuleviimine, et tagada kriitilise tähtsusega toorainete kestlik, ringluspõhine ja turvaline tarnimine</w:t>
            </w:r>
          </w:p>
        </w:tc>
      </w:tr>
      <w:tr w:rsidR="00A612E2" w:rsidRPr="00D90835" w14:paraId="17DD331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62DEE4D" w14:textId="77777777" w:rsidR="00A612E2" w:rsidRPr="00246CC4" w:rsidRDefault="00A612E2" w:rsidP="00742B81">
            <w:pPr>
              <w:jc w:val="center"/>
              <w:rPr>
                <w:noProof/>
                <w:color w:val="006100"/>
                <w:sz w:val="20"/>
                <w:szCs w:val="20"/>
              </w:rPr>
            </w:pPr>
            <w:r>
              <w:rPr>
                <w:noProof/>
                <w:color w:val="006100"/>
                <w:sz w:val="20"/>
              </w:rPr>
              <w:t>M7-28</w:t>
            </w:r>
          </w:p>
        </w:tc>
        <w:tc>
          <w:tcPr>
            <w:tcW w:w="3195" w:type="dxa"/>
            <w:tcBorders>
              <w:top w:val="nil"/>
              <w:left w:val="nil"/>
              <w:bottom w:val="single" w:sz="4" w:space="0" w:color="auto"/>
              <w:right w:val="single" w:sz="4" w:space="0" w:color="auto"/>
            </w:tcBorders>
            <w:shd w:val="clear" w:color="auto" w:fill="C6EFCE"/>
            <w:noWrap/>
            <w:vAlign w:val="center"/>
          </w:tcPr>
          <w:p w14:paraId="0B1BFFA7" w14:textId="77777777" w:rsidR="00A612E2" w:rsidRPr="003B127D" w:rsidRDefault="00A612E2" w:rsidP="00742B81">
            <w:pPr>
              <w:rPr>
                <w:noProof/>
                <w:color w:val="006100"/>
                <w:sz w:val="20"/>
                <w:szCs w:val="20"/>
              </w:rPr>
            </w:pPr>
            <w:r>
              <w:rPr>
                <w:noProof/>
                <w:color w:val="006100"/>
                <w:sz w:val="20"/>
              </w:rPr>
              <w:t>Investeering 8. Kriitilise tähtsusega toorainete kestlik, ringluspõhine ja turvaline tarnimine</w:t>
            </w:r>
          </w:p>
        </w:tc>
        <w:tc>
          <w:tcPr>
            <w:tcW w:w="1380" w:type="dxa"/>
            <w:tcBorders>
              <w:top w:val="nil"/>
              <w:left w:val="nil"/>
              <w:bottom w:val="single" w:sz="4" w:space="0" w:color="auto"/>
              <w:right w:val="single" w:sz="4" w:space="0" w:color="auto"/>
            </w:tcBorders>
            <w:shd w:val="clear" w:color="auto" w:fill="C6EFCE"/>
            <w:noWrap/>
            <w:vAlign w:val="center"/>
          </w:tcPr>
          <w:p w14:paraId="4C2B70ED"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399803F9" w14:textId="77777777" w:rsidR="00A612E2" w:rsidRPr="003B127D" w:rsidRDefault="00A612E2" w:rsidP="00742B81">
            <w:pPr>
              <w:rPr>
                <w:noProof/>
                <w:color w:val="006100"/>
                <w:sz w:val="20"/>
                <w:szCs w:val="20"/>
              </w:rPr>
            </w:pPr>
            <w:r>
              <w:rPr>
                <w:noProof/>
                <w:color w:val="006100"/>
                <w:sz w:val="20"/>
              </w:rPr>
              <w:t>Linnakaevandamise ja ökodisaini tehnoloogiakeskusesse kuuluvate laborite seadmed</w:t>
            </w:r>
          </w:p>
        </w:tc>
      </w:tr>
      <w:tr w:rsidR="00A612E2" w:rsidRPr="00246CC4" w14:paraId="62E79023"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BFCAADB" w14:textId="77777777" w:rsidR="00A612E2" w:rsidRPr="00246CC4" w:rsidRDefault="00A612E2" w:rsidP="00742B81">
            <w:pPr>
              <w:jc w:val="center"/>
              <w:rPr>
                <w:noProof/>
                <w:color w:val="006100"/>
                <w:sz w:val="20"/>
                <w:szCs w:val="20"/>
              </w:rPr>
            </w:pPr>
            <w:r>
              <w:rPr>
                <w:noProof/>
                <w:color w:val="006100"/>
                <w:sz w:val="20"/>
              </w:rPr>
              <w:t>M7-29</w:t>
            </w:r>
          </w:p>
        </w:tc>
        <w:tc>
          <w:tcPr>
            <w:tcW w:w="3195" w:type="dxa"/>
            <w:tcBorders>
              <w:top w:val="nil"/>
              <w:left w:val="nil"/>
              <w:bottom w:val="single" w:sz="4" w:space="0" w:color="auto"/>
              <w:right w:val="single" w:sz="4" w:space="0" w:color="auto"/>
            </w:tcBorders>
            <w:shd w:val="clear" w:color="auto" w:fill="C6EFCE"/>
            <w:noWrap/>
            <w:vAlign w:val="center"/>
          </w:tcPr>
          <w:p w14:paraId="47335652" w14:textId="321B4B52" w:rsidR="00A612E2" w:rsidRPr="003B127D" w:rsidRDefault="00A612E2" w:rsidP="00742B81">
            <w:pPr>
              <w:rPr>
                <w:noProof/>
                <w:color w:val="006100"/>
                <w:sz w:val="20"/>
                <w:szCs w:val="20"/>
              </w:rPr>
            </w:pPr>
            <w:r>
              <w:rPr>
                <w:noProof/>
                <w:color w:val="006100"/>
                <w:sz w:val="20"/>
              </w:rPr>
              <w:t xml:space="preserve">Investeering 9. </w:t>
            </w:r>
            <w:r w:rsidR="00956361">
              <w:rPr>
                <w:noProof/>
                <w:color w:val="006100"/>
                <w:sz w:val="20"/>
              </w:rPr>
              <w:t>V</w:t>
            </w:r>
            <w:r>
              <w:rPr>
                <w:noProof/>
                <w:color w:val="006100"/>
                <w:sz w:val="20"/>
              </w:rPr>
              <w:t>õimendatud meede: Anda tehnilist abi ja tugevdada suutlikkust Itaalia taaste- ja vastupidavuskava rakendamiseks</w:t>
            </w:r>
          </w:p>
        </w:tc>
        <w:tc>
          <w:tcPr>
            <w:tcW w:w="1380" w:type="dxa"/>
            <w:tcBorders>
              <w:top w:val="nil"/>
              <w:left w:val="nil"/>
              <w:bottom w:val="single" w:sz="4" w:space="0" w:color="auto"/>
              <w:right w:val="single" w:sz="4" w:space="0" w:color="auto"/>
            </w:tcBorders>
            <w:shd w:val="clear" w:color="auto" w:fill="C6EFCE"/>
            <w:noWrap/>
            <w:vAlign w:val="center"/>
          </w:tcPr>
          <w:p w14:paraId="17835B90"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255C59A3" w14:textId="77777777" w:rsidR="00A612E2" w:rsidRPr="00246CC4" w:rsidRDefault="00A612E2" w:rsidP="00742B81">
            <w:pPr>
              <w:rPr>
                <w:noProof/>
                <w:color w:val="006100"/>
                <w:sz w:val="20"/>
                <w:szCs w:val="20"/>
              </w:rPr>
            </w:pPr>
            <w:r>
              <w:rPr>
                <w:noProof/>
                <w:color w:val="006100"/>
                <w:sz w:val="20"/>
              </w:rPr>
              <w:t>Haridus ja koolitus</w:t>
            </w:r>
          </w:p>
        </w:tc>
      </w:tr>
      <w:tr w:rsidR="00A612E2" w:rsidRPr="00D90835" w14:paraId="2C6227D8"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8918B52" w14:textId="77777777" w:rsidR="00A612E2" w:rsidRPr="00246CC4" w:rsidRDefault="00A612E2" w:rsidP="00742B81">
            <w:pPr>
              <w:jc w:val="center"/>
              <w:rPr>
                <w:noProof/>
                <w:color w:val="006100"/>
                <w:sz w:val="20"/>
                <w:szCs w:val="20"/>
              </w:rPr>
            </w:pPr>
            <w:r>
              <w:rPr>
                <w:noProof/>
                <w:color w:val="006100"/>
                <w:sz w:val="20"/>
              </w:rPr>
              <w:t>M7-31</w:t>
            </w:r>
          </w:p>
        </w:tc>
        <w:tc>
          <w:tcPr>
            <w:tcW w:w="3195" w:type="dxa"/>
            <w:tcBorders>
              <w:top w:val="nil"/>
              <w:left w:val="nil"/>
              <w:bottom w:val="single" w:sz="4" w:space="0" w:color="auto"/>
              <w:right w:val="single" w:sz="4" w:space="0" w:color="auto"/>
            </w:tcBorders>
            <w:shd w:val="clear" w:color="auto" w:fill="C6EFCE"/>
            <w:noWrap/>
            <w:vAlign w:val="center"/>
          </w:tcPr>
          <w:p w14:paraId="329AA540" w14:textId="44070F18" w:rsidR="00A612E2" w:rsidRPr="003B127D" w:rsidRDefault="00A612E2" w:rsidP="00742B81">
            <w:pPr>
              <w:rPr>
                <w:noProof/>
                <w:color w:val="006100"/>
                <w:sz w:val="20"/>
                <w:szCs w:val="20"/>
              </w:rPr>
            </w:pPr>
            <w:r>
              <w:rPr>
                <w:noProof/>
                <w:color w:val="006100"/>
                <w:sz w:val="20"/>
              </w:rPr>
              <w:t>Investeering 11. Heitevabade rongide ja universaalteenusega piirkondliku ühistranspordi raudteepargi tugevdamine</w:t>
            </w:r>
          </w:p>
        </w:tc>
        <w:tc>
          <w:tcPr>
            <w:tcW w:w="1380" w:type="dxa"/>
            <w:tcBorders>
              <w:top w:val="nil"/>
              <w:left w:val="nil"/>
              <w:bottom w:val="single" w:sz="4" w:space="0" w:color="auto"/>
              <w:right w:val="single" w:sz="4" w:space="0" w:color="auto"/>
            </w:tcBorders>
            <w:shd w:val="clear" w:color="auto" w:fill="C6EFCE"/>
            <w:noWrap/>
            <w:vAlign w:val="center"/>
          </w:tcPr>
          <w:p w14:paraId="71C267A2"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4A0E9475" w14:textId="77777777" w:rsidR="00A612E2" w:rsidRPr="003B127D" w:rsidRDefault="00A612E2" w:rsidP="00742B81">
            <w:pPr>
              <w:rPr>
                <w:noProof/>
                <w:color w:val="006100"/>
                <w:sz w:val="20"/>
                <w:szCs w:val="20"/>
              </w:rPr>
            </w:pPr>
            <w:r>
              <w:rPr>
                <w:noProof/>
                <w:color w:val="006100"/>
                <w:sz w:val="20"/>
              </w:rPr>
              <w:t xml:space="preserve">Nullheitmetega rongide arv ja vedude arv universaalteenuse puhul </w:t>
            </w:r>
          </w:p>
        </w:tc>
      </w:tr>
      <w:tr w:rsidR="00A612E2" w:rsidRPr="00D90835" w14:paraId="182F4E9B"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C9F4D0E" w14:textId="77777777" w:rsidR="00A612E2" w:rsidRPr="00246CC4" w:rsidRDefault="00A612E2" w:rsidP="00742B81">
            <w:pPr>
              <w:jc w:val="center"/>
              <w:rPr>
                <w:noProof/>
                <w:color w:val="006100"/>
                <w:sz w:val="20"/>
                <w:szCs w:val="20"/>
              </w:rPr>
            </w:pPr>
            <w:r>
              <w:rPr>
                <w:noProof/>
                <w:color w:val="006100"/>
                <w:sz w:val="20"/>
              </w:rPr>
              <w:t>M1C2–14ter</w:t>
            </w:r>
          </w:p>
        </w:tc>
        <w:tc>
          <w:tcPr>
            <w:tcW w:w="3195" w:type="dxa"/>
            <w:tcBorders>
              <w:top w:val="nil"/>
              <w:left w:val="nil"/>
              <w:bottom w:val="single" w:sz="4" w:space="0" w:color="auto"/>
              <w:right w:val="single" w:sz="4" w:space="0" w:color="auto"/>
            </w:tcBorders>
            <w:shd w:val="clear" w:color="auto" w:fill="C6EFCE"/>
            <w:noWrap/>
            <w:vAlign w:val="center"/>
          </w:tcPr>
          <w:p w14:paraId="165BE5C9" w14:textId="77777777" w:rsidR="00A612E2" w:rsidRPr="003B127D" w:rsidRDefault="00A612E2" w:rsidP="00742B81">
            <w:pPr>
              <w:jc w:val="center"/>
              <w:rPr>
                <w:noProof/>
                <w:color w:val="006100"/>
                <w:sz w:val="20"/>
                <w:szCs w:val="20"/>
              </w:rPr>
            </w:pPr>
            <w:r>
              <w:rPr>
                <w:noProof/>
                <w:color w:val="006100"/>
                <w:sz w:val="20"/>
              </w:rPr>
              <w:t>Reform 3. ettevõtete stiimulite ratsionaliseerimine ja lihtsustamine.</w:t>
            </w:r>
          </w:p>
        </w:tc>
        <w:tc>
          <w:tcPr>
            <w:tcW w:w="1380" w:type="dxa"/>
            <w:tcBorders>
              <w:top w:val="nil"/>
              <w:left w:val="nil"/>
              <w:bottom w:val="single" w:sz="4" w:space="0" w:color="auto"/>
              <w:right w:val="single" w:sz="4" w:space="0" w:color="auto"/>
            </w:tcBorders>
            <w:shd w:val="clear" w:color="auto" w:fill="C6EFCE"/>
            <w:noWrap/>
            <w:vAlign w:val="center"/>
          </w:tcPr>
          <w:p w14:paraId="5E8AFF5F" w14:textId="77777777" w:rsidR="00A612E2" w:rsidRPr="00246CC4" w:rsidRDefault="00A612E2" w:rsidP="00742B81">
            <w:pPr>
              <w:jc w:val="center"/>
              <w:rPr>
                <w:noProof/>
                <w:color w:val="006100"/>
                <w:sz w:val="20"/>
                <w:szCs w:val="20"/>
              </w:rPr>
            </w:pPr>
            <w:r>
              <w:rPr>
                <w:noProof/>
                <w:color w:val="006100"/>
                <w:sz w:val="20"/>
              </w:rPr>
              <w:t xml:space="preserve">Eesmärk </w:t>
            </w:r>
          </w:p>
        </w:tc>
        <w:tc>
          <w:tcPr>
            <w:tcW w:w="4035" w:type="dxa"/>
            <w:tcBorders>
              <w:top w:val="nil"/>
              <w:left w:val="nil"/>
              <w:bottom w:val="single" w:sz="4" w:space="0" w:color="auto"/>
              <w:right w:val="single" w:sz="4" w:space="0" w:color="auto"/>
            </w:tcBorders>
            <w:shd w:val="clear" w:color="auto" w:fill="C6EFCE"/>
            <w:noWrap/>
            <w:vAlign w:val="center"/>
          </w:tcPr>
          <w:p w14:paraId="1573D7ED" w14:textId="77777777" w:rsidR="00A612E2" w:rsidRPr="003B127D" w:rsidRDefault="00A612E2" w:rsidP="00742B81">
            <w:pPr>
              <w:rPr>
                <w:noProof/>
                <w:color w:val="006100"/>
                <w:sz w:val="20"/>
                <w:szCs w:val="20"/>
              </w:rPr>
            </w:pPr>
            <w:r>
              <w:rPr>
                <w:noProof/>
                <w:color w:val="006100"/>
                <w:sz w:val="20"/>
              </w:rPr>
              <w:t>Siduvate stiimulite ratsionaliseerimist käsitlevate esmaste õigusaktide jõustumine</w:t>
            </w:r>
          </w:p>
        </w:tc>
      </w:tr>
      <w:tr w:rsidR="00A612E2" w:rsidRPr="00D90835" w14:paraId="778D810D"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9E749ED" w14:textId="77777777" w:rsidR="00A612E2" w:rsidRPr="00246CC4" w:rsidRDefault="00A612E2" w:rsidP="00742B81">
            <w:pPr>
              <w:jc w:val="center"/>
              <w:rPr>
                <w:noProof/>
                <w:color w:val="006100"/>
                <w:sz w:val="20"/>
                <w:szCs w:val="20"/>
              </w:rPr>
            </w:pPr>
            <w:r>
              <w:rPr>
                <w:noProof/>
                <w:color w:val="006100"/>
                <w:sz w:val="20"/>
              </w:rPr>
              <w:t>M4C1–14ter</w:t>
            </w:r>
          </w:p>
        </w:tc>
        <w:tc>
          <w:tcPr>
            <w:tcW w:w="3195" w:type="dxa"/>
            <w:tcBorders>
              <w:top w:val="nil"/>
              <w:left w:val="nil"/>
              <w:bottom w:val="single" w:sz="4" w:space="0" w:color="auto"/>
              <w:right w:val="single" w:sz="4" w:space="0" w:color="auto"/>
            </w:tcBorders>
            <w:shd w:val="clear" w:color="auto" w:fill="C6EFCE"/>
            <w:noWrap/>
            <w:vAlign w:val="center"/>
          </w:tcPr>
          <w:p w14:paraId="690BFD16" w14:textId="77777777" w:rsidR="00A612E2" w:rsidRPr="00246CC4" w:rsidRDefault="00A612E2" w:rsidP="00742B81">
            <w:pPr>
              <w:jc w:val="center"/>
              <w:rPr>
                <w:noProof/>
                <w:color w:val="006100"/>
                <w:sz w:val="20"/>
                <w:szCs w:val="20"/>
              </w:rPr>
            </w:pPr>
            <w:r>
              <w:rPr>
                <w:noProof/>
                <w:color w:val="006100"/>
                <w:sz w:val="20"/>
              </w:rPr>
              <w:t>Reform 2.1. Õpetajate värbamine</w:t>
            </w:r>
          </w:p>
        </w:tc>
        <w:tc>
          <w:tcPr>
            <w:tcW w:w="1380" w:type="dxa"/>
            <w:tcBorders>
              <w:top w:val="nil"/>
              <w:left w:val="nil"/>
              <w:bottom w:val="single" w:sz="4" w:space="0" w:color="auto"/>
              <w:right w:val="single" w:sz="4" w:space="0" w:color="auto"/>
            </w:tcBorders>
            <w:shd w:val="clear" w:color="auto" w:fill="C6EFCE"/>
            <w:noWrap/>
            <w:vAlign w:val="center"/>
          </w:tcPr>
          <w:p w14:paraId="0BF915BA" w14:textId="77777777" w:rsidR="00A612E2" w:rsidRPr="00246CC4" w:rsidRDefault="00A612E2" w:rsidP="00742B81">
            <w:pPr>
              <w:jc w:val="center"/>
              <w:rPr>
                <w:noProof/>
                <w:color w:val="006100"/>
                <w:sz w:val="20"/>
                <w:szCs w:val="20"/>
              </w:rPr>
            </w:pPr>
            <w:r>
              <w:rPr>
                <w:noProof/>
                <w:color w:val="006100"/>
                <w:sz w:val="20"/>
              </w:rPr>
              <w:t>Siht</w:t>
            </w:r>
          </w:p>
        </w:tc>
        <w:tc>
          <w:tcPr>
            <w:tcW w:w="4035" w:type="dxa"/>
            <w:tcBorders>
              <w:top w:val="nil"/>
              <w:left w:val="nil"/>
              <w:bottom w:val="single" w:sz="4" w:space="0" w:color="auto"/>
              <w:right w:val="single" w:sz="4" w:space="0" w:color="auto"/>
            </w:tcBorders>
            <w:shd w:val="clear" w:color="auto" w:fill="C6EFCE"/>
            <w:noWrap/>
            <w:vAlign w:val="center"/>
          </w:tcPr>
          <w:p w14:paraId="6DC34726" w14:textId="77777777" w:rsidR="00A612E2" w:rsidRPr="003B127D" w:rsidRDefault="00A612E2" w:rsidP="00742B81">
            <w:pPr>
              <w:rPr>
                <w:noProof/>
                <w:color w:val="006100"/>
                <w:sz w:val="20"/>
                <w:szCs w:val="20"/>
              </w:rPr>
            </w:pPr>
            <w:r>
              <w:rPr>
                <w:noProof/>
                <w:color w:val="006100"/>
                <w:sz w:val="20"/>
              </w:rPr>
              <w:t>Kandidaadid, kes on reformitud värbamissüsteemi kohaselt edukalt läbinud avaliku konkursi õpetajateks saamiseks.</w:t>
            </w:r>
          </w:p>
        </w:tc>
      </w:tr>
      <w:tr w:rsidR="00A612E2" w:rsidRPr="00246CC4" w14:paraId="3C016C74" w14:textId="77777777" w:rsidTr="00742B81">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0A9CC07E" w14:textId="77777777" w:rsidR="00A612E2" w:rsidRPr="00F33804" w:rsidRDefault="00A612E2" w:rsidP="00742B81">
            <w:pPr>
              <w:jc w:val="center"/>
              <w:rPr>
                <w:noProof/>
                <w:color w:val="006100"/>
                <w:sz w:val="20"/>
                <w:szCs w:val="20"/>
              </w:rPr>
            </w:pPr>
          </w:p>
        </w:tc>
        <w:tc>
          <w:tcPr>
            <w:tcW w:w="3195" w:type="dxa"/>
            <w:tcBorders>
              <w:top w:val="single" w:sz="4" w:space="0" w:color="auto"/>
              <w:left w:val="nil"/>
              <w:bottom w:val="single" w:sz="4" w:space="0" w:color="auto"/>
              <w:right w:val="single" w:sz="4" w:space="0" w:color="auto"/>
            </w:tcBorders>
            <w:shd w:val="clear" w:color="auto" w:fill="C6EFCE"/>
            <w:noWrap/>
            <w:vAlign w:val="bottom"/>
          </w:tcPr>
          <w:p w14:paraId="3A91637C" w14:textId="77777777" w:rsidR="00A612E2" w:rsidRPr="00F33804" w:rsidRDefault="00A612E2" w:rsidP="00742B81">
            <w:pPr>
              <w:rPr>
                <w:noProof/>
                <w:color w:val="006100"/>
                <w:sz w:val="20"/>
                <w:szCs w:val="20"/>
              </w:rPr>
            </w:pPr>
          </w:p>
        </w:tc>
        <w:tc>
          <w:tcPr>
            <w:tcW w:w="1380" w:type="dxa"/>
            <w:tcBorders>
              <w:top w:val="single" w:sz="4" w:space="0" w:color="auto"/>
              <w:left w:val="nil"/>
              <w:bottom w:val="single" w:sz="4" w:space="0" w:color="auto"/>
              <w:right w:val="single" w:sz="4" w:space="0" w:color="auto"/>
            </w:tcBorders>
            <w:shd w:val="clear" w:color="auto" w:fill="C6EFCE"/>
            <w:noWrap/>
            <w:vAlign w:val="bottom"/>
          </w:tcPr>
          <w:p w14:paraId="76A27159" w14:textId="77777777" w:rsidR="00A612E2" w:rsidRPr="00246CC4" w:rsidRDefault="00A612E2" w:rsidP="00742B81">
            <w:pPr>
              <w:rPr>
                <w:noProof/>
                <w:color w:val="006100"/>
                <w:sz w:val="20"/>
                <w:szCs w:val="20"/>
              </w:rPr>
            </w:pPr>
            <w:r>
              <w:rPr>
                <w:noProof/>
                <w:color w:val="006100"/>
                <w:sz w:val="20"/>
              </w:rPr>
              <w:t>Osamakse summa</w:t>
            </w:r>
          </w:p>
        </w:tc>
        <w:tc>
          <w:tcPr>
            <w:tcW w:w="4035" w:type="dxa"/>
            <w:tcBorders>
              <w:top w:val="single" w:sz="4" w:space="0" w:color="auto"/>
              <w:left w:val="nil"/>
              <w:bottom w:val="single" w:sz="4" w:space="0" w:color="auto"/>
              <w:right w:val="single" w:sz="4" w:space="0" w:color="auto"/>
            </w:tcBorders>
            <w:shd w:val="clear" w:color="auto" w:fill="C6EFCE"/>
            <w:noWrap/>
            <w:vAlign w:val="bottom"/>
          </w:tcPr>
          <w:p w14:paraId="50E35359" w14:textId="77777777" w:rsidR="00A612E2" w:rsidRPr="00246CC4" w:rsidRDefault="00A612E2" w:rsidP="00742B81">
            <w:pPr>
              <w:rPr>
                <w:noProof/>
                <w:color w:val="006100"/>
                <w:sz w:val="20"/>
                <w:szCs w:val="20"/>
              </w:rPr>
            </w:pPr>
            <w:r>
              <w:rPr>
                <w:noProof/>
                <w:color w:val="006100"/>
                <w:sz w:val="20"/>
              </w:rPr>
              <w:t>12</w:t>
            </w:r>
            <w:r>
              <w:rPr>
                <w:rFonts w:ascii="Arial Narrow" w:hAnsi="Arial Narrow"/>
                <w:noProof/>
                <w:color w:val="006100"/>
                <w:sz w:val="20"/>
              </w:rPr>
              <w:t xml:space="preserve"> </w:t>
            </w:r>
            <w:r>
              <w:rPr>
                <w:noProof/>
                <w:color w:val="006100"/>
                <w:sz w:val="20"/>
              </w:rPr>
              <w:t>799</w:t>
            </w:r>
            <w:r>
              <w:rPr>
                <w:rFonts w:ascii="Arial Narrow" w:hAnsi="Arial Narrow"/>
                <w:noProof/>
                <w:color w:val="006100"/>
                <w:sz w:val="20"/>
              </w:rPr>
              <w:t xml:space="preserve"> </w:t>
            </w:r>
            <w:r>
              <w:rPr>
                <w:noProof/>
                <w:color w:val="006100"/>
                <w:sz w:val="20"/>
              </w:rPr>
              <w:t>902</w:t>
            </w:r>
            <w:r>
              <w:rPr>
                <w:rFonts w:ascii="Arial Narrow" w:hAnsi="Arial Narrow"/>
                <w:noProof/>
                <w:color w:val="006100"/>
                <w:sz w:val="20"/>
              </w:rPr>
              <w:t xml:space="preserve"> </w:t>
            </w:r>
            <w:r>
              <w:rPr>
                <w:noProof/>
                <w:color w:val="006100"/>
                <w:sz w:val="20"/>
              </w:rPr>
              <w:t>997 eurot</w:t>
            </w:r>
          </w:p>
        </w:tc>
      </w:tr>
    </w:tbl>
    <w:p w14:paraId="1DAA5FEE" w14:textId="77777777" w:rsidR="00A612E2" w:rsidRPr="00246CC4" w:rsidRDefault="00A612E2" w:rsidP="00A612E2">
      <w:pPr>
        <w:spacing w:before="120" w:after="120"/>
        <w:jc w:val="both"/>
        <w:rPr>
          <w:rFonts w:eastAsia="Calibri"/>
          <w:noProof/>
          <w:lang w:val="en-GB"/>
        </w:rPr>
      </w:pPr>
    </w:p>
    <w:p w14:paraId="2C2EF35F" w14:textId="77777777" w:rsidR="00A612E2" w:rsidRPr="00246CC4" w:rsidRDefault="00A612E2" w:rsidP="00A612E2">
      <w:pPr>
        <w:pStyle w:val="NumPar1"/>
        <w:numPr>
          <w:ilvl w:val="0"/>
          <w:numId w:val="143"/>
        </w:numPr>
        <w:rPr>
          <w:b/>
          <w:noProof/>
        </w:rPr>
      </w:pPr>
      <w:r>
        <w:rPr>
          <w:b/>
          <w:noProof/>
        </w:rPr>
        <w:t>Laenutoetus</w:t>
      </w:r>
    </w:p>
    <w:p w14:paraId="203B490C" w14:textId="77777777" w:rsidR="00A612E2" w:rsidRPr="00246CC4" w:rsidRDefault="00A612E2" w:rsidP="00A612E2">
      <w:pPr>
        <w:pStyle w:val="Text1"/>
        <w:rPr>
          <w:noProof/>
        </w:rPr>
      </w:pPr>
      <w:r>
        <w:rPr>
          <w:noProof/>
        </w:rPr>
        <w:t>Artikli 3 lõikes 2 osutatud osamaksed korraldatakse järgmiselt.</w:t>
      </w:r>
    </w:p>
    <w:p w14:paraId="1D6E1A6B" w14:textId="77777777" w:rsidR="00A612E2" w:rsidRPr="00246CC4" w:rsidRDefault="00A612E2" w:rsidP="00A612E2">
      <w:pPr>
        <w:numPr>
          <w:ilvl w:val="1"/>
          <w:numId w:val="6"/>
        </w:numPr>
        <w:spacing w:before="120" w:after="120"/>
        <w:jc w:val="both"/>
        <w:rPr>
          <w:rFonts w:eastAsia="Calibri"/>
          <w:noProof/>
        </w:rPr>
      </w:pPr>
      <w:r>
        <w:rPr>
          <w:noProof/>
        </w:rPr>
        <w:t>Esimene osamakse (laenutoetus):</w:t>
      </w:r>
    </w:p>
    <w:tbl>
      <w:tblPr>
        <w:tblW w:w="10038" w:type="dxa"/>
        <w:tblInd w:w="113" w:type="dxa"/>
        <w:tblLook w:val="04A0" w:firstRow="1" w:lastRow="0" w:firstColumn="1" w:lastColumn="0" w:noHBand="0" w:noVBand="1"/>
      </w:tblPr>
      <w:tblGrid>
        <w:gridCol w:w="1827"/>
        <w:gridCol w:w="3195"/>
        <w:gridCol w:w="1455"/>
        <w:gridCol w:w="3975"/>
      </w:tblGrid>
      <w:tr w:rsidR="00A612E2" w:rsidRPr="00246CC4" w14:paraId="7A42DC2C" w14:textId="77777777" w:rsidTr="00742B81">
        <w:trPr>
          <w:trHeight w:val="906"/>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3F8322C" w14:textId="77777777" w:rsidR="00A612E2" w:rsidRPr="00246CC4" w:rsidRDefault="00A612E2" w:rsidP="00742B81">
            <w:pPr>
              <w:jc w:val="center"/>
              <w:rPr>
                <w:b/>
                <w:bCs/>
                <w:noProof/>
                <w:sz w:val="20"/>
                <w:szCs w:val="20"/>
              </w:rPr>
            </w:pPr>
            <w:r>
              <w:rPr>
                <w:b/>
                <w:noProof/>
                <w:sz w:val="20"/>
              </w:rPr>
              <w:t>Järjekorranumber</w:t>
            </w:r>
          </w:p>
        </w:tc>
        <w:tc>
          <w:tcPr>
            <w:tcW w:w="319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3A9776A" w14:textId="77777777" w:rsidR="00A612E2" w:rsidRPr="003B127D" w:rsidRDefault="00A612E2" w:rsidP="00742B81">
            <w:pPr>
              <w:jc w:val="center"/>
              <w:rPr>
                <w:b/>
                <w:bCs/>
                <w:noProof/>
                <w:sz w:val="20"/>
                <w:szCs w:val="20"/>
              </w:rPr>
            </w:pPr>
            <w:r>
              <w:rPr>
                <w:b/>
                <w:noProof/>
                <w:sz w:val="20"/>
              </w:rPr>
              <w:t>Seotud meede (reform või investeering)</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756BE2E" w14:textId="77777777" w:rsidR="00A612E2" w:rsidRPr="00246CC4" w:rsidRDefault="00A612E2" w:rsidP="00742B81">
            <w:pPr>
              <w:jc w:val="center"/>
              <w:rPr>
                <w:b/>
                <w:bCs/>
                <w:noProof/>
                <w:sz w:val="20"/>
                <w:szCs w:val="20"/>
              </w:rPr>
            </w:pPr>
            <w:r>
              <w:rPr>
                <w:b/>
                <w:noProof/>
                <w:sz w:val="20"/>
              </w:rPr>
              <w:t>Eesmärk / siht</w:t>
            </w:r>
          </w:p>
        </w:tc>
        <w:tc>
          <w:tcPr>
            <w:tcW w:w="397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5CAA5AD" w14:textId="77777777" w:rsidR="00A612E2" w:rsidRPr="00246CC4" w:rsidRDefault="00A612E2" w:rsidP="00742B81">
            <w:pPr>
              <w:jc w:val="center"/>
              <w:rPr>
                <w:b/>
                <w:bCs/>
                <w:noProof/>
                <w:sz w:val="20"/>
                <w:szCs w:val="20"/>
              </w:rPr>
            </w:pPr>
            <w:r>
              <w:rPr>
                <w:b/>
                <w:noProof/>
                <w:sz w:val="20"/>
              </w:rPr>
              <w:t>Nimi</w:t>
            </w:r>
          </w:p>
        </w:tc>
      </w:tr>
      <w:tr w:rsidR="00A612E2" w:rsidRPr="00246CC4" w14:paraId="4F02F336" w14:textId="77777777" w:rsidTr="00742B81">
        <w:trPr>
          <w:trHeight w:val="517"/>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2058DC6" w14:textId="77777777" w:rsidR="00A612E2" w:rsidRPr="00246CC4" w:rsidRDefault="00A612E2" w:rsidP="00742B81">
            <w:pPr>
              <w:rPr>
                <w:b/>
                <w:bCs/>
                <w:noProof/>
              </w:rPr>
            </w:pPr>
          </w:p>
        </w:tc>
        <w:tc>
          <w:tcPr>
            <w:tcW w:w="3195" w:type="dxa"/>
            <w:vMerge/>
            <w:tcBorders>
              <w:top w:val="single" w:sz="4" w:space="0" w:color="auto"/>
              <w:left w:val="single" w:sz="4" w:space="0" w:color="auto"/>
              <w:bottom w:val="single" w:sz="4" w:space="0" w:color="auto"/>
              <w:right w:val="single" w:sz="4" w:space="0" w:color="auto"/>
            </w:tcBorders>
            <w:vAlign w:val="center"/>
            <w:hideMark/>
          </w:tcPr>
          <w:p w14:paraId="5A1CE6A1" w14:textId="77777777" w:rsidR="00A612E2" w:rsidRPr="00246CC4" w:rsidRDefault="00A612E2" w:rsidP="00742B81">
            <w:pPr>
              <w:rPr>
                <w:b/>
                <w:bCs/>
                <w:noProof/>
              </w:rPr>
            </w:pPr>
          </w:p>
        </w:tc>
        <w:tc>
          <w:tcPr>
            <w:tcW w:w="1455" w:type="dxa"/>
            <w:vMerge/>
            <w:tcBorders>
              <w:top w:val="single" w:sz="4" w:space="0" w:color="auto"/>
              <w:left w:val="single" w:sz="4" w:space="0" w:color="auto"/>
              <w:bottom w:val="single" w:sz="4" w:space="0" w:color="auto"/>
              <w:right w:val="single" w:sz="4" w:space="0" w:color="auto"/>
            </w:tcBorders>
            <w:vAlign w:val="center"/>
            <w:hideMark/>
          </w:tcPr>
          <w:p w14:paraId="21C89884" w14:textId="77777777" w:rsidR="00A612E2" w:rsidRPr="00246CC4" w:rsidRDefault="00A612E2" w:rsidP="00742B81">
            <w:pPr>
              <w:rPr>
                <w:b/>
                <w:bCs/>
                <w:noProof/>
              </w:rPr>
            </w:pPr>
          </w:p>
        </w:tc>
        <w:tc>
          <w:tcPr>
            <w:tcW w:w="3975" w:type="dxa"/>
            <w:vMerge/>
            <w:tcBorders>
              <w:top w:val="single" w:sz="4" w:space="0" w:color="auto"/>
              <w:left w:val="single" w:sz="4" w:space="0" w:color="auto"/>
              <w:bottom w:val="single" w:sz="4" w:space="0" w:color="auto"/>
              <w:right w:val="single" w:sz="4" w:space="0" w:color="auto"/>
            </w:tcBorders>
            <w:vAlign w:val="center"/>
            <w:hideMark/>
          </w:tcPr>
          <w:p w14:paraId="278FB441" w14:textId="77777777" w:rsidR="00A612E2" w:rsidRPr="00246CC4" w:rsidRDefault="00A612E2" w:rsidP="00742B81">
            <w:pPr>
              <w:rPr>
                <w:b/>
                <w:bCs/>
                <w:noProof/>
              </w:rPr>
            </w:pPr>
          </w:p>
        </w:tc>
      </w:tr>
      <w:tr w:rsidR="00A612E2" w:rsidRPr="00D90835" w14:paraId="74AF2FC2" w14:textId="77777777" w:rsidTr="00742B81">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F39310A" w14:textId="77777777" w:rsidR="00A612E2" w:rsidRPr="00246CC4" w:rsidRDefault="00A612E2" w:rsidP="00742B81">
            <w:pPr>
              <w:rPr>
                <w:noProof/>
                <w:color w:val="006100"/>
                <w:sz w:val="20"/>
                <w:szCs w:val="20"/>
              </w:rPr>
            </w:pPr>
            <w:r>
              <w:rPr>
                <w:noProof/>
                <w:color w:val="006100"/>
                <w:sz w:val="20"/>
              </w:rPr>
              <w:t>M4C2-10</w:t>
            </w:r>
          </w:p>
        </w:tc>
        <w:tc>
          <w:tcPr>
            <w:tcW w:w="3195" w:type="dxa"/>
            <w:tcBorders>
              <w:top w:val="single" w:sz="4" w:space="0" w:color="auto"/>
              <w:left w:val="nil"/>
              <w:bottom w:val="single" w:sz="4" w:space="0" w:color="auto"/>
              <w:right w:val="single" w:sz="4" w:space="0" w:color="auto"/>
            </w:tcBorders>
            <w:shd w:val="clear" w:color="auto" w:fill="C6EFCE"/>
            <w:noWrap/>
            <w:vAlign w:val="center"/>
          </w:tcPr>
          <w:p w14:paraId="101B1EFB" w14:textId="77777777" w:rsidR="00A612E2" w:rsidRPr="00246CC4" w:rsidRDefault="00A612E2" w:rsidP="00742B81">
            <w:pPr>
              <w:rPr>
                <w:noProof/>
                <w:color w:val="006100"/>
                <w:sz w:val="20"/>
                <w:szCs w:val="20"/>
              </w:rPr>
            </w:pPr>
            <w:r>
              <w:rPr>
                <w:noProof/>
                <w:color w:val="006100"/>
                <w:sz w:val="20"/>
              </w:rPr>
              <w:t>Investeering 2.1. Üleeuroopalist huvi pakkuvad tähtsad projektid</w:t>
            </w:r>
          </w:p>
        </w:tc>
        <w:tc>
          <w:tcPr>
            <w:tcW w:w="1455" w:type="dxa"/>
            <w:tcBorders>
              <w:top w:val="single" w:sz="4" w:space="0" w:color="auto"/>
              <w:left w:val="nil"/>
              <w:bottom w:val="single" w:sz="4" w:space="0" w:color="auto"/>
              <w:right w:val="single" w:sz="4" w:space="0" w:color="auto"/>
            </w:tcBorders>
            <w:shd w:val="clear" w:color="auto" w:fill="C6EFCE"/>
            <w:noWrap/>
            <w:vAlign w:val="center"/>
          </w:tcPr>
          <w:p w14:paraId="7B804E8F" w14:textId="77777777" w:rsidR="00A612E2" w:rsidRPr="00246CC4" w:rsidRDefault="00A612E2" w:rsidP="00742B81">
            <w:pPr>
              <w:rPr>
                <w:noProof/>
                <w:color w:val="006100"/>
                <w:sz w:val="20"/>
                <w:szCs w:val="20"/>
              </w:rPr>
            </w:pPr>
            <w:r>
              <w:rPr>
                <w:noProof/>
                <w:color w:val="006100"/>
                <w:sz w:val="20"/>
              </w:rPr>
              <w:t>Eesmärk</w:t>
            </w:r>
          </w:p>
        </w:tc>
        <w:tc>
          <w:tcPr>
            <w:tcW w:w="3975" w:type="dxa"/>
            <w:tcBorders>
              <w:top w:val="single" w:sz="4" w:space="0" w:color="auto"/>
              <w:left w:val="nil"/>
              <w:bottom w:val="single" w:sz="4" w:space="0" w:color="auto"/>
              <w:right w:val="single" w:sz="4" w:space="0" w:color="auto"/>
            </w:tcBorders>
            <w:shd w:val="clear" w:color="auto" w:fill="C6EFCE"/>
            <w:noWrap/>
            <w:vAlign w:val="center"/>
          </w:tcPr>
          <w:p w14:paraId="0452B9D1" w14:textId="77777777" w:rsidR="00A612E2" w:rsidRPr="003B127D" w:rsidRDefault="00A612E2" w:rsidP="00742B81">
            <w:pPr>
              <w:jc w:val="center"/>
              <w:rPr>
                <w:noProof/>
                <w:color w:val="006100"/>
                <w:sz w:val="20"/>
                <w:szCs w:val="20"/>
              </w:rPr>
            </w:pPr>
            <w:r>
              <w:rPr>
                <w:noProof/>
                <w:color w:val="006100"/>
                <w:sz w:val="20"/>
              </w:rPr>
              <w:t>Osalemiskutse avaldamine riiklike projektide, sealhulgas üleeuroopalist huvi pakkuvat mikroelektroonikat käsitlevate projektide kindlakstegemiseks</w:t>
            </w:r>
          </w:p>
        </w:tc>
      </w:tr>
      <w:tr w:rsidR="00A612E2" w:rsidRPr="00D90835" w14:paraId="3107F78A"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FC82573" w14:textId="77777777" w:rsidR="00A612E2" w:rsidRPr="00246CC4" w:rsidRDefault="00A612E2" w:rsidP="00742B81">
            <w:pPr>
              <w:rPr>
                <w:noProof/>
                <w:color w:val="006100"/>
                <w:sz w:val="20"/>
                <w:szCs w:val="20"/>
              </w:rPr>
            </w:pPr>
            <w:r>
              <w:rPr>
                <w:noProof/>
                <w:color w:val="006100"/>
                <w:sz w:val="20"/>
              </w:rPr>
              <w:t>M1C2-26</w:t>
            </w:r>
          </w:p>
        </w:tc>
        <w:tc>
          <w:tcPr>
            <w:tcW w:w="3195" w:type="dxa"/>
            <w:tcBorders>
              <w:top w:val="nil"/>
              <w:left w:val="nil"/>
              <w:bottom w:val="single" w:sz="4" w:space="0" w:color="auto"/>
              <w:right w:val="single" w:sz="4" w:space="0" w:color="auto"/>
            </w:tcBorders>
            <w:shd w:val="clear" w:color="auto" w:fill="C6EFCE"/>
            <w:noWrap/>
            <w:vAlign w:val="center"/>
          </w:tcPr>
          <w:p w14:paraId="3C51B645" w14:textId="77777777" w:rsidR="00A612E2" w:rsidRPr="003B127D" w:rsidRDefault="00A612E2" w:rsidP="00742B81">
            <w:pPr>
              <w:rPr>
                <w:noProof/>
                <w:color w:val="006100"/>
                <w:sz w:val="20"/>
                <w:szCs w:val="20"/>
              </w:rPr>
            </w:pPr>
            <w:r>
              <w:rPr>
                <w:noProof/>
                <w:color w:val="006100"/>
                <w:sz w:val="20"/>
              </w:rPr>
              <w:t>Investeering 5.1. SIMESTi hallatava fondi 394/81 refinantseerimine ja ümberkujundamine</w:t>
            </w:r>
          </w:p>
        </w:tc>
        <w:tc>
          <w:tcPr>
            <w:tcW w:w="1455" w:type="dxa"/>
            <w:tcBorders>
              <w:top w:val="nil"/>
              <w:left w:val="nil"/>
              <w:bottom w:val="single" w:sz="4" w:space="0" w:color="auto"/>
              <w:right w:val="single" w:sz="4" w:space="0" w:color="auto"/>
            </w:tcBorders>
            <w:shd w:val="clear" w:color="auto" w:fill="C6EFCE"/>
            <w:noWrap/>
            <w:vAlign w:val="center"/>
          </w:tcPr>
          <w:p w14:paraId="25CA5AE5" w14:textId="77777777" w:rsidR="00A612E2" w:rsidRPr="00246CC4" w:rsidRDefault="00A612E2" w:rsidP="00742B81">
            <w:pPr>
              <w:rPr>
                <w:noProof/>
                <w:color w:val="006100"/>
                <w:sz w:val="20"/>
                <w:szCs w:val="20"/>
              </w:rPr>
            </w:pPr>
            <w:r>
              <w:rPr>
                <w:noProof/>
                <w:color w:val="006100"/>
                <w:sz w:val="20"/>
              </w:rPr>
              <w:t>Eesmärk</w:t>
            </w:r>
          </w:p>
        </w:tc>
        <w:tc>
          <w:tcPr>
            <w:tcW w:w="3975" w:type="dxa"/>
            <w:tcBorders>
              <w:top w:val="nil"/>
              <w:left w:val="nil"/>
              <w:bottom w:val="single" w:sz="4" w:space="0" w:color="auto"/>
              <w:right w:val="single" w:sz="4" w:space="0" w:color="auto"/>
            </w:tcBorders>
            <w:shd w:val="clear" w:color="auto" w:fill="C6EFCE"/>
            <w:noWrap/>
            <w:vAlign w:val="center"/>
          </w:tcPr>
          <w:p w14:paraId="5F0DD742" w14:textId="77777777" w:rsidR="00A612E2" w:rsidRPr="003B127D" w:rsidRDefault="00A612E2" w:rsidP="00742B81">
            <w:pPr>
              <w:jc w:val="center"/>
              <w:rPr>
                <w:noProof/>
                <w:color w:val="006100"/>
                <w:sz w:val="20"/>
                <w:szCs w:val="20"/>
              </w:rPr>
            </w:pPr>
            <w:r>
              <w:rPr>
                <w:noProof/>
                <w:color w:val="006100"/>
                <w:sz w:val="20"/>
              </w:rPr>
              <w:t>Fondi 394/81 refinantseerimise jõustumine ja investeerimispoliitika vastuvõtmine</w:t>
            </w:r>
          </w:p>
        </w:tc>
      </w:tr>
      <w:tr w:rsidR="00A612E2" w:rsidRPr="00D90835" w14:paraId="67AE5222"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9B02694" w14:textId="77777777" w:rsidR="00A612E2" w:rsidRPr="00246CC4" w:rsidRDefault="00A612E2" w:rsidP="00742B81">
            <w:pPr>
              <w:rPr>
                <w:noProof/>
                <w:color w:val="006100"/>
                <w:sz w:val="20"/>
                <w:szCs w:val="20"/>
              </w:rPr>
            </w:pPr>
            <w:r>
              <w:rPr>
                <w:noProof/>
                <w:color w:val="006100"/>
                <w:sz w:val="20"/>
              </w:rPr>
              <w:t>M2C1-14</w:t>
            </w:r>
          </w:p>
        </w:tc>
        <w:tc>
          <w:tcPr>
            <w:tcW w:w="3195" w:type="dxa"/>
            <w:tcBorders>
              <w:top w:val="nil"/>
              <w:left w:val="nil"/>
              <w:bottom w:val="single" w:sz="4" w:space="0" w:color="auto"/>
              <w:right w:val="single" w:sz="4" w:space="0" w:color="auto"/>
            </w:tcBorders>
            <w:shd w:val="clear" w:color="auto" w:fill="C6EFCE"/>
            <w:noWrap/>
            <w:vAlign w:val="center"/>
          </w:tcPr>
          <w:p w14:paraId="15C4AD25" w14:textId="77777777" w:rsidR="00A612E2" w:rsidRPr="003B127D" w:rsidRDefault="00A612E2" w:rsidP="00742B81">
            <w:pPr>
              <w:rPr>
                <w:noProof/>
                <w:color w:val="006100"/>
                <w:sz w:val="20"/>
                <w:szCs w:val="20"/>
              </w:rPr>
            </w:pPr>
            <w:r>
              <w:rPr>
                <w:noProof/>
                <w:color w:val="006100"/>
                <w:sz w:val="20"/>
              </w:rPr>
              <w:t>Investeering 1.1. Uute jäätmekäitlusjaamade rakendamine ja olemasolevate rajatiste moderniseerimine Investeering 1.2. Ringmajanduse juhtalgatused</w:t>
            </w:r>
          </w:p>
        </w:tc>
        <w:tc>
          <w:tcPr>
            <w:tcW w:w="1455" w:type="dxa"/>
            <w:tcBorders>
              <w:top w:val="nil"/>
              <w:left w:val="nil"/>
              <w:bottom w:val="single" w:sz="4" w:space="0" w:color="auto"/>
              <w:right w:val="single" w:sz="4" w:space="0" w:color="auto"/>
            </w:tcBorders>
            <w:shd w:val="clear" w:color="auto" w:fill="C6EFCE"/>
            <w:noWrap/>
            <w:vAlign w:val="center"/>
          </w:tcPr>
          <w:p w14:paraId="353332D1" w14:textId="77777777" w:rsidR="00A612E2" w:rsidRPr="00246CC4" w:rsidRDefault="00A612E2" w:rsidP="00742B81">
            <w:pPr>
              <w:rPr>
                <w:noProof/>
                <w:color w:val="006100"/>
                <w:sz w:val="20"/>
                <w:szCs w:val="20"/>
              </w:rPr>
            </w:pPr>
            <w:r>
              <w:rPr>
                <w:noProof/>
                <w:color w:val="006100"/>
                <w:sz w:val="20"/>
              </w:rPr>
              <w:t>Eesmärk</w:t>
            </w:r>
          </w:p>
        </w:tc>
        <w:tc>
          <w:tcPr>
            <w:tcW w:w="3975" w:type="dxa"/>
            <w:tcBorders>
              <w:top w:val="nil"/>
              <w:left w:val="nil"/>
              <w:bottom w:val="single" w:sz="4" w:space="0" w:color="auto"/>
              <w:right w:val="single" w:sz="4" w:space="0" w:color="auto"/>
            </w:tcBorders>
            <w:shd w:val="clear" w:color="auto" w:fill="C6EFCE"/>
            <w:noWrap/>
            <w:vAlign w:val="center"/>
          </w:tcPr>
          <w:p w14:paraId="0831559E" w14:textId="77777777" w:rsidR="00A612E2" w:rsidRPr="003B127D" w:rsidRDefault="00A612E2" w:rsidP="00742B81">
            <w:pPr>
              <w:jc w:val="center"/>
              <w:rPr>
                <w:noProof/>
                <w:color w:val="006100"/>
                <w:sz w:val="20"/>
                <w:szCs w:val="20"/>
              </w:rPr>
            </w:pPr>
            <w:r>
              <w:rPr>
                <w:noProof/>
                <w:color w:val="006100"/>
                <w:sz w:val="20"/>
              </w:rPr>
              <w:t>Ministri määruse jõustumine.</w:t>
            </w:r>
          </w:p>
        </w:tc>
      </w:tr>
      <w:tr w:rsidR="00A612E2" w:rsidRPr="00D90835" w14:paraId="56FE2814"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591C3FC" w14:textId="77777777" w:rsidR="00A612E2" w:rsidRPr="00246CC4" w:rsidRDefault="00A612E2" w:rsidP="00742B81">
            <w:pPr>
              <w:rPr>
                <w:noProof/>
                <w:color w:val="006100"/>
                <w:sz w:val="20"/>
                <w:szCs w:val="20"/>
              </w:rPr>
            </w:pPr>
            <w:r>
              <w:rPr>
                <w:noProof/>
                <w:color w:val="006100"/>
                <w:sz w:val="20"/>
              </w:rPr>
              <w:t>M2C4-8</w:t>
            </w:r>
          </w:p>
        </w:tc>
        <w:tc>
          <w:tcPr>
            <w:tcW w:w="3195" w:type="dxa"/>
            <w:tcBorders>
              <w:top w:val="nil"/>
              <w:left w:val="nil"/>
              <w:bottom w:val="single" w:sz="4" w:space="0" w:color="auto"/>
              <w:right w:val="single" w:sz="4" w:space="0" w:color="auto"/>
            </w:tcBorders>
            <w:shd w:val="clear" w:color="auto" w:fill="C6EFCE"/>
            <w:noWrap/>
            <w:vAlign w:val="center"/>
          </w:tcPr>
          <w:p w14:paraId="64186805" w14:textId="77777777" w:rsidR="00A612E2" w:rsidRPr="003B127D" w:rsidRDefault="00A612E2" w:rsidP="00742B81">
            <w:pPr>
              <w:rPr>
                <w:noProof/>
                <w:color w:val="006100"/>
                <w:sz w:val="20"/>
                <w:szCs w:val="20"/>
              </w:rPr>
            </w:pPr>
            <w:r>
              <w:rPr>
                <w:noProof/>
                <w:color w:val="006100"/>
                <w:sz w:val="20"/>
              </w:rPr>
              <w:t>Investeering 1.1. Täiustatud ja integreeritud seire- ja prognoosisüsteemi rakendamine</w:t>
            </w:r>
          </w:p>
        </w:tc>
        <w:tc>
          <w:tcPr>
            <w:tcW w:w="1455" w:type="dxa"/>
            <w:tcBorders>
              <w:top w:val="nil"/>
              <w:left w:val="nil"/>
              <w:bottom w:val="single" w:sz="4" w:space="0" w:color="auto"/>
              <w:right w:val="single" w:sz="4" w:space="0" w:color="auto"/>
            </w:tcBorders>
            <w:shd w:val="clear" w:color="auto" w:fill="C6EFCE"/>
            <w:noWrap/>
            <w:vAlign w:val="center"/>
          </w:tcPr>
          <w:p w14:paraId="175B80FA" w14:textId="77777777" w:rsidR="00A612E2" w:rsidRPr="00246CC4" w:rsidRDefault="00A612E2" w:rsidP="00742B81">
            <w:pPr>
              <w:rPr>
                <w:noProof/>
                <w:color w:val="006100"/>
                <w:sz w:val="20"/>
                <w:szCs w:val="20"/>
              </w:rPr>
            </w:pPr>
            <w:r>
              <w:rPr>
                <w:noProof/>
                <w:color w:val="006100"/>
                <w:sz w:val="20"/>
              </w:rPr>
              <w:t>Eesmärk</w:t>
            </w:r>
          </w:p>
        </w:tc>
        <w:tc>
          <w:tcPr>
            <w:tcW w:w="3975" w:type="dxa"/>
            <w:tcBorders>
              <w:top w:val="nil"/>
              <w:left w:val="nil"/>
              <w:bottom w:val="single" w:sz="4" w:space="0" w:color="auto"/>
              <w:right w:val="single" w:sz="4" w:space="0" w:color="auto"/>
            </w:tcBorders>
            <w:shd w:val="clear" w:color="auto" w:fill="C6EFCE"/>
            <w:noWrap/>
            <w:vAlign w:val="center"/>
          </w:tcPr>
          <w:p w14:paraId="2C6FC5A5" w14:textId="77777777" w:rsidR="00A612E2" w:rsidRPr="003B127D" w:rsidRDefault="00A612E2" w:rsidP="00742B81">
            <w:pPr>
              <w:jc w:val="center"/>
              <w:rPr>
                <w:noProof/>
                <w:color w:val="006100"/>
                <w:sz w:val="20"/>
                <w:szCs w:val="20"/>
              </w:rPr>
            </w:pPr>
            <w:r>
              <w:rPr>
                <w:noProof/>
                <w:color w:val="006100"/>
                <w:sz w:val="20"/>
              </w:rPr>
              <w:t xml:space="preserve">Täiustatud ja integreeritud seire- ja prognoosisüsteemi tegevuskava hüdroloogiliste riskide kindlakstegemiseks </w:t>
            </w:r>
          </w:p>
        </w:tc>
      </w:tr>
      <w:tr w:rsidR="00A612E2" w:rsidRPr="00D90835" w14:paraId="3170CBF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F5458A3" w14:textId="77777777" w:rsidR="00A612E2" w:rsidRPr="00246CC4" w:rsidRDefault="00A612E2" w:rsidP="00742B81">
            <w:pPr>
              <w:rPr>
                <w:noProof/>
                <w:color w:val="006100"/>
                <w:sz w:val="20"/>
                <w:szCs w:val="20"/>
              </w:rPr>
            </w:pPr>
            <w:r>
              <w:rPr>
                <w:noProof/>
                <w:color w:val="006100"/>
                <w:sz w:val="20"/>
              </w:rPr>
              <w:t>M5C1-17</w:t>
            </w:r>
          </w:p>
        </w:tc>
        <w:tc>
          <w:tcPr>
            <w:tcW w:w="3195" w:type="dxa"/>
            <w:tcBorders>
              <w:top w:val="nil"/>
              <w:left w:val="nil"/>
              <w:bottom w:val="single" w:sz="4" w:space="0" w:color="auto"/>
              <w:right w:val="single" w:sz="4" w:space="0" w:color="auto"/>
            </w:tcBorders>
            <w:shd w:val="clear" w:color="auto" w:fill="C6EFCE"/>
            <w:noWrap/>
            <w:vAlign w:val="center"/>
          </w:tcPr>
          <w:p w14:paraId="11D94919" w14:textId="77777777" w:rsidR="00A612E2" w:rsidRPr="003B127D" w:rsidRDefault="00A612E2" w:rsidP="00742B81">
            <w:pPr>
              <w:rPr>
                <w:noProof/>
                <w:color w:val="006100"/>
                <w:sz w:val="20"/>
                <w:szCs w:val="20"/>
              </w:rPr>
            </w:pPr>
            <w:r>
              <w:rPr>
                <w:noProof/>
                <w:color w:val="006100"/>
                <w:sz w:val="20"/>
              </w:rPr>
              <w:t>Investeering 5. Naistele kuuluvate ettevõtete loomine</w:t>
            </w:r>
          </w:p>
        </w:tc>
        <w:tc>
          <w:tcPr>
            <w:tcW w:w="1455" w:type="dxa"/>
            <w:tcBorders>
              <w:top w:val="nil"/>
              <w:left w:val="nil"/>
              <w:bottom w:val="single" w:sz="4" w:space="0" w:color="auto"/>
              <w:right w:val="single" w:sz="4" w:space="0" w:color="auto"/>
            </w:tcBorders>
            <w:shd w:val="clear" w:color="auto" w:fill="C6EFCE"/>
            <w:noWrap/>
            <w:vAlign w:val="center"/>
          </w:tcPr>
          <w:p w14:paraId="57D5FC80" w14:textId="77777777" w:rsidR="00A612E2" w:rsidRPr="00246CC4" w:rsidRDefault="00A612E2" w:rsidP="00742B81">
            <w:pPr>
              <w:rPr>
                <w:noProof/>
                <w:color w:val="006100"/>
                <w:sz w:val="20"/>
                <w:szCs w:val="20"/>
              </w:rPr>
            </w:pPr>
            <w:r>
              <w:rPr>
                <w:noProof/>
                <w:color w:val="006100"/>
                <w:sz w:val="20"/>
              </w:rPr>
              <w:t>Eesmärk</w:t>
            </w:r>
          </w:p>
        </w:tc>
        <w:tc>
          <w:tcPr>
            <w:tcW w:w="3975" w:type="dxa"/>
            <w:tcBorders>
              <w:top w:val="nil"/>
              <w:left w:val="nil"/>
              <w:bottom w:val="single" w:sz="4" w:space="0" w:color="auto"/>
              <w:right w:val="single" w:sz="4" w:space="0" w:color="auto"/>
            </w:tcBorders>
            <w:shd w:val="clear" w:color="auto" w:fill="C6EFCE"/>
            <w:noWrap/>
            <w:vAlign w:val="center"/>
          </w:tcPr>
          <w:p w14:paraId="4744B216" w14:textId="77777777" w:rsidR="00A612E2" w:rsidRPr="003B127D" w:rsidRDefault="00A612E2" w:rsidP="00742B81">
            <w:pPr>
              <w:jc w:val="center"/>
              <w:rPr>
                <w:noProof/>
                <w:color w:val="006100"/>
                <w:sz w:val="20"/>
                <w:szCs w:val="20"/>
              </w:rPr>
            </w:pPr>
            <w:r>
              <w:rPr>
                <w:noProof/>
                <w:color w:val="006100"/>
                <w:sz w:val="20"/>
              </w:rPr>
              <w:t>Võetakse vastu naiste ettevõtluse toetamise fond</w:t>
            </w:r>
          </w:p>
        </w:tc>
      </w:tr>
      <w:tr w:rsidR="00A612E2" w:rsidRPr="00D90835" w14:paraId="1E6D321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F4C76C6" w14:textId="77777777" w:rsidR="00A612E2" w:rsidRPr="00246CC4" w:rsidRDefault="00A612E2" w:rsidP="00742B81">
            <w:pPr>
              <w:rPr>
                <w:noProof/>
                <w:color w:val="006100"/>
                <w:sz w:val="20"/>
                <w:szCs w:val="20"/>
              </w:rPr>
            </w:pPr>
            <w:r>
              <w:rPr>
                <w:noProof/>
                <w:color w:val="006100"/>
                <w:sz w:val="20"/>
              </w:rPr>
              <w:t>M1C2-27</w:t>
            </w:r>
          </w:p>
        </w:tc>
        <w:tc>
          <w:tcPr>
            <w:tcW w:w="3195" w:type="dxa"/>
            <w:tcBorders>
              <w:top w:val="nil"/>
              <w:left w:val="nil"/>
              <w:bottom w:val="single" w:sz="4" w:space="0" w:color="auto"/>
              <w:right w:val="single" w:sz="4" w:space="0" w:color="auto"/>
            </w:tcBorders>
            <w:shd w:val="clear" w:color="auto" w:fill="C6EFCE"/>
            <w:noWrap/>
            <w:vAlign w:val="center"/>
          </w:tcPr>
          <w:p w14:paraId="437579CC" w14:textId="77777777" w:rsidR="00A612E2" w:rsidRPr="003B127D" w:rsidRDefault="00A612E2" w:rsidP="00742B81">
            <w:pPr>
              <w:rPr>
                <w:noProof/>
                <w:color w:val="006100"/>
                <w:sz w:val="20"/>
                <w:szCs w:val="20"/>
              </w:rPr>
            </w:pPr>
            <w:r>
              <w:rPr>
                <w:noProof/>
                <w:color w:val="006100"/>
                <w:sz w:val="20"/>
              </w:rPr>
              <w:t>Investeering 5.1. SIMESTi hallatava fondi 394/81 refinantseerimine ja ümberkujundamine</w:t>
            </w:r>
          </w:p>
        </w:tc>
        <w:tc>
          <w:tcPr>
            <w:tcW w:w="1455" w:type="dxa"/>
            <w:tcBorders>
              <w:top w:val="nil"/>
              <w:left w:val="nil"/>
              <w:bottom w:val="single" w:sz="4" w:space="0" w:color="auto"/>
              <w:right w:val="single" w:sz="4" w:space="0" w:color="auto"/>
            </w:tcBorders>
            <w:shd w:val="clear" w:color="auto" w:fill="C6EFCE"/>
            <w:noWrap/>
            <w:vAlign w:val="center"/>
          </w:tcPr>
          <w:p w14:paraId="0CCE6838" w14:textId="77777777" w:rsidR="00A612E2" w:rsidRPr="00246CC4" w:rsidRDefault="00A612E2" w:rsidP="00742B81">
            <w:pPr>
              <w:rPr>
                <w:noProof/>
                <w:color w:val="006100"/>
                <w:sz w:val="20"/>
                <w:szCs w:val="20"/>
              </w:rPr>
            </w:pPr>
            <w:r>
              <w:rPr>
                <w:noProof/>
                <w:color w:val="006100"/>
                <w:sz w:val="20"/>
              </w:rPr>
              <w:t>Siht</w:t>
            </w:r>
          </w:p>
        </w:tc>
        <w:tc>
          <w:tcPr>
            <w:tcW w:w="3975" w:type="dxa"/>
            <w:tcBorders>
              <w:top w:val="nil"/>
              <w:left w:val="nil"/>
              <w:bottom w:val="single" w:sz="4" w:space="0" w:color="auto"/>
              <w:right w:val="single" w:sz="4" w:space="0" w:color="auto"/>
            </w:tcBorders>
            <w:shd w:val="clear" w:color="auto" w:fill="C6EFCE"/>
            <w:noWrap/>
            <w:vAlign w:val="center"/>
          </w:tcPr>
          <w:p w14:paraId="6580EF67" w14:textId="77777777" w:rsidR="00A612E2" w:rsidRPr="003B127D" w:rsidRDefault="00A612E2" w:rsidP="00742B81">
            <w:pPr>
              <w:jc w:val="center"/>
              <w:rPr>
                <w:noProof/>
                <w:color w:val="006100"/>
                <w:sz w:val="20"/>
                <w:szCs w:val="20"/>
              </w:rPr>
            </w:pPr>
            <w:r>
              <w:rPr>
                <w:noProof/>
                <w:color w:val="006100"/>
                <w:sz w:val="20"/>
              </w:rPr>
              <w:t>VKEd, kes said toetust fondist 394/81</w:t>
            </w:r>
          </w:p>
        </w:tc>
      </w:tr>
      <w:tr w:rsidR="00A612E2" w:rsidRPr="00D90835" w14:paraId="6C39AF58"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E265C03" w14:textId="77777777" w:rsidR="00A612E2" w:rsidRPr="00246CC4" w:rsidRDefault="00A612E2" w:rsidP="00742B81">
            <w:pPr>
              <w:rPr>
                <w:noProof/>
                <w:color w:val="006100"/>
                <w:sz w:val="20"/>
                <w:szCs w:val="20"/>
              </w:rPr>
            </w:pPr>
            <w:r>
              <w:rPr>
                <w:noProof/>
                <w:color w:val="006100"/>
                <w:sz w:val="20"/>
              </w:rPr>
              <w:t>M1C3-22</w:t>
            </w:r>
          </w:p>
        </w:tc>
        <w:tc>
          <w:tcPr>
            <w:tcW w:w="3195" w:type="dxa"/>
            <w:tcBorders>
              <w:top w:val="nil"/>
              <w:left w:val="nil"/>
              <w:bottom w:val="single" w:sz="4" w:space="0" w:color="auto"/>
              <w:right w:val="single" w:sz="4" w:space="0" w:color="auto"/>
            </w:tcBorders>
            <w:shd w:val="clear" w:color="auto" w:fill="C6EFCE"/>
            <w:noWrap/>
            <w:vAlign w:val="center"/>
          </w:tcPr>
          <w:p w14:paraId="00A4D4E2" w14:textId="77777777" w:rsidR="00A612E2" w:rsidRPr="003B127D" w:rsidRDefault="00A612E2" w:rsidP="00742B81">
            <w:pPr>
              <w:rPr>
                <w:noProof/>
                <w:color w:val="006100"/>
                <w:sz w:val="20"/>
                <w:szCs w:val="20"/>
              </w:rPr>
            </w:pPr>
            <w:r>
              <w:rPr>
                <w:noProof/>
                <w:color w:val="006100"/>
                <w:sz w:val="20"/>
              </w:rPr>
              <w:t xml:space="preserve">Investeering 4.2. Turismiettevõtete konkurentsivõime fondid </w:t>
            </w:r>
          </w:p>
        </w:tc>
        <w:tc>
          <w:tcPr>
            <w:tcW w:w="1455" w:type="dxa"/>
            <w:tcBorders>
              <w:top w:val="nil"/>
              <w:left w:val="nil"/>
              <w:bottom w:val="single" w:sz="4" w:space="0" w:color="auto"/>
              <w:right w:val="single" w:sz="4" w:space="0" w:color="auto"/>
            </w:tcBorders>
            <w:shd w:val="clear" w:color="auto" w:fill="C6EFCE"/>
            <w:noWrap/>
            <w:vAlign w:val="center"/>
          </w:tcPr>
          <w:p w14:paraId="4E8783E5" w14:textId="77777777" w:rsidR="00A612E2" w:rsidRPr="00246CC4" w:rsidRDefault="00A612E2" w:rsidP="00742B81">
            <w:pPr>
              <w:rPr>
                <w:noProof/>
                <w:color w:val="006100"/>
                <w:sz w:val="20"/>
                <w:szCs w:val="20"/>
              </w:rPr>
            </w:pPr>
            <w:r>
              <w:rPr>
                <w:noProof/>
                <w:color w:val="006100"/>
                <w:sz w:val="20"/>
              </w:rPr>
              <w:t>Eesmärk</w:t>
            </w:r>
          </w:p>
        </w:tc>
        <w:tc>
          <w:tcPr>
            <w:tcW w:w="3975" w:type="dxa"/>
            <w:tcBorders>
              <w:top w:val="nil"/>
              <w:left w:val="nil"/>
              <w:bottom w:val="single" w:sz="4" w:space="0" w:color="auto"/>
              <w:right w:val="single" w:sz="4" w:space="0" w:color="auto"/>
            </w:tcBorders>
            <w:shd w:val="clear" w:color="auto" w:fill="C6EFCE"/>
            <w:noWrap/>
            <w:vAlign w:val="center"/>
          </w:tcPr>
          <w:p w14:paraId="3FDBBEF6" w14:textId="77777777" w:rsidR="00A612E2" w:rsidRPr="003B127D" w:rsidRDefault="00A612E2" w:rsidP="00742B81">
            <w:pPr>
              <w:jc w:val="center"/>
              <w:rPr>
                <w:noProof/>
                <w:color w:val="006100"/>
                <w:sz w:val="20"/>
                <w:szCs w:val="20"/>
              </w:rPr>
            </w:pPr>
            <w:r>
              <w:rPr>
                <w:noProof/>
                <w:color w:val="006100"/>
                <w:sz w:val="20"/>
              </w:rPr>
              <w:t xml:space="preserve">Investeerimispoliitika järgmiste valdkondade jaoks: Euroopa Investeerimispanga temaatiline fond;  </w:t>
            </w:r>
          </w:p>
        </w:tc>
      </w:tr>
      <w:tr w:rsidR="00A612E2" w:rsidRPr="00D90835" w14:paraId="24784B58"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C08A3D9" w14:textId="77777777" w:rsidR="00A612E2" w:rsidRPr="00246CC4" w:rsidRDefault="00A612E2" w:rsidP="00742B81">
            <w:pPr>
              <w:rPr>
                <w:noProof/>
                <w:color w:val="006100"/>
                <w:sz w:val="20"/>
                <w:szCs w:val="20"/>
              </w:rPr>
            </w:pPr>
            <w:r>
              <w:rPr>
                <w:noProof/>
                <w:color w:val="006100"/>
                <w:sz w:val="20"/>
              </w:rPr>
              <w:t>M1C3-23</w:t>
            </w:r>
          </w:p>
        </w:tc>
        <w:tc>
          <w:tcPr>
            <w:tcW w:w="3195" w:type="dxa"/>
            <w:tcBorders>
              <w:top w:val="nil"/>
              <w:left w:val="nil"/>
              <w:bottom w:val="single" w:sz="4" w:space="0" w:color="auto"/>
              <w:right w:val="single" w:sz="4" w:space="0" w:color="auto"/>
            </w:tcBorders>
            <w:shd w:val="clear" w:color="auto" w:fill="C6EFCE"/>
            <w:noWrap/>
            <w:vAlign w:val="center"/>
          </w:tcPr>
          <w:p w14:paraId="7282B6C9" w14:textId="7472E6C5" w:rsidR="00A612E2" w:rsidRPr="003B127D" w:rsidRDefault="00A612E2" w:rsidP="00742B81">
            <w:pPr>
              <w:rPr>
                <w:noProof/>
                <w:color w:val="006100"/>
                <w:sz w:val="20"/>
                <w:szCs w:val="20"/>
              </w:rPr>
            </w:pPr>
            <w:r>
              <w:rPr>
                <w:noProof/>
                <w:color w:val="006100"/>
                <w:sz w:val="20"/>
              </w:rPr>
              <w:t xml:space="preserve">Investeering 4.2. Turismiettevõtete konkurentsivõime fondid </w:t>
            </w:r>
          </w:p>
        </w:tc>
        <w:tc>
          <w:tcPr>
            <w:tcW w:w="1455" w:type="dxa"/>
            <w:tcBorders>
              <w:top w:val="nil"/>
              <w:left w:val="nil"/>
              <w:bottom w:val="single" w:sz="4" w:space="0" w:color="auto"/>
              <w:right w:val="single" w:sz="4" w:space="0" w:color="auto"/>
            </w:tcBorders>
            <w:shd w:val="clear" w:color="auto" w:fill="C6EFCE"/>
            <w:noWrap/>
            <w:vAlign w:val="center"/>
          </w:tcPr>
          <w:p w14:paraId="1BAB4012" w14:textId="77777777" w:rsidR="00A612E2" w:rsidRPr="00246CC4" w:rsidRDefault="00A612E2" w:rsidP="00742B81">
            <w:pPr>
              <w:rPr>
                <w:noProof/>
                <w:color w:val="006100"/>
                <w:sz w:val="20"/>
                <w:szCs w:val="20"/>
              </w:rPr>
            </w:pPr>
            <w:r>
              <w:rPr>
                <w:noProof/>
                <w:color w:val="006100"/>
                <w:sz w:val="20"/>
              </w:rPr>
              <w:t>Eesmärk</w:t>
            </w:r>
          </w:p>
        </w:tc>
        <w:tc>
          <w:tcPr>
            <w:tcW w:w="3975" w:type="dxa"/>
            <w:tcBorders>
              <w:top w:val="nil"/>
              <w:left w:val="nil"/>
              <w:bottom w:val="single" w:sz="4" w:space="0" w:color="auto"/>
              <w:right w:val="single" w:sz="4" w:space="0" w:color="auto"/>
            </w:tcBorders>
            <w:shd w:val="clear" w:color="auto" w:fill="C6EFCE"/>
            <w:noWrap/>
            <w:vAlign w:val="center"/>
          </w:tcPr>
          <w:p w14:paraId="13C5C08B" w14:textId="77777777" w:rsidR="00A612E2" w:rsidRPr="003B127D" w:rsidRDefault="00A612E2" w:rsidP="00742B81">
            <w:pPr>
              <w:jc w:val="center"/>
              <w:rPr>
                <w:noProof/>
                <w:color w:val="006100"/>
                <w:sz w:val="20"/>
                <w:szCs w:val="20"/>
              </w:rPr>
            </w:pPr>
            <w:r>
              <w:rPr>
                <w:noProof/>
                <w:color w:val="006100"/>
                <w:sz w:val="20"/>
              </w:rPr>
              <w:t xml:space="preserve">Riikliku turismifondi investeerimispoliitika, </w:t>
            </w:r>
          </w:p>
        </w:tc>
      </w:tr>
      <w:tr w:rsidR="00A612E2" w:rsidRPr="00D90835" w14:paraId="53C9355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5EF474F" w14:textId="77777777" w:rsidR="00A612E2" w:rsidRPr="00246CC4" w:rsidRDefault="00A612E2" w:rsidP="00742B81">
            <w:pPr>
              <w:rPr>
                <w:noProof/>
                <w:color w:val="006100"/>
                <w:sz w:val="20"/>
                <w:szCs w:val="20"/>
              </w:rPr>
            </w:pPr>
            <w:r>
              <w:rPr>
                <w:noProof/>
                <w:color w:val="006100"/>
                <w:sz w:val="20"/>
              </w:rPr>
              <w:t>M1C3-24</w:t>
            </w:r>
          </w:p>
        </w:tc>
        <w:tc>
          <w:tcPr>
            <w:tcW w:w="3195" w:type="dxa"/>
            <w:tcBorders>
              <w:top w:val="nil"/>
              <w:left w:val="nil"/>
              <w:bottom w:val="single" w:sz="4" w:space="0" w:color="auto"/>
              <w:right w:val="single" w:sz="4" w:space="0" w:color="auto"/>
            </w:tcBorders>
            <w:shd w:val="clear" w:color="auto" w:fill="C6EFCE"/>
            <w:noWrap/>
            <w:vAlign w:val="center"/>
          </w:tcPr>
          <w:p w14:paraId="378F8175" w14:textId="77777777" w:rsidR="00A612E2" w:rsidRPr="003B127D" w:rsidRDefault="00A612E2" w:rsidP="00742B81">
            <w:pPr>
              <w:rPr>
                <w:noProof/>
                <w:color w:val="006100"/>
                <w:sz w:val="20"/>
                <w:szCs w:val="20"/>
              </w:rPr>
            </w:pPr>
            <w:r>
              <w:rPr>
                <w:noProof/>
                <w:color w:val="006100"/>
                <w:sz w:val="20"/>
              </w:rPr>
              <w:t xml:space="preserve">Investeering 4.2. Turismiettevõtte konkurentsivõime fondid </w:t>
            </w:r>
          </w:p>
        </w:tc>
        <w:tc>
          <w:tcPr>
            <w:tcW w:w="1455" w:type="dxa"/>
            <w:tcBorders>
              <w:top w:val="nil"/>
              <w:left w:val="nil"/>
              <w:bottom w:val="single" w:sz="4" w:space="0" w:color="auto"/>
              <w:right w:val="single" w:sz="4" w:space="0" w:color="auto"/>
            </w:tcBorders>
            <w:shd w:val="clear" w:color="auto" w:fill="C6EFCE"/>
            <w:noWrap/>
            <w:vAlign w:val="center"/>
          </w:tcPr>
          <w:p w14:paraId="17664497" w14:textId="77777777" w:rsidR="00A612E2" w:rsidRPr="00246CC4" w:rsidRDefault="00A612E2" w:rsidP="00742B81">
            <w:pPr>
              <w:rPr>
                <w:noProof/>
                <w:color w:val="006100"/>
                <w:sz w:val="20"/>
                <w:szCs w:val="20"/>
              </w:rPr>
            </w:pPr>
            <w:r>
              <w:rPr>
                <w:noProof/>
                <w:color w:val="006100"/>
                <w:sz w:val="20"/>
              </w:rPr>
              <w:t>Eesmärk</w:t>
            </w:r>
          </w:p>
        </w:tc>
        <w:tc>
          <w:tcPr>
            <w:tcW w:w="3975" w:type="dxa"/>
            <w:tcBorders>
              <w:top w:val="nil"/>
              <w:left w:val="nil"/>
              <w:bottom w:val="single" w:sz="4" w:space="0" w:color="auto"/>
              <w:right w:val="single" w:sz="4" w:space="0" w:color="auto"/>
            </w:tcBorders>
            <w:shd w:val="clear" w:color="auto" w:fill="C6EFCE"/>
            <w:noWrap/>
            <w:vAlign w:val="center"/>
          </w:tcPr>
          <w:p w14:paraId="49621B96" w14:textId="77777777" w:rsidR="00A612E2" w:rsidRPr="003B127D" w:rsidRDefault="00A612E2" w:rsidP="00742B81">
            <w:pPr>
              <w:jc w:val="center"/>
              <w:rPr>
                <w:noProof/>
                <w:color w:val="006100"/>
                <w:sz w:val="20"/>
                <w:szCs w:val="20"/>
              </w:rPr>
            </w:pPr>
            <w:r>
              <w:rPr>
                <w:noProof/>
                <w:color w:val="006100"/>
                <w:sz w:val="20"/>
              </w:rPr>
              <w:t>Investeerimispoliitika järgmiste valdkondade jaoks: VKEde tagatisfond;</w:t>
            </w:r>
          </w:p>
        </w:tc>
      </w:tr>
      <w:tr w:rsidR="00A612E2" w:rsidRPr="00D90835" w14:paraId="1D28D03F"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90F2683" w14:textId="77777777" w:rsidR="00A612E2" w:rsidRPr="00246CC4" w:rsidRDefault="00A612E2" w:rsidP="00742B81">
            <w:pPr>
              <w:rPr>
                <w:noProof/>
                <w:color w:val="006100"/>
                <w:sz w:val="20"/>
                <w:szCs w:val="20"/>
              </w:rPr>
            </w:pPr>
            <w:r>
              <w:rPr>
                <w:noProof/>
                <w:color w:val="006100"/>
                <w:sz w:val="20"/>
              </w:rPr>
              <w:t>M1C3-25</w:t>
            </w:r>
          </w:p>
        </w:tc>
        <w:tc>
          <w:tcPr>
            <w:tcW w:w="3195" w:type="dxa"/>
            <w:tcBorders>
              <w:top w:val="nil"/>
              <w:left w:val="nil"/>
              <w:bottom w:val="single" w:sz="4" w:space="0" w:color="auto"/>
              <w:right w:val="single" w:sz="4" w:space="0" w:color="auto"/>
            </w:tcBorders>
            <w:shd w:val="clear" w:color="auto" w:fill="C6EFCE"/>
            <w:noWrap/>
            <w:vAlign w:val="center"/>
          </w:tcPr>
          <w:p w14:paraId="05455160" w14:textId="2D0358D0" w:rsidR="00A612E2" w:rsidRPr="003B127D" w:rsidRDefault="00A612E2" w:rsidP="00742B81">
            <w:pPr>
              <w:rPr>
                <w:noProof/>
                <w:color w:val="006100"/>
                <w:sz w:val="20"/>
                <w:szCs w:val="20"/>
              </w:rPr>
            </w:pPr>
            <w:r>
              <w:rPr>
                <w:noProof/>
                <w:color w:val="006100"/>
                <w:sz w:val="20"/>
              </w:rPr>
              <w:t xml:space="preserve">Investeering 4.2. Turismiettevõtete konkurentsivõime fondid </w:t>
            </w:r>
          </w:p>
        </w:tc>
        <w:tc>
          <w:tcPr>
            <w:tcW w:w="1455" w:type="dxa"/>
            <w:tcBorders>
              <w:top w:val="nil"/>
              <w:left w:val="nil"/>
              <w:bottom w:val="single" w:sz="4" w:space="0" w:color="auto"/>
              <w:right w:val="single" w:sz="4" w:space="0" w:color="auto"/>
            </w:tcBorders>
            <w:shd w:val="clear" w:color="auto" w:fill="C6EFCE"/>
            <w:noWrap/>
            <w:vAlign w:val="center"/>
          </w:tcPr>
          <w:p w14:paraId="4F4F84EC" w14:textId="77777777" w:rsidR="00A612E2" w:rsidRPr="00246CC4" w:rsidRDefault="00A612E2" w:rsidP="00742B81">
            <w:pPr>
              <w:rPr>
                <w:noProof/>
                <w:color w:val="006100"/>
                <w:sz w:val="20"/>
                <w:szCs w:val="20"/>
              </w:rPr>
            </w:pPr>
            <w:r>
              <w:rPr>
                <w:noProof/>
                <w:color w:val="006100"/>
                <w:sz w:val="20"/>
              </w:rPr>
              <w:t>Eesmärk</w:t>
            </w:r>
          </w:p>
        </w:tc>
        <w:tc>
          <w:tcPr>
            <w:tcW w:w="3975" w:type="dxa"/>
            <w:tcBorders>
              <w:top w:val="nil"/>
              <w:left w:val="nil"/>
              <w:bottom w:val="single" w:sz="4" w:space="0" w:color="auto"/>
              <w:right w:val="single" w:sz="4" w:space="0" w:color="auto"/>
            </w:tcBorders>
            <w:shd w:val="clear" w:color="auto" w:fill="C6EFCE"/>
            <w:noWrap/>
            <w:vAlign w:val="center"/>
          </w:tcPr>
          <w:p w14:paraId="38AB42A7" w14:textId="77777777" w:rsidR="00A612E2" w:rsidRPr="003B127D" w:rsidRDefault="00A612E2" w:rsidP="00742B81">
            <w:pPr>
              <w:jc w:val="center"/>
              <w:rPr>
                <w:noProof/>
                <w:color w:val="006100"/>
                <w:sz w:val="20"/>
                <w:szCs w:val="20"/>
              </w:rPr>
            </w:pPr>
            <w:r>
              <w:rPr>
                <w:noProof/>
                <w:color w:val="006100"/>
                <w:sz w:val="20"/>
              </w:rPr>
              <w:t xml:space="preserve">Fondo Rotativo investeerimispoliitika </w:t>
            </w:r>
          </w:p>
        </w:tc>
      </w:tr>
      <w:tr w:rsidR="00A612E2" w:rsidRPr="00D90835" w14:paraId="244AC90C"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1C9B09E" w14:textId="77777777" w:rsidR="00A612E2" w:rsidRPr="00246CC4" w:rsidRDefault="00A612E2" w:rsidP="00742B81">
            <w:pPr>
              <w:rPr>
                <w:noProof/>
                <w:color w:val="006100"/>
                <w:sz w:val="20"/>
                <w:szCs w:val="20"/>
              </w:rPr>
            </w:pPr>
            <w:r>
              <w:rPr>
                <w:noProof/>
                <w:color w:val="006100"/>
                <w:sz w:val="20"/>
              </w:rPr>
              <w:t>M1C3-26</w:t>
            </w:r>
          </w:p>
        </w:tc>
        <w:tc>
          <w:tcPr>
            <w:tcW w:w="3195" w:type="dxa"/>
            <w:tcBorders>
              <w:top w:val="nil"/>
              <w:left w:val="nil"/>
              <w:bottom w:val="single" w:sz="4" w:space="0" w:color="auto"/>
              <w:right w:val="single" w:sz="4" w:space="0" w:color="auto"/>
            </w:tcBorders>
            <w:shd w:val="clear" w:color="auto" w:fill="C6EFCE"/>
            <w:noWrap/>
            <w:vAlign w:val="center"/>
          </w:tcPr>
          <w:p w14:paraId="71896BEC" w14:textId="770C1125" w:rsidR="00A612E2" w:rsidRPr="003B127D" w:rsidRDefault="00A612E2" w:rsidP="00742B81">
            <w:pPr>
              <w:rPr>
                <w:noProof/>
                <w:color w:val="006100"/>
                <w:sz w:val="20"/>
                <w:szCs w:val="20"/>
              </w:rPr>
            </w:pPr>
            <w:r>
              <w:rPr>
                <w:noProof/>
                <w:color w:val="006100"/>
                <w:sz w:val="20"/>
              </w:rPr>
              <w:t xml:space="preserve">Investeering 4.2. Turismiettevõtete konkurentsivõime fondid </w:t>
            </w:r>
          </w:p>
        </w:tc>
        <w:tc>
          <w:tcPr>
            <w:tcW w:w="1455" w:type="dxa"/>
            <w:tcBorders>
              <w:top w:val="nil"/>
              <w:left w:val="nil"/>
              <w:bottom w:val="single" w:sz="4" w:space="0" w:color="auto"/>
              <w:right w:val="single" w:sz="4" w:space="0" w:color="auto"/>
            </w:tcBorders>
            <w:shd w:val="clear" w:color="auto" w:fill="C6EFCE"/>
            <w:noWrap/>
            <w:vAlign w:val="center"/>
          </w:tcPr>
          <w:p w14:paraId="3FFE245C" w14:textId="77777777" w:rsidR="00A612E2" w:rsidRPr="00246CC4" w:rsidRDefault="00A612E2" w:rsidP="00742B81">
            <w:pPr>
              <w:rPr>
                <w:noProof/>
                <w:color w:val="006100"/>
                <w:sz w:val="20"/>
                <w:szCs w:val="20"/>
              </w:rPr>
            </w:pPr>
            <w:r>
              <w:rPr>
                <w:noProof/>
                <w:color w:val="006100"/>
                <w:sz w:val="20"/>
              </w:rPr>
              <w:t>Eesmärk</w:t>
            </w:r>
          </w:p>
        </w:tc>
        <w:tc>
          <w:tcPr>
            <w:tcW w:w="3975" w:type="dxa"/>
            <w:tcBorders>
              <w:top w:val="nil"/>
              <w:left w:val="nil"/>
              <w:bottom w:val="single" w:sz="4" w:space="0" w:color="auto"/>
              <w:right w:val="single" w:sz="4" w:space="0" w:color="auto"/>
            </w:tcBorders>
            <w:shd w:val="clear" w:color="auto" w:fill="C6EFCE"/>
            <w:noWrap/>
            <w:vAlign w:val="center"/>
          </w:tcPr>
          <w:p w14:paraId="13C5BF5B" w14:textId="77777777" w:rsidR="00A612E2" w:rsidRPr="003B127D" w:rsidRDefault="00A612E2" w:rsidP="00742B81">
            <w:pPr>
              <w:jc w:val="center"/>
              <w:rPr>
                <w:noProof/>
                <w:color w:val="006100"/>
                <w:sz w:val="20"/>
                <w:szCs w:val="20"/>
              </w:rPr>
            </w:pPr>
            <w:r>
              <w:rPr>
                <w:noProof/>
                <w:color w:val="006100"/>
                <w:sz w:val="20"/>
              </w:rPr>
              <w:t>Majutusrajatiste ümberehitamise maksusoodustuse rakendusmääruse jõustumine.</w:t>
            </w:r>
          </w:p>
        </w:tc>
      </w:tr>
      <w:tr w:rsidR="00A612E2" w:rsidRPr="00D90835" w14:paraId="45986E9F"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40F93AB" w14:textId="77777777" w:rsidR="00A612E2" w:rsidRPr="00246CC4" w:rsidRDefault="00A612E2" w:rsidP="00742B81">
            <w:pPr>
              <w:rPr>
                <w:noProof/>
                <w:color w:val="006100"/>
                <w:sz w:val="20"/>
                <w:szCs w:val="20"/>
              </w:rPr>
            </w:pPr>
            <w:r>
              <w:rPr>
                <w:noProof/>
                <w:color w:val="006100"/>
                <w:sz w:val="20"/>
              </w:rPr>
              <w:t>M2C4-7</w:t>
            </w:r>
          </w:p>
        </w:tc>
        <w:tc>
          <w:tcPr>
            <w:tcW w:w="3195" w:type="dxa"/>
            <w:tcBorders>
              <w:top w:val="nil"/>
              <w:left w:val="nil"/>
              <w:bottom w:val="single" w:sz="4" w:space="0" w:color="auto"/>
              <w:right w:val="single" w:sz="4" w:space="0" w:color="auto"/>
            </w:tcBorders>
            <w:shd w:val="clear" w:color="auto" w:fill="C6EFCE"/>
            <w:noWrap/>
            <w:vAlign w:val="center"/>
          </w:tcPr>
          <w:p w14:paraId="44A0FDCF" w14:textId="77777777" w:rsidR="00A612E2" w:rsidRPr="003B127D" w:rsidRDefault="00A612E2" w:rsidP="00742B81">
            <w:pPr>
              <w:rPr>
                <w:noProof/>
                <w:color w:val="006100"/>
                <w:sz w:val="20"/>
                <w:szCs w:val="20"/>
              </w:rPr>
            </w:pPr>
            <w:r>
              <w:rPr>
                <w:noProof/>
                <w:color w:val="006100"/>
                <w:sz w:val="20"/>
              </w:rPr>
              <w:t>Reform 3.1. Siseriiklike õhusaaste kontrolli programmide vastuvõtmine</w:t>
            </w:r>
          </w:p>
        </w:tc>
        <w:tc>
          <w:tcPr>
            <w:tcW w:w="1455" w:type="dxa"/>
            <w:tcBorders>
              <w:top w:val="nil"/>
              <w:left w:val="nil"/>
              <w:bottom w:val="single" w:sz="4" w:space="0" w:color="auto"/>
              <w:right w:val="single" w:sz="4" w:space="0" w:color="auto"/>
            </w:tcBorders>
            <w:shd w:val="clear" w:color="auto" w:fill="C6EFCE"/>
            <w:noWrap/>
            <w:vAlign w:val="center"/>
          </w:tcPr>
          <w:p w14:paraId="6F35BD3F" w14:textId="77777777" w:rsidR="00A612E2" w:rsidRPr="00246CC4" w:rsidRDefault="00A612E2" w:rsidP="00742B81">
            <w:pPr>
              <w:rPr>
                <w:noProof/>
                <w:color w:val="006100"/>
                <w:sz w:val="20"/>
                <w:szCs w:val="20"/>
              </w:rPr>
            </w:pPr>
            <w:r>
              <w:rPr>
                <w:noProof/>
                <w:color w:val="006100"/>
                <w:sz w:val="20"/>
              </w:rPr>
              <w:t>Eesmärk</w:t>
            </w:r>
          </w:p>
        </w:tc>
        <w:tc>
          <w:tcPr>
            <w:tcW w:w="3975" w:type="dxa"/>
            <w:tcBorders>
              <w:top w:val="nil"/>
              <w:left w:val="nil"/>
              <w:bottom w:val="single" w:sz="4" w:space="0" w:color="auto"/>
              <w:right w:val="single" w:sz="4" w:space="0" w:color="auto"/>
            </w:tcBorders>
            <w:shd w:val="clear" w:color="auto" w:fill="C6EFCE"/>
            <w:noWrap/>
            <w:vAlign w:val="center"/>
          </w:tcPr>
          <w:p w14:paraId="7BAA0BED" w14:textId="77777777" w:rsidR="00A612E2" w:rsidRPr="003B127D" w:rsidRDefault="00A612E2" w:rsidP="00742B81">
            <w:pPr>
              <w:jc w:val="center"/>
              <w:rPr>
                <w:noProof/>
                <w:color w:val="006100"/>
                <w:sz w:val="20"/>
                <w:szCs w:val="20"/>
              </w:rPr>
            </w:pPr>
            <w:r>
              <w:rPr>
                <w:noProof/>
                <w:color w:val="006100"/>
                <w:sz w:val="20"/>
              </w:rPr>
              <w:t>Riikliku õhusaaste kontrolli programmi jõustumine</w:t>
            </w:r>
          </w:p>
        </w:tc>
      </w:tr>
      <w:tr w:rsidR="00A612E2" w:rsidRPr="00D90835" w14:paraId="0FB0C47C"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3D8966B" w14:textId="77777777" w:rsidR="00A612E2" w:rsidRPr="00246CC4" w:rsidRDefault="00A612E2" w:rsidP="00742B81">
            <w:pPr>
              <w:rPr>
                <w:noProof/>
                <w:color w:val="006100"/>
                <w:sz w:val="20"/>
                <w:szCs w:val="20"/>
              </w:rPr>
            </w:pPr>
            <w:r>
              <w:rPr>
                <w:noProof/>
                <w:color w:val="006100"/>
                <w:sz w:val="20"/>
              </w:rPr>
              <w:t>M2C4-12</w:t>
            </w:r>
          </w:p>
        </w:tc>
        <w:tc>
          <w:tcPr>
            <w:tcW w:w="3195" w:type="dxa"/>
            <w:tcBorders>
              <w:top w:val="nil"/>
              <w:left w:val="nil"/>
              <w:bottom w:val="single" w:sz="4" w:space="0" w:color="auto"/>
              <w:right w:val="single" w:sz="4" w:space="0" w:color="auto"/>
            </w:tcBorders>
            <w:shd w:val="clear" w:color="auto" w:fill="C6EFCE"/>
            <w:noWrap/>
            <w:vAlign w:val="center"/>
          </w:tcPr>
          <w:p w14:paraId="270F3361" w14:textId="77777777" w:rsidR="00A612E2" w:rsidRPr="003B127D" w:rsidRDefault="00A612E2" w:rsidP="00742B81">
            <w:pPr>
              <w:rPr>
                <w:noProof/>
                <w:color w:val="006100"/>
                <w:sz w:val="20"/>
                <w:szCs w:val="20"/>
              </w:rPr>
            </w:pPr>
            <w:r>
              <w:rPr>
                <w:noProof/>
                <w:color w:val="006100"/>
                <w:sz w:val="20"/>
              </w:rPr>
              <w:t>Investeering 2.1.b. Üleujutus- ja hüdrogeoloogilise ohu vähendamise meetmed</w:t>
            </w:r>
          </w:p>
        </w:tc>
        <w:tc>
          <w:tcPr>
            <w:tcW w:w="1455" w:type="dxa"/>
            <w:tcBorders>
              <w:top w:val="nil"/>
              <w:left w:val="nil"/>
              <w:bottom w:val="single" w:sz="4" w:space="0" w:color="auto"/>
              <w:right w:val="single" w:sz="4" w:space="0" w:color="auto"/>
            </w:tcBorders>
            <w:shd w:val="clear" w:color="auto" w:fill="C6EFCE"/>
            <w:noWrap/>
            <w:vAlign w:val="center"/>
          </w:tcPr>
          <w:p w14:paraId="0D32E609" w14:textId="77777777" w:rsidR="00A612E2" w:rsidRPr="00246CC4" w:rsidRDefault="00A612E2" w:rsidP="00742B81">
            <w:pPr>
              <w:rPr>
                <w:noProof/>
                <w:color w:val="006100"/>
                <w:sz w:val="20"/>
                <w:szCs w:val="20"/>
              </w:rPr>
            </w:pPr>
            <w:r>
              <w:rPr>
                <w:noProof/>
                <w:color w:val="006100"/>
                <w:sz w:val="20"/>
              </w:rPr>
              <w:t>Eesmärk</w:t>
            </w:r>
          </w:p>
        </w:tc>
        <w:tc>
          <w:tcPr>
            <w:tcW w:w="3975" w:type="dxa"/>
            <w:tcBorders>
              <w:top w:val="nil"/>
              <w:left w:val="nil"/>
              <w:bottom w:val="single" w:sz="4" w:space="0" w:color="auto"/>
              <w:right w:val="single" w:sz="4" w:space="0" w:color="auto"/>
            </w:tcBorders>
            <w:shd w:val="clear" w:color="auto" w:fill="C6EFCE"/>
            <w:noWrap/>
            <w:vAlign w:val="center"/>
          </w:tcPr>
          <w:p w14:paraId="74AF99EB" w14:textId="77777777" w:rsidR="00A612E2" w:rsidRPr="003B127D" w:rsidRDefault="00A612E2" w:rsidP="00742B81">
            <w:pPr>
              <w:jc w:val="center"/>
              <w:rPr>
                <w:noProof/>
                <w:color w:val="006100"/>
                <w:sz w:val="20"/>
                <w:szCs w:val="20"/>
              </w:rPr>
            </w:pPr>
            <w:r>
              <w:rPr>
                <w:noProof/>
                <w:color w:val="006100"/>
                <w:sz w:val="20"/>
              </w:rPr>
              <w:t>Üleujutus- ja hüdrogeoloogiliste riskidega seotud sekkumismeetmeid käsitleva läbivaadatud õigusraamistiku jõustumine</w:t>
            </w:r>
          </w:p>
        </w:tc>
      </w:tr>
      <w:tr w:rsidR="00A612E2" w:rsidRPr="00D90835" w14:paraId="14ABEA92"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B6E831F" w14:textId="77777777" w:rsidR="00A612E2" w:rsidRPr="00246CC4" w:rsidRDefault="00A612E2" w:rsidP="00742B81">
            <w:pPr>
              <w:rPr>
                <w:noProof/>
                <w:color w:val="006100"/>
                <w:sz w:val="20"/>
                <w:szCs w:val="20"/>
              </w:rPr>
            </w:pPr>
            <w:r>
              <w:rPr>
                <w:noProof/>
                <w:color w:val="006100"/>
                <w:sz w:val="20"/>
              </w:rPr>
              <w:t>M2C4-18</w:t>
            </w:r>
          </w:p>
        </w:tc>
        <w:tc>
          <w:tcPr>
            <w:tcW w:w="3195" w:type="dxa"/>
            <w:tcBorders>
              <w:top w:val="nil"/>
              <w:left w:val="nil"/>
              <w:bottom w:val="single" w:sz="4" w:space="0" w:color="auto"/>
              <w:right w:val="single" w:sz="4" w:space="0" w:color="auto"/>
            </w:tcBorders>
            <w:shd w:val="clear" w:color="auto" w:fill="C6EFCE"/>
            <w:noWrap/>
            <w:vAlign w:val="center"/>
          </w:tcPr>
          <w:p w14:paraId="29A8E6F9" w14:textId="77777777" w:rsidR="00A612E2" w:rsidRPr="003B127D" w:rsidRDefault="00A612E2" w:rsidP="00742B81">
            <w:pPr>
              <w:rPr>
                <w:noProof/>
                <w:color w:val="006100"/>
                <w:sz w:val="20"/>
                <w:szCs w:val="20"/>
              </w:rPr>
            </w:pPr>
            <w:r>
              <w:rPr>
                <w:noProof/>
                <w:color w:val="006100"/>
                <w:sz w:val="20"/>
              </w:rPr>
              <w:t>Investeering. 3.1. Linna- ja linnalähedaste metsade kaitse ja edendamine</w:t>
            </w:r>
          </w:p>
        </w:tc>
        <w:tc>
          <w:tcPr>
            <w:tcW w:w="1455" w:type="dxa"/>
            <w:tcBorders>
              <w:top w:val="nil"/>
              <w:left w:val="nil"/>
              <w:bottom w:val="single" w:sz="4" w:space="0" w:color="auto"/>
              <w:right w:val="single" w:sz="4" w:space="0" w:color="auto"/>
            </w:tcBorders>
            <w:shd w:val="clear" w:color="auto" w:fill="C6EFCE"/>
            <w:noWrap/>
            <w:vAlign w:val="center"/>
          </w:tcPr>
          <w:p w14:paraId="4FB1A676" w14:textId="77777777" w:rsidR="00A612E2" w:rsidRPr="00246CC4" w:rsidRDefault="00A612E2" w:rsidP="00742B81">
            <w:pPr>
              <w:rPr>
                <w:noProof/>
                <w:color w:val="006100"/>
                <w:sz w:val="20"/>
                <w:szCs w:val="20"/>
              </w:rPr>
            </w:pPr>
            <w:r>
              <w:rPr>
                <w:noProof/>
                <w:color w:val="006100"/>
                <w:sz w:val="20"/>
              </w:rPr>
              <w:t>Eesmärk</w:t>
            </w:r>
          </w:p>
        </w:tc>
        <w:tc>
          <w:tcPr>
            <w:tcW w:w="3975" w:type="dxa"/>
            <w:tcBorders>
              <w:top w:val="nil"/>
              <w:left w:val="nil"/>
              <w:bottom w:val="single" w:sz="4" w:space="0" w:color="auto"/>
              <w:right w:val="single" w:sz="4" w:space="0" w:color="auto"/>
            </w:tcBorders>
            <w:shd w:val="clear" w:color="auto" w:fill="C6EFCE"/>
            <w:noWrap/>
            <w:vAlign w:val="center"/>
          </w:tcPr>
          <w:p w14:paraId="6D4BEC0F" w14:textId="77777777" w:rsidR="00A612E2" w:rsidRPr="003B127D" w:rsidRDefault="00A612E2" w:rsidP="00742B81">
            <w:pPr>
              <w:jc w:val="center"/>
              <w:rPr>
                <w:noProof/>
                <w:color w:val="006100"/>
                <w:sz w:val="20"/>
                <w:szCs w:val="20"/>
              </w:rPr>
            </w:pPr>
            <w:r>
              <w:rPr>
                <w:noProof/>
                <w:color w:val="006100"/>
                <w:sz w:val="20"/>
              </w:rPr>
              <w:t xml:space="preserve">Linna- ja linnalähedaste rohealade kaitset ja väärtustamist käsitlevate läbivaadatud õiguslike muudatuste jõustumine </w:t>
            </w:r>
          </w:p>
        </w:tc>
      </w:tr>
      <w:tr w:rsidR="00A612E2" w:rsidRPr="00D90835" w14:paraId="4B71D34F"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252A4E7" w14:textId="77777777" w:rsidR="00A612E2" w:rsidRPr="00246CC4" w:rsidRDefault="00A612E2" w:rsidP="00742B81">
            <w:pPr>
              <w:rPr>
                <w:noProof/>
                <w:color w:val="006100"/>
                <w:sz w:val="20"/>
                <w:szCs w:val="20"/>
              </w:rPr>
            </w:pPr>
            <w:r>
              <w:rPr>
                <w:noProof/>
                <w:color w:val="006100"/>
                <w:sz w:val="20"/>
              </w:rPr>
              <w:t>M3C1-1</w:t>
            </w:r>
          </w:p>
        </w:tc>
        <w:tc>
          <w:tcPr>
            <w:tcW w:w="3195" w:type="dxa"/>
            <w:tcBorders>
              <w:top w:val="nil"/>
              <w:left w:val="nil"/>
              <w:bottom w:val="single" w:sz="4" w:space="0" w:color="auto"/>
              <w:right w:val="single" w:sz="4" w:space="0" w:color="auto"/>
            </w:tcBorders>
            <w:shd w:val="clear" w:color="auto" w:fill="C6EFCE"/>
            <w:noWrap/>
            <w:vAlign w:val="center"/>
          </w:tcPr>
          <w:p w14:paraId="578CFECB" w14:textId="77777777" w:rsidR="00A612E2" w:rsidRPr="003B127D" w:rsidRDefault="00A612E2" w:rsidP="00742B81">
            <w:pPr>
              <w:rPr>
                <w:noProof/>
                <w:color w:val="006100"/>
                <w:sz w:val="20"/>
                <w:szCs w:val="20"/>
              </w:rPr>
            </w:pPr>
            <w:r>
              <w:rPr>
                <w:noProof/>
                <w:color w:val="006100"/>
                <w:sz w:val="20"/>
              </w:rPr>
              <w:t>Reform 1.1. MIT ja RFI vahelise lepingu heakskiitmisprotsessi kiirendamine</w:t>
            </w:r>
          </w:p>
        </w:tc>
        <w:tc>
          <w:tcPr>
            <w:tcW w:w="1455" w:type="dxa"/>
            <w:tcBorders>
              <w:top w:val="nil"/>
              <w:left w:val="nil"/>
              <w:bottom w:val="single" w:sz="4" w:space="0" w:color="auto"/>
              <w:right w:val="single" w:sz="4" w:space="0" w:color="auto"/>
            </w:tcBorders>
            <w:shd w:val="clear" w:color="auto" w:fill="C6EFCE"/>
            <w:noWrap/>
            <w:vAlign w:val="center"/>
          </w:tcPr>
          <w:p w14:paraId="57179985" w14:textId="77777777" w:rsidR="00A612E2" w:rsidRPr="00246CC4" w:rsidRDefault="00A612E2" w:rsidP="00742B81">
            <w:pPr>
              <w:rPr>
                <w:noProof/>
                <w:color w:val="006100"/>
                <w:sz w:val="20"/>
                <w:szCs w:val="20"/>
              </w:rPr>
            </w:pPr>
            <w:r>
              <w:rPr>
                <w:noProof/>
                <w:color w:val="006100"/>
                <w:sz w:val="20"/>
              </w:rPr>
              <w:t>Eesmärk</w:t>
            </w:r>
          </w:p>
        </w:tc>
        <w:tc>
          <w:tcPr>
            <w:tcW w:w="3975" w:type="dxa"/>
            <w:tcBorders>
              <w:top w:val="nil"/>
              <w:left w:val="nil"/>
              <w:bottom w:val="single" w:sz="4" w:space="0" w:color="auto"/>
              <w:right w:val="single" w:sz="4" w:space="0" w:color="auto"/>
            </w:tcBorders>
            <w:shd w:val="clear" w:color="auto" w:fill="C6EFCE"/>
            <w:noWrap/>
            <w:vAlign w:val="center"/>
          </w:tcPr>
          <w:p w14:paraId="3F69731C" w14:textId="77777777" w:rsidR="00A612E2" w:rsidRPr="003B127D" w:rsidRDefault="00A612E2" w:rsidP="00742B81">
            <w:pPr>
              <w:jc w:val="center"/>
              <w:rPr>
                <w:noProof/>
                <w:color w:val="006100"/>
                <w:sz w:val="20"/>
                <w:szCs w:val="20"/>
              </w:rPr>
            </w:pPr>
            <w:r>
              <w:rPr>
                <w:noProof/>
                <w:color w:val="006100"/>
                <w:sz w:val="20"/>
              </w:rPr>
              <w:t>Contratti di Programma (CdP) heakskiitmisprotsessi käsitleva õigusakti muudatuse jõustumine</w:t>
            </w:r>
          </w:p>
        </w:tc>
      </w:tr>
      <w:tr w:rsidR="00A612E2" w:rsidRPr="00D90835" w14:paraId="1D558E69"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8C46B3E" w14:textId="77777777" w:rsidR="00A612E2" w:rsidRPr="00246CC4" w:rsidRDefault="00A612E2" w:rsidP="00742B81">
            <w:pPr>
              <w:rPr>
                <w:noProof/>
                <w:color w:val="006100"/>
                <w:sz w:val="20"/>
                <w:szCs w:val="20"/>
              </w:rPr>
            </w:pPr>
            <w:r>
              <w:rPr>
                <w:noProof/>
                <w:color w:val="006100"/>
                <w:sz w:val="20"/>
              </w:rPr>
              <w:t>M3C1-2</w:t>
            </w:r>
          </w:p>
        </w:tc>
        <w:tc>
          <w:tcPr>
            <w:tcW w:w="3195" w:type="dxa"/>
            <w:tcBorders>
              <w:top w:val="nil"/>
              <w:left w:val="nil"/>
              <w:bottom w:val="single" w:sz="4" w:space="0" w:color="auto"/>
              <w:right w:val="single" w:sz="4" w:space="0" w:color="auto"/>
            </w:tcBorders>
            <w:shd w:val="clear" w:color="auto" w:fill="C6EFCE"/>
            <w:noWrap/>
            <w:vAlign w:val="center"/>
          </w:tcPr>
          <w:p w14:paraId="525318CB" w14:textId="77777777" w:rsidR="00A612E2" w:rsidRPr="003B127D" w:rsidRDefault="00A612E2" w:rsidP="00742B81">
            <w:pPr>
              <w:rPr>
                <w:noProof/>
                <w:color w:val="006100"/>
                <w:sz w:val="20"/>
                <w:szCs w:val="20"/>
              </w:rPr>
            </w:pPr>
            <w:r>
              <w:rPr>
                <w:noProof/>
                <w:color w:val="006100"/>
                <w:sz w:val="20"/>
              </w:rPr>
              <w:t>Reform 1.2. Projektide heakskiitmise protsessi kiirendamine</w:t>
            </w:r>
          </w:p>
        </w:tc>
        <w:tc>
          <w:tcPr>
            <w:tcW w:w="1455" w:type="dxa"/>
            <w:tcBorders>
              <w:top w:val="nil"/>
              <w:left w:val="nil"/>
              <w:bottom w:val="single" w:sz="4" w:space="0" w:color="auto"/>
              <w:right w:val="single" w:sz="4" w:space="0" w:color="auto"/>
            </w:tcBorders>
            <w:shd w:val="clear" w:color="auto" w:fill="C6EFCE"/>
            <w:noWrap/>
            <w:vAlign w:val="center"/>
          </w:tcPr>
          <w:p w14:paraId="58EAF378" w14:textId="77777777" w:rsidR="00A612E2" w:rsidRPr="00246CC4" w:rsidRDefault="00A612E2" w:rsidP="00742B81">
            <w:pPr>
              <w:rPr>
                <w:noProof/>
                <w:color w:val="006100"/>
                <w:sz w:val="20"/>
                <w:szCs w:val="20"/>
              </w:rPr>
            </w:pPr>
            <w:r>
              <w:rPr>
                <w:noProof/>
                <w:color w:val="006100"/>
                <w:sz w:val="20"/>
              </w:rPr>
              <w:t>Eesmärk</w:t>
            </w:r>
          </w:p>
        </w:tc>
        <w:tc>
          <w:tcPr>
            <w:tcW w:w="3975" w:type="dxa"/>
            <w:tcBorders>
              <w:top w:val="nil"/>
              <w:left w:val="nil"/>
              <w:bottom w:val="single" w:sz="4" w:space="0" w:color="auto"/>
              <w:right w:val="single" w:sz="4" w:space="0" w:color="auto"/>
            </w:tcBorders>
            <w:shd w:val="clear" w:color="auto" w:fill="C6EFCE"/>
            <w:noWrap/>
            <w:vAlign w:val="center"/>
          </w:tcPr>
          <w:p w14:paraId="488B269F" w14:textId="77777777" w:rsidR="00A612E2" w:rsidRPr="003B127D" w:rsidRDefault="00A612E2" w:rsidP="00742B81">
            <w:pPr>
              <w:jc w:val="center"/>
              <w:rPr>
                <w:noProof/>
                <w:color w:val="006100"/>
                <w:sz w:val="20"/>
                <w:szCs w:val="20"/>
              </w:rPr>
            </w:pPr>
            <w:r>
              <w:rPr>
                <w:noProof/>
                <w:color w:val="006100"/>
                <w:sz w:val="20"/>
              </w:rPr>
              <w:t>Sellise regulatiivse muudatuse jõustumine, millega vähendatakse projektide jaoks loa andmise aega 11 kuult kuue kuuni</w:t>
            </w:r>
          </w:p>
        </w:tc>
      </w:tr>
      <w:tr w:rsidR="00A612E2" w:rsidRPr="00D90835" w14:paraId="65341417"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6451427" w14:textId="77777777" w:rsidR="00A612E2" w:rsidRPr="00246CC4" w:rsidRDefault="00A612E2" w:rsidP="00742B81">
            <w:pPr>
              <w:rPr>
                <w:noProof/>
                <w:color w:val="006100"/>
                <w:sz w:val="20"/>
                <w:szCs w:val="20"/>
              </w:rPr>
            </w:pPr>
            <w:r>
              <w:rPr>
                <w:noProof/>
                <w:color w:val="006100"/>
                <w:sz w:val="20"/>
              </w:rPr>
              <w:t>M3C1-21</w:t>
            </w:r>
          </w:p>
        </w:tc>
        <w:tc>
          <w:tcPr>
            <w:tcW w:w="3195" w:type="dxa"/>
            <w:tcBorders>
              <w:top w:val="nil"/>
              <w:left w:val="nil"/>
              <w:bottom w:val="single" w:sz="4" w:space="0" w:color="auto"/>
              <w:right w:val="single" w:sz="4" w:space="0" w:color="auto"/>
            </w:tcBorders>
            <w:shd w:val="clear" w:color="auto" w:fill="C6EFCE"/>
            <w:noWrap/>
            <w:vAlign w:val="center"/>
          </w:tcPr>
          <w:p w14:paraId="53231D58" w14:textId="77777777" w:rsidR="00A612E2" w:rsidRPr="003B127D" w:rsidRDefault="00A612E2" w:rsidP="00742B81">
            <w:pPr>
              <w:rPr>
                <w:noProof/>
                <w:color w:val="006100"/>
                <w:sz w:val="20"/>
                <w:szCs w:val="20"/>
              </w:rPr>
            </w:pPr>
            <w:r>
              <w:rPr>
                <w:noProof/>
                <w:color w:val="006100"/>
                <w:sz w:val="20"/>
              </w:rPr>
              <w:t>Reform 2.1. Hiljutise „dekreetse lihtsustamise“ (mis muudeti 11. septembri 2020. aasta seaduseks nr 120) rakendamine, andes välja dekreedi „Riskide liigitamise ja juhtimise, julgeoleku hindamise ning olemasolevate sildade järelevalve suuniste“ vastuvõtmise kohta</w:t>
            </w:r>
          </w:p>
        </w:tc>
        <w:tc>
          <w:tcPr>
            <w:tcW w:w="1455" w:type="dxa"/>
            <w:tcBorders>
              <w:top w:val="nil"/>
              <w:left w:val="nil"/>
              <w:bottom w:val="single" w:sz="4" w:space="0" w:color="auto"/>
              <w:right w:val="single" w:sz="4" w:space="0" w:color="auto"/>
            </w:tcBorders>
            <w:shd w:val="clear" w:color="auto" w:fill="C6EFCE"/>
            <w:noWrap/>
            <w:vAlign w:val="center"/>
          </w:tcPr>
          <w:p w14:paraId="05299882" w14:textId="77777777" w:rsidR="00A612E2" w:rsidRPr="00246CC4" w:rsidRDefault="00A612E2" w:rsidP="00742B81">
            <w:pPr>
              <w:rPr>
                <w:noProof/>
                <w:color w:val="006100"/>
                <w:sz w:val="20"/>
                <w:szCs w:val="20"/>
              </w:rPr>
            </w:pPr>
            <w:r>
              <w:rPr>
                <w:noProof/>
                <w:color w:val="006100"/>
                <w:sz w:val="20"/>
              </w:rPr>
              <w:t>Eesmärk</w:t>
            </w:r>
          </w:p>
        </w:tc>
        <w:tc>
          <w:tcPr>
            <w:tcW w:w="3975" w:type="dxa"/>
            <w:tcBorders>
              <w:top w:val="nil"/>
              <w:left w:val="nil"/>
              <w:bottom w:val="single" w:sz="4" w:space="0" w:color="auto"/>
              <w:right w:val="single" w:sz="4" w:space="0" w:color="auto"/>
            </w:tcBorders>
            <w:shd w:val="clear" w:color="auto" w:fill="C6EFCE"/>
            <w:noWrap/>
            <w:vAlign w:val="center"/>
          </w:tcPr>
          <w:p w14:paraId="27CC570B" w14:textId="77777777" w:rsidR="00A612E2" w:rsidRPr="003B127D" w:rsidRDefault="00A612E2" w:rsidP="00742B81">
            <w:pPr>
              <w:jc w:val="center"/>
              <w:rPr>
                <w:noProof/>
                <w:color w:val="006100"/>
                <w:sz w:val="20"/>
                <w:szCs w:val="20"/>
              </w:rPr>
            </w:pPr>
            <w:r>
              <w:rPr>
                <w:noProof/>
                <w:color w:val="006100"/>
                <w:sz w:val="20"/>
              </w:rPr>
              <w:t>Dokumendi „Riskiklassifitseerimise ja -juhtimise, julgeoleku hindamise ning olemasolevate sildade seire suunised“ jõustumine</w:t>
            </w:r>
          </w:p>
        </w:tc>
      </w:tr>
      <w:tr w:rsidR="00A612E2" w:rsidRPr="00D90835" w14:paraId="71CE6F8B"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9F3A10E" w14:textId="77777777" w:rsidR="00A612E2" w:rsidRPr="00246CC4" w:rsidRDefault="00A612E2" w:rsidP="00742B81">
            <w:pPr>
              <w:rPr>
                <w:noProof/>
                <w:color w:val="006100"/>
                <w:sz w:val="20"/>
                <w:szCs w:val="20"/>
              </w:rPr>
            </w:pPr>
            <w:r>
              <w:rPr>
                <w:noProof/>
                <w:color w:val="006100"/>
                <w:sz w:val="20"/>
              </w:rPr>
              <w:t>M3C1-22</w:t>
            </w:r>
          </w:p>
        </w:tc>
        <w:tc>
          <w:tcPr>
            <w:tcW w:w="3195" w:type="dxa"/>
            <w:tcBorders>
              <w:top w:val="nil"/>
              <w:left w:val="nil"/>
              <w:bottom w:val="single" w:sz="4" w:space="0" w:color="auto"/>
              <w:right w:val="single" w:sz="4" w:space="0" w:color="auto"/>
            </w:tcBorders>
            <w:shd w:val="clear" w:color="auto" w:fill="C6EFCE"/>
            <w:noWrap/>
            <w:vAlign w:val="center"/>
          </w:tcPr>
          <w:p w14:paraId="327662BD" w14:textId="3E430974" w:rsidR="00A612E2" w:rsidRPr="003B127D" w:rsidRDefault="00A612E2" w:rsidP="00742B81">
            <w:pPr>
              <w:rPr>
                <w:noProof/>
                <w:color w:val="006100"/>
                <w:sz w:val="20"/>
                <w:szCs w:val="20"/>
              </w:rPr>
            </w:pPr>
            <w:r>
              <w:rPr>
                <w:noProof/>
                <w:color w:val="006100"/>
                <w:sz w:val="20"/>
              </w:rPr>
              <w:t>Reform 2.2. Sil</w:t>
            </w:r>
            <w:r w:rsidR="00956361">
              <w:rPr>
                <w:noProof/>
                <w:color w:val="006100"/>
                <w:sz w:val="20"/>
              </w:rPr>
              <w:t>d</w:t>
            </w:r>
            <w:r>
              <w:rPr>
                <w:noProof/>
                <w:color w:val="006100"/>
                <w:sz w:val="20"/>
              </w:rPr>
              <w:t>ade ja viaduktide vara üleviimine madalama astme teedelt kõrgema astme teedele</w:t>
            </w:r>
          </w:p>
        </w:tc>
        <w:tc>
          <w:tcPr>
            <w:tcW w:w="1455" w:type="dxa"/>
            <w:tcBorders>
              <w:top w:val="nil"/>
              <w:left w:val="nil"/>
              <w:bottom w:val="single" w:sz="4" w:space="0" w:color="auto"/>
              <w:right w:val="single" w:sz="4" w:space="0" w:color="auto"/>
            </w:tcBorders>
            <w:shd w:val="clear" w:color="auto" w:fill="C6EFCE"/>
            <w:noWrap/>
            <w:vAlign w:val="center"/>
          </w:tcPr>
          <w:p w14:paraId="02B6BF89" w14:textId="77777777" w:rsidR="00A612E2" w:rsidRPr="00246CC4" w:rsidRDefault="00A612E2" w:rsidP="00742B81">
            <w:pPr>
              <w:rPr>
                <w:noProof/>
                <w:color w:val="006100"/>
                <w:sz w:val="20"/>
                <w:szCs w:val="20"/>
              </w:rPr>
            </w:pPr>
            <w:r>
              <w:rPr>
                <w:noProof/>
                <w:color w:val="006100"/>
                <w:sz w:val="20"/>
              </w:rPr>
              <w:t>Eesmärk</w:t>
            </w:r>
          </w:p>
        </w:tc>
        <w:tc>
          <w:tcPr>
            <w:tcW w:w="3975" w:type="dxa"/>
            <w:tcBorders>
              <w:top w:val="nil"/>
              <w:left w:val="nil"/>
              <w:bottom w:val="single" w:sz="4" w:space="0" w:color="auto"/>
              <w:right w:val="single" w:sz="4" w:space="0" w:color="auto"/>
            </w:tcBorders>
            <w:shd w:val="clear" w:color="auto" w:fill="C6EFCE"/>
            <w:noWrap/>
            <w:vAlign w:val="center"/>
          </w:tcPr>
          <w:p w14:paraId="37DE9A33" w14:textId="77777777" w:rsidR="00A612E2" w:rsidRPr="003B127D" w:rsidRDefault="00A612E2" w:rsidP="00742B81">
            <w:pPr>
              <w:jc w:val="center"/>
              <w:rPr>
                <w:noProof/>
                <w:color w:val="006100"/>
                <w:sz w:val="20"/>
                <w:szCs w:val="20"/>
              </w:rPr>
            </w:pPr>
            <w:r>
              <w:rPr>
                <w:noProof/>
                <w:color w:val="006100"/>
                <w:sz w:val="20"/>
              </w:rPr>
              <w:t>Kanda sildade, viaduktide ja ülesõidukohtade omandiõigus madalama astme teedelt kõrgema astme teedele (kiirteed ja peamised riigimaanteed)</w:t>
            </w:r>
          </w:p>
        </w:tc>
      </w:tr>
      <w:tr w:rsidR="00A612E2" w:rsidRPr="00D90835" w14:paraId="6EF90AD1"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79A1040" w14:textId="77777777" w:rsidR="00A612E2" w:rsidRPr="00246CC4" w:rsidRDefault="00A612E2" w:rsidP="00742B81">
            <w:pPr>
              <w:rPr>
                <w:noProof/>
                <w:color w:val="006100"/>
                <w:sz w:val="20"/>
                <w:szCs w:val="20"/>
              </w:rPr>
            </w:pPr>
            <w:r>
              <w:rPr>
                <w:noProof/>
                <w:color w:val="006100"/>
                <w:sz w:val="20"/>
              </w:rPr>
              <w:t>M4C1-27</w:t>
            </w:r>
          </w:p>
        </w:tc>
        <w:tc>
          <w:tcPr>
            <w:tcW w:w="3195" w:type="dxa"/>
            <w:tcBorders>
              <w:top w:val="nil"/>
              <w:left w:val="nil"/>
              <w:bottom w:val="single" w:sz="4" w:space="0" w:color="auto"/>
              <w:right w:val="single" w:sz="4" w:space="0" w:color="auto"/>
            </w:tcBorders>
            <w:shd w:val="clear" w:color="auto" w:fill="C6EFCE"/>
            <w:noWrap/>
            <w:vAlign w:val="center"/>
          </w:tcPr>
          <w:p w14:paraId="0C6E1855" w14:textId="77777777" w:rsidR="00A612E2" w:rsidRPr="003B127D" w:rsidRDefault="00A612E2" w:rsidP="00742B81">
            <w:pPr>
              <w:rPr>
                <w:noProof/>
                <w:color w:val="006100"/>
                <w:sz w:val="20"/>
                <w:szCs w:val="20"/>
              </w:rPr>
            </w:pPr>
            <w:r>
              <w:rPr>
                <w:noProof/>
                <w:color w:val="006100"/>
                <w:sz w:val="20"/>
              </w:rPr>
              <w:t>Reform 1.7. Üliõpilaste eluasemete reguleerimise reform ja investeeringud üliõpilaste eluasemetesse</w:t>
            </w:r>
          </w:p>
        </w:tc>
        <w:tc>
          <w:tcPr>
            <w:tcW w:w="1455" w:type="dxa"/>
            <w:tcBorders>
              <w:top w:val="nil"/>
              <w:left w:val="nil"/>
              <w:bottom w:val="single" w:sz="4" w:space="0" w:color="auto"/>
              <w:right w:val="single" w:sz="4" w:space="0" w:color="auto"/>
            </w:tcBorders>
            <w:shd w:val="clear" w:color="auto" w:fill="C6EFCE"/>
            <w:noWrap/>
            <w:vAlign w:val="center"/>
          </w:tcPr>
          <w:p w14:paraId="76A82761" w14:textId="77777777" w:rsidR="00A612E2" w:rsidRPr="00246CC4" w:rsidRDefault="00A612E2" w:rsidP="00742B81">
            <w:pPr>
              <w:rPr>
                <w:noProof/>
                <w:color w:val="006100"/>
                <w:sz w:val="20"/>
                <w:szCs w:val="20"/>
              </w:rPr>
            </w:pPr>
            <w:r>
              <w:rPr>
                <w:noProof/>
                <w:color w:val="006100"/>
                <w:sz w:val="20"/>
              </w:rPr>
              <w:t>Eesmärk</w:t>
            </w:r>
          </w:p>
        </w:tc>
        <w:tc>
          <w:tcPr>
            <w:tcW w:w="3975" w:type="dxa"/>
            <w:tcBorders>
              <w:top w:val="nil"/>
              <w:left w:val="nil"/>
              <w:bottom w:val="single" w:sz="4" w:space="0" w:color="auto"/>
              <w:right w:val="single" w:sz="4" w:space="0" w:color="auto"/>
            </w:tcBorders>
            <w:shd w:val="clear" w:color="auto" w:fill="C6EFCE"/>
            <w:noWrap/>
            <w:vAlign w:val="center"/>
          </w:tcPr>
          <w:p w14:paraId="2BFB9E6A" w14:textId="77777777" w:rsidR="00A612E2" w:rsidRPr="003B127D" w:rsidRDefault="00A612E2" w:rsidP="00742B81">
            <w:pPr>
              <w:jc w:val="center"/>
              <w:rPr>
                <w:noProof/>
                <w:color w:val="006100"/>
                <w:sz w:val="20"/>
                <w:szCs w:val="20"/>
              </w:rPr>
            </w:pPr>
            <w:r>
              <w:rPr>
                <w:noProof/>
                <w:color w:val="006100"/>
                <w:sz w:val="20"/>
              </w:rPr>
              <w:t>Jõustunud on õigusakt, millega muudetakse kehtivaid eeskirju üliõpilaste majutamise kohta.</w:t>
            </w:r>
          </w:p>
        </w:tc>
      </w:tr>
      <w:tr w:rsidR="00A612E2" w:rsidRPr="00D90835" w14:paraId="334A1848"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320EA9C" w14:textId="77777777" w:rsidR="00A612E2" w:rsidRPr="00246CC4" w:rsidRDefault="00A612E2" w:rsidP="00742B81">
            <w:pPr>
              <w:rPr>
                <w:noProof/>
                <w:color w:val="006100"/>
                <w:sz w:val="20"/>
                <w:szCs w:val="20"/>
              </w:rPr>
            </w:pPr>
            <w:r>
              <w:rPr>
                <w:noProof/>
                <w:color w:val="006100"/>
                <w:sz w:val="20"/>
              </w:rPr>
              <w:t>M5C3-10</w:t>
            </w:r>
          </w:p>
        </w:tc>
        <w:tc>
          <w:tcPr>
            <w:tcW w:w="3195" w:type="dxa"/>
            <w:tcBorders>
              <w:top w:val="nil"/>
              <w:left w:val="nil"/>
              <w:bottom w:val="single" w:sz="4" w:space="0" w:color="auto"/>
              <w:right w:val="single" w:sz="4" w:space="0" w:color="auto"/>
            </w:tcBorders>
            <w:shd w:val="clear" w:color="auto" w:fill="C6EFCE"/>
            <w:noWrap/>
            <w:vAlign w:val="center"/>
          </w:tcPr>
          <w:p w14:paraId="00D55817" w14:textId="77777777" w:rsidR="00A612E2" w:rsidRPr="003B127D" w:rsidRDefault="00A612E2" w:rsidP="00742B81">
            <w:pPr>
              <w:rPr>
                <w:noProof/>
                <w:color w:val="006100"/>
                <w:sz w:val="20"/>
                <w:szCs w:val="20"/>
              </w:rPr>
            </w:pPr>
            <w:r>
              <w:rPr>
                <w:noProof/>
                <w:color w:val="006100"/>
                <w:sz w:val="20"/>
              </w:rPr>
              <w:t>Reform1. Menetluste lihtsustamine ja voliniku tugevdamine erimajandustsoonides</w:t>
            </w:r>
          </w:p>
        </w:tc>
        <w:tc>
          <w:tcPr>
            <w:tcW w:w="1455" w:type="dxa"/>
            <w:tcBorders>
              <w:top w:val="nil"/>
              <w:left w:val="nil"/>
              <w:bottom w:val="single" w:sz="4" w:space="0" w:color="auto"/>
              <w:right w:val="single" w:sz="4" w:space="0" w:color="auto"/>
            </w:tcBorders>
            <w:shd w:val="clear" w:color="auto" w:fill="C6EFCE"/>
            <w:noWrap/>
            <w:vAlign w:val="center"/>
          </w:tcPr>
          <w:p w14:paraId="13A10FAC" w14:textId="77777777" w:rsidR="00A612E2" w:rsidRPr="00246CC4" w:rsidRDefault="00A612E2" w:rsidP="00742B81">
            <w:pPr>
              <w:rPr>
                <w:noProof/>
                <w:color w:val="006100"/>
                <w:sz w:val="20"/>
                <w:szCs w:val="20"/>
              </w:rPr>
            </w:pPr>
            <w:r>
              <w:rPr>
                <w:noProof/>
                <w:color w:val="006100"/>
                <w:sz w:val="20"/>
              </w:rPr>
              <w:t>Eesmärk</w:t>
            </w:r>
          </w:p>
        </w:tc>
        <w:tc>
          <w:tcPr>
            <w:tcW w:w="3975" w:type="dxa"/>
            <w:tcBorders>
              <w:top w:val="nil"/>
              <w:left w:val="nil"/>
              <w:bottom w:val="single" w:sz="4" w:space="0" w:color="auto"/>
              <w:right w:val="single" w:sz="4" w:space="0" w:color="auto"/>
            </w:tcBorders>
            <w:shd w:val="clear" w:color="auto" w:fill="C6EFCE"/>
            <w:noWrap/>
            <w:vAlign w:val="center"/>
          </w:tcPr>
          <w:p w14:paraId="24E2FE7F" w14:textId="77777777" w:rsidR="00A612E2" w:rsidRPr="003B127D" w:rsidRDefault="00A612E2" w:rsidP="00742B81">
            <w:pPr>
              <w:jc w:val="center"/>
              <w:rPr>
                <w:noProof/>
                <w:color w:val="006100"/>
                <w:sz w:val="20"/>
                <w:szCs w:val="20"/>
              </w:rPr>
            </w:pPr>
            <w:r>
              <w:rPr>
                <w:noProof/>
                <w:color w:val="006100"/>
                <w:sz w:val="20"/>
              </w:rPr>
              <w:t>Määruse jõustumine, et lihtsalt kehtestada menetlused ja tugevdada voliniku rolli erimajandustsoonides</w:t>
            </w:r>
          </w:p>
        </w:tc>
      </w:tr>
      <w:tr w:rsidR="00A612E2" w:rsidRPr="00D90835" w14:paraId="7D7799AD"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C923E96" w14:textId="77777777" w:rsidR="00A612E2" w:rsidRPr="00246CC4" w:rsidRDefault="00A612E2" w:rsidP="00742B81">
            <w:pPr>
              <w:rPr>
                <w:noProof/>
                <w:color w:val="006100"/>
                <w:sz w:val="20"/>
                <w:szCs w:val="20"/>
              </w:rPr>
            </w:pPr>
            <w:r>
              <w:rPr>
                <w:noProof/>
                <w:color w:val="006100"/>
                <w:sz w:val="20"/>
              </w:rPr>
              <w:t>M5C3-11</w:t>
            </w:r>
          </w:p>
        </w:tc>
        <w:tc>
          <w:tcPr>
            <w:tcW w:w="3195" w:type="dxa"/>
            <w:tcBorders>
              <w:top w:val="nil"/>
              <w:left w:val="nil"/>
              <w:bottom w:val="single" w:sz="4" w:space="0" w:color="auto"/>
              <w:right w:val="single" w:sz="4" w:space="0" w:color="auto"/>
            </w:tcBorders>
            <w:shd w:val="clear" w:color="auto" w:fill="C6EFCE"/>
            <w:noWrap/>
            <w:vAlign w:val="center"/>
          </w:tcPr>
          <w:p w14:paraId="5177DA11" w14:textId="77777777" w:rsidR="00A612E2" w:rsidRPr="003B127D" w:rsidRDefault="00A612E2" w:rsidP="00742B81">
            <w:pPr>
              <w:rPr>
                <w:noProof/>
                <w:color w:val="006100"/>
                <w:sz w:val="20"/>
                <w:szCs w:val="20"/>
              </w:rPr>
            </w:pPr>
            <w:r>
              <w:rPr>
                <w:noProof/>
                <w:color w:val="006100"/>
                <w:sz w:val="20"/>
              </w:rPr>
              <w:t xml:space="preserve">Investeering 1.4. Taristuinvesteeringud erimajandustsoonides </w:t>
            </w:r>
          </w:p>
        </w:tc>
        <w:tc>
          <w:tcPr>
            <w:tcW w:w="1455" w:type="dxa"/>
            <w:tcBorders>
              <w:top w:val="nil"/>
              <w:left w:val="nil"/>
              <w:bottom w:val="single" w:sz="4" w:space="0" w:color="auto"/>
              <w:right w:val="single" w:sz="4" w:space="0" w:color="auto"/>
            </w:tcBorders>
            <w:shd w:val="clear" w:color="auto" w:fill="C6EFCE"/>
            <w:noWrap/>
            <w:vAlign w:val="center"/>
          </w:tcPr>
          <w:p w14:paraId="7DF5B0F6" w14:textId="77777777" w:rsidR="00A612E2" w:rsidRPr="00246CC4" w:rsidRDefault="00A612E2" w:rsidP="00742B81">
            <w:pPr>
              <w:rPr>
                <w:noProof/>
                <w:color w:val="006100"/>
                <w:sz w:val="20"/>
                <w:szCs w:val="20"/>
              </w:rPr>
            </w:pPr>
            <w:r>
              <w:rPr>
                <w:noProof/>
                <w:color w:val="006100"/>
                <w:sz w:val="20"/>
              </w:rPr>
              <w:t>Eesmärk</w:t>
            </w:r>
          </w:p>
        </w:tc>
        <w:tc>
          <w:tcPr>
            <w:tcW w:w="3975" w:type="dxa"/>
            <w:tcBorders>
              <w:top w:val="nil"/>
              <w:left w:val="nil"/>
              <w:bottom w:val="single" w:sz="4" w:space="0" w:color="auto"/>
              <w:right w:val="single" w:sz="4" w:space="0" w:color="auto"/>
            </w:tcBorders>
            <w:shd w:val="clear" w:color="auto" w:fill="C6EFCE"/>
            <w:noWrap/>
            <w:vAlign w:val="center"/>
          </w:tcPr>
          <w:p w14:paraId="5592D80F" w14:textId="77777777" w:rsidR="00A612E2" w:rsidRPr="003B127D" w:rsidRDefault="00A612E2" w:rsidP="00742B81">
            <w:pPr>
              <w:jc w:val="center"/>
              <w:rPr>
                <w:noProof/>
                <w:color w:val="006100"/>
                <w:sz w:val="20"/>
                <w:szCs w:val="20"/>
              </w:rPr>
            </w:pPr>
            <w:r>
              <w:rPr>
                <w:noProof/>
                <w:color w:val="006100"/>
                <w:sz w:val="20"/>
              </w:rPr>
              <w:t>Ministeeriumi määruste jõustumine, millega kiidetakse heaks kõigi kaheksa erimajanduspiirkonna tegevuskava</w:t>
            </w:r>
          </w:p>
        </w:tc>
      </w:tr>
      <w:tr w:rsidR="00A612E2" w:rsidRPr="00D90835" w14:paraId="7FA81E54"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04F8711" w14:textId="77777777" w:rsidR="00A612E2" w:rsidRPr="00246CC4" w:rsidRDefault="00A612E2" w:rsidP="00742B81">
            <w:pPr>
              <w:rPr>
                <w:noProof/>
                <w:color w:val="006100"/>
                <w:sz w:val="20"/>
                <w:szCs w:val="20"/>
              </w:rPr>
            </w:pPr>
            <w:r>
              <w:rPr>
                <w:noProof/>
                <w:color w:val="006100"/>
                <w:sz w:val="20"/>
              </w:rPr>
              <w:t>M6C2-4</w:t>
            </w:r>
          </w:p>
        </w:tc>
        <w:tc>
          <w:tcPr>
            <w:tcW w:w="3195" w:type="dxa"/>
            <w:tcBorders>
              <w:top w:val="nil"/>
              <w:left w:val="nil"/>
              <w:bottom w:val="single" w:sz="4" w:space="0" w:color="auto"/>
              <w:right w:val="single" w:sz="4" w:space="0" w:color="auto"/>
            </w:tcBorders>
            <w:shd w:val="clear" w:color="auto" w:fill="C6EFCE"/>
            <w:noWrap/>
            <w:vAlign w:val="center"/>
          </w:tcPr>
          <w:p w14:paraId="35FD95E1" w14:textId="77777777" w:rsidR="00A612E2" w:rsidRPr="003B127D" w:rsidRDefault="00A612E2" w:rsidP="00742B81">
            <w:pPr>
              <w:rPr>
                <w:noProof/>
                <w:color w:val="006100"/>
                <w:sz w:val="20"/>
                <w:szCs w:val="20"/>
              </w:rPr>
            </w:pPr>
            <w:r>
              <w:rPr>
                <w:noProof/>
                <w:color w:val="006600"/>
                <w:sz w:val="20"/>
              </w:rPr>
              <w:t>Investeering 1.1. Haiglate tehniliste seadmete digitaalne ajakohastamine.</w:t>
            </w:r>
          </w:p>
        </w:tc>
        <w:tc>
          <w:tcPr>
            <w:tcW w:w="1455" w:type="dxa"/>
            <w:tcBorders>
              <w:top w:val="nil"/>
              <w:left w:val="nil"/>
              <w:bottom w:val="single" w:sz="4" w:space="0" w:color="auto"/>
              <w:right w:val="single" w:sz="4" w:space="0" w:color="auto"/>
            </w:tcBorders>
            <w:shd w:val="clear" w:color="auto" w:fill="C6EFCE"/>
            <w:noWrap/>
            <w:vAlign w:val="center"/>
          </w:tcPr>
          <w:p w14:paraId="5C6BB892" w14:textId="77777777" w:rsidR="00A612E2" w:rsidRPr="00246CC4" w:rsidRDefault="00A612E2" w:rsidP="00742B81">
            <w:pPr>
              <w:rPr>
                <w:noProof/>
                <w:color w:val="006100"/>
                <w:sz w:val="20"/>
                <w:szCs w:val="20"/>
              </w:rPr>
            </w:pPr>
            <w:r>
              <w:rPr>
                <w:noProof/>
                <w:color w:val="006600"/>
                <w:sz w:val="20"/>
              </w:rPr>
              <w:t>Eesmärk</w:t>
            </w:r>
          </w:p>
        </w:tc>
        <w:tc>
          <w:tcPr>
            <w:tcW w:w="3975" w:type="dxa"/>
            <w:tcBorders>
              <w:top w:val="nil"/>
              <w:left w:val="nil"/>
              <w:bottom w:val="single" w:sz="4" w:space="0" w:color="auto"/>
              <w:right w:val="single" w:sz="4" w:space="0" w:color="auto"/>
            </w:tcBorders>
            <w:shd w:val="clear" w:color="auto" w:fill="C6EFCE"/>
            <w:noWrap/>
            <w:vAlign w:val="center"/>
          </w:tcPr>
          <w:p w14:paraId="2B949F18" w14:textId="77777777" w:rsidR="00A612E2" w:rsidRPr="003B127D" w:rsidRDefault="00A612E2" w:rsidP="00742B81">
            <w:pPr>
              <w:jc w:val="center"/>
              <w:rPr>
                <w:noProof/>
                <w:color w:val="006600"/>
                <w:sz w:val="20"/>
                <w:szCs w:val="20"/>
              </w:rPr>
            </w:pPr>
            <w:r>
              <w:rPr>
                <w:noProof/>
                <w:color w:val="006600"/>
                <w:sz w:val="20"/>
              </w:rPr>
              <w:t>Reorganiseerimise kava, mille on heaks kiitnud tervishoiuministeerium/Itaalia maakonnad</w:t>
            </w:r>
          </w:p>
        </w:tc>
      </w:tr>
      <w:tr w:rsidR="00A612E2" w:rsidRPr="00246CC4" w14:paraId="0C10D329" w14:textId="77777777" w:rsidTr="00742B81">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6FA068B6" w14:textId="77777777" w:rsidR="00A612E2" w:rsidRPr="003B127D" w:rsidRDefault="00A612E2" w:rsidP="00742B81">
            <w:pPr>
              <w:jc w:val="center"/>
              <w:rPr>
                <w:noProof/>
                <w:color w:val="006100"/>
                <w:sz w:val="20"/>
                <w:szCs w:val="20"/>
                <w:lang w:val="en-IE"/>
              </w:rPr>
            </w:pPr>
          </w:p>
        </w:tc>
        <w:tc>
          <w:tcPr>
            <w:tcW w:w="3195" w:type="dxa"/>
            <w:tcBorders>
              <w:top w:val="single" w:sz="4" w:space="0" w:color="auto"/>
              <w:left w:val="nil"/>
              <w:bottom w:val="single" w:sz="4" w:space="0" w:color="auto"/>
              <w:right w:val="single" w:sz="4" w:space="0" w:color="auto"/>
            </w:tcBorders>
            <w:shd w:val="clear" w:color="auto" w:fill="C6EFCE"/>
            <w:noWrap/>
            <w:vAlign w:val="bottom"/>
          </w:tcPr>
          <w:p w14:paraId="77DDF30B" w14:textId="77777777" w:rsidR="00A612E2" w:rsidRPr="003B127D" w:rsidRDefault="00A612E2" w:rsidP="00742B81">
            <w:pPr>
              <w:rPr>
                <w:noProof/>
                <w:color w:val="006100"/>
                <w:sz w:val="20"/>
                <w:szCs w:val="20"/>
                <w:lang w:val="en-IE"/>
              </w:rPr>
            </w:pPr>
          </w:p>
        </w:tc>
        <w:tc>
          <w:tcPr>
            <w:tcW w:w="1455" w:type="dxa"/>
            <w:tcBorders>
              <w:top w:val="single" w:sz="4" w:space="0" w:color="auto"/>
              <w:left w:val="nil"/>
              <w:bottom w:val="single" w:sz="4" w:space="0" w:color="auto"/>
              <w:right w:val="single" w:sz="4" w:space="0" w:color="auto"/>
            </w:tcBorders>
            <w:shd w:val="clear" w:color="auto" w:fill="C6EFCE"/>
            <w:noWrap/>
            <w:vAlign w:val="bottom"/>
          </w:tcPr>
          <w:p w14:paraId="18C1E09D" w14:textId="77777777" w:rsidR="00A612E2" w:rsidRPr="00246CC4" w:rsidRDefault="00A612E2" w:rsidP="00742B81">
            <w:pPr>
              <w:rPr>
                <w:noProof/>
                <w:color w:val="006100"/>
                <w:sz w:val="20"/>
                <w:szCs w:val="20"/>
              </w:rPr>
            </w:pPr>
            <w:r>
              <w:rPr>
                <w:noProof/>
                <w:color w:val="006100"/>
                <w:sz w:val="20"/>
              </w:rPr>
              <w:t>Osamakse summa</w:t>
            </w:r>
          </w:p>
        </w:tc>
        <w:tc>
          <w:tcPr>
            <w:tcW w:w="3975" w:type="dxa"/>
            <w:tcBorders>
              <w:top w:val="single" w:sz="4" w:space="0" w:color="auto"/>
              <w:left w:val="nil"/>
              <w:bottom w:val="single" w:sz="4" w:space="0" w:color="auto"/>
              <w:right w:val="single" w:sz="4" w:space="0" w:color="auto"/>
            </w:tcBorders>
            <w:shd w:val="clear" w:color="auto" w:fill="C6EFCE"/>
            <w:noWrap/>
            <w:vAlign w:val="bottom"/>
          </w:tcPr>
          <w:p w14:paraId="60D2A500" w14:textId="77777777" w:rsidR="00A612E2" w:rsidRPr="00246CC4" w:rsidRDefault="00A612E2" w:rsidP="00742B81">
            <w:pPr>
              <w:rPr>
                <w:noProof/>
                <w:color w:val="006100"/>
                <w:sz w:val="20"/>
                <w:szCs w:val="20"/>
              </w:rPr>
            </w:pPr>
            <w:r>
              <w:rPr>
                <w:noProof/>
                <w:color w:val="006100"/>
                <w:sz w:val="20"/>
              </w:rPr>
              <w:t>12</w:t>
            </w:r>
            <w:r>
              <w:rPr>
                <w:rFonts w:ascii="Arial Narrow" w:hAnsi="Arial Narrow"/>
                <w:noProof/>
                <w:color w:val="006100"/>
                <w:sz w:val="20"/>
              </w:rPr>
              <w:t xml:space="preserve"> </w:t>
            </w:r>
            <w:r>
              <w:rPr>
                <w:noProof/>
                <w:color w:val="006100"/>
                <w:sz w:val="20"/>
              </w:rPr>
              <w:t>643</w:t>
            </w:r>
            <w:r>
              <w:rPr>
                <w:rFonts w:ascii="Arial Narrow" w:hAnsi="Arial Narrow"/>
                <w:noProof/>
                <w:color w:val="006100"/>
                <w:sz w:val="20"/>
              </w:rPr>
              <w:t xml:space="preserve"> </w:t>
            </w:r>
            <w:r>
              <w:rPr>
                <w:noProof/>
                <w:color w:val="006100"/>
                <w:sz w:val="20"/>
              </w:rPr>
              <w:t>678</w:t>
            </w:r>
            <w:r>
              <w:rPr>
                <w:rFonts w:ascii="Arial Narrow" w:hAnsi="Arial Narrow"/>
                <w:noProof/>
                <w:color w:val="006100"/>
                <w:sz w:val="20"/>
              </w:rPr>
              <w:t xml:space="preserve"> </w:t>
            </w:r>
            <w:r>
              <w:rPr>
                <w:noProof/>
                <w:color w:val="006100"/>
                <w:sz w:val="20"/>
              </w:rPr>
              <w:t>161 eurot</w:t>
            </w:r>
          </w:p>
        </w:tc>
      </w:tr>
    </w:tbl>
    <w:p w14:paraId="7C817D6B" w14:textId="77777777" w:rsidR="00A612E2" w:rsidRPr="00246CC4" w:rsidRDefault="00A612E2" w:rsidP="00A612E2">
      <w:pPr>
        <w:numPr>
          <w:ilvl w:val="1"/>
          <w:numId w:val="6"/>
        </w:numPr>
        <w:spacing w:before="120" w:after="120"/>
        <w:jc w:val="both"/>
        <w:rPr>
          <w:rFonts w:eastAsia="Calibri"/>
          <w:noProof/>
        </w:rPr>
      </w:pPr>
      <w:r>
        <w:rPr>
          <w:noProof/>
        </w:rPr>
        <w:t>Teine osamakse (laenutoetus):</w:t>
      </w:r>
    </w:p>
    <w:tbl>
      <w:tblPr>
        <w:tblW w:w="10096" w:type="dxa"/>
        <w:tblInd w:w="113" w:type="dxa"/>
        <w:tblLook w:val="04A0" w:firstRow="1" w:lastRow="0" w:firstColumn="1" w:lastColumn="0" w:noHBand="0" w:noVBand="1"/>
      </w:tblPr>
      <w:tblGrid>
        <w:gridCol w:w="1827"/>
        <w:gridCol w:w="3195"/>
        <w:gridCol w:w="1453"/>
        <w:gridCol w:w="4035"/>
      </w:tblGrid>
      <w:tr w:rsidR="00A612E2" w:rsidRPr="00246CC4" w14:paraId="11F7D864" w14:textId="77777777" w:rsidTr="00742B81">
        <w:trPr>
          <w:trHeight w:val="906"/>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EB5748D" w14:textId="77777777" w:rsidR="00A612E2" w:rsidRPr="00246CC4" w:rsidRDefault="00A612E2" w:rsidP="00742B81">
            <w:pPr>
              <w:jc w:val="center"/>
              <w:rPr>
                <w:b/>
                <w:bCs/>
                <w:noProof/>
                <w:sz w:val="20"/>
                <w:szCs w:val="20"/>
              </w:rPr>
            </w:pPr>
            <w:r>
              <w:rPr>
                <w:b/>
                <w:noProof/>
                <w:sz w:val="20"/>
              </w:rPr>
              <w:t>Järjekorranumber</w:t>
            </w:r>
          </w:p>
        </w:tc>
        <w:tc>
          <w:tcPr>
            <w:tcW w:w="319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244F04E" w14:textId="77777777" w:rsidR="00A612E2" w:rsidRPr="003B127D" w:rsidRDefault="00A612E2" w:rsidP="00742B81">
            <w:pPr>
              <w:jc w:val="center"/>
              <w:rPr>
                <w:b/>
                <w:bCs/>
                <w:noProof/>
                <w:sz w:val="20"/>
                <w:szCs w:val="20"/>
              </w:rPr>
            </w:pPr>
            <w:r>
              <w:rPr>
                <w:b/>
                <w:noProof/>
                <w:sz w:val="20"/>
              </w:rPr>
              <w:t>Seotud meede (reform või investeering)</w:t>
            </w:r>
          </w:p>
        </w:tc>
        <w:tc>
          <w:tcPr>
            <w:tcW w:w="145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9C3CB30" w14:textId="77777777" w:rsidR="00A612E2" w:rsidRPr="00246CC4" w:rsidRDefault="00A612E2" w:rsidP="00742B81">
            <w:pPr>
              <w:jc w:val="center"/>
              <w:rPr>
                <w:b/>
                <w:bCs/>
                <w:noProof/>
                <w:sz w:val="20"/>
                <w:szCs w:val="20"/>
              </w:rPr>
            </w:pPr>
            <w:r>
              <w:rPr>
                <w:b/>
                <w:noProof/>
                <w:sz w:val="20"/>
              </w:rPr>
              <w:t>Eesmärk / siht</w:t>
            </w:r>
          </w:p>
        </w:tc>
        <w:tc>
          <w:tcPr>
            <w:tcW w:w="403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756A4AA" w14:textId="77777777" w:rsidR="00A612E2" w:rsidRPr="00246CC4" w:rsidRDefault="00A612E2" w:rsidP="00742B81">
            <w:pPr>
              <w:jc w:val="center"/>
              <w:rPr>
                <w:b/>
                <w:bCs/>
                <w:noProof/>
                <w:sz w:val="20"/>
                <w:szCs w:val="20"/>
              </w:rPr>
            </w:pPr>
            <w:r>
              <w:rPr>
                <w:b/>
                <w:noProof/>
                <w:sz w:val="20"/>
              </w:rPr>
              <w:t>Nimi</w:t>
            </w:r>
          </w:p>
        </w:tc>
      </w:tr>
      <w:tr w:rsidR="00A612E2" w:rsidRPr="00246CC4" w14:paraId="44657F6C" w14:textId="77777777" w:rsidTr="00742B81">
        <w:trPr>
          <w:trHeight w:val="517"/>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C352481" w14:textId="77777777" w:rsidR="00A612E2" w:rsidRPr="00246CC4" w:rsidRDefault="00A612E2" w:rsidP="00742B81">
            <w:pPr>
              <w:rPr>
                <w:b/>
                <w:bCs/>
                <w:noProof/>
              </w:rPr>
            </w:pPr>
          </w:p>
        </w:tc>
        <w:tc>
          <w:tcPr>
            <w:tcW w:w="3195" w:type="dxa"/>
            <w:vMerge/>
            <w:tcBorders>
              <w:top w:val="single" w:sz="4" w:space="0" w:color="auto"/>
              <w:left w:val="single" w:sz="4" w:space="0" w:color="auto"/>
              <w:bottom w:val="single" w:sz="4" w:space="0" w:color="auto"/>
              <w:right w:val="single" w:sz="4" w:space="0" w:color="auto"/>
            </w:tcBorders>
            <w:vAlign w:val="center"/>
            <w:hideMark/>
          </w:tcPr>
          <w:p w14:paraId="4DC66133" w14:textId="77777777" w:rsidR="00A612E2" w:rsidRPr="00246CC4" w:rsidRDefault="00A612E2" w:rsidP="00742B81">
            <w:pPr>
              <w:rPr>
                <w:b/>
                <w:bCs/>
                <w:noProof/>
              </w:rPr>
            </w:pPr>
          </w:p>
        </w:tc>
        <w:tc>
          <w:tcPr>
            <w:tcW w:w="1453" w:type="dxa"/>
            <w:vMerge/>
            <w:tcBorders>
              <w:top w:val="single" w:sz="4" w:space="0" w:color="auto"/>
              <w:left w:val="single" w:sz="4" w:space="0" w:color="auto"/>
              <w:bottom w:val="single" w:sz="4" w:space="0" w:color="auto"/>
              <w:right w:val="single" w:sz="4" w:space="0" w:color="auto"/>
            </w:tcBorders>
            <w:vAlign w:val="center"/>
            <w:hideMark/>
          </w:tcPr>
          <w:p w14:paraId="4E8BB093" w14:textId="77777777" w:rsidR="00A612E2" w:rsidRPr="00246CC4" w:rsidRDefault="00A612E2" w:rsidP="00742B81">
            <w:pPr>
              <w:rPr>
                <w:b/>
                <w:bCs/>
                <w:noProof/>
              </w:rPr>
            </w:pPr>
          </w:p>
        </w:tc>
        <w:tc>
          <w:tcPr>
            <w:tcW w:w="4035" w:type="dxa"/>
            <w:vMerge/>
            <w:tcBorders>
              <w:top w:val="single" w:sz="4" w:space="0" w:color="auto"/>
              <w:left w:val="single" w:sz="4" w:space="0" w:color="auto"/>
              <w:bottom w:val="single" w:sz="4" w:space="0" w:color="auto"/>
              <w:right w:val="single" w:sz="4" w:space="0" w:color="auto"/>
            </w:tcBorders>
            <w:vAlign w:val="center"/>
            <w:hideMark/>
          </w:tcPr>
          <w:p w14:paraId="6001E971" w14:textId="77777777" w:rsidR="00A612E2" w:rsidRPr="00246CC4" w:rsidRDefault="00A612E2" w:rsidP="00742B81">
            <w:pPr>
              <w:rPr>
                <w:b/>
                <w:bCs/>
                <w:noProof/>
              </w:rPr>
            </w:pPr>
          </w:p>
        </w:tc>
      </w:tr>
      <w:tr w:rsidR="00A612E2" w:rsidRPr="00D90835" w14:paraId="6E674930" w14:textId="77777777" w:rsidTr="00742B81">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4D6373E" w14:textId="77777777" w:rsidR="00A612E2" w:rsidRPr="00246CC4" w:rsidRDefault="00A612E2" w:rsidP="00742B81">
            <w:pPr>
              <w:rPr>
                <w:noProof/>
                <w:color w:val="006100"/>
                <w:sz w:val="20"/>
                <w:szCs w:val="20"/>
              </w:rPr>
            </w:pPr>
            <w:r>
              <w:rPr>
                <w:noProof/>
                <w:color w:val="006100"/>
                <w:sz w:val="20"/>
              </w:rPr>
              <w:t>M1C2-28</w:t>
            </w:r>
          </w:p>
        </w:tc>
        <w:tc>
          <w:tcPr>
            <w:tcW w:w="3195" w:type="dxa"/>
            <w:tcBorders>
              <w:top w:val="single" w:sz="4" w:space="0" w:color="auto"/>
              <w:left w:val="nil"/>
              <w:bottom w:val="single" w:sz="4" w:space="0" w:color="auto"/>
              <w:right w:val="single" w:sz="4" w:space="0" w:color="auto"/>
            </w:tcBorders>
            <w:shd w:val="clear" w:color="auto" w:fill="C6EFCE"/>
            <w:noWrap/>
            <w:vAlign w:val="center"/>
          </w:tcPr>
          <w:p w14:paraId="2911F34E" w14:textId="77777777" w:rsidR="00A612E2" w:rsidRPr="003B127D" w:rsidRDefault="00A612E2" w:rsidP="00742B81">
            <w:pPr>
              <w:rPr>
                <w:noProof/>
                <w:color w:val="006100"/>
                <w:sz w:val="20"/>
                <w:szCs w:val="20"/>
              </w:rPr>
            </w:pPr>
            <w:r>
              <w:rPr>
                <w:noProof/>
                <w:color w:val="006100"/>
                <w:sz w:val="20"/>
              </w:rPr>
              <w:t>Investeering 5.2. Tarneahelate konkurentsivõime ja vastupidavus.</w:t>
            </w:r>
          </w:p>
        </w:tc>
        <w:tc>
          <w:tcPr>
            <w:tcW w:w="1453" w:type="dxa"/>
            <w:tcBorders>
              <w:top w:val="single" w:sz="4" w:space="0" w:color="auto"/>
              <w:left w:val="nil"/>
              <w:bottom w:val="single" w:sz="4" w:space="0" w:color="auto"/>
              <w:right w:val="single" w:sz="4" w:space="0" w:color="auto"/>
            </w:tcBorders>
            <w:shd w:val="clear" w:color="auto" w:fill="C6EFCE"/>
            <w:noWrap/>
            <w:vAlign w:val="center"/>
          </w:tcPr>
          <w:p w14:paraId="30AFD080" w14:textId="77777777" w:rsidR="00A612E2" w:rsidRPr="00246CC4" w:rsidRDefault="00A612E2" w:rsidP="00742B81">
            <w:pPr>
              <w:rPr>
                <w:noProof/>
                <w:color w:val="006100"/>
                <w:sz w:val="20"/>
                <w:szCs w:val="20"/>
              </w:rPr>
            </w:pPr>
            <w:r>
              <w:rPr>
                <w:noProof/>
                <w:color w:val="006100"/>
                <w:sz w:val="20"/>
              </w:rPr>
              <w:t>Eesmärk</w:t>
            </w:r>
          </w:p>
        </w:tc>
        <w:tc>
          <w:tcPr>
            <w:tcW w:w="4035" w:type="dxa"/>
            <w:tcBorders>
              <w:top w:val="single" w:sz="4" w:space="0" w:color="auto"/>
              <w:left w:val="nil"/>
              <w:bottom w:val="single" w:sz="4" w:space="0" w:color="auto"/>
              <w:right w:val="single" w:sz="4" w:space="0" w:color="auto"/>
            </w:tcBorders>
            <w:shd w:val="clear" w:color="auto" w:fill="C6EFCE"/>
            <w:noWrap/>
            <w:vAlign w:val="center"/>
          </w:tcPr>
          <w:p w14:paraId="63DE9E2E" w14:textId="77777777" w:rsidR="00A612E2" w:rsidRPr="003B127D" w:rsidRDefault="00A612E2" w:rsidP="00742B81">
            <w:pPr>
              <w:jc w:val="center"/>
              <w:rPr>
                <w:noProof/>
                <w:color w:val="006100"/>
                <w:sz w:val="20"/>
                <w:szCs w:val="20"/>
              </w:rPr>
            </w:pPr>
            <w:r>
              <w:rPr>
                <w:noProof/>
                <w:color w:val="006100"/>
                <w:sz w:val="20"/>
              </w:rPr>
              <w:t>Arenduslepingute investeerimispoliitikat sisaldava dekreedi jõustumine</w:t>
            </w:r>
          </w:p>
        </w:tc>
      </w:tr>
      <w:tr w:rsidR="00A612E2" w:rsidRPr="00D90835" w14:paraId="452874F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B6FA7A8" w14:textId="77777777" w:rsidR="00A612E2" w:rsidRPr="00246CC4" w:rsidRDefault="00A612E2" w:rsidP="00742B81">
            <w:pPr>
              <w:rPr>
                <w:noProof/>
                <w:color w:val="006100"/>
                <w:sz w:val="20"/>
                <w:szCs w:val="20"/>
              </w:rPr>
            </w:pPr>
            <w:r>
              <w:rPr>
                <w:noProof/>
                <w:color w:val="006100"/>
                <w:sz w:val="20"/>
              </w:rPr>
              <w:t>M2C4-27</w:t>
            </w:r>
          </w:p>
        </w:tc>
        <w:tc>
          <w:tcPr>
            <w:tcW w:w="3195" w:type="dxa"/>
            <w:tcBorders>
              <w:top w:val="nil"/>
              <w:left w:val="nil"/>
              <w:bottom w:val="single" w:sz="4" w:space="0" w:color="auto"/>
              <w:right w:val="single" w:sz="4" w:space="0" w:color="auto"/>
            </w:tcBorders>
            <w:shd w:val="clear" w:color="auto" w:fill="C6EFCE"/>
            <w:noWrap/>
            <w:vAlign w:val="center"/>
          </w:tcPr>
          <w:p w14:paraId="557F9D30" w14:textId="77777777" w:rsidR="00A612E2" w:rsidRPr="003B127D" w:rsidRDefault="00A612E2" w:rsidP="00742B81">
            <w:pPr>
              <w:rPr>
                <w:noProof/>
                <w:color w:val="006100"/>
                <w:sz w:val="20"/>
                <w:szCs w:val="20"/>
              </w:rPr>
            </w:pPr>
            <w:r>
              <w:rPr>
                <w:noProof/>
                <w:color w:val="006100"/>
                <w:sz w:val="20"/>
              </w:rPr>
              <w:t>Reform 4.1. Õigusaktide lihtsustamine ja juhtimise tugevdamine veevarustuse infrastruktuuri tehtavate investeeringute rakendamiseks</w:t>
            </w:r>
          </w:p>
        </w:tc>
        <w:tc>
          <w:tcPr>
            <w:tcW w:w="1453" w:type="dxa"/>
            <w:tcBorders>
              <w:top w:val="nil"/>
              <w:left w:val="nil"/>
              <w:bottom w:val="single" w:sz="4" w:space="0" w:color="auto"/>
              <w:right w:val="single" w:sz="4" w:space="0" w:color="auto"/>
            </w:tcBorders>
            <w:shd w:val="clear" w:color="auto" w:fill="C6EFCE"/>
            <w:noWrap/>
            <w:vAlign w:val="center"/>
          </w:tcPr>
          <w:p w14:paraId="1BBE2D61" w14:textId="77777777" w:rsidR="00A612E2" w:rsidRPr="00246CC4" w:rsidRDefault="00A612E2" w:rsidP="00742B81">
            <w:pPr>
              <w:rPr>
                <w:noProof/>
                <w:color w:val="006100"/>
                <w:sz w:val="20"/>
                <w:szCs w:val="20"/>
              </w:rPr>
            </w:pPr>
            <w:r>
              <w:rPr>
                <w:noProof/>
                <w:color w:val="006100"/>
                <w:sz w:val="20"/>
              </w:rPr>
              <w:t>Eesmärk</w:t>
            </w:r>
          </w:p>
        </w:tc>
        <w:tc>
          <w:tcPr>
            <w:tcW w:w="4035" w:type="dxa"/>
            <w:tcBorders>
              <w:top w:val="nil"/>
              <w:left w:val="nil"/>
              <w:bottom w:val="single" w:sz="4" w:space="0" w:color="auto"/>
              <w:right w:val="single" w:sz="4" w:space="0" w:color="auto"/>
            </w:tcBorders>
            <w:shd w:val="clear" w:color="auto" w:fill="C6EFCE"/>
            <w:noWrap/>
            <w:vAlign w:val="center"/>
          </w:tcPr>
          <w:p w14:paraId="69DFAE23" w14:textId="77777777" w:rsidR="00A612E2" w:rsidRPr="003B127D" w:rsidRDefault="00A612E2" w:rsidP="00742B81">
            <w:pPr>
              <w:jc w:val="center"/>
              <w:rPr>
                <w:noProof/>
                <w:color w:val="006100"/>
                <w:sz w:val="20"/>
                <w:szCs w:val="20"/>
              </w:rPr>
            </w:pPr>
            <w:r>
              <w:rPr>
                <w:noProof/>
                <w:color w:val="006100"/>
                <w:sz w:val="20"/>
              </w:rPr>
              <w:t xml:space="preserve">Veevarustuse kindluse tagamiseks esmase veetaristuga seotud sekkumisi käsitlevate õigusaktide lihtsustamise jõustumine </w:t>
            </w:r>
          </w:p>
        </w:tc>
      </w:tr>
      <w:tr w:rsidR="00A612E2" w:rsidRPr="00D90835" w14:paraId="04CD0979"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C1D0CEA" w14:textId="77777777" w:rsidR="00A612E2" w:rsidRPr="00246CC4" w:rsidRDefault="00A612E2" w:rsidP="00742B81">
            <w:pPr>
              <w:rPr>
                <w:noProof/>
                <w:color w:val="006100"/>
                <w:sz w:val="20"/>
                <w:szCs w:val="20"/>
              </w:rPr>
            </w:pPr>
            <w:r>
              <w:rPr>
                <w:noProof/>
                <w:color w:val="006100"/>
                <w:sz w:val="20"/>
              </w:rPr>
              <w:t>M5C2-11</w:t>
            </w:r>
          </w:p>
        </w:tc>
        <w:tc>
          <w:tcPr>
            <w:tcW w:w="3195" w:type="dxa"/>
            <w:tcBorders>
              <w:top w:val="nil"/>
              <w:left w:val="nil"/>
              <w:bottom w:val="single" w:sz="4" w:space="0" w:color="auto"/>
              <w:right w:val="single" w:sz="4" w:space="0" w:color="auto"/>
            </w:tcBorders>
            <w:shd w:val="clear" w:color="auto" w:fill="C6EFCE"/>
            <w:noWrap/>
            <w:vAlign w:val="center"/>
          </w:tcPr>
          <w:p w14:paraId="41854247" w14:textId="77777777" w:rsidR="00A612E2" w:rsidRPr="003B127D" w:rsidRDefault="00A612E2" w:rsidP="00742B81">
            <w:pPr>
              <w:rPr>
                <w:noProof/>
                <w:color w:val="006100"/>
                <w:sz w:val="20"/>
                <w:szCs w:val="20"/>
              </w:rPr>
            </w:pPr>
            <w:r>
              <w:rPr>
                <w:noProof/>
                <w:color w:val="006100"/>
                <w:sz w:val="20"/>
              </w:rPr>
              <w:t>Investeering 4. Investeeringud linnade taaselustamise projektidesse, mille eesmärk on vähendada marginaliseerumise ja sotsiaalse olukorra halvenemise olukordi</w:t>
            </w:r>
          </w:p>
        </w:tc>
        <w:tc>
          <w:tcPr>
            <w:tcW w:w="1453" w:type="dxa"/>
            <w:tcBorders>
              <w:top w:val="nil"/>
              <w:left w:val="nil"/>
              <w:bottom w:val="single" w:sz="4" w:space="0" w:color="auto"/>
              <w:right w:val="single" w:sz="4" w:space="0" w:color="auto"/>
            </w:tcBorders>
            <w:shd w:val="clear" w:color="auto" w:fill="C6EFCE"/>
            <w:noWrap/>
            <w:vAlign w:val="center"/>
          </w:tcPr>
          <w:p w14:paraId="304C6C65" w14:textId="77777777" w:rsidR="00A612E2" w:rsidRPr="00246CC4" w:rsidRDefault="00A612E2" w:rsidP="00742B81">
            <w:pPr>
              <w:rPr>
                <w:noProof/>
                <w:color w:val="006100"/>
                <w:sz w:val="20"/>
                <w:szCs w:val="20"/>
              </w:rPr>
            </w:pPr>
            <w:r>
              <w:rPr>
                <w:noProof/>
                <w:color w:val="006100"/>
                <w:sz w:val="20"/>
              </w:rPr>
              <w:t>Eesmärk</w:t>
            </w:r>
          </w:p>
        </w:tc>
        <w:tc>
          <w:tcPr>
            <w:tcW w:w="4035" w:type="dxa"/>
            <w:tcBorders>
              <w:top w:val="nil"/>
              <w:left w:val="nil"/>
              <w:bottom w:val="single" w:sz="4" w:space="0" w:color="auto"/>
              <w:right w:val="single" w:sz="4" w:space="0" w:color="auto"/>
            </w:tcBorders>
            <w:shd w:val="clear" w:color="auto" w:fill="C6EFCE"/>
            <w:noWrap/>
            <w:vAlign w:val="center"/>
          </w:tcPr>
          <w:p w14:paraId="7EE726EB" w14:textId="77777777" w:rsidR="00A612E2" w:rsidRPr="003B127D" w:rsidRDefault="00A612E2" w:rsidP="00742B81">
            <w:pPr>
              <w:jc w:val="center"/>
              <w:rPr>
                <w:noProof/>
                <w:color w:val="006100"/>
                <w:sz w:val="20"/>
                <w:szCs w:val="20"/>
              </w:rPr>
            </w:pPr>
            <w:r>
              <w:rPr>
                <w:noProof/>
                <w:color w:val="006100"/>
                <w:sz w:val="20"/>
              </w:rPr>
              <w:t>Kõigi hankelepingute sõlmimine investeeringuteks linnade taaselustamisse, et vähendada marginaliseerumist ja sotsiaalset halvenemist, kusjuures projektid on kooskõlas taaste- ja vastupidavusrahastu eesmärkidega, sealhulgas põhimõttega „ei kahjusta oluliselt“.</w:t>
            </w:r>
          </w:p>
        </w:tc>
      </w:tr>
      <w:tr w:rsidR="00A612E2" w:rsidRPr="00D90835" w14:paraId="37928099"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8F1236D" w14:textId="77777777" w:rsidR="00A612E2" w:rsidRPr="00246CC4" w:rsidRDefault="00A612E2" w:rsidP="00742B81">
            <w:pPr>
              <w:rPr>
                <w:noProof/>
                <w:color w:val="006100"/>
                <w:sz w:val="20"/>
                <w:szCs w:val="20"/>
              </w:rPr>
            </w:pPr>
            <w:r>
              <w:rPr>
                <w:noProof/>
                <w:color w:val="006100"/>
                <w:sz w:val="20"/>
              </w:rPr>
              <w:t>M5C2-15</w:t>
            </w:r>
          </w:p>
        </w:tc>
        <w:tc>
          <w:tcPr>
            <w:tcW w:w="3195" w:type="dxa"/>
            <w:tcBorders>
              <w:top w:val="nil"/>
              <w:left w:val="nil"/>
              <w:bottom w:val="single" w:sz="4" w:space="0" w:color="auto"/>
              <w:right w:val="single" w:sz="4" w:space="0" w:color="auto"/>
            </w:tcBorders>
            <w:shd w:val="clear" w:color="auto" w:fill="C6EFCE"/>
            <w:noWrap/>
            <w:vAlign w:val="center"/>
          </w:tcPr>
          <w:p w14:paraId="65E8D67A" w14:textId="77777777" w:rsidR="00A612E2" w:rsidRPr="003B127D" w:rsidRDefault="00A612E2" w:rsidP="00742B81">
            <w:pPr>
              <w:rPr>
                <w:noProof/>
                <w:color w:val="006100"/>
                <w:sz w:val="20"/>
                <w:szCs w:val="20"/>
              </w:rPr>
            </w:pPr>
            <w:r>
              <w:rPr>
                <w:noProof/>
                <w:color w:val="006100"/>
                <w:sz w:val="20"/>
              </w:rPr>
              <w:t>Investeering 5. Linnade integratsioonikavad (ebaseaduslike asulate ületamine, et võidelda tööjõu ekspluateerimise vastu põllumajanduses)</w:t>
            </w:r>
          </w:p>
        </w:tc>
        <w:tc>
          <w:tcPr>
            <w:tcW w:w="1453" w:type="dxa"/>
            <w:tcBorders>
              <w:top w:val="nil"/>
              <w:left w:val="nil"/>
              <w:bottom w:val="single" w:sz="4" w:space="0" w:color="auto"/>
              <w:right w:val="single" w:sz="4" w:space="0" w:color="auto"/>
            </w:tcBorders>
            <w:shd w:val="clear" w:color="auto" w:fill="C6EFCE"/>
            <w:noWrap/>
            <w:vAlign w:val="center"/>
          </w:tcPr>
          <w:p w14:paraId="3078E3E8" w14:textId="77777777" w:rsidR="00A612E2" w:rsidRPr="00246CC4" w:rsidRDefault="00A612E2" w:rsidP="00742B81">
            <w:pPr>
              <w:rPr>
                <w:noProof/>
                <w:color w:val="006100"/>
                <w:sz w:val="20"/>
                <w:szCs w:val="20"/>
              </w:rPr>
            </w:pPr>
            <w:r>
              <w:rPr>
                <w:noProof/>
                <w:color w:val="006100"/>
                <w:sz w:val="20"/>
              </w:rPr>
              <w:t>Eesmärk</w:t>
            </w:r>
          </w:p>
        </w:tc>
        <w:tc>
          <w:tcPr>
            <w:tcW w:w="4035" w:type="dxa"/>
            <w:tcBorders>
              <w:top w:val="nil"/>
              <w:left w:val="nil"/>
              <w:bottom w:val="single" w:sz="4" w:space="0" w:color="auto"/>
              <w:right w:val="single" w:sz="4" w:space="0" w:color="auto"/>
            </w:tcBorders>
            <w:shd w:val="clear" w:color="auto" w:fill="C6EFCE"/>
            <w:noWrap/>
            <w:vAlign w:val="center"/>
          </w:tcPr>
          <w:p w14:paraId="28CC101A" w14:textId="77777777" w:rsidR="00A612E2" w:rsidRPr="003B127D" w:rsidRDefault="00A612E2" w:rsidP="00742B81">
            <w:pPr>
              <w:jc w:val="center"/>
              <w:rPr>
                <w:noProof/>
                <w:color w:val="006100"/>
                <w:sz w:val="20"/>
                <w:szCs w:val="20"/>
              </w:rPr>
            </w:pPr>
            <w:r>
              <w:rPr>
                <w:noProof/>
                <w:color w:val="006100"/>
                <w:sz w:val="20"/>
              </w:rPr>
              <w:t>„Tavolo di contrasto allo sfruttamento lavorativo in agricoltura“ võtab vastu ministri dekreedi, milles sätestatakse ebaseaduslike asulate kaardistamine, ning vastu võetakse ministri määrus vahendite eraldamise kohta.</w:t>
            </w:r>
          </w:p>
        </w:tc>
      </w:tr>
      <w:tr w:rsidR="00A612E2" w:rsidRPr="00D90835" w14:paraId="6F96FDEC"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A5C4E8B" w14:textId="77777777" w:rsidR="00A612E2" w:rsidRPr="00246CC4" w:rsidRDefault="00A612E2" w:rsidP="00742B81">
            <w:pPr>
              <w:rPr>
                <w:noProof/>
                <w:color w:val="006100"/>
                <w:sz w:val="20"/>
                <w:szCs w:val="20"/>
              </w:rPr>
            </w:pPr>
            <w:r>
              <w:rPr>
                <w:noProof/>
                <w:color w:val="006100"/>
                <w:sz w:val="20"/>
              </w:rPr>
              <w:t>M5C2-19</w:t>
            </w:r>
          </w:p>
        </w:tc>
        <w:tc>
          <w:tcPr>
            <w:tcW w:w="3195" w:type="dxa"/>
            <w:tcBorders>
              <w:top w:val="nil"/>
              <w:left w:val="nil"/>
              <w:bottom w:val="single" w:sz="4" w:space="0" w:color="auto"/>
              <w:right w:val="single" w:sz="4" w:space="0" w:color="auto"/>
            </w:tcBorders>
            <w:shd w:val="clear" w:color="auto" w:fill="C6EFCE"/>
            <w:noWrap/>
            <w:vAlign w:val="center"/>
          </w:tcPr>
          <w:p w14:paraId="123DDFA0" w14:textId="77777777" w:rsidR="00A612E2" w:rsidRPr="003B127D" w:rsidRDefault="00A612E2" w:rsidP="00742B81">
            <w:pPr>
              <w:rPr>
                <w:noProof/>
                <w:color w:val="006100"/>
                <w:sz w:val="20"/>
                <w:szCs w:val="20"/>
              </w:rPr>
            </w:pPr>
            <w:r>
              <w:rPr>
                <w:noProof/>
                <w:color w:val="006100"/>
                <w:sz w:val="20"/>
              </w:rPr>
              <w:t>Investeering 6. Uuenduslik eluasemekvaliteedi programm</w:t>
            </w:r>
          </w:p>
        </w:tc>
        <w:tc>
          <w:tcPr>
            <w:tcW w:w="1453" w:type="dxa"/>
            <w:tcBorders>
              <w:top w:val="nil"/>
              <w:left w:val="nil"/>
              <w:bottom w:val="single" w:sz="4" w:space="0" w:color="auto"/>
              <w:right w:val="single" w:sz="4" w:space="0" w:color="auto"/>
            </w:tcBorders>
            <w:shd w:val="clear" w:color="auto" w:fill="C6EFCE"/>
            <w:noWrap/>
            <w:vAlign w:val="center"/>
          </w:tcPr>
          <w:p w14:paraId="6AB8A848" w14:textId="77777777" w:rsidR="00A612E2" w:rsidRPr="00246CC4" w:rsidRDefault="00A612E2" w:rsidP="00742B81">
            <w:pPr>
              <w:rPr>
                <w:noProof/>
                <w:color w:val="006100"/>
                <w:sz w:val="20"/>
                <w:szCs w:val="20"/>
              </w:rPr>
            </w:pPr>
            <w:r>
              <w:rPr>
                <w:noProof/>
                <w:color w:val="006100"/>
                <w:sz w:val="20"/>
              </w:rPr>
              <w:t>Eesmärk</w:t>
            </w:r>
          </w:p>
        </w:tc>
        <w:tc>
          <w:tcPr>
            <w:tcW w:w="4035" w:type="dxa"/>
            <w:tcBorders>
              <w:top w:val="nil"/>
              <w:left w:val="nil"/>
              <w:bottom w:val="single" w:sz="4" w:space="0" w:color="auto"/>
              <w:right w:val="single" w:sz="4" w:space="0" w:color="auto"/>
            </w:tcBorders>
            <w:shd w:val="clear" w:color="auto" w:fill="C6EFCE"/>
            <w:noWrap/>
            <w:vAlign w:val="center"/>
          </w:tcPr>
          <w:p w14:paraId="491CC3F9" w14:textId="77777777" w:rsidR="00A612E2" w:rsidRPr="003B127D" w:rsidRDefault="00A612E2" w:rsidP="00742B81">
            <w:pPr>
              <w:jc w:val="center"/>
              <w:rPr>
                <w:noProof/>
                <w:color w:val="006100"/>
                <w:sz w:val="20"/>
                <w:szCs w:val="20"/>
              </w:rPr>
            </w:pPr>
            <w:r>
              <w:rPr>
                <w:noProof/>
                <w:color w:val="006100"/>
                <w:sz w:val="20"/>
              </w:rPr>
              <w:t>Piirkonnad ja autonoomsed provintsid (sealhulgas nende territooriumide kohalikud omavalitsused ja/või suurlinnad) allkirjastasid kokkulepped sotsiaalelamute ümberkorraldamiseks ja suurendamiseks.</w:t>
            </w:r>
          </w:p>
        </w:tc>
      </w:tr>
      <w:tr w:rsidR="00A612E2" w:rsidRPr="00D90835" w14:paraId="08169148"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E98381B" w14:textId="77777777" w:rsidR="00A612E2" w:rsidRPr="00246CC4" w:rsidRDefault="00A612E2" w:rsidP="00742B81">
            <w:pPr>
              <w:rPr>
                <w:noProof/>
                <w:color w:val="006100"/>
                <w:sz w:val="20"/>
                <w:szCs w:val="20"/>
              </w:rPr>
            </w:pPr>
            <w:r>
              <w:rPr>
                <w:noProof/>
                <w:color w:val="006100"/>
                <w:sz w:val="20"/>
              </w:rPr>
              <w:t>M1C2-16</w:t>
            </w:r>
          </w:p>
        </w:tc>
        <w:tc>
          <w:tcPr>
            <w:tcW w:w="3195" w:type="dxa"/>
            <w:tcBorders>
              <w:top w:val="nil"/>
              <w:left w:val="nil"/>
              <w:bottom w:val="single" w:sz="4" w:space="0" w:color="auto"/>
              <w:right w:val="single" w:sz="4" w:space="0" w:color="auto"/>
            </w:tcBorders>
            <w:shd w:val="clear" w:color="auto" w:fill="C6EFCE"/>
            <w:noWrap/>
            <w:vAlign w:val="center"/>
          </w:tcPr>
          <w:p w14:paraId="00AD108C" w14:textId="77777777" w:rsidR="00A612E2" w:rsidRPr="003B127D" w:rsidRDefault="00A612E2" w:rsidP="00742B81">
            <w:pPr>
              <w:rPr>
                <w:noProof/>
                <w:color w:val="006100"/>
                <w:sz w:val="20"/>
                <w:szCs w:val="20"/>
              </w:rPr>
            </w:pPr>
            <w:r>
              <w:rPr>
                <w:noProof/>
                <w:color w:val="006100"/>
                <w:sz w:val="20"/>
              </w:rPr>
              <w:t>Investeering 3. Kiire internetiühendus (Ultra lairibaühendus ja 5G)</w:t>
            </w:r>
          </w:p>
        </w:tc>
        <w:tc>
          <w:tcPr>
            <w:tcW w:w="1453" w:type="dxa"/>
            <w:tcBorders>
              <w:top w:val="nil"/>
              <w:left w:val="nil"/>
              <w:bottom w:val="single" w:sz="4" w:space="0" w:color="auto"/>
              <w:right w:val="single" w:sz="4" w:space="0" w:color="auto"/>
            </w:tcBorders>
            <w:shd w:val="clear" w:color="auto" w:fill="C6EFCE"/>
            <w:noWrap/>
            <w:vAlign w:val="center"/>
          </w:tcPr>
          <w:p w14:paraId="0A6068D6" w14:textId="77777777" w:rsidR="00A612E2" w:rsidRPr="00246CC4" w:rsidRDefault="00A612E2" w:rsidP="00742B81">
            <w:pPr>
              <w:rPr>
                <w:noProof/>
                <w:color w:val="006100"/>
                <w:sz w:val="20"/>
                <w:szCs w:val="20"/>
              </w:rPr>
            </w:pPr>
            <w:r>
              <w:rPr>
                <w:noProof/>
                <w:color w:val="006100"/>
                <w:sz w:val="20"/>
              </w:rPr>
              <w:t>Eesmärk</w:t>
            </w:r>
          </w:p>
        </w:tc>
        <w:tc>
          <w:tcPr>
            <w:tcW w:w="4035" w:type="dxa"/>
            <w:tcBorders>
              <w:top w:val="nil"/>
              <w:left w:val="nil"/>
              <w:bottom w:val="single" w:sz="4" w:space="0" w:color="auto"/>
              <w:right w:val="single" w:sz="4" w:space="0" w:color="auto"/>
            </w:tcBorders>
            <w:shd w:val="clear" w:color="auto" w:fill="C6EFCE"/>
            <w:noWrap/>
            <w:vAlign w:val="center"/>
          </w:tcPr>
          <w:p w14:paraId="2FA28008" w14:textId="77777777" w:rsidR="00A612E2" w:rsidRPr="003B127D" w:rsidRDefault="00A612E2" w:rsidP="00742B81">
            <w:pPr>
              <w:jc w:val="center"/>
              <w:rPr>
                <w:noProof/>
                <w:color w:val="006100"/>
                <w:sz w:val="20"/>
                <w:szCs w:val="20"/>
              </w:rPr>
            </w:pPr>
            <w:r>
              <w:rPr>
                <w:noProof/>
                <w:color w:val="006100"/>
                <w:sz w:val="20"/>
              </w:rPr>
              <w:t>Kiiremaid ühendusprojekte käsitlevate riigihankelepingute sõlmimine</w:t>
            </w:r>
          </w:p>
        </w:tc>
      </w:tr>
      <w:tr w:rsidR="00A612E2" w:rsidRPr="00D90835" w14:paraId="777220B8"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4D0353B" w14:textId="77777777" w:rsidR="00A612E2" w:rsidRPr="00246CC4" w:rsidRDefault="00A612E2" w:rsidP="00742B81">
            <w:pPr>
              <w:rPr>
                <w:noProof/>
                <w:color w:val="006100"/>
                <w:sz w:val="20"/>
                <w:szCs w:val="20"/>
              </w:rPr>
            </w:pPr>
            <w:r>
              <w:rPr>
                <w:noProof/>
                <w:color w:val="006100"/>
                <w:sz w:val="20"/>
              </w:rPr>
              <w:t>M1C3-12</w:t>
            </w:r>
          </w:p>
        </w:tc>
        <w:tc>
          <w:tcPr>
            <w:tcW w:w="3195" w:type="dxa"/>
            <w:tcBorders>
              <w:top w:val="nil"/>
              <w:left w:val="nil"/>
              <w:bottom w:val="single" w:sz="4" w:space="0" w:color="auto"/>
              <w:right w:val="single" w:sz="4" w:space="0" w:color="auto"/>
            </w:tcBorders>
            <w:shd w:val="clear" w:color="auto" w:fill="C6EFCE"/>
            <w:noWrap/>
            <w:vAlign w:val="center"/>
          </w:tcPr>
          <w:p w14:paraId="2297183A" w14:textId="77777777" w:rsidR="00A612E2" w:rsidRPr="003B127D" w:rsidRDefault="00A612E2" w:rsidP="00742B81">
            <w:pPr>
              <w:rPr>
                <w:noProof/>
                <w:color w:val="006100"/>
                <w:sz w:val="20"/>
                <w:szCs w:val="20"/>
              </w:rPr>
            </w:pPr>
            <w:r>
              <w:rPr>
                <w:noProof/>
                <w:color w:val="006100"/>
                <w:sz w:val="20"/>
              </w:rPr>
              <w:t>Investeering 2.1. Väikese ajaloolise linna atraktiivsus</w:t>
            </w:r>
          </w:p>
        </w:tc>
        <w:tc>
          <w:tcPr>
            <w:tcW w:w="1453" w:type="dxa"/>
            <w:tcBorders>
              <w:top w:val="nil"/>
              <w:left w:val="nil"/>
              <w:bottom w:val="single" w:sz="4" w:space="0" w:color="auto"/>
              <w:right w:val="single" w:sz="4" w:space="0" w:color="auto"/>
            </w:tcBorders>
            <w:shd w:val="clear" w:color="auto" w:fill="C6EFCE"/>
            <w:noWrap/>
            <w:vAlign w:val="center"/>
          </w:tcPr>
          <w:p w14:paraId="19892790" w14:textId="77777777" w:rsidR="00A612E2" w:rsidRPr="00246CC4" w:rsidRDefault="00A612E2" w:rsidP="00742B81">
            <w:pPr>
              <w:rPr>
                <w:noProof/>
                <w:color w:val="006100"/>
                <w:sz w:val="20"/>
                <w:szCs w:val="20"/>
              </w:rPr>
            </w:pPr>
            <w:r>
              <w:rPr>
                <w:noProof/>
                <w:color w:val="006100"/>
                <w:sz w:val="20"/>
              </w:rPr>
              <w:t>Eesmärk</w:t>
            </w:r>
          </w:p>
        </w:tc>
        <w:tc>
          <w:tcPr>
            <w:tcW w:w="4035" w:type="dxa"/>
            <w:tcBorders>
              <w:top w:val="nil"/>
              <w:left w:val="nil"/>
              <w:bottom w:val="single" w:sz="4" w:space="0" w:color="auto"/>
              <w:right w:val="single" w:sz="4" w:space="0" w:color="auto"/>
            </w:tcBorders>
            <w:shd w:val="clear" w:color="auto" w:fill="C6EFCE"/>
            <w:noWrap/>
            <w:vAlign w:val="center"/>
          </w:tcPr>
          <w:p w14:paraId="3DBF8585" w14:textId="77777777" w:rsidR="00A612E2" w:rsidRPr="003B127D" w:rsidRDefault="00A612E2" w:rsidP="00742B81">
            <w:pPr>
              <w:jc w:val="center"/>
              <w:rPr>
                <w:noProof/>
                <w:color w:val="006100"/>
                <w:sz w:val="20"/>
                <w:szCs w:val="20"/>
              </w:rPr>
            </w:pPr>
            <w:r>
              <w:rPr>
                <w:noProof/>
                <w:color w:val="006100"/>
                <w:sz w:val="20"/>
              </w:rPr>
              <w:t xml:space="preserve">Kultuuriministeeriumi dekreedi jõustumine vahendite eraldamiseks kohalikele omavalitsustele, et suurendada väikeste ajalooliste linnade atraktiivsust  </w:t>
            </w:r>
          </w:p>
        </w:tc>
      </w:tr>
      <w:tr w:rsidR="00A612E2" w:rsidRPr="00D90835" w14:paraId="7F91BEAD"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05E3823" w14:textId="77777777" w:rsidR="00A612E2" w:rsidRPr="00246CC4" w:rsidRDefault="00A612E2" w:rsidP="00742B81">
            <w:pPr>
              <w:rPr>
                <w:noProof/>
                <w:color w:val="006100"/>
                <w:sz w:val="20"/>
                <w:szCs w:val="20"/>
              </w:rPr>
            </w:pPr>
            <w:r>
              <w:rPr>
                <w:noProof/>
                <w:color w:val="006100"/>
                <w:sz w:val="20"/>
              </w:rPr>
              <w:t>M1C3-13</w:t>
            </w:r>
          </w:p>
        </w:tc>
        <w:tc>
          <w:tcPr>
            <w:tcW w:w="3195" w:type="dxa"/>
            <w:tcBorders>
              <w:top w:val="nil"/>
              <w:left w:val="nil"/>
              <w:bottom w:val="single" w:sz="4" w:space="0" w:color="auto"/>
              <w:right w:val="single" w:sz="4" w:space="0" w:color="auto"/>
            </w:tcBorders>
            <w:shd w:val="clear" w:color="auto" w:fill="C6EFCE"/>
            <w:noWrap/>
            <w:vAlign w:val="center"/>
          </w:tcPr>
          <w:p w14:paraId="699C9C4F" w14:textId="77777777" w:rsidR="00A612E2" w:rsidRPr="003B127D" w:rsidRDefault="00A612E2" w:rsidP="00742B81">
            <w:pPr>
              <w:rPr>
                <w:noProof/>
                <w:color w:val="006100"/>
                <w:sz w:val="20"/>
                <w:szCs w:val="20"/>
              </w:rPr>
            </w:pPr>
            <w:r>
              <w:rPr>
                <w:noProof/>
                <w:color w:val="006100"/>
                <w:sz w:val="20"/>
              </w:rPr>
              <w:t>Investeering 2.2. Maaeluarhitektuuri ja maastike kaitse ja edendamine</w:t>
            </w:r>
          </w:p>
        </w:tc>
        <w:tc>
          <w:tcPr>
            <w:tcW w:w="1453" w:type="dxa"/>
            <w:tcBorders>
              <w:top w:val="nil"/>
              <w:left w:val="nil"/>
              <w:bottom w:val="single" w:sz="4" w:space="0" w:color="auto"/>
              <w:right w:val="single" w:sz="4" w:space="0" w:color="auto"/>
            </w:tcBorders>
            <w:shd w:val="clear" w:color="auto" w:fill="C6EFCE"/>
            <w:noWrap/>
            <w:vAlign w:val="center"/>
          </w:tcPr>
          <w:p w14:paraId="38257DCF" w14:textId="77777777" w:rsidR="00A612E2" w:rsidRPr="00246CC4" w:rsidRDefault="00A612E2" w:rsidP="00742B81">
            <w:pPr>
              <w:rPr>
                <w:noProof/>
                <w:color w:val="006100"/>
                <w:sz w:val="20"/>
                <w:szCs w:val="20"/>
              </w:rPr>
            </w:pPr>
            <w:r>
              <w:rPr>
                <w:noProof/>
                <w:color w:val="006100"/>
                <w:sz w:val="20"/>
              </w:rPr>
              <w:t>Eesmärk</w:t>
            </w:r>
          </w:p>
        </w:tc>
        <w:tc>
          <w:tcPr>
            <w:tcW w:w="4035" w:type="dxa"/>
            <w:tcBorders>
              <w:top w:val="nil"/>
              <w:left w:val="nil"/>
              <w:bottom w:val="single" w:sz="4" w:space="0" w:color="auto"/>
              <w:right w:val="single" w:sz="4" w:space="0" w:color="auto"/>
            </w:tcBorders>
            <w:shd w:val="clear" w:color="auto" w:fill="C6EFCE"/>
            <w:noWrap/>
            <w:vAlign w:val="center"/>
          </w:tcPr>
          <w:p w14:paraId="11583263" w14:textId="77777777" w:rsidR="00A612E2" w:rsidRPr="003B127D" w:rsidRDefault="00A612E2" w:rsidP="00742B81">
            <w:pPr>
              <w:jc w:val="center"/>
              <w:rPr>
                <w:noProof/>
                <w:color w:val="006100"/>
                <w:sz w:val="20"/>
                <w:szCs w:val="20"/>
              </w:rPr>
            </w:pPr>
            <w:r>
              <w:rPr>
                <w:noProof/>
                <w:color w:val="006100"/>
                <w:sz w:val="20"/>
              </w:rPr>
              <w:t xml:space="preserve">Kultuuriministeeriumi vahendite eraldamise määruse jõustumine: maaelu arhitektuuri ja maastiku kaitseks ja parandamiseks </w:t>
            </w:r>
          </w:p>
        </w:tc>
      </w:tr>
      <w:tr w:rsidR="00A612E2" w:rsidRPr="00D90835" w14:paraId="0ABF449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54CF454" w14:textId="77777777" w:rsidR="00A612E2" w:rsidRPr="00246CC4" w:rsidRDefault="00A612E2" w:rsidP="00742B81">
            <w:pPr>
              <w:rPr>
                <w:noProof/>
                <w:color w:val="006100"/>
                <w:sz w:val="20"/>
                <w:szCs w:val="20"/>
              </w:rPr>
            </w:pPr>
            <w:r>
              <w:rPr>
                <w:noProof/>
                <w:color w:val="006100"/>
                <w:sz w:val="20"/>
              </w:rPr>
              <w:t>M1C3-14</w:t>
            </w:r>
          </w:p>
        </w:tc>
        <w:tc>
          <w:tcPr>
            <w:tcW w:w="3195" w:type="dxa"/>
            <w:tcBorders>
              <w:top w:val="nil"/>
              <w:left w:val="nil"/>
              <w:bottom w:val="single" w:sz="4" w:space="0" w:color="auto"/>
              <w:right w:val="single" w:sz="4" w:space="0" w:color="auto"/>
            </w:tcBorders>
            <w:shd w:val="clear" w:color="auto" w:fill="C6EFCE"/>
            <w:noWrap/>
            <w:vAlign w:val="center"/>
          </w:tcPr>
          <w:p w14:paraId="4445E932" w14:textId="77777777" w:rsidR="00A612E2" w:rsidRPr="003B127D" w:rsidRDefault="00A612E2" w:rsidP="00742B81">
            <w:pPr>
              <w:rPr>
                <w:noProof/>
                <w:color w:val="006100"/>
                <w:sz w:val="20"/>
                <w:szCs w:val="20"/>
              </w:rPr>
            </w:pPr>
            <w:r>
              <w:rPr>
                <w:noProof/>
                <w:color w:val="006100"/>
                <w:sz w:val="20"/>
              </w:rPr>
              <w:t>Investeering 2.3. Paikude, parkide ja ajalooliste aedade identiteedi edendamise programmid</w:t>
            </w:r>
          </w:p>
        </w:tc>
        <w:tc>
          <w:tcPr>
            <w:tcW w:w="1453" w:type="dxa"/>
            <w:tcBorders>
              <w:top w:val="nil"/>
              <w:left w:val="nil"/>
              <w:bottom w:val="single" w:sz="4" w:space="0" w:color="auto"/>
              <w:right w:val="single" w:sz="4" w:space="0" w:color="auto"/>
            </w:tcBorders>
            <w:shd w:val="clear" w:color="auto" w:fill="C6EFCE"/>
            <w:noWrap/>
            <w:vAlign w:val="center"/>
          </w:tcPr>
          <w:p w14:paraId="49100339" w14:textId="77777777" w:rsidR="00A612E2" w:rsidRPr="00246CC4" w:rsidRDefault="00A612E2" w:rsidP="00742B81">
            <w:pPr>
              <w:rPr>
                <w:noProof/>
                <w:color w:val="006100"/>
                <w:sz w:val="20"/>
                <w:szCs w:val="20"/>
              </w:rPr>
            </w:pPr>
            <w:r>
              <w:rPr>
                <w:noProof/>
                <w:color w:val="006100"/>
                <w:sz w:val="20"/>
              </w:rPr>
              <w:t>Eesmärk</w:t>
            </w:r>
          </w:p>
        </w:tc>
        <w:tc>
          <w:tcPr>
            <w:tcW w:w="4035" w:type="dxa"/>
            <w:tcBorders>
              <w:top w:val="nil"/>
              <w:left w:val="nil"/>
              <w:bottom w:val="single" w:sz="4" w:space="0" w:color="auto"/>
              <w:right w:val="single" w:sz="4" w:space="0" w:color="auto"/>
            </w:tcBorders>
            <w:shd w:val="clear" w:color="auto" w:fill="C6EFCE"/>
            <w:noWrap/>
            <w:vAlign w:val="center"/>
          </w:tcPr>
          <w:p w14:paraId="0658764E" w14:textId="77777777" w:rsidR="00A612E2" w:rsidRPr="003B127D" w:rsidRDefault="00A612E2" w:rsidP="00742B81">
            <w:pPr>
              <w:jc w:val="center"/>
              <w:rPr>
                <w:noProof/>
                <w:color w:val="006100"/>
                <w:sz w:val="20"/>
                <w:szCs w:val="20"/>
              </w:rPr>
            </w:pPr>
            <w:r>
              <w:rPr>
                <w:noProof/>
                <w:color w:val="006100"/>
                <w:sz w:val="20"/>
              </w:rPr>
              <w:t xml:space="preserve">Kultuuriministeeriumi vahendite eraldamise määruse jõustumine: projektide puhul, mille eesmärk on parandada kohtade, parkide ja ajalooliste aedade identiteeti </w:t>
            </w:r>
          </w:p>
        </w:tc>
      </w:tr>
      <w:tr w:rsidR="00A612E2" w:rsidRPr="00D90835" w14:paraId="46E84E1B"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6B6F572" w14:textId="77777777" w:rsidR="00A612E2" w:rsidRPr="00246CC4" w:rsidRDefault="00A612E2" w:rsidP="00742B81">
            <w:pPr>
              <w:rPr>
                <w:noProof/>
                <w:color w:val="006100"/>
                <w:sz w:val="20"/>
                <w:szCs w:val="20"/>
              </w:rPr>
            </w:pPr>
            <w:r>
              <w:rPr>
                <w:noProof/>
                <w:color w:val="006100"/>
                <w:sz w:val="20"/>
              </w:rPr>
              <w:t>M1C3-15</w:t>
            </w:r>
          </w:p>
        </w:tc>
        <w:tc>
          <w:tcPr>
            <w:tcW w:w="3195" w:type="dxa"/>
            <w:tcBorders>
              <w:top w:val="nil"/>
              <w:left w:val="nil"/>
              <w:bottom w:val="single" w:sz="4" w:space="0" w:color="auto"/>
              <w:right w:val="single" w:sz="4" w:space="0" w:color="auto"/>
            </w:tcBorders>
            <w:shd w:val="clear" w:color="auto" w:fill="C6EFCE"/>
            <w:noWrap/>
            <w:vAlign w:val="center"/>
          </w:tcPr>
          <w:p w14:paraId="13F31725" w14:textId="77777777" w:rsidR="00A612E2" w:rsidRPr="003B127D" w:rsidRDefault="00A612E2" w:rsidP="00742B81">
            <w:pPr>
              <w:rPr>
                <w:noProof/>
                <w:color w:val="006100"/>
                <w:sz w:val="20"/>
                <w:szCs w:val="20"/>
              </w:rPr>
            </w:pPr>
            <w:r>
              <w:rPr>
                <w:noProof/>
                <w:color w:val="006100"/>
                <w:sz w:val="20"/>
              </w:rPr>
              <w:t>Investeering 2.4. Pühapaikade seismiline ohutus, FECi pärandi taastamine ja varjualused kunstiteostele</w:t>
            </w:r>
          </w:p>
        </w:tc>
        <w:tc>
          <w:tcPr>
            <w:tcW w:w="1453" w:type="dxa"/>
            <w:tcBorders>
              <w:top w:val="nil"/>
              <w:left w:val="nil"/>
              <w:bottom w:val="single" w:sz="4" w:space="0" w:color="auto"/>
              <w:right w:val="single" w:sz="4" w:space="0" w:color="auto"/>
            </w:tcBorders>
            <w:shd w:val="clear" w:color="auto" w:fill="C6EFCE"/>
            <w:noWrap/>
            <w:vAlign w:val="center"/>
          </w:tcPr>
          <w:p w14:paraId="6FCB9C2A" w14:textId="77777777" w:rsidR="00A612E2" w:rsidRPr="00246CC4" w:rsidRDefault="00A612E2" w:rsidP="00742B81">
            <w:pPr>
              <w:rPr>
                <w:noProof/>
                <w:color w:val="006100"/>
                <w:sz w:val="20"/>
                <w:szCs w:val="20"/>
              </w:rPr>
            </w:pPr>
            <w:r>
              <w:rPr>
                <w:noProof/>
                <w:color w:val="006100"/>
                <w:sz w:val="20"/>
              </w:rPr>
              <w:t>Eesmärk</w:t>
            </w:r>
          </w:p>
        </w:tc>
        <w:tc>
          <w:tcPr>
            <w:tcW w:w="4035" w:type="dxa"/>
            <w:tcBorders>
              <w:top w:val="nil"/>
              <w:left w:val="nil"/>
              <w:bottom w:val="single" w:sz="4" w:space="0" w:color="auto"/>
              <w:right w:val="single" w:sz="4" w:space="0" w:color="auto"/>
            </w:tcBorders>
            <w:shd w:val="clear" w:color="auto" w:fill="C6EFCE"/>
            <w:noWrap/>
            <w:vAlign w:val="center"/>
          </w:tcPr>
          <w:p w14:paraId="7132DA29" w14:textId="77777777" w:rsidR="00A612E2" w:rsidRPr="003B127D" w:rsidRDefault="00A612E2" w:rsidP="00742B81">
            <w:pPr>
              <w:jc w:val="center"/>
              <w:rPr>
                <w:noProof/>
                <w:color w:val="006100"/>
                <w:sz w:val="20"/>
                <w:szCs w:val="20"/>
              </w:rPr>
            </w:pPr>
            <w:r>
              <w:rPr>
                <w:noProof/>
                <w:color w:val="006100"/>
                <w:sz w:val="20"/>
              </w:rPr>
              <w:t xml:space="preserve">Kultuuriministeeriumi vahendite eraldamise määruse jõustumine: seismiline ohutus pühade ja FECi (Fondo Edifici di Culto) pärandi taastamise asemel </w:t>
            </w:r>
          </w:p>
        </w:tc>
      </w:tr>
      <w:tr w:rsidR="00A612E2" w:rsidRPr="00D90835" w14:paraId="451A6DBF"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9093B59" w14:textId="77777777" w:rsidR="00A612E2" w:rsidRPr="00246CC4" w:rsidRDefault="00A612E2" w:rsidP="00742B81">
            <w:pPr>
              <w:rPr>
                <w:noProof/>
                <w:color w:val="006100"/>
                <w:sz w:val="20"/>
                <w:szCs w:val="20"/>
              </w:rPr>
            </w:pPr>
            <w:r>
              <w:rPr>
                <w:noProof/>
                <w:color w:val="006100"/>
                <w:sz w:val="20"/>
              </w:rPr>
              <w:t>M1C3-35</w:t>
            </w:r>
          </w:p>
        </w:tc>
        <w:tc>
          <w:tcPr>
            <w:tcW w:w="3195" w:type="dxa"/>
            <w:tcBorders>
              <w:top w:val="nil"/>
              <w:left w:val="nil"/>
              <w:bottom w:val="single" w:sz="4" w:space="0" w:color="auto"/>
              <w:right w:val="single" w:sz="4" w:space="0" w:color="auto"/>
            </w:tcBorders>
            <w:shd w:val="clear" w:color="auto" w:fill="C6EFCE"/>
            <w:noWrap/>
            <w:vAlign w:val="center"/>
          </w:tcPr>
          <w:p w14:paraId="5236A17E" w14:textId="77777777" w:rsidR="00A612E2" w:rsidRPr="003B127D" w:rsidRDefault="00A612E2" w:rsidP="00742B81">
            <w:pPr>
              <w:rPr>
                <w:noProof/>
                <w:color w:val="006100"/>
                <w:sz w:val="20"/>
                <w:szCs w:val="20"/>
              </w:rPr>
            </w:pPr>
            <w:r>
              <w:rPr>
                <w:noProof/>
                <w:color w:val="006100"/>
                <w:sz w:val="20"/>
              </w:rPr>
              <w:t>Investeering 4.3. Caput Mundi Next Generation EU turismialastele suurüritustele</w:t>
            </w:r>
          </w:p>
        </w:tc>
        <w:tc>
          <w:tcPr>
            <w:tcW w:w="1453" w:type="dxa"/>
            <w:tcBorders>
              <w:top w:val="nil"/>
              <w:left w:val="nil"/>
              <w:bottom w:val="single" w:sz="4" w:space="0" w:color="auto"/>
              <w:right w:val="single" w:sz="4" w:space="0" w:color="auto"/>
            </w:tcBorders>
            <w:shd w:val="clear" w:color="auto" w:fill="C6EFCE"/>
            <w:noWrap/>
            <w:vAlign w:val="center"/>
          </w:tcPr>
          <w:p w14:paraId="14DE48A6" w14:textId="77777777" w:rsidR="00A612E2" w:rsidRPr="00246CC4" w:rsidRDefault="00A612E2" w:rsidP="00742B81">
            <w:pPr>
              <w:rPr>
                <w:noProof/>
                <w:color w:val="006100"/>
                <w:sz w:val="20"/>
                <w:szCs w:val="20"/>
              </w:rPr>
            </w:pPr>
            <w:r>
              <w:rPr>
                <w:noProof/>
                <w:color w:val="006100"/>
                <w:sz w:val="20"/>
              </w:rPr>
              <w:t>Eesmärk</w:t>
            </w:r>
          </w:p>
        </w:tc>
        <w:tc>
          <w:tcPr>
            <w:tcW w:w="4035" w:type="dxa"/>
            <w:tcBorders>
              <w:top w:val="nil"/>
              <w:left w:val="nil"/>
              <w:bottom w:val="single" w:sz="4" w:space="0" w:color="auto"/>
              <w:right w:val="single" w:sz="4" w:space="0" w:color="auto"/>
            </w:tcBorders>
            <w:shd w:val="clear" w:color="auto" w:fill="C6EFCE"/>
            <w:noWrap/>
            <w:vAlign w:val="center"/>
          </w:tcPr>
          <w:p w14:paraId="2E95D508" w14:textId="77777777" w:rsidR="00A612E2" w:rsidRPr="003B127D" w:rsidRDefault="00A612E2" w:rsidP="00742B81">
            <w:pPr>
              <w:jc w:val="center"/>
              <w:rPr>
                <w:noProof/>
                <w:color w:val="006100"/>
                <w:sz w:val="20"/>
                <w:szCs w:val="20"/>
              </w:rPr>
            </w:pPr>
            <w:r>
              <w:rPr>
                <w:noProof/>
                <w:color w:val="006100"/>
                <w:sz w:val="20"/>
              </w:rPr>
              <w:t>Iga lepingu allkirjastamine kuue projekti kohta turismiministeeriumi ja toetusesaajate/rakendusasutuste vahel</w:t>
            </w:r>
          </w:p>
        </w:tc>
      </w:tr>
      <w:tr w:rsidR="00A612E2" w:rsidRPr="00D90835" w14:paraId="563DD2D4"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1F10A10" w14:textId="77777777" w:rsidR="00A612E2" w:rsidRPr="00246CC4" w:rsidRDefault="00A612E2" w:rsidP="00742B81">
            <w:pPr>
              <w:rPr>
                <w:noProof/>
                <w:color w:val="006100"/>
                <w:sz w:val="20"/>
                <w:szCs w:val="20"/>
              </w:rPr>
            </w:pPr>
            <w:r>
              <w:rPr>
                <w:noProof/>
                <w:color w:val="006100"/>
                <w:sz w:val="20"/>
              </w:rPr>
              <w:t>M2C1-13</w:t>
            </w:r>
          </w:p>
        </w:tc>
        <w:tc>
          <w:tcPr>
            <w:tcW w:w="3195" w:type="dxa"/>
            <w:tcBorders>
              <w:top w:val="nil"/>
              <w:left w:val="nil"/>
              <w:bottom w:val="single" w:sz="4" w:space="0" w:color="auto"/>
              <w:right w:val="single" w:sz="4" w:space="0" w:color="auto"/>
            </w:tcBorders>
            <w:shd w:val="clear" w:color="auto" w:fill="C6EFCE"/>
            <w:noWrap/>
            <w:vAlign w:val="center"/>
          </w:tcPr>
          <w:p w14:paraId="371BBAD7" w14:textId="77777777" w:rsidR="00A612E2" w:rsidRPr="00246CC4" w:rsidRDefault="00A612E2" w:rsidP="00742B81">
            <w:pPr>
              <w:rPr>
                <w:noProof/>
                <w:color w:val="006100"/>
                <w:sz w:val="20"/>
                <w:szCs w:val="20"/>
              </w:rPr>
            </w:pPr>
            <w:r>
              <w:rPr>
                <w:noProof/>
                <w:color w:val="006100"/>
                <w:sz w:val="20"/>
              </w:rPr>
              <w:t>Reform 1.2. Riiklik jäätmekäitlusprogramm</w:t>
            </w:r>
          </w:p>
        </w:tc>
        <w:tc>
          <w:tcPr>
            <w:tcW w:w="1453" w:type="dxa"/>
            <w:tcBorders>
              <w:top w:val="nil"/>
              <w:left w:val="nil"/>
              <w:bottom w:val="single" w:sz="4" w:space="0" w:color="auto"/>
              <w:right w:val="single" w:sz="4" w:space="0" w:color="auto"/>
            </w:tcBorders>
            <w:shd w:val="clear" w:color="auto" w:fill="C6EFCE"/>
            <w:noWrap/>
            <w:vAlign w:val="center"/>
          </w:tcPr>
          <w:p w14:paraId="3DDB9855" w14:textId="77777777" w:rsidR="00A612E2" w:rsidRPr="00246CC4" w:rsidRDefault="00A612E2" w:rsidP="00742B81">
            <w:pPr>
              <w:rPr>
                <w:noProof/>
                <w:color w:val="006100"/>
                <w:sz w:val="20"/>
                <w:szCs w:val="20"/>
              </w:rPr>
            </w:pPr>
            <w:r>
              <w:rPr>
                <w:noProof/>
                <w:color w:val="006100"/>
                <w:sz w:val="20"/>
              </w:rPr>
              <w:t>Eesmärk</w:t>
            </w:r>
          </w:p>
        </w:tc>
        <w:tc>
          <w:tcPr>
            <w:tcW w:w="4035" w:type="dxa"/>
            <w:tcBorders>
              <w:top w:val="nil"/>
              <w:left w:val="nil"/>
              <w:bottom w:val="single" w:sz="4" w:space="0" w:color="auto"/>
              <w:right w:val="single" w:sz="4" w:space="0" w:color="auto"/>
            </w:tcBorders>
            <w:shd w:val="clear" w:color="auto" w:fill="C6EFCE"/>
            <w:noWrap/>
            <w:vAlign w:val="center"/>
          </w:tcPr>
          <w:p w14:paraId="2C6FC0A2" w14:textId="77777777" w:rsidR="00A612E2" w:rsidRPr="003B127D" w:rsidRDefault="00A612E2" w:rsidP="00742B81">
            <w:pPr>
              <w:jc w:val="center"/>
              <w:rPr>
                <w:noProof/>
                <w:color w:val="006100"/>
                <w:sz w:val="20"/>
                <w:szCs w:val="20"/>
              </w:rPr>
            </w:pPr>
            <w:r>
              <w:rPr>
                <w:noProof/>
                <w:color w:val="006100"/>
                <w:sz w:val="20"/>
              </w:rPr>
              <w:t>Jäätmehoolduse riiklikku programmi käsitleva ministri käskkirja jõustumine</w:t>
            </w:r>
          </w:p>
        </w:tc>
      </w:tr>
      <w:tr w:rsidR="00A612E2" w:rsidRPr="00246CC4" w14:paraId="7D0E9B53"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CCDEFE6" w14:textId="77777777" w:rsidR="00A612E2" w:rsidRPr="00246CC4" w:rsidRDefault="00A612E2" w:rsidP="00742B81">
            <w:pPr>
              <w:rPr>
                <w:noProof/>
                <w:color w:val="006100"/>
                <w:sz w:val="20"/>
                <w:szCs w:val="20"/>
              </w:rPr>
            </w:pPr>
            <w:r>
              <w:rPr>
                <w:noProof/>
                <w:color w:val="006100"/>
                <w:sz w:val="20"/>
              </w:rPr>
              <w:t>M2C2-52</w:t>
            </w:r>
          </w:p>
        </w:tc>
        <w:tc>
          <w:tcPr>
            <w:tcW w:w="3195" w:type="dxa"/>
            <w:tcBorders>
              <w:top w:val="nil"/>
              <w:left w:val="nil"/>
              <w:bottom w:val="single" w:sz="4" w:space="0" w:color="auto"/>
              <w:right w:val="single" w:sz="4" w:space="0" w:color="auto"/>
            </w:tcBorders>
            <w:shd w:val="clear" w:color="auto" w:fill="C6EFCE"/>
            <w:noWrap/>
            <w:vAlign w:val="center"/>
          </w:tcPr>
          <w:p w14:paraId="23791F13" w14:textId="77777777" w:rsidR="00A612E2" w:rsidRPr="00246CC4" w:rsidRDefault="00A612E2" w:rsidP="00742B81">
            <w:pPr>
              <w:rPr>
                <w:noProof/>
                <w:color w:val="006100"/>
                <w:sz w:val="20"/>
                <w:szCs w:val="20"/>
              </w:rPr>
            </w:pPr>
            <w:r>
              <w:rPr>
                <w:noProof/>
                <w:color w:val="006100"/>
                <w:sz w:val="20"/>
              </w:rPr>
              <w:t>Investeering 5.2. Vesinik</w:t>
            </w:r>
          </w:p>
        </w:tc>
        <w:tc>
          <w:tcPr>
            <w:tcW w:w="1453" w:type="dxa"/>
            <w:tcBorders>
              <w:top w:val="nil"/>
              <w:left w:val="nil"/>
              <w:bottom w:val="single" w:sz="4" w:space="0" w:color="auto"/>
              <w:right w:val="single" w:sz="4" w:space="0" w:color="auto"/>
            </w:tcBorders>
            <w:shd w:val="clear" w:color="auto" w:fill="C6EFCE"/>
            <w:noWrap/>
            <w:vAlign w:val="center"/>
          </w:tcPr>
          <w:p w14:paraId="78A9F18B" w14:textId="77777777" w:rsidR="00A612E2" w:rsidRPr="00246CC4" w:rsidRDefault="00A612E2" w:rsidP="00742B81">
            <w:pPr>
              <w:rPr>
                <w:noProof/>
                <w:color w:val="006100"/>
                <w:sz w:val="20"/>
                <w:szCs w:val="20"/>
              </w:rPr>
            </w:pPr>
            <w:r>
              <w:rPr>
                <w:noProof/>
                <w:color w:val="006100"/>
                <w:sz w:val="20"/>
              </w:rPr>
              <w:t>Eesmärk</w:t>
            </w:r>
          </w:p>
        </w:tc>
        <w:tc>
          <w:tcPr>
            <w:tcW w:w="4035" w:type="dxa"/>
            <w:tcBorders>
              <w:top w:val="nil"/>
              <w:left w:val="nil"/>
              <w:bottom w:val="single" w:sz="4" w:space="0" w:color="auto"/>
              <w:right w:val="single" w:sz="4" w:space="0" w:color="auto"/>
            </w:tcBorders>
            <w:shd w:val="clear" w:color="auto" w:fill="C6EFCE"/>
            <w:noWrap/>
            <w:vAlign w:val="center"/>
          </w:tcPr>
          <w:p w14:paraId="2AA452F0" w14:textId="77777777" w:rsidR="00A612E2" w:rsidRPr="00246CC4" w:rsidRDefault="00A612E2" w:rsidP="00742B81">
            <w:pPr>
              <w:jc w:val="center"/>
              <w:rPr>
                <w:noProof/>
                <w:color w:val="006100"/>
                <w:sz w:val="20"/>
                <w:szCs w:val="20"/>
              </w:rPr>
            </w:pPr>
            <w:r>
              <w:rPr>
                <w:noProof/>
                <w:color w:val="006100"/>
                <w:sz w:val="20"/>
              </w:rPr>
              <w:t>Elektrolüüserite tootmine</w:t>
            </w:r>
          </w:p>
        </w:tc>
      </w:tr>
      <w:tr w:rsidR="00A612E2" w:rsidRPr="00D90835" w14:paraId="2BAE4A85"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469ACB3" w14:textId="77777777" w:rsidR="00A612E2" w:rsidRPr="00246CC4" w:rsidRDefault="00A612E2" w:rsidP="00742B81">
            <w:pPr>
              <w:rPr>
                <w:noProof/>
                <w:color w:val="006100"/>
                <w:sz w:val="20"/>
                <w:szCs w:val="20"/>
              </w:rPr>
            </w:pPr>
            <w:r>
              <w:rPr>
                <w:noProof/>
                <w:color w:val="006100"/>
                <w:sz w:val="20"/>
              </w:rPr>
              <w:t>M4C2-11</w:t>
            </w:r>
          </w:p>
        </w:tc>
        <w:tc>
          <w:tcPr>
            <w:tcW w:w="3195" w:type="dxa"/>
            <w:tcBorders>
              <w:top w:val="nil"/>
              <w:left w:val="nil"/>
              <w:bottom w:val="single" w:sz="4" w:space="0" w:color="auto"/>
              <w:right w:val="single" w:sz="4" w:space="0" w:color="auto"/>
            </w:tcBorders>
            <w:shd w:val="clear" w:color="auto" w:fill="C6EFCE"/>
            <w:noWrap/>
            <w:vAlign w:val="center"/>
          </w:tcPr>
          <w:p w14:paraId="55131815" w14:textId="77777777" w:rsidR="00A612E2" w:rsidRPr="00246CC4" w:rsidRDefault="00A612E2" w:rsidP="00742B81">
            <w:pPr>
              <w:rPr>
                <w:noProof/>
                <w:color w:val="006100"/>
                <w:sz w:val="20"/>
                <w:szCs w:val="20"/>
              </w:rPr>
            </w:pPr>
            <w:r>
              <w:rPr>
                <w:noProof/>
                <w:color w:val="006100"/>
                <w:sz w:val="20"/>
              </w:rPr>
              <w:t xml:space="preserve">Investeering 2.1. Üleeuroopalist huvi pakkuvad tähtsad projektid </w:t>
            </w:r>
          </w:p>
        </w:tc>
        <w:tc>
          <w:tcPr>
            <w:tcW w:w="1453" w:type="dxa"/>
            <w:tcBorders>
              <w:top w:val="nil"/>
              <w:left w:val="nil"/>
              <w:bottom w:val="single" w:sz="4" w:space="0" w:color="auto"/>
              <w:right w:val="single" w:sz="4" w:space="0" w:color="auto"/>
            </w:tcBorders>
            <w:shd w:val="clear" w:color="auto" w:fill="C6EFCE"/>
            <w:noWrap/>
            <w:vAlign w:val="center"/>
          </w:tcPr>
          <w:p w14:paraId="588FBB4A" w14:textId="77777777" w:rsidR="00A612E2" w:rsidRPr="00246CC4" w:rsidRDefault="00A612E2" w:rsidP="00742B81">
            <w:pPr>
              <w:rPr>
                <w:noProof/>
                <w:color w:val="006100"/>
                <w:sz w:val="20"/>
                <w:szCs w:val="20"/>
              </w:rPr>
            </w:pPr>
            <w:r>
              <w:rPr>
                <w:noProof/>
                <w:color w:val="006100"/>
                <w:sz w:val="20"/>
              </w:rPr>
              <w:t xml:space="preserve">Eesmärk </w:t>
            </w:r>
          </w:p>
        </w:tc>
        <w:tc>
          <w:tcPr>
            <w:tcW w:w="4035" w:type="dxa"/>
            <w:tcBorders>
              <w:top w:val="nil"/>
              <w:left w:val="nil"/>
              <w:bottom w:val="single" w:sz="4" w:space="0" w:color="auto"/>
              <w:right w:val="single" w:sz="4" w:space="0" w:color="auto"/>
            </w:tcBorders>
            <w:shd w:val="clear" w:color="auto" w:fill="C6EFCE"/>
            <w:noWrap/>
            <w:vAlign w:val="center"/>
          </w:tcPr>
          <w:p w14:paraId="1D10E1AC" w14:textId="77777777" w:rsidR="00A612E2" w:rsidRPr="003B127D" w:rsidRDefault="00A612E2" w:rsidP="00742B81">
            <w:pPr>
              <w:jc w:val="center"/>
              <w:rPr>
                <w:noProof/>
                <w:color w:val="006100"/>
                <w:sz w:val="20"/>
                <w:szCs w:val="20"/>
              </w:rPr>
            </w:pPr>
            <w:r>
              <w:rPr>
                <w:noProof/>
                <w:color w:val="006100"/>
                <w:sz w:val="20"/>
              </w:rPr>
              <w:t>Jõustub riiklik õigusakt, millega eraldatakse projektis osalejatele toetuse andmiseks vajalikud rahalised vahendid.</w:t>
            </w:r>
          </w:p>
        </w:tc>
      </w:tr>
      <w:tr w:rsidR="00A612E2" w:rsidRPr="00D90835" w14:paraId="5F7A954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86D8B49" w14:textId="77777777" w:rsidR="00A612E2" w:rsidRPr="00246CC4" w:rsidRDefault="00A612E2" w:rsidP="00742B81">
            <w:pPr>
              <w:rPr>
                <w:noProof/>
                <w:color w:val="006100"/>
                <w:sz w:val="20"/>
                <w:szCs w:val="20"/>
              </w:rPr>
            </w:pPr>
            <w:r>
              <w:rPr>
                <w:noProof/>
                <w:color w:val="006100"/>
                <w:sz w:val="20"/>
              </w:rPr>
              <w:t>M4C2-17</w:t>
            </w:r>
          </w:p>
        </w:tc>
        <w:tc>
          <w:tcPr>
            <w:tcW w:w="3195" w:type="dxa"/>
            <w:tcBorders>
              <w:top w:val="nil"/>
              <w:left w:val="nil"/>
              <w:bottom w:val="single" w:sz="4" w:space="0" w:color="auto"/>
              <w:right w:val="single" w:sz="4" w:space="0" w:color="auto"/>
            </w:tcBorders>
            <w:shd w:val="clear" w:color="auto" w:fill="C6EFCE"/>
            <w:noWrap/>
            <w:vAlign w:val="center"/>
          </w:tcPr>
          <w:p w14:paraId="7D85477B" w14:textId="77777777" w:rsidR="00A612E2" w:rsidRPr="003B127D" w:rsidRDefault="00A612E2" w:rsidP="00742B81">
            <w:pPr>
              <w:rPr>
                <w:noProof/>
                <w:color w:val="006100"/>
                <w:sz w:val="20"/>
                <w:szCs w:val="20"/>
              </w:rPr>
            </w:pPr>
            <w:r>
              <w:rPr>
                <w:noProof/>
                <w:color w:val="006100"/>
                <w:sz w:val="20"/>
              </w:rPr>
              <w:t>Investeering 3.1. Teadusuuringute ja innovatsiooni infrastruktuuride integreeritud süsteemi loomise fond; Investeering</w:t>
            </w:r>
          </w:p>
        </w:tc>
        <w:tc>
          <w:tcPr>
            <w:tcW w:w="1453" w:type="dxa"/>
            <w:tcBorders>
              <w:top w:val="nil"/>
              <w:left w:val="nil"/>
              <w:bottom w:val="single" w:sz="4" w:space="0" w:color="auto"/>
              <w:right w:val="single" w:sz="4" w:space="0" w:color="auto"/>
            </w:tcBorders>
            <w:shd w:val="clear" w:color="auto" w:fill="C6EFCE"/>
            <w:noWrap/>
            <w:vAlign w:val="center"/>
          </w:tcPr>
          <w:p w14:paraId="7D144353" w14:textId="77777777" w:rsidR="00A612E2" w:rsidRPr="00246CC4" w:rsidRDefault="00A612E2" w:rsidP="00742B81">
            <w:pPr>
              <w:rPr>
                <w:noProof/>
                <w:color w:val="006100"/>
                <w:sz w:val="20"/>
                <w:szCs w:val="20"/>
              </w:rPr>
            </w:pPr>
            <w:r>
              <w:rPr>
                <w:noProof/>
                <w:color w:val="006100"/>
                <w:sz w:val="20"/>
              </w:rPr>
              <w:t>Eesmärk</w:t>
            </w:r>
          </w:p>
        </w:tc>
        <w:tc>
          <w:tcPr>
            <w:tcW w:w="4035" w:type="dxa"/>
            <w:tcBorders>
              <w:top w:val="nil"/>
              <w:left w:val="nil"/>
              <w:bottom w:val="single" w:sz="4" w:space="0" w:color="auto"/>
              <w:right w:val="single" w:sz="4" w:space="0" w:color="auto"/>
            </w:tcBorders>
            <w:shd w:val="clear" w:color="auto" w:fill="C6EFCE"/>
            <w:noWrap/>
            <w:vAlign w:val="center"/>
          </w:tcPr>
          <w:p w14:paraId="0D67BAEC" w14:textId="77777777" w:rsidR="00A612E2" w:rsidRPr="003B127D" w:rsidRDefault="00A612E2" w:rsidP="00742B81">
            <w:pPr>
              <w:jc w:val="center"/>
              <w:rPr>
                <w:noProof/>
                <w:color w:val="006100"/>
                <w:sz w:val="20"/>
                <w:szCs w:val="20"/>
              </w:rPr>
            </w:pPr>
            <w:r>
              <w:rPr>
                <w:noProof/>
                <w:color w:val="006100"/>
                <w:sz w:val="20"/>
              </w:rPr>
              <w:t>Lepingute sõlmimine projektide kohta, mis käsitlevad: a) Teadusuuringute ja innovatsiooni infrastruktuuride integreeritud süsteem</w:t>
            </w:r>
          </w:p>
        </w:tc>
      </w:tr>
      <w:tr w:rsidR="00A612E2" w:rsidRPr="00D90835" w14:paraId="4A6E834A"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CBD7857" w14:textId="77777777" w:rsidR="00A612E2" w:rsidRPr="00246CC4" w:rsidRDefault="00A612E2" w:rsidP="00742B81">
            <w:pPr>
              <w:rPr>
                <w:noProof/>
                <w:color w:val="006100"/>
                <w:sz w:val="20"/>
                <w:szCs w:val="20"/>
              </w:rPr>
            </w:pPr>
            <w:r>
              <w:rPr>
                <w:noProof/>
                <w:color w:val="006100"/>
                <w:sz w:val="20"/>
              </w:rPr>
              <w:t>M4C2-18</w:t>
            </w:r>
          </w:p>
        </w:tc>
        <w:tc>
          <w:tcPr>
            <w:tcW w:w="3195" w:type="dxa"/>
            <w:tcBorders>
              <w:top w:val="nil"/>
              <w:left w:val="nil"/>
              <w:bottom w:val="single" w:sz="4" w:space="0" w:color="auto"/>
              <w:right w:val="single" w:sz="4" w:space="0" w:color="auto"/>
            </w:tcBorders>
            <w:shd w:val="clear" w:color="auto" w:fill="C6EFCE"/>
            <w:noWrap/>
            <w:vAlign w:val="center"/>
          </w:tcPr>
          <w:p w14:paraId="0BBEA09D" w14:textId="06FFEC33" w:rsidR="00A612E2" w:rsidRPr="003B127D" w:rsidRDefault="00956361" w:rsidP="00742B81">
            <w:pPr>
              <w:rPr>
                <w:noProof/>
                <w:color w:val="006100"/>
                <w:sz w:val="20"/>
                <w:szCs w:val="20"/>
              </w:rPr>
            </w:pPr>
            <w:r w:rsidRPr="00956361">
              <w:rPr>
                <w:noProof/>
                <w:color w:val="006100"/>
                <w:sz w:val="20"/>
              </w:rPr>
              <w:t>Investeering</w:t>
            </w:r>
            <w:r>
              <w:rPr>
                <w:noProof/>
                <w:color w:val="006100"/>
                <w:sz w:val="20"/>
              </w:rPr>
              <w:t xml:space="preserve"> </w:t>
            </w:r>
            <w:r w:rsidR="00A612E2">
              <w:rPr>
                <w:noProof/>
                <w:color w:val="006100"/>
                <w:sz w:val="20"/>
              </w:rPr>
              <w:t>1.5</w:t>
            </w:r>
            <w:r>
              <w:rPr>
                <w:noProof/>
                <w:color w:val="006100"/>
                <w:sz w:val="20"/>
              </w:rPr>
              <w:t>.</w:t>
            </w:r>
            <w:r w:rsidR="00A612E2">
              <w:rPr>
                <w:noProof/>
                <w:color w:val="006100"/>
                <w:sz w:val="20"/>
              </w:rPr>
              <w:t xml:space="preserve"> „Innovatsiooni ökosüsteemide loomine ja tugevdamine jätkusuutlikkuse tagamiseks“, „teadus- ja arendustegevuse territoriaalsete liidrite“ ülesehitamine.</w:t>
            </w:r>
          </w:p>
        </w:tc>
        <w:tc>
          <w:tcPr>
            <w:tcW w:w="1453" w:type="dxa"/>
            <w:tcBorders>
              <w:top w:val="nil"/>
              <w:left w:val="nil"/>
              <w:bottom w:val="single" w:sz="4" w:space="0" w:color="auto"/>
              <w:right w:val="single" w:sz="4" w:space="0" w:color="auto"/>
            </w:tcBorders>
            <w:shd w:val="clear" w:color="auto" w:fill="C6EFCE"/>
            <w:noWrap/>
            <w:vAlign w:val="center"/>
          </w:tcPr>
          <w:p w14:paraId="2B245604" w14:textId="77777777" w:rsidR="00A612E2" w:rsidRPr="00246CC4" w:rsidRDefault="00A612E2" w:rsidP="00742B81">
            <w:pPr>
              <w:rPr>
                <w:noProof/>
                <w:color w:val="006100"/>
                <w:sz w:val="20"/>
                <w:szCs w:val="20"/>
              </w:rPr>
            </w:pPr>
            <w:r>
              <w:rPr>
                <w:noProof/>
                <w:color w:val="006100"/>
                <w:sz w:val="20"/>
              </w:rPr>
              <w:t>Eesmärk</w:t>
            </w:r>
          </w:p>
        </w:tc>
        <w:tc>
          <w:tcPr>
            <w:tcW w:w="4035" w:type="dxa"/>
            <w:tcBorders>
              <w:top w:val="nil"/>
              <w:left w:val="nil"/>
              <w:bottom w:val="single" w:sz="4" w:space="0" w:color="auto"/>
              <w:right w:val="single" w:sz="4" w:space="0" w:color="auto"/>
            </w:tcBorders>
            <w:shd w:val="clear" w:color="auto" w:fill="C6EFCE"/>
            <w:noWrap/>
            <w:vAlign w:val="center"/>
          </w:tcPr>
          <w:p w14:paraId="2C04AD06" w14:textId="77777777" w:rsidR="00A612E2" w:rsidRPr="003B127D" w:rsidRDefault="00A612E2" w:rsidP="00742B81">
            <w:pPr>
              <w:jc w:val="center"/>
              <w:rPr>
                <w:noProof/>
                <w:color w:val="006100"/>
                <w:sz w:val="20"/>
                <w:szCs w:val="20"/>
              </w:rPr>
            </w:pPr>
            <w:r>
              <w:rPr>
                <w:noProof/>
                <w:color w:val="006100"/>
                <w:sz w:val="20"/>
              </w:rPr>
              <w:t>Lepingute sõlmimine innovatsiooni ökosüsteemidega seotud projektide jaoks;</w:t>
            </w:r>
          </w:p>
        </w:tc>
      </w:tr>
      <w:tr w:rsidR="00A612E2" w:rsidRPr="00D90835" w14:paraId="40AD7FC4"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CAF8BFF" w14:textId="77777777" w:rsidR="00A612E2" w:rsidRPr="00246CC4" w:rsidRDefault="00A612E2" w:rsidP="00742B81">
            <w:pPr>
              <w:rPr>
                <w:noProof/>
                <w:color w:val="006100"/>
                <w:sz w:val="20"/>
                <w:szCs w:val="20"/>
              </w:rPr>
            </w:pPr>
            <w:r>
              <w:rPr>
                <w:noProof/>
                <w:color w:val="006100"/>
                <w:sz w:val="20"/>
              </w:rPr>
              <w:t>M4C2-19</w:t>
            </w:r>
          </w:p>
        </w:tc>
        <w:tc>
          <w:tcPr>
            <w:tcW w:w="3195" w:type="dxa"/>
            <w:tcBorders>
              <w:top w:val="nil"/>
              <w:left w:val="nil"/>
              <w:bottom w:val="single" w:sz="4" w:space="0" w:color="auto"/>
              <w:right w:val="single" w:sz="4" w:space="0" w:color="auto"/>
            </w:tcBorders>
            <w:shd w:val="clear" w:color="auto" w:fill="C6EFCE"/>
            <w:noWrap/>
            <w:vAlign w:val="center"/>
          </w:tcPr>
          <w:p w14:paraId="459A6E82" w14:textId="77777777" w:rsidR="00A612E2" w:rsidRPr="003B127D" w:rsidRDefault="00A612E2" w:rsidP="00742B81">
            <w:pPr>
              <w:rPr>
                <w:noProof/>
                <w:color w:val="006100"/>
                <w:sz w:val="20"/>
                <w:szCs w:val="20"/>
              </w:rPr>
            </w:pPr>
            <w:r>
              <w:rPr>
                <w:noProof/>
                <w:color w:val="006100"/>
                <w:sz w:val="20"/>
              </w:rPr>
              <w:t>Investeering 1.4. Teadusstruktuuride tugevdamine ja „riiklike teadus- ja arendustegevuse juhtide“ loomise toetamine mõnede progressi võimaldavate tehnoloogiate valdkonnas</w:t>
            </w:r>
          </w:p>
        </w:tc>
        <w:tc>
          <w:tcPr>
            <w:tcW w:w="1453" w:type="dxa"/>
            <w:tcBorders>
              <w:top w:val="nil"/>
              <w:left w:val="nil"/>
              <w:bottom w:val="single" w:sz="4" w:space="0" w:color="auto"/>
              <w:right w:val="single" w:sz="4" w:space="0" w:color="auto"/>
            </w:tcBorders>
            <w:shd w:val="clear" w:color="auto" w:fill="C6EFCE"/>
            <w:noWrap/>
            <w:vAlign w:val="center"/>
          </w:tcPr>
          <w:p w14:paraId="508E45E5" w14:textId="77777777" w:rsidR="00A612E2" w:rsidRPr="00246CC4" w:rsidRDefault="00A612E2" w:rsidP="00742B81">
            <w:pPr>
              <w:rPr>
                <w:noProof/>
                <w:color w:val="006100"/>
                <w:sz w:val="20"/>
                <w:szCs w:val="20"/>
              </w:rPr>
            </w:pPr>
            <w:r>
              <w:rPr>
                <w:noProof/>
                <w:color w:val="006100"/>
                <w:sz w:val="20"/>
              </w:rPr>
              <w:t>Eesmärk</w:t>
            </w:r>
          </w:p>
        </w:tc>
        <w:tc>
          <w:tcPr>
            <w:tcW w:w="4035" w:type="dxa"/>
            <w:tcBorders>
              <w:top w:val="nil"/>
              <w:left w:val="nil"/>
              <w:bottom w:val="single" w:sz="4" w:space="0" w:color="auto"/>
              <w:right w:val="single" w:sz="4" w:space="0" w:color="auto"/>
            </w:tcBorders>
            <w:shd w:val="clear" w:color="auto" w:fill="C6EFCE"/>
            <w:noWrap/>
            <w:vAlign w:val="center"/>
          </w:tcPr>
          <w:p w14:paraId="7D1C45C5" w14:textId="77777777" w:rsidR="00A612E2" w:rsidRPr="003B127D" w:rsidRDefault="00A612E2" w:rsidP="00742B81">
            <w:pPr>
              <w:jc w:val="center"/>
              <w:rPr>
                <w:noProof/>
                <w:color w:val="006100"/>
                <w:sz w:val="20"/>
                <w:szCs w:val="20"/>
              </w:rPr>
            </w:pPr>
            <w:r>
              <w:rPr>
                <w:noProof/>
                <w:color w:val="006100"/>
                <w:sz w:val="20"/>
              </w:rPr>
              <w:t>Riiklike teadus- ja arendustegevuse projektide lepingute sõlmimine; võtmetehnoloogiate alal töötavad D-liidrid</w:t>
            </w:r>
          </w:p>
        </w:tc>
      </w:tr>
      <w:tr w:rsidR="00A612E2" w:rsidRPr="00D90835" w14:paraId="650CF91B"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B0B5CF1" w14:textId="77777777" w:rsidR="00A612E2" w:rsidRPr="00246CC4" w:rsidRDefault="00A612E2" w:rsidP="00742B81">
            <w:pPr>
              <w:rPr>
                <w:noProof/>
                <w:color w:val="006100"/>
                <w:sz w:val="20"/>
                <w:szCs w:val="20"/>
              </w:rPr>
            </w:pPr>
            <w:r>
              <w:rPr>
                <w:noProof/>
                <w:color w:val="006100"/>
                <w:sz w:val="20"/>
              </w:rPr>
              <w:t>M4C2-20</w:t>
            </w:r>
          </w:p>
        </w:tc>
        <w:tc>
          <w:tcPr>
            <w:tcW w:w="3195" w:type="dxa"/>
            <w:tcBorders>
              <w:top w:val="nil"/>
              <w:left w:val="nil"/>
              <w:bottom w:val="single" w:sz="4" w:space="0" w:color="auto"/>
              <w:right w:val="single" w:sz="4" w:space="0" w:color="auto"/>
            </w:tcBorders>
            <w:shd w:val="clear" w:color="auto" w:fill="C6EFCE"/>
            <w:noWrap/>
            <w:vAlign w:val="center"/>
          </w:tcPr>
          <w:p w14:paraId="5DF9621D" w14:textId="77777777" w:rsidR="00A612E2" w:rsidRPr="00246CC4" w:rsidRDefault="00A612E2" w:rsidP="00742B81">
            <w:pPr>
              <w:rPr>
                <w:noProof/>
                <w:color w:val="006100"/>
                <w:sz w:val="20"/>
                <w:szCs w:val="20"/>
              </w:rPr>
            </w:pPr>
            <w:r>
              <w:rPr>
                <w:noProof/>
                <w:color w:val="006100"/>
                <w:sz w:val="20"/>
              </w:rPr>
              <w:t>Investeering 3.2. Uute ettevõtete rahastamine</w:t>
            </w:r>
          </w:p>
        </w:tc>
        <w:tc>
          <w:tcPr>
            <w:tcW w:w="1453" w:type="dxa"/>
            <w:tcBorders>
              <w:top w:val="nil"/>
              <w:left w:val="nil"/>
              <w:bottom w:val="single" w:sz="4" w:space="0" w:color="auto"/>
              <w:right w:val="single" w:sz="4" w:space="0" w:color="auto"/>
            </w:tcBorders>
            <w:shd w:val="clear" w:color="auto" w:fill="C6EFCE"/>
            <w:noWrap/>
            <w:vAlign w:val="center"/>
          </w:tcPr>
          <w:p w14:paraId="4335E733" w14:textId="77777777" w:rsidR="00A612E2" w:rsidRPr="00246CC4" w:rsidRDefault="00A612E2" w:rsidP="00742B81">
            <w:pPr>
              <w:rPr>
                <w:noProof/>
                <w:color w:val="006100"/>
                <w:sz w:val="20"/>
                <w:szCs w:val="20"/>
              </w:rPr>
            </w:pPr>
            <w:r>
              <w:rPr>
                <w:noProof/>
                <w:color w:val="006100"/>
                <w:sz w:val="20"/>
              </w:rPr>
              <w:t>Eesmärk</w:t>
            </w:r>
          </w:p>
        </w:tc>
        <w:tc>
          <w:tcPr>
            <w:tcW w:w="4035" w:type="dxa"/>
            <w:tcBorders>
              <w:top w:val="nil"/>
              <w:left w:val="nil"/>
              <w:bottom w:val="single" w:sz="4" w:space="0" w:color="auto"/>
              <w:right w:val="single" w:sz="4" w:space="0" w:color="auto"/>
            </w:tcBorders>
            <w:shd w:val="clear" w:color="auto" w:fill="C6EFCE"/>
            <w:noWrap/>
            <w:vAlign w:val="center"/>
          </w:tcPr>
          <w:p w14:paraId="05F36241" w14:textId="77777777" w:rsidR="00A612E2" w:rsidRPr="003B127D" w:rsidRDefault="00A612E2" w:rsidP="00742B81">
            <w:pPr>
              <w:jc w:val="center"/>
              <w:rPr>
                <w:noProof/>
                <w:color w:val="006100"/>
                <w:sz w:val="20"/>
                <w:szCs w:val="20"/>
              </w:rPr>
            </w:pPr>
            <w:r>
              <w:rPr>
                <w:noProof/>
                <w:color w:val="006100"/>
                <w:sz w:val="20"/>
              </w:rPr>
              <w:t>IT valitsuse ja rakenduspartneri Cassa Depositi e Prestiti (CDP) vahel sõlmitud leping, millega luuakse rahastamisvahend</w:t>
            </w:r>
          </w:p>
        </w:tc>
      </w:tr>
      <w:tr w:rsidR="00A612E2" w:rsidRPr="00D90835" w14:paraId="7F5763C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DBD6211" w14:textId="77777777" w:rsidR="00A612E2" w:rsidRPr="00246CC4" w:rsidRDefault="00A612E2" w:rsidP="00742B81">
            <w:pPr>
              <w:rPr>
                <w:noProof/>
                <w:color w:val="006100"/>
                <w:sz w:val="20"/>
                <w:szCs w:val="20"/>
              </w:rPr>
            </w:pPr>
            <w:r>
              <w:rPr>
                <w:noProof/>
                <w:color w:val="006100"/>
                <w:sz w:val="20"/>
              </w:rPr>
              <w:t>M6C1-1</w:t>
            </w:r>
          </w:p>
        </w:tc>
        <w:tc>
          <w:tcPr>
            <w:tcW w:w="3195" w:type="dxa"/>
            <w:tcBorders>
              <w:top w:val="nil"/>
              <w:left w:val="nil"/>
              <w:bottom w:val="single" w:sz="4" w:space="0" w:color="auto"/>
              <w:right w:val="single" w:sz="4" w:space="0" w:color="auto"/>
            </w:tcBorders>
            <w:shd w:val="clear" w:color="auto" w:fill="C6EFCE"/>
            <w:noWrap/>
            <w:vAlign w:val="center"/>
          </w:tcPr>
          <w:p w14:paraId="2567F72D" w14:textId="23150AB7" w:rsidR="00A612E2" w:rsidRPr="003B127D" w:rsidRDefault="00A612E2" w:rsidP="00742B81">
            <w:pPr>
              <w:rPr>
                <w:noProof/>
                <w:color w:val="006100"/>
                <w:sz w:val="20"/>
                <w:szCs w:val="20"/>
              </w:rPr>
            </w:pPr>
            <w:r>
              <w:rPr>
                <w:noProof/>
                <w:color w:val="006100"/>
                <w:sz w:val="20"/>
              </w:rPr>
              <w:t>Reform 1. Piirkondliku tervishoiuabi võrgustiku uue organisatsioonilise mudeli määratlemine</w:t>
            </w:r>
          </w:p>
        </w:tc>
        <w:tc>
          <w:tcPr>
            <w:tcW w:w="1453" w:type="dxa"/>
            <w:tcBorders>
              <w:top w:val="nil"/>
              <w:left w:val="nil"/>
              <w:bottom w:val="single" w:sz="4" w:space="0" w:color="auto"/>
              <w:right w:val="single" w:sz="4" w:space="0" w:color="auto"/>
            </w:tcBorders>
            <w:shd w:val="clear" w:color="auto" w:fill="C6EFCE"/>
            <w:noWrap/>
            <w:vAlign w:val="center"/>
          </w:tcPr>
          <w:p w14:paraId="20823A63" w14:textId="77777777" w:rsidR="00A612E2" w:rsidRPr="00246CC4" w:rsidRDefault="00A612E2" w:rsidP="00742B81">
            <w:pPr>
              <w:rPr>
                <w:noProof/>
                <w:color w:val="006100"/>
                <w:sz w:val="20"/>
                <w:szCs w:val="20"/>
              </w:rPr>
            </w:pPr>
            <w:r>
              <w:rPr>
                <w:noProof/>
                <w:color w:val="006100"/>
                <w:sz w:val="20"/>
              </w:rPr>
              <w:t>Eesmärk</w:t>
            </w:r>
          </w:p>
        </w:tc>
        <w:tc>
          <w:tcPr>
            <w:tcW w:w="4035" w:type="dxa"/>
            <w:tcBorders>
              <w:top w:val="nil"/>
              <w:left w:val="nil"/>
              <w:bottom w:val="single" w:sz="4" w:space="0" w:color="auto"/>
              <w:right w:val="single" w:sz="4" w:space="0" w:color="auto"/>
            </w:tcBorders>
            <w:shd w:val="clear" w:color="auto" w:fill="C6EFCE"/>
            <w:noWrap/>
            <w:vAlign w:val="center"/>
          </w:tcPr>
          <w:p w14:paraId="3F06B4EB" w14:textId="77777777" w:rsidR="00A612E2" w:rsidRPr="003B127D" w:rsidRDefault="00A612E2" w:rsidP="00742B81">
            <w:pPr>
              <w:jc w:val="center"/>
              <w:rPr>
                <w:noProof/>
                <w:color w:val="006100"/>
                <w:sz w:val="20"/>
                <w:szCs w:val="20"/>
              </w:rPr>
            </w:pPr>
            <w:r>
              <w:rPr>
                <w:noProof/>
                <w:color w:val="006100"/>
                <w:sz w:val="20"/>
              </w:rPr>
              <w:t>Tervishoiukorralduse reformi käsitleva teisese õigusakti (ministri määrus) jõustumine.</w:t>
            </w:r>
          </w:p>
        </w:tc>
      </w:tr>
      <w:tr w:rsidR="00A612E2" w:rsidRPr="00D90835" w14:paraId="7A548AFF"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69AA86C" w14:textId="77777777" w:rsidR="00A612E2" w:rsidRPr="00246CC4" w:rsidRDefault="00A612E2" w:rsidP="00742B81">
            <w:pPr>
              <w:rPr>
                <w:noProof/>
                <w:color w:val="006100"/>
                <w:sz w:val="20"/>
                <w:szCs w:val="20"/>
              </w:rPr>
            </w:pPr>
            <w:r>
              <w:rPr>
                <w:noProof/>
                <w:color w:val="006100"/>
                <w:sz w:val="20"/>
              </w:rPr>
              <w:t>M6C1-2</w:t>
            </w:r>
          </w:p>
        </w:tc>
        <w:tc>
          <w:tcPr>
            <w:tcW w:w="3195" w:type="dxa"/>
            <w:tcBorders>
              <w:top w:val="nil"/>
              <w:left w:val="nil"/>
              <w:bottom w:val="single" w:sz="4" w:space="0" w:color="auto"/>
              <w:right w:val="single" w:sz="4" w:space="0" w:color="auto"/>
            </w:tcBorders>
            <w:shd w:val="clear" w:color="auto" w:fill="C6EFCE"/>
            <w:noWrap/>
            <w:vAlign w:val="center"/>
          </w:tcPr>
          <w:p w14:paraId="063C11D4" w14:textId="77777777" w:rsidR="00A612E2" w:rsidRPr="003B127D" w:rsidRDefault="00A612E2" w:rsidP="00742B81">
            <w:pPr>
              <w:rPr>
                <w:noProof/>
                <w:color w:val="006100"/>
                <w:sz w:val="20"/>
                <w:szCs w:val="20"/>
              </w:rPr>
            </w:pPr>
            <w:r>
              <w:rPr>
                <w:noProof/>
                <w:color w:val="006100"/>
                <w:sz w:val="20"/>
              </w:rPr>
              <w:t>Investeering 1.1. Kogukondlikud tervishoiukojad, et parandada piirkondlikku tervishoiuabi.</w:t>
            </w:r>
          </w:p>
        </w:tc>
        <w:tc>
          <w:tcPr>
            <w:tcW w:w="1453" w:type="dxa"/>
            <w:tcBorders>
              <w:top w:val="nil"/>
              <w:left w:val="nil"/>
              <w:bottom w:val="single" w:sz="4" w:space="0" w:color="auto"/>
              <w:right w:val="single" w:sz="4" w:space="0" w:color="auto"/>
            </w:tcBorders>
            <w:shd w:val="clear" w:color="auto" w:fill="C6EFCE"/>
            <w:noWrap/>
            <w:vAlign w:val="center"/>
          </w:tcPr>
          <w:p w14:paraId="49849648" w14:textId="77777777" w:rsidR="00A612E2" w:rsidRPr="00246CC4" w:rsidRDefault="00A612E2" w:rsidP="00742B81">
            <w:pPr>
              <w:rPr>
                <w:noProof/>
                <w:color w:val="006100"/>
                <w:sz w:val="20"/>
                <w:szCs w:val="20"/>
              </w:rPr>
            </w:pPr>
            <w:r>
              <w:rPr>
                <w:noProof/>
                <w:color w:val="006100"/>
                <w:sz w:val="20"/>
              </w:rPr>
              <w:t>Eesmärk</w:t>
            </w:r>
          </w:p>
        </w:tc>
        <w:tc>
          <w:tcPr>
            <w:tcW w:w="4035" w:type="dxa"/>
            <w:tcBorders>
              <w:top w:val="nil"/>
              <w:left w:val="nil"/>
              <w:bottom w:val="single" w:sz="4" w:space="0" w:color="auto"/>
              <w:right w:val="single" w:sz="4" w:space="0" w:color="auto"/>
            </w:tcBorders>
            <w:shd w:val="clear" w:color="auto" w:fill="C6EFCE"/>
            <w:noWrap/>
            <w:vAlign w:val="center"/>
          </w:tcPr>
          <w:p w14:paraId="7E861EB2" w14:textId="77777777" w:rsidR="00A612E2" w:rsidRPr="003B127D" w:rsidRDefault="00A612E2" w:rsidP="00742B81">
            <w:pPr>
              <w:jc w:val="center"/>
              <w:rPr>
                <w:noProof/>
                <w:color w:val="006100"/>
                <w:sz w:val="20"/>
                <w:szCs w:val="20"/>
              </w:rPr>
            </w:pPr>
            <w:r>
              <w:rPr>
                <w:noProof/>
                <w:color w:val="006100"/>
                <w:sz w:val="20"/>
              </w:rPr>
              <w:t xml:space="preserve">Institutsioonilise arengu lepingu heakskiitmine </w:t>
            </w:r>
          </w:p>
        </w:tc>
      </w:tr>
      <w:tr w:rsidR="00A612E2" w:rsidRPr="00D90835" w14:paraId="49038DC2"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8654E0D" w14:textId="77777777" w:rsidR="00A612E2" w:rsidRPr="00246CC4" w:rsidRDefault="00A612E2" w:rsidP="00742B81">
            <w:pPr>
              <w:rPr>
                <w:noProof/>
                <w:color w:val="006100"/>
                <w:sz w:val="20"/>
                <w:szCs w:val="20"/>
              </w:rPr>
            </w:pPr>
            <w:r>
              <w:rPr>
                <w:noProof/>
                <w:color w:val="006100"/>
                <w:sz w:val="20"/>
              </w:rPr>
              <w:t>M6C1-4</w:t>
            </w:r>
          </w:p>
        </w:tc>
        <w:tc>
          <w:tcPr>
            <w:tcW w:w="3195" w:type="dxa"/>
            <w:tcBorders>
              <w:top w:val="nil"/>
              <w:left w:val="nil"/>
              <w:bottom w:val="single" w:sz="4" w:space="0" w:color="auto"/>
              <w:right w:val="single" w:sz="4" w:space="0" w:color="auto"/>
            </w:tcBorders>
            <w:shd w:val="clear" w:color="auto" w:fill="C6EFCE"/>
            <w:noWrap/>
            <w:vAlign w:val="center"/>
          </w:tcPr>
          <w:p w14:paraId="0170147B" w14:textId="77777777" w:rsidR="00A612E2" w:rsidRPr="003B127D" w:rsidRDefault="00A612E2" w:rsidP="00742B81">
            <w:pPr>
              <w:rPr>
                <w:noProof/>
                <w:color w:val="006100"/>
                <w:sz w:val="20"/>
                <w:szCs w:val="20"/>
              </w:rPr>
            </w:pPr>
            <w:r>
              <w:rPr>
                <w:noProof/>
                <w:color w:val="006100"/>
                <w:sz w:val="20"/>
              </w:rPr>
              <w:t>Investeering 1.2. Kodu kui esimene ravi- ja telemeditsiinikoht</w:t>
            </w:r>
          </w:p>
        </w:tc>
        <w:tc>
          <w:tcPr>
            <w:tcW w:w="1453" w:type="dxa"/>
            <w:tcBorders>
              <w:top w:val="nil"/>
              <w:left w:val="nil"/>
              <w:bottom w:val="single" w:sz="4" w:space="0" w:color="auto"/>
              <w:right w:val="single" w:sz="4" w:space="0" w:color="auto"/>
            </w:tcBorders>
            <w:shd w:val="clear" w:color="auto" w:fill="C6EFCE"/>
            <w:noWrap/>
            <w:vAlign w:val="center"/>
          </w:tcPr>
          <w:p w14:paraId="43CE584C" w14:textId="77777777" w:rsidR="00A612E2" w:rsidRPr="00246CC4" w:rsidRDefault="00A612E2" w:rsidP="00742B81">
            <w:pPr>
              <w:rPr>
                <w:noProof/>
                <w:color w:val="006100"/>
                <w:sz w:val="20"/>
                <w:szCs w:val="20"/>
              </w:rPr>
            </w:pPr>
            <w:r>
              <w:rPr>
                <w:noProof/>
                <w:color w:val="006100"/>
                <w:sz w:val="20"/>
              </w:rPr>
              <w:t>Eesmärk</w:t>
            </w:r>
          </w:p>
        </w:tc>
        <w:tc>
          <w:tcPr>
            <w:tcW w:w="4035" w:type="dxa"/>
            <w:tcBorders>
              <w:top w:val="nil"/>
              <w:left w:val="nil"/>
              <w:bottom w:val="single" w:sz="4" w:space="0" w:color="auto"/>
              <w:right w:val="single" w:sz="4" w:space="0" w:color="auto"/>
            </w:tcBorders>
            <w:shd w:val="clear" w:color="auto" w:fill="C6EFCE"/>
            <w:noWrap/>
            <w:vAlign w:val="center"/>
          </w:tcPr>
          <w:p w14:paraId="5E1E3C7E" w14:textId="77777777" w:rsidR="00A612E2" w:rsidRPr="003B127D" w:rsidRDefault="00A612E2" w:rsidP="00742B81">
            <w:pPr>
              <w:jc w:val="center"/>
              <w:rPr>
                <w:noProof/>
                <w:color w:val="006100"/>
                <w:sz w:val="20"/>
                <w:szCs w:val="20"/>
              </w:rPr>
            </w:pPr>
            <w:r>
              <w:rPr>
                <w:noProof/>
                <w:color w:val="006100"/>
                <w:sz w:val="20"/>
              </w:rPr>
              <w:t>Koduhoolduse rakendamise digitaalset mudelit sisaldavate suuniste heakskiitmine</w:t>
            </w:r>
          </w:p>
        </w:tc>
      </w:tr>
      <w:tr w:rsidR="00A612E2" w:rsidRPr="00D90835" w14:paraId="47AF3BA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862191B" w14:textId="77777777" w:rsidR="00A612E2" w:rsidRPr="00246CC4" w:rsidRDefault="00A612E2" w:rsidP="00742B81">
            <w:pPr>
              <w:rPr>
                <w:noProof/>
                <w:color w:val="006100"/>
                <w:sz w:val="20"/>
                <w:szCs w:val="20"/>
              </w:rPr>
            </w:pPr>
            <w:r>
              <w:rPr>
                <w:noProof/>
                <w:color w:val="006100"/>
                <w:sz w:val="20"/>
              </w:rPr>
              <w:t>M6C1-5</w:t>
            </w:r>
          </w:p>
        </w:tc>
        <w:tc>
          <w:tcPr>
            <w:tcW w:w="3195" w:type="dxa"/>
            <w:tcBorders>
              <w:top w:val="nil"/>
              <w:left w:val="nil"/>
              <w:bottom w:val="single" w:sz="4" w:space="0" w:color="auto"/>
              <w:right w:val="single" w:sz="4" w:space="0" w:color="auto"/>
            </w:tcBorders>
            <w:shd w:val="clear" w:color="auto" w:fill="C6EFCE"/>
            <w:noWrap/>
            <w:vAlign w:val="center"/>
          </w:tcPr>
          <w:p w14:paraId="5669DB2D" w14:textId="77777777" w:rsidR="00A612E2" w:rsidRPr="003B127D" w:rsidRDefault="00A612E2" w:rsidP="00742B81">
            <w:pPr>
              <w:rPr>
                <w:noProof/>
                <w:color w:val="006100"/>
                <w:sz w:val="20"/>
                <w:szCs w:val="20"/>
              </w:rPr>
            </w:pPr>
            <w:r>
              <w:rPr>
                <w:noProof/>
                <w:color w:val="006100"/>
                <w:sz w:val="20"/>
              </w:rPr>
              <w:t>Investeering 1.2. Kodu kui esimene ravi- ja telemeditsiinikoht</w:t>
            </w:r>
          </w:p>
        </w:tc>
        <w:tc>
          <w:tcPr>
            <w:tcW w:w="1453" w:type="dxa"/>
            <w:tcBorders>
              <w:top w:val="nil"/>
              <w:left w:val="nil"/>
              <w:bottom w:val="single" w:sz="4" w:space="0" w:color="auto"/>
              <w:right w:val="single" w:sz="4" w:space="0" w:color="auto"/>
            </w:tcBorders>
            <w:shd w:val="clear" w:color="auto" w:fill="C6EFCE"/>
            <w:noWrap/>
            <w:vAlign w:val="center"/>
          </w:tcPr>
          <w:p w14:paraId="360A3A4B" w14:textId="77777777" w:rsidR="00A612E2" w:rsidRPr="00246CC4" w:rsidRDefault="00A612E2" w:rsidP="00742B81">
            <w:pPr>
              <w:rPr>
                <w:noProof/>
                <w:color w:val="006100"/>
                <w:sz w:val="20"/>
                <w:szCs w:val="20"/>
              </w:rPr>
            </w:pPr>
            <w:r>
              <w:rPr>
                <w:noProof/>
                <w:color w:val="006100"/>
                <w:sz w:val="20"/>
              </w:rPr>
              <w:t>Eesmärk</w:t>
            </w:r>
          </w:p>
        </w:tc>
        <w:tc>
          <w:tcPr>
            <w:tcW w:w="4035" w:type="dxa"/>
            <w:tcBorders>
              <w:top w:val="nil"/>
              <w:left w:val="nil"/>
              <w:bottom w:val="single" w:sz="4" w:space="0" w:color="auto"/>
              <w:right w:val="single" w:sz="4" w:space="0" w:color="auto"/>
            </w:tcBorders>
            <w:shd w:val="clear" w:color="auto" w:fill="C6EFCE"/>
            <w:noWrap/>
            <w:vAlign w:val="center"/>
          </w:tcPr>
          <w:p w14:paraId="416B2D22" w14:textId="77777777" w:rsidR="00A612E2" w:rsidRPr="003B127D" w:rsidRDefault="00A612E2" w:rsidP="00742B81">
            <w:pPr>
              <w:jc w:val="center"/>
              <w:rPr>
                <w:noProof/>
                <w:color w:val="006100"/>
                <w:sz w:val="20"/>
                <w:szCs w:val="20"/>
              </w:rPr>
            </w:pPr>
            <w:r>
              <w:rPr>
                <w:noProof/>
                <w:color w:val="006100"/>
                <w:sz w:val="20"/>
              </w:rPr>
              <w:t xml:space="preserve">Institutsioonilise arengu leping, mille on heaks kiitnud tervishoiu- ja regionaalministeerium </w:t>
            </w:r>
          </w:p>
        </w:tc>
      </w:tr>
      <w:tr w:rsidR="00A612E2" w:rsidRPr="00246CC4" w14:paraId="777D539A"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891633F" w14:textId="77777777" w:rsidR="00A612E2" w:rsidRPr="00246CC4" w:rsidRDefault="00A612E2" w:rsidP="00742B81">
            <w:pPr>
              <w:rPr>
                <w:noProof/>
                <w:color w:val="006100"/>
                <w:sz w:val="20"/>
                <w:szCs w:val="20"/>
              </w:rPr>
            </w:pPr>
            <w:r>
              <w:rPr>
                <w:noProof/>
                <w:color w:val="006100"/>
                <w:sz w:val="20"/>
              </w:rPr>
              <w:t>M6C1-10</w:t>
            </w:r>
          </w:p>
        </w:tc>
        <w:tc>
          <w:tcPr>
            <w:tcW w:w="3195" w:type="dxa"/>
            <w:tcBorders>
              <w:top w:val="nil"/>
              <w:left w:val="nil"/>
              <w:bottom w:val="single" w:sz="4" w:space="0" w:color="auto"/>
              <w:right w:val="single" w:sz="4" w:space="0" w:color="auto"/>
            </w:tcBorders>
            <w:shd w:val="clear" w:color="auto" w:fill="C6EFCE"/>
            <w:noWrap/>
            <w:vAlign w:val="center"/>
          </w:tcPr>
          <w:p w14:paraId="6C9923FA" w14:textId="77777777" w:rsidR="00A612E2" w:rsidRPr="003B127D" w:rsidRDefault="00A612E2" w:rsidP="00742B81">
            <w:pPr>
              <w:rPr>
                <w:noProof/>
                <w:color w:val="006100"/>
                <w:sz w:val="20"/>
                <w:szCs w:val="20"/>
              </w:rPr>
            </w:pPr>
            <w:r>
              <w:rPr>
                <w:noProof/>
                <w:color w:val="006100"/>
                <w:sz w:val="20"/>
              </w:rPr>
              <w:t>Investeering 1.3. Vahetasandi tervishoiu ja selle rajatiste tugevdamine (kogukonnahaiglad)</w:t>
            </w:r>
          </w:p>
        </w:tc>
        <w:tc>
          <w:tcPr>
            <w:tcW w:w="1453" w:type="dxa"/>
            <w:tcBorders>
              <w:top w:val="nil"/>
              <w:left w:val="nil"/>
              <w:bottom w:val="single" w:sz="4" w:space="0" w:color="auto"/>
              <w:right w:val="single" w:sz="4" w:space="0" w:color="auto"/>
            </w:tcBorders>
            <w:shd w:val="clear" w:color="auto" w:fill="C6EFCE"/>
            <w:noWrap/>
            <w:vAlign w:val="center"/>
          </w:tcPr>
          <w:p w14:paraId="4A062196" w14:textId="77777777" w:rsidR="00A612E2" w:rsidRPr="00246CC4" w:rsidRDefault="00A612E2" w:rsidP="00742B81">
            <w:pPr>
              <w:rPr>
                <w:noProof/>
                <w:color w:val="006100"/>
                <w:sz w:val="20"/>
                <w:szCs w:val="20"/>
              </w:rPr>
            </w:pPr>
            <w:r>
              <w:rPr>
                <w:noProof/>
                <w:color w:val="006100"/>
                <w:sz w:val="20"/>
              </w:rPr>
              <w:t>Eesmärk</w:t>
            </w:r>
          </w:p>
        </w:tc>
        <w:tc>
          <w:tcPr>
            <w:tcW w:w="4035" w:type="dxa"/>
            <w:tcBorders>
              <w:top w:val="nil"/>
              <w:left w:val="nil"/>
              <w:bottom w:val="single" w:sz="4" w:space="0" w:color="auto"/>
              <w:right w:val="single" w:sz="4" w:space="0" w:color="auto"/>
            </w:tcBorders>
            <w:shd w:val="clear" w:color="auto" w:fill="C6EFCE"/>
            <w:noWrap/>
            <w:vAlign w:val="center"/>
          </w:tcPr>
          <w:p w14:paraId="68434364" w14:textId="77777777" w:rsidR="00A612E2" w:rsidRPr="00246CC4" w:rsidRDefault="00A612E2" w:rsidP="00742B81">
            <w:pPr>
              <w:jc w:val="center"/>
              <w:rPr>
                <w:noProof/>
                <w:color w:val="006100"/>
                <w:sz w:val="20"/>
                <w:szCs w:val="20"/>
              </w:rPr>
            </w:pPr>
            <w:r>
              <w:rPr>
                <w:noProof/>
                <w:color w:val="006100"/>
                <w:sz w:val="20"/>
              </w:rPr>
              <w:t>Institutsioonilise arengu lepingu (Contratto Istituzionale di Sviluppo) heakskiitmine</w:t>
            </w:r>
          </w:p>
        </w:tc>
      </w:tr>
      <w:tr w:rsidR="00A612E2" w:rsidRPr="00D90835" w14:paraId="1FDCBD0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DFD39F4" w14:textId="77777777" w:rsidR="00A612E2" w:rsidRPr="00246CC4" w:rsidRDefault="00A612E2" w:rsidP="00742B81">
            <w:pPr>
              <w:rPr>
                <w:noProof/>
                <w:color w:val="006100"/>
                <w:sz w:val="20"/>
                <w:szCs w:val="20"/>
              </w:rPr>
            </w:pPr>
            <w:r>
              <w:rPr>
                <w:noProof/>
                <w:color w:val="006100"/>
                <w:sz w:val="20"/>
              </w:rPr>
              <w:t>M6C2-5</w:t>
            </w:r>
          </w:p>
        </w:tc>
        <w:tc>
          <w:tcPr>
            <w:tcW w:w="3195" w:type="dxa"/>
            <w:tcBorders>
              <w:top w:val="nil"/>
              <w:left w:val="nil"/>
              <w:bottom w:val="single" w:sz="4" w:space="0" w:color="auto"/>
              <w:right w:val="single" w:sz="4" w:space="0" w:color="auto"/>
            </w:tcBorders>
            <w:shd w:val="clear" w:color="auto" w:fill="C6EFCE"/>
            <w:noWrap/>
            <w:vAlign w:val="center"/>
          </w:tcPr>
          <w:p w14:paraId="16A4F4A0" w14:textId="77777777" w:rsidR="00A612E2" w:rsidRPr="003B127D" w:rsidRDefault="00A612E2" w:rsidP="00742B81">
            <w:pPr>
              <w:rPr>
                <w:noProof/>
                <w:color w:val="006100"/>
                <w:sz w:val="20"/>
                <w:szCs w:val="20"/>
              </w:rPr>
            </w:pPr>
            <w:r>
              <w:rPr>
                <w:noProof/>
                <w:color w:val="006600"/>
                <w:sz w:val="20"/>
              </w:rPr>
              <w:t>Investeering 1.1. Haiglate tehniliste seadmete digitaalne ajakohastamine.</w:t>
            </w:r>
          </w:p>
        </w:tc>
        <w:tc>
          <w:tcPr>
            <w:tcW w:w="1453" w:type="dxa"/>
            <w:tcBorders>
              <w:top w:val="nil"/>
              <w:left w:val="nil"/>
              <w:bottom w:val="single" w:sz="4" w:space="0" w:color="auto"/>
              <w:right w:val="single" w:sz="4" w:space="0" w:color="auto"/>
            </w:tcBorders>
            <w:shd w:val="clear" w:color="auto" w:fill="C6EFCE"/>
            <w:noWrap/>
            <w:vAlign w:val="center"/>
          </w:tcPr>
          <w:p w14:paraId="51494D54" w14:textId="77777777" w:rsidR="00A612E2" w:rsidRPr="00246CC4" w:rsidRDefault="00A612E2" w:rsidP="00742B81">
            <w:pPr>
              <w:rPr>
                <w:noProof/>
                <w:color w:val="006100"/>
                <w:sz w:val="20"/>
                <w:szCs w:val="20"/>
              </w:rPr>
            </w:pPr>
            <w:r>
              <w:rPr>
                <w:noProof/>
                <w:color w:val="006600"/>
                <w:sz w:val="20"/>
              </w:rPr>
              <w:t>Eesmärk</w:t>
            </w:r>
          </w:p>
        </w:tc>
        <w:tc>
          <w:tcPr>
            <w:tcW w:w="4035" w:type="dxa"/>
            <w:tcBorders>
              <w:top w:val="nil"/>
              <w:left w:val="nil"/>
              <w:bottom w:val="single" w:sz="4" w:space="0" w:color="auto"/>
              <w:right w:val="single" w:sz="4" w:space="0" w:color="auto"/>
            </w:tcBorders>
            <w:shd w:val="clear" w:color="auto" w:fill="C6EFCE"/>
            <w:noWrap/>
            <w:vAlign w:val="center"/>
          </w:tcPr>
          <w:p w14:paraId="042879FE" w14:textId="77777777" w:rsidR="00A612E2" w:rsidRPr="003B127D" w:rsidRDefault="00A612E2" w:rsidP="00742B81">
            <w:pPr>
              <w:jc w:val="center"/>
              <w:rPr>
                <w:noProof/>
                <w:color w:val="006600"/>
                <w:sz w:val="20"/>
                <w:szCs w:val="20"/>
              </w:rPr>
            </w:pPr>
            <w:r>
              <w:rPr>
                <w:noProof/>
                <w:color w:val="006600"/>
                <w:sz w:val="20"/>
              </w:rPr>
              <w:t>Institutsioonilise arengu lepingu heakskiitmine</w:t>
            </w:r>
          </w:p>
        </w:tc>
      </w:tr>
      <w:tr w:rsidR="00A612E2" w:rsidRPr="00246CC4" w14:paraId="42349813" w14:textId="77777777" w:rsidTr="00742B81">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724C480C" w14:textId="77777777" w:rsidR="00A612E2" w:rsidRPr="003B127D" w:rsidRDefault="00A612E2" w:rsidP="00742B81">
            <w:pPr>
              <w:jc w:val="center"/>
              <w:rPr>
                <w:noProof/>
                <w:color w:val="006100"/>
                <w:sz w:val="20"/>
                <w:szCs w:val="20"/>
                <w:lang w:val="en-IE"/>
              </w:rPr>
            </w:pPr>
          </w:p>
        </w:tc>
        <w:tc>
          <w:tcPr>
            <w:tcW w:w="3195" w:type="dxa"/>
            <w:tcBorders>
              <w:top w:val="single" w:sz="4" w:space="0" w:color="auto"/>
              <w:left w:val="nil"/>
              <w:bottom w:val="single" w:sz="4" w:space="0" w:color="auto"/>
              <w:right w:val="single" w:sz="4" w:space="0" w:color="auto"/>
            </w:tcBorders>
            <w:shd w:val="clear" w:color="auto" w:fill="C6EFCE"/>
            <w:noWrap/>
            <w:vAlign w:val="bottom"/>
          </w:tcPr>
          <w:p w14:paraId="7374EF64" w14:textId="77777777" w:rsidR="00A612E2" w:rsidRPr="003B127D" w:rsidRDefault="00A612E2" w:rsidP="00742B81">
            <w:pPr>
              <w:rPr>
                <w:noProof/>
                <w:color w:val="006100"/>
                <w:sz w:val="20"/>
                <w:szCs w:val="20"/>
                <w:lang w:val="en-IE"/>
              </w:rPr>
            </w:pPr>
          </w:p>
        </w:tc>
        <w:tc>
          <w:tcPr>
            <w:tcW w:w="1453" w:type="dxa"/>
            <w:tcBorders>
              <w:top w:val="single" w:sz="4" w:space="0" w:color="auto"/>
              <w:left w:val="nil"/>
              <w:bottom w:val="single" w:sz="4" w:space="0" w:color="auto"/>
              <w:right w:val="single" w:sz="4" w:space="0" w:color="auto"/>
            </w:tcBorders>
            <w:shd w:val="clear" w:color="auto" w:fill="C6EFCE"/>
            <w:noWrap/>
            <w:vAlign w:val="bottom"/>
          </w:tcPr>
          <w:p w14:paraId="6810B30E" w14:textId="77777777" w:rsidR="00A612E2" w:rsidRPr="00246CC4" w:rsidRDefault="00A612E2" w:rsidP="00742B81">
            <w:pPr>
              <w:rPr>
                <w:noProof/>
                <w:color w:val="006100"/>
                <w:sz w:val="20"/>
                <w:szCs w:val="20"/>
              </w:rPr>
            </w:pPr>
            <w:r>
              <w:rPr>
                <w:noProof/>
                <w:color w:val="006100"/>
                <w:sz w:val="20"/>
              </w:rPr>
              <w:t>Osamakse summa</w:t>
            </w:r>
          </w:p>
        </w:tc>
        <w:tc>
          <w:tcPr>
            <w:tcW w:w="4035" w:type="dxa"/>
            <w:tcBorders>
              <w:top w:val="single" w:sz="4" w:space="0" w:color="auto"/>
              <w:left w:val="nil"/>
              <w:bottom w:val="single" w:sz="4" w:space="0" w:color="auto"/>
              <w:right w:val="single" w:sz="4" w:space="0" w:color="auto"/>
            </w:tcBorders>
            <w:shd w:val="clear" w:color="auto" w:fill="C6EFCE"/>
            <w:noWrap/>
            <w:vAlign w:val="bottom"/>
          </w:tcPr>
          <w:p w14:paraId="63B2174C" w14:textId="77777777" w:rsidR="00A612E2" w:rsidRPr="00246CC4" w:rsidRDefault="00A612E2" w:rsidP="00742B81">
            <w:pPr>
              <w:rPr>
                <w:noProof/>
                <w:color w:val="006100"/>
                <w:sz w:val="20"/>
                <w:szCs w:val="20"/>
              </w:rPr>
            </w:pPr>
            <w:r>
              <w:rPr>
                <w:noProof/>
                <w:color w:val="006100"/>
                <w:sz w:val="20"/>
              </w:rPr>
              <w:t>12</w:t>
            </w:r>
            <w:r>
              <w:rPr>
                <w:rFonts w:ascii="Arial Narrow" w:hAnsi="Arial Narrow"/>
                <w:noProof/>
                <w:color w:val="006100"/>
                <w:sz w:val="20"/>
              </w:rPr>
              <w:t xml:space="preserve"> </w:t>
            </w:r>
            <w:r>
              <w:rPr>
                <w:noProof/>
                <w:color w:val="006100"/>
                <w:sz w:val="20"/>
              </w:rPr>
              <w:t>643</w:t>
            </w:r>
            <w:r>
              <w:rPr>
                <w:rFonts w:ascii="Arial Narrow" w:hAnsi="Arial Narrow"/>
                <w:noProof/>
                <w:color w:val="006100"/>
                <w:sz w:val="20"/>
              </w:rPr>
              <w:t xml:space="preserve"> </w:t>
            </w:r>
            <w:r>
              <w:rPr>
                <w:noProof/>
                <w:color w:val="006100"/>
                <w:sz w:val="20"/>
              </w:rPr>
              <w:t>678</w:t>
            </w:r>
            <w:r>
              <w:rPr>
                <w:rFonts w:ascii="Arial Narrow" w:hAnsi="Arial Narrow"/>
                <w:noProof/>
                <w:color w:val="006100"/>
                <w:sz w:val="20"/>
              </w:rPr>
              <w:t xml:space="preserve"> </w:t>
            </w:r>
            <w:r>
              <w:rPr>
                <w:noProof/>
                <w:color w:val="006100"/>
                <w:sz w:val="20"/>
              </w:rPr>
              <w:t>161 eurot</w:t>
            </w:r>
          </w:p>
        </w:tc>
      </w:tr>
    </w:tbl>
    <w:p w14:paraId="76BAE618" w14:textId="77777777" w:rsidR="00A612E2" w:rsidRDefault="00A612E2" w:rsidP="00A612E2">
      <w:pPr>
        <w:spacing w:before="120" w:after="120"/>
        <w:jc w:val="both"/>
        <w:rPr>
          <w:rFonts w:eastAsia="Calibri"/>
          <w:noProof/>
          <w:lang w:val="en-GB"/>
        </w:rPr>
      </w:pPr>
    </w:p>
    <w:p w14:paraId="4556D4D1" w14:textId="77777777" w:rsidR="00A612E2" w:rsidRPr="00246CC4" w:rsidRDefault="00A612E2" w:rsidP="00A612E2">
      <w:pPr>
        <w:numPr>
          <w:ilvl w:val="1"/>
          <w:numId w:val="6"/>
        </w:numPr>
        <w:spacing w:before="120" w:after="120"/>
        <w:jc w:val="both"/>
        <w:rPr>
          <w:rFonts w:eastAsia="Calibri"/>
          <w:noProof/>
        </w:rPr>
      </w:pPr>
      <w:r>
        <w:rPr>
          <w:noProof/>
        </w:rPr>
        <w:t>Kolmas osamakse (laenutoetus):</w:t>
      </w:r>
    </w:p>
    <w:tbl>
      <w:tblPr>
        <w:tblW w:w="101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3150"/>
        <w:gridCol w:w="1485"/>
        <w:gridCol w:w="4065"/>
      </w:tblGrid>
      <w:tr w:rsidR="00A612E2" w:rsidRPr="00246CC4" w14:paraId="4F9D515B" w14:textId="77777777" w:rsidTr="00742B81">
        <w:trPr>
          <w:trHeight w:val="906"/>
        </w:trPr>
        <w:tc>
          <w:tcPr>
            <w:tcW w:w="1413" w:type="dxa"/>
            <w:vMerge w:val="restart"/>
            <w:shd w:val="clear" w:color="auto" w:fill="BDD7EE"/>
            <w:vAlign w:val="center"/>
            <w:hideMark/>
          </w:tcPr>
          <w:p w14:paraId="2F2F1CCF" w14:textId="77777777" w:rsidR="00A612E2" w:rsidRPr="00246CC4" w:rsidRDefault="00A612E2" w:rsidP="00742B81">
            <w:pPr>
              <w:jc w:val="center"/>
              <w:rPr>
                <w:b/>
                <w:bCs/>
                <w:noProof/>
                <w:sz w:val="20"/>
                <w:szCs w:val="20"/>
              </w:rPr>
            </w:pPr>
            <w:r>
              <w:rPr>
                <w:b/>
                <w:noProof/>
                <w:sz w:val="20"/>
              </w:rPr>
              <w:t>Järjekorranumber</w:t>
            </w:r>
          </w:p>
        </w:tc>
        <w:tc>
          <w:tcPr>
            <w:tcW w:w="3150" w:type="dxa"/>
            <w:vMerge w:val="restart"/>
            <w:shd w:val="clear" w:color="auto" w:fill="BDD7EE"/>
            <w:vAlign w:val="center"/>
            <w:hideMark/>
          </w:tcPr>
          <w:p w14:paraId="3D710498" w14:textId="77777777" w:rsidR="00A612E2" w:rsidRPr="003B127D" w:rsidRDefault="00A612E2" w:rsidP="00742B81">
            <w:pPr>
              <w:jc w:val="center"/>
              <w:rPr>
                <w:b/>
                <w:bCs/>
                <w:noProof/>
                <w:sz w:val="20"/>
                <w:szCs w:val="20"/>
              </w:rPr>
            </w:pPr>
            <w:r>
              <w:rPr>
                <w:b/>
                <w:noProof/>
                <w:sz w:val="20"/>
              </w:rPr>
              <w:t>Seotud meede (reform või investeering)</w:t>
            </w:r>
          </w:p>
        </w:tc>
        <w:tc>
          <w:tcPr>
            <w:tcW w:w="1485" w:type="dxa"/>
            <w:vMerge w:val="restart"/>
            <w:shd w:val="clear" w:color="auto" w:fill="BDD7EE"/>
            <w:vAlign w:val="center"/>
            <w:hideMark/>
          </w:tcPr>
          <w:p w14:paraId="33CA1B6E" w14:textId="77777777" w:rsidR="00A612E2" w:rsidRPr="00246CC4" w:rsidRDefault="00A612E2" w:rsidP="00742B81">
            <w:pPr>
              <w:jc w:val="center"/>
              <w:rPr>
                <w:b/>
                <w:bCs/>
                <w:noProof/>
                <w:sz w:val="20"/>
                <w:szCs w:val="20"/>
              </w:rPr>
            </w:pPr>
            <w:r>
              <w:rPr>
                <w:b/>
                <w:noProof/>
                <w:sz w:val="20"/>
              </w:rPr>
              <w:t>Eesmärk / siht</w:t>
            </w:r>
          </w:p>
        </w:tc>
        <w:tc>
          <w:tcPr>
            <w:tcW w:w="4065" w:type="dxa"/>
            <w:vMerge w:val="restart"/>
            <w:shd w:val="clear" w:color="auto" w:fill="BDD7EE"/>
            <w:vAlign w:val="center"/>
            <w:hideMark/>
          </w:tcPr>
          <w:p w14:paraId="6B8B0720" w14:textId="77777777" w:rsidR="00A612E2" w:rsidRPr="00246CC4" w:rsidRDefault="00A612E2" w:rsidP="00742B81">
            <w:pPr>
              <w:jc w:val="center"/>
              <w:rPr>
                <w:b/>
                <w:bCs/>
                <w:noProof/>
                <w:sz w:val="20"/>
                <w:szCs w:val="20"/>
              </w:rPr>
            </w:pPr>
            <w:r>
              <w:rPr>
                <w:b/>
                <w:noProof/>
                <w:sz w:val="20"/>
              </w:rPr>
              <w:t>Nimi</w:t>
            </w:r>
          </w:p>
        </w:tc>
      </w:tr>
      <w:tr w:rsidR="00A612E2" w:rsidRPr="00246CC4" w14:paraId="5DFC81B5" w14:textId="77777777" w:rsidTr="00283CDE">
        <w:trPr>
          <w:trHeight w:val="458"/>
        </w:trPr>
        <w:tc>
          <w:tcPr>
            <w:tcW w:w="1413" w:type="dxa"/>
            <w:vMerge/>
            <w:vAlign w:val="center"/>
            <w:hideMark/>
          </w:tcPr>
          <w:p w14:paraId="6146FE47" w14:textId="77777777" w:rsidR="00A612E2" w:rsidRPr="00246CC4" w:rsidRDefault="00A612E2" w:rsidP="00742B81">
            <w:pPr>
              <w:rPr>
                <w:b/>
                <w:bCs/>
                <w:noProof/>
              </w:rPr>
            </w:pPr>
          </w:p>
        </w:tc>
        <w:tc>
          <w:tcPr>
            <w:tcW w:w="3150" w:type="dxa"/>
            <w:vMerge/>
            <w:vAlign w:val="center"/>
            <w:hideMark/>
          </w:tcPr>
          <w:p w14:paraId="7B95CB0C" w14:textId="77777777" w:rsidR="00A612E2" w:rsidRPr="00246CC4" w:rsidRDefault="00A612E2" w:rsidP="00742B81">
            <w:pPr>
              <w:rPr>
                <w:b/>
                <w:bCs/>
                <w:noProof/>
              </w:rPr>
            </w:pPr>
          </w:p>
        </w:tc>
        <w:tc>
          <w:tcPr>
            <w:tcW w:w="1485" w:type="dxa"/>
            <w:vMerge/>
            <w:vAlign w:val="center"/>
            <w:hideMark/>
          </w:tcPr>
          <w:p w14:paraId="3C9B82B8" w14:textId="77777777" w:rsidR="00A612E2" w:rsidRPr="00246CC4" w:rsidRDefault="00A612E2" w:rsidP="00742B81">
            <w:pPr>
              <w:rPr>
                <w:b/>
                <w:bCs/>
                <w:noProof/>
              </w:rPr>
            </w:pPr>
          </w:p>
        </w:tc>
        <w:tc>
          <w:tcPr>
            <w:tcW w:w="4065" w:type="dxa"/>
            <w:vMerge/>
            <w:vAlign w:val="center"/>
            <w:hideMark/>
          </w:tcPr>
          <w:p w14:paraId="34F2B452" w14:textId="77777777" w:rsidR="00A612E2" w:rsidRPr="00246CC4" w:rsidRDefault="00A612E2" w:rsidP="00742B81">
            <w:pPr>
              <w:rPr>
                <w:b/>
                <w:bCs/>
                <w:noProof/>
              </w:rPr>
            </w:pPr>
          </w:p>
        </w:tc>
      </w:tr>
      <w:tr w:rsidR="00A612E2" w:rsidRPr="00D90835" w14:paraId="0C9F1B73" w14:textId="77777777" w:rsidTr="00742B81">
        <w:trPr>
          <w:trHeight w:val="302"/>
        </w:trPr>
        <w:tc>
          <w:tcPr>
            <w:tcW w:w="1413" w:type="dxa"/>
            <w:shd w:val="clear" w:color="auto" w:fill="C6EFCE"/>
            <w:noWrap/>
            <w:vAlign w:val="center"/>
          </w:tcPr>
          <w:p w14:paraId="3B08E761" w14:textId="77777777" w:rsidR="00A612E2" w:rsidRPr="00246CC4" w:rsidRDefault="00A612E2" w:rsidP="00742B81">
            <w:pPr>
              <w:rPr>
                <w:noProof/>
                <w:color w:val="006100"/>
                <w:sz w:val="20"/>
                <w:szCs w:val="20"/>
              </w:rPr>
            </w:pPr>
            <w:r>
              <w:rPr>
                <w:noProof/>
                <w:color w:val="006100"/>
                <w:sz w:val="20"/>
              </w:rPr>
              <w:t>M2C1-18</w:t>
            </w:r>
          </w:p>
        </w:tc>
        <w:tc>
          <w:tcPr>
            <w:tcW w:w="3150" w:type="dxa"/>
            <w:shd w:val="clear" w:color="auto" w:fill="C6EFCE"/>
            <w:noWrap/>
            <w:vAlign w:val="center"/>
          </w:tcPr>
          <w:p w14:paraId="5FA139EC" w14:textId="77777777" w:rsidR="00A612E2" w:rsidRPr="00246CC4" w:rsidRDefault="00A612E2" w:rsidP="00742B81">
            <w:pPr>
              <w:rPr>
                <w:noProof/>
                <w:color w:val="006100"/>
                <w:sz w:val="20"/>
                <w:szCs w:val="20"/>
              </w:rPr>
            </w:pPr>
            <w:r>
              <w:rPr>
                <w:noProof/>
                <w:color w:val="006100"/>
                <w:sz w:val="20"/>
              </w:rPr>
              <w:t>Investeering 3.1. Rohelised saared</w:t>
            </w:r>
          </w:p>
        </w:tc>
        <w:tc>
          <w:tcPr>
            <w:tcW w:w="1485" w:type="dxa"/>
            <w:shd w:val="clear" w:color="auto" w:fill="C6EFCE"/>
            <w:noWrap/>
            <w:vAlign w:val="center"/>
          </w:tcPr>
          <w:p w14:paraId="4737E9BA" w14:textId="77777777" w:rsidR="00A612E2" w:rsidRPr="00246CC4" w:rsidRDefault="00A612E2" w:rsidP="00742B81">
            <w:pPr>
              <w:rPr>
                <w:noProof/>
                <w:color w:val="006100"/>
                <w:sz w:val="20"/>
                <w:szCs w:val="20"/>
              </w:rPr>
            </w:pPr>
            <w:r>
              <w:rPr>
                <w:noProof/>
                <w:color w:val="006100"/>
                <w:sz w:val="20"/>
              </w:rPr>
              <w:t>Eesmärk</w:t>
            </w:r>
          </w:p>
        </w:tc>
        <w:tc>
          <w:tcPr>
            <w:tcW w:w="4065" w:type="dxa"/>
            <w:shd w:val="clear" w:color="auto" w:fill="C6EFCE"/>
            <w:noWrap/>
            <w:vAlign w:val="center"/>
          </w:tcPr>
          <w:p w14:paraId="470E59FD" w14:textId="77777777" w:rsidR="00A612E2" w:rsidRPr="003B127D" w:rsidRDefault="00A612E2" w:rsidP="00742B81">
            <w:pPr>
              <w:jc w:val="center"/>
              <w:rPr>
                <w:noProof/>
                <w:color w:val="006100"/>
                <w:sz w:val="20"/>
                <w:szCs w:val="20"/>
              </w:rPr>
            </w:pPr>
            <w:r>
              <w:rPr>
                <w:noProof/>
                <w:color w:val="006100"/>
                <w:sz w:val="20"/>
              </w:rPr>
              <w:t>Direktori dekreedi jõustumine</w:t>
            </w:r>
          </w:p>
        </w:tc>
      </w:tr>
      <w:tr w:rsidR="00A612E2" w:rsidRPr="00D90835" w14:paraId="23B44763" w14:textId="77777777" w:rsidTr="00742B81">
        <w:trPr>
          <w:trHeight w:val="302"/>
        </w:trPr>
        <w:tc>
          <w:tcPr>
            <w:tcW w:w="1413" w:type="dxa"/>
            <w:shd w:val="clear" w:color="auto" w:fill="C6EFCE"/>
            <w:noWrap/>
            <w:vAlign w:val="center"/>
          </w:tcPr>
          <w:p w14:paraId="4EECCAC4" w14:textId="77777777" w:rsidR="00A612E2" w:rsidRPr="00246CC4" w:rsidRDefault="00A612E2" w:rsidP="00742B81">
            <w:pPr>
              <w:rPr>
                <w:noProof/>
                <w:color w:val="006100"/>
                <w:sz w:val="20"/>
                <w:szCs w:val="20"/>
              </w:rPr>
            </w:pPr>
            <w:r>
              <w:rPr>
                <w:noProof/>
                <w:color w:val="006100"/>
                <w:sz w:val="20"/>
              </w:rPr>
              <w:t>M2C1-20</w:t>
            </w:r>
          </w:p>
        </w:tc>
        <w:tc>
          <w:tcPr>
            <w:tcW w:w="3150" w:type="dxa"/>
            <w:shd w:val="clear" w:color="auto" w:fill="C6EFCE"/>
            <w:noWrap/>
            <w:vAlign w:val="center"/>
          </w:tcPr>
          <w:p w14:paraId="6D2B9FAF" w14:textId="77777777" w:rsidR="00A612E2" w:rsidRPr="00246CC4" w:rsidRDefault="00A612E2" w:rsidP="00742B81">
            <w:pPr>
              <w:rPr>
                <w:noProof/>
                <w:color w:val="006100"/>
                <w:sz w:val="20"/>
                <w:szCs w:val="20"/>
              </w:rPr>
            </w:pPr>
            <w:r>
              <w:rPr>
                <w:noProof/>
                <w:color w:val="006100"/>
                <w:sz w:val="20"/>
              </w:rPr>
              <w:t>Investeering 3.2. Rohelised kogukonnad</w:t>
            </w:r>
          </w:p>
        </w:tc>
        <w:tc>
          <w:tcPr>
            <w:tcW w:w="1485" w:type="dxa"/>
            <w:shd w:val="clear" w:color="auto" w:fill="C6EFCE"/>
            <w:noWrap/>
            <w:vAlign w:val="center"/>
          </w:tcPr>
          <w:p w14:paraId="3D99FEA6" w14:textId="77777777" w:rsidR="00A612E2" w:rsidRPr="00246CC4" w:rsidRDefault="00A612E2" w:rsidP="00742B81">
            <w:pPr>
              <w:rPr>
                <w:noProof/>
                <w:color w:val="006100"/>
                <w:sz w:val="20"/>
                <w:szCs w:val="20"/>
              </w:rPr>
            </w:pPr>
            <w:r>
              <w:rPr>
                <w:noProof/>
                <w:color w:val="006100"/>
                <w:sz w:val="20"/>
              </w:rPr>
              <w:t>Eesmärk</w:t>
            </w:r>
          </w:p>
        </w:tc>
        <w:tc>
          <w:tcPr>
            <w:tcW w:w="4065" w:type="dxa"/>
            <w:shd w:val="clear" w:color="auto" w:fill="C6EFCE"/>
            <w:noWrap/>
            <w:vAlign w:val="center"/>
          </w:tcPr>
          <w:p w14:paraId="57CB0CBB" w14:textId="77777777" w:rsidR="00A612E2" w:rsidRPr="003B127D" w:rsidRDefault="00A612E2" w:rsidP="00742B81">
            <w:pPr>
              <w:jc w:val="center"/>
              <w:rPr>
                <w:noProof/>
                <w:color w:val="006100"/>
                <w:sz w:val="20"/>
                <w:szCs w:val="20"/>
              </w:rPr>
            </w:pPr>
            <w:r>
              <w:rPr>
                <w:noProof/>
                <w:color w:val="006100"/>
                <w:sz w:val="20"/>
              </w:rPr>
              <w:t>(Kõikide) riigihankelepingute sõlmimine roheliste kogukondade valimiseks</w:t>
            </w:r>
          </w:p>
        </w:tc>
      </w:tr>
      <w:tr w:rsidR="00A612E2" w:rsidRPr="00D90835" w14:paraId="039B35D0" w14:textId="77777777" w:rsidTr="00742B81">
        <w:trPr>
          <w:trHeight w:val="302"/>
        </w:trPr>
        <w:tc>
          <w:tcPr>
            <w:tcW w:w="1413" w:type="dxa"/>
            <w:shd w:val="clear" w:color="auto" w:fill="C6EFCE"/>
            <w:noWrap/>
            <w:vAlign w:val="center"/>
          </w:tcPr>
          <w:p w14:paraId="5623788E" w14:textId="77777777" w:rsidR="00A612E2" w:rsidRPr="00246CC4" w:rsidRDefault="00A612E2" w:rsidP="00742B81">
            <w:pPr>
              <w:rPr>
                <w:noProof/>
                <w:color w:val="006100"/>
                <w:sz w:val="20"/>
                <w:szCs w:val="20"/>
              </w:rPr>
            </w:pPr>
            <w:r>
              <w:rPr>
                <w:noProof/>
                <w:color w:val="006100"/>
                <w:sz w:val="20"/>
              </w:rPr>
              <w:t>M5C2-17</w:t>
            </w:r>
          </w:p>
        </w:tc>
        <w:tc>
          <w:tcPr>
            <w:tcW w:w="3150" w:type="dxa"/>
            <w:shd w:val="clear" w:color="auto" w:fill="C6EFCE"/>
            <w:noWrap/>
            <w:vAlign w:val="center"/>
          </w:tcPr>
          <w:p w14:paraId="29D4C664" w14:textId="77777777" w:rsidR="00A612E2" w:rsidRPr="003B127D" w:rsidRDefault="00A612E2" w:rsidP="00742B81">
            <w:pPr>
              <w:rPr>
                <w:noProof/>
                <w:color w:val="006100"/>
                <w:sz w:val="20"/>
                <w:szCs w:val="20"/>
              </w:rPr>
            </w:pPr>
            <w:r>
              <w:rPr>
                <w:noProof/>
                <w:color w:val="006100"/>
                <w:sz w:val="20"/>
              </w:rPr>
              <w:t>Investeering 5. Linnade integratsioonikavad - EIB Fund-Of-Fund</w:t>
            </w:r>
          </w:p>
        </w:tc>
        <w:tc>
          <w:tcPr>
            <w:tcW w:w="1485" w:type="dxa"/>
            <w:shd w:val="clear" w:color="auto" w:fill="C6EFCE"/>
            <w:noWrap/>
            <w:vAlign w:val="center"/>
          </w:tcPr>
          <w:p w14:paraId="62CBA5E5" w14:textId="77777777" w:rsidR="00A612E2" w:rsidRPr="00246CC4" w:rsidRDefault="00A612E2" w:rsidP="00742B81">
            <w:pPr>
              <w:rPr>
                <w:noProof/>
                <w:color w:val="006100"/>
                <w:sz w:val="20"/>
                <w:szCs w:val="20"/>
              </w:rPr>
            </w:pPr>
            <w:r>
              <w:rPr>
                <w:noProof/>
                <w:color w:val="006100"/>
                <w:sz w:val="20"/>
              </w:rPr>
              <w:t>Eesmärk</w:t>
            </w:r>
          </w:p>
        </w:tc>
        <w:tc>
          <w:tcPr>
            <w:tcW w:w="4065" w:type="dxa"/>
            <w:shd w:val="clear" w:color="auto" w:fill="C6EFCE"/>
            <w:noWrap/>
            <w:vAlign w:val="center"/>
          </w:tcPr>
          <w:p w14:paraId="39A82B8B" w14:textId="77777777" w:rsidR="00A612E2" w:rsidRPr="003B127D" w:rsidRDefault="00A612E2" w:rsidP="00742B81">
            <w:pPr>
              <w:jc w:val="center"/>
              <w:rPr>
                <w:noProof/>
                <w:color w:val="006100"/>
                <w:sz w:val="20"/>
                <w:szCs w:val="20"/>
              </w:rPr>
            </w:pPr>
            <w:r>
              <w:rPr>
                <w:noProof/>
                <w:color w:val="006100"/>
                <w:sz w:val="20"/>
              </w:rPr>
              <w:t>Fondi investeerimisstrateegia kiidab heaks rahandusministeerium.</w:t>
            </w:r>
          </w:p>
        </w:tc>
      </w:tr>
      <w:tr w:rsidR="00A612E2" w:rsidRPr="00D90835" w14:paraId="483CEED6" w14:textId="77777777" w:rsidTr="00742B81">
        <w:trPr>
          <w:trHeight w:val="302"/>
        </w:trPr>
        <w:tc>
          <w:tcPr>
            <w:tcW w:w="1413" w:type="dxa"/>
            <w:shd w:val="clear" w:color="auto" w:fill="C6EFCE"/>
            <w:noWrap/>
            <w:vAlign w:val="center"/>
          </w:tcPr>
          <w:p w14:paraId="746C1685" w14:textId="77777777" w:rsidR="00A612E2" w:rsidRPr="00246CC4" w:rsidRDefault="00A612E2" w:rsidP="00742B81">
            <w:pPr>
              <w:rPr>
                <w:noProof/>
                <w:color w:val="006100"/>
                <w:sz w:val="20"/>
                <w:szCs w:val="20"/>
              </w:rPr>
            </w:pPr>
            <w:r>
              <w:rPr>
                <w:noProof/>
                <w:color w:val="006100"/>
                <w:sz w:val="20"/>
              </w:rPr>
              <w:t>M1C1-123</w:t>
            </w:r>
          </w:p>
        </w:tc>
        <w:tc>
          <w:tcPr>
            <w:tcW w:w="3150" w:type="dxa"/>
            <w:shd w:val="clear" w:color="auto" w:fill="C6EFCE"/>
            <w:noWrap/>
            <w:vAlign w:val="center"/>
          </w:tcPr>
          <w:p w14:paraId="71A8E1BA" w14:textId="77777777" w:rsidR="00A612E2" w:rsidRPr="003B127D" w:rsidRDefault="00A612E2" w:rsidP="00742B81">
            <w:pPr>
              <w:rPr>
                <w:noProof/>
                <w:color w:val="006100"/>
                <w:sz w:val="20"/>
                <w:szCs w:val="20"/>
              </w:rPr>
            </w:pPr>
            <w:r>
              <w:rPr>
                <w:noProof/>
                <w:color w:val="006100"/>
                <w:sz w:val="20"/>
              </w:rPr>
              <w:t>Investeering 1.6.3. Riikliku sotsiaalkindlustusameti (INPS) ja riikliku tööõnnetuste vastu kindlustamise instituudi (INAIL) digitaliseerimine</w:t>
            </w:r>
          </w:p>
        </w:tc>
        <w:tc>
          <w:tcPr>
            <w:tcW w:w="1485" w:type="dxa"/>
            <w:shd w:val="clear" w:color="auto" w:fill="C6EFCE"/>
            <w:noWrap/>
            <w:vAlign w:val="center"/>
          </w:tcPr>
          <w:p w14:paraId="76E88EAF" w14:textId="77777777" w:rsidR="00A612E2" w:rsidRPr="00246CC4" w:rsidRDefault="00A612E2" w:rsidP="00742B81">
            <w:pPr>
              <w:rPr>
                <w:noProof/>
                <w:color w:val="006100"/>
                <w:sz w:val="20"/>
                <w:szCs w:val="20"/>
              </w:rPr>
            </w:pPr>
            <w:r>
              <w:rPr>
                <w:noProof/>
                <w:color w:val="006100"/>
                <w:sz w:val="20"/>
              </w:rPr>
              <w:t>Siht</w:t>
            </w:r>
          </w:p>
        </w:tc>
        <w:tc>
          <w:tcPr>
            <w:tcW w:w="4065" w:type="dxa"/>
            <w:shd w:val="clear" w:color="auto" w:fill="C6EFCE"/>
            <w:noWrap/>
            <w:vAlign w:val="center"/>
          </w:tcPr>
          <w:p w14:paraId="52B6C1FD" w14:textId="77777777" w:rsidR="00A612E2" w:rsidRPr="003B127D" w:rsidRDefault="00A612E2" w:rsidP="00742B81">
            <w:pPr>
              <w:jc w:val="center"/>
              <w:rPr>
                <w:noProof/>
                <w:color w:val="006100"/>
                <w:sz w:val="20"/>
                <w:szCs w:val="20"/>
              </w:rPr>
            </w:pPr>
            <w:r>
              <w:rPr>
                <w:noProof/>
                <w:color w:val="006100"/>
                <w:sz w:val="20"/>
              </w:rPr>
              <w:t>INPS – „One click by design“ teenused/sisu T1</w:t>
            </w:r>
          </w:p>
        </w:tc>
      </w:tr>
      <w:tr w:rsidR="00A612E2" w:rsidRPr="00D90835" w14:paraId="205E293E" w14:textId="77777777" w:rsidTr="00742B81">
        <w:trPr>
          <w:trHeight w:val="302"/>
        </w:trPr>
        <w:tc>
          <w:tcPr>
            <w:tcW w:w="1413" w:type="dxa"/>
            <w:shd w:val="clear" w:color="auto" w:fill="C6EFCE"/>
            <w:noWrap/>
            <w:vAlign w:val="center"/>
          </w:tcPr>
          <w:p w14:paraId="64A35F1B" w14:textId="77777777" w:rsidR="00A612E2" w:rsidRPr="00246CC4" w:rsidRDefault="00A612E2" w:rsidP="00742B81">
            <w:pPr>
              <w:rPr>
                <w:noProof/>
                <w:color w:val="006100"/>
                <w:sz w:val="20"/>
                <w:szCs w:val="20"/>
              </w:rPr>
            </w:pPr>
            <w:r>
              <w:rPr>
                <w:noProof/>
                <w:color w:val="006100"/>
                <w:sz w:val="20"/>
              </w:rPr>
              <w:t>M1C1-124</w:t>
            </w:r>
          </w:p>
        </w:tc>
        <w:tc>
          <w:tcPr>
            <w:tcW w:w="3150" w:type="dxa"/>
            <w:shd w:val="clear" w:color="auto" w:fill="C6EFCE"/>
            <w:noWrap/>
            <w:vAlign w:val="center"/>
          </w:tcPr>
          <w:p w14:paraId="6A848711" w14:textId="77777777" w:rsidR="00A612E2" w:rsidRPr="003B127D" w:rsidRDefault="00A612E2" w:rsidP="00742B81">
            <w:pPr>
              <w:rPr>
                <w:noProof/>
                <w:color w:val="006100"/>
                <w:sz w:val="20"/>
                <w:szCs w:val="20"/>
              </w:rPr>
            </w:pPr>
            <w:r>
              <w:rPr>
                <w:noProof/>
                <w:color w:val="006100"/>
                <w:sz w:val="20"/>
              </w:rPr>
              <w:t>Investeering 1.6.3. Riikliku sotsiaalkindlustusameti (INPS) ja riikliku tööõnnetuste vastu kindlustamise instituudi (INAIL) digitaliseerimine</w:t>
            </w:r>
          </w:p>
        </w:tc>
        <w:tc>
          <w:tcPr>
            <w:tcW w:w="1485" w:type="dxa"/>
            <w:shd w:val="clear" w:color="auto" w:fill="C6EFCE"/>
            <w:noWrap/>
            <w:vAlign w:val="center"/>
          </w:tcPr>
          <w:p w14:paraId="793E8578" w14:textId="77777777" w:rsidR="00A612E2" w:rsidRPr="00246CC4" w:rsidRDefault="00A612E2" w:rsidP="00742B81">
            <w:pPr>
              <w:rPr>
                <w:noProof/>
                <w:color w:val="006100"/>
                <w:sz w:val="20"/>
                <w:szCs w:val="20"/>
              </w:rPr>
            </w:pPr>
            <w:r>
              <w:rPr>
                <w:noProof/>
                <w:color w:val="006100"/>
                <w:sz w:val="20"/>
              </w:rPr>
              <w:t>Siht</w:t>
            </w:r>
          </w:p>
        </w:tc>
        <w:tc>
          <w:tcPr>
            <w:tcW w:w="4065" w:type="dxa"/>
            <w:shd w:val="clear" w:color="auto" w:fill="C6EFCE"/>
            <w:noWrap/>
            <w:vAlign w:val="center"/>
          </w:tcPr>
          <w:p w14:paraId="6E9334D1" w14:textId="77777777" w:rsidR="00A612E2" w:rsidRPr="003B127D" w:rsidRDefault="00A612E2" w:rsidP="00742B81">
            <w:pPr>
              <w:jc w:val="center"/>
              <w:rPr>
                <w:noProof/>
                <w:color w:val="006100"/>
                <w:sz w:val="20"/>
                <w:szCs w:val="20"/>
              </w:rPr>
            </w:pPr>
            <w:r>
              <w:rPr>
                <w:noProof/>
                <w:color w:val="006100"/>
                <w:sz w:val="20"/>
              </w:rPr>
              <w:t>INPS - parema info- ja kommunikatsioonitehnoloogia (IKT) oskustega töötajad T1</w:t>
            </w:r>
          </w:p>
        </w:tc>
      </w:tr>
      <w:tr w:rsidR="00A612E2" w:rsidRPr="00D90835" w14:paraId="11AE3105" w14:textId="77777777" w:rsidTr="00742B81">
        <w:trPr>
          <w:trHeight w:val="302"/>
        </w:trPr>
        <w:tc>
          <w:tcPr>
            <w:tcW w:w="1413" w:type="dxa"/>
            <w:shd w:val="clear" w:color="auto" w:fill="C6EFCE"/>
            <w:noWrap/>
            <w:vAlign w:val="center"/>
          </w:tcPr>
          <w:p w14:paraId="5760F7FA" w14:textId="77777777" w:rsidR="00A612E2" w:rsidRPr="00246CC4" w:rsidRDefault="00A612E2" w:rsidP="00742B81">
            <w:pPr>
              <w:rPr>
                <w:noProof/>
                <w:color w:val="006100"/>
                <w:sz w:val="20"/>
                <w:szCs w:val="20"/>
              </w:rPr>
            </w:pPr>
            <w:r>
              <w:rPr>
                <w:noProof/>
                <w:color w:val="006100"/>
                <w:sz w:val="20"/>
              </w:rPr>
              <w:t>M1C3-30</w:t>
            </w:r>
          </w:p>
        </w:tc>
        <w:tc>
          <w:tcPr>
            <w:tcW w:w="3150" w:type="dxa"/>
            <w:shd w:val="clear" w:color="auto" w:fill="C6EFCE"/>
            <w:noWrap/>
            <w:vAlign w:val="center"/>
          </w:tcPr>
          <w:p w14:paraId="3E162476" w14:textId="7948CC11" w:rsidR="00A612E2" w:rsidRPr="003B127D" w:rsidRDefault="00A612E2" w:rsidP="00742B81">
            <w:pPr>
              <w:rPr>
                <w:noProof/>
                <w:color w:val="006100"/>
                <w:sz w:val="20"/>
                <w:szCs w:val="20"/>
              </w:rPr>
            </w:pPr>
            <w:r>
              <w:rPr>
                <w:noProof/>
                <w:color w:val="006100"/>
                <w:sz w:val="20"/>
              </w:rPr>
              <w:t>Investeering 4.2. Turismiettevõtete konkurentsivõime fondid</w:t>
            </w:r>
          </w:p>
        </w:tc>
        <w:tc>
          <w:tcPr>
            <w:tcW w:w="1485" w:type="dxa"/>
            <w:shd w:val="clear" w:color="auto" w:fill="C6EFCE"/>
            <w:noWrap/>
            <w:vAlign w:val="center"/>
          </w:tcPr>
          <w:p w14:paraId="72819942" w14:textId="77777777" w:rsidR="00A612E2" w:rsidRPr="00246CC4" w:rsidRDefault="00A612E2" w:rsidP="00742B81">
            <w:pPr>
              <w:rPr>
                <w:noProof/>
                <w:color w:val="006100"/>
                <w:sz w:val="20"/>
                <w:szCs w:val="20"/>
              </w:rPr>
            </w:pPr>
            <w:r>
              <w:rPr>
                <w:noProof/>
                <w:color w:val="006100"/>
                <w:sz w:val="20"/>
              </w:rPr>
              <w:t>Siht</w:t>
            </w:r>
          </w:p>
        </w:tc>
        <w:tc>
          <w:tcPr>
            <w:tcW w:w="4065" w:type="dxa"/>
            <w:shd w:val="clear" w:color="auto" w:fill="C6EFCE"/>
            <w:noWrap/>
            <w:vAlign w:val="center"/>
          </w:tcPr>
          <w:p w14:paraId="70E1635F" w14:textId="77777777" w:rsidR="00A612E2" w:rsidRPr="003B127D" w:rsidRDefault="00A612E2" w:rsidP="00742B81">
            <w:pPr>
              <w:jc w:val="center"/>
              <w:rPr>
                <w:noProof/>
                <w:color w:val="006100"/>
                <w:sz w:val="20"/>
                <w:szCs w:val="20"/>
              </w:rPr>
            </w:pPr>
            <w:r>
              <w:rPr>
                <w:noProof/>
                <w:color w:val="006100"/>
                <w:sz w:val="20"/>
              </w:rPr>
              <w:t>Euroopa Investeerimispanga temaatilised fondid : Fondile tehtud väljamaksed kogusummas 350 000 000 eurot.</w:t>
            </w:r>
          </w:p>
        </w:tc>
      </w:tr>
      <w:tr w:rsidR="00A612E2" w:rsidRPr="00D90835" w14:paraId="1F40881C" w14:textId="77777777" w:rsidTr="00742B81">
        <w:trPr>
          <w:trHeight w:val="302"/>
        </w:trPr>
        <w:tc>
          <w:tcPr>
            <w:tcW w:w="1413" w:type="dxa"/>
            <w:shd w:val="clear" w:color="auto" w:fill="C6EFCE"/>
            <w:noWrap/>
            <w:vAlign w:val="center"/>
          </w:tcPr>
          <w:p w14:paraId="629B49E2" w14:textId="77777777" w:rsidR="00A612E2" w:rsidRPr="00246CC4" w:rsidRDefault="00A612E2" w:rsidP="00742B81">
            <w:pPr>
              <w:rPr>
                <w:noProof/>
                <w:color w:val="006100"/>
                <w:sz w:val="20"/>
                <w:szCs w:val="20"/>
              </w:rPr>
            </w:pPr>
            <w:r>
              <w:rPr>
                <w:noProof/>
                <w:color w:val="006100"/>
                <w:sz w:val="20"/>
              </w:rPr>
              <w:t>M1C3-31</w:t>
            </w:r>
          </w:p>
        </w:tc>
        <w:tc>
          <w:tcPr>
            <w:tcW w:w="3150" w:type="dxa"/>
            <w:shd w:val="clear" w:color="auto" w:fill="C6EFCE"/>
            <w:noWrap/>
            <w:vAlign w:val="center"/>
          </w:tcPr>
          <w:p w14:paraId="7A6E3E5C" w14:textId="78C9B437" w:rsidR="00A612E2" w:rsidRPr="003B127D" w:rsidRDefault="00A612E2" w:rsidP="00742B81">
            <w:pPr>
              <w:rPr>
                <w:noProof/>
                <w:color w:val="006100"/>
                <w:sz w:val="20"/>
                <w:szCs w:val="20"/>
              </w:rPr>
            </w:pPr>
            <w:r>
              <w:rPr>
                <w:noProof/>
                <w:color w:val="006100"/>
                <w:sz w:val="20"/>
              </w:rPr>
              <w:t>Investeering 4.2. Turismiettevõtete konkurentsivõime fondid</w:t>
            </w:r>
          </w:p>
        </w:tc>
        <w:tc>
          <w:tcPr>
            <w:tcW w:w="1485" w:type="dxa"/>
            <w:shd w:val="clear" w:color="auto" w:fill="C6EFCE"/>
            <w:noWrap/>
            <w:vAlign w:val="center"/>
          </w:tcPr>
          <w:p w14:paraId="725B58C3" w14:textId="77777777" w:rsidR="00A612E2" w:rsidRPr="00246CC4" w:rsidRDefault="00A612E2" w:rsidP="00742B81">
            <w:pPr>
              <w:rPr>
                <w:noProof/>
                <w:color w:val="006100"/>
                <w:sz w:val="20"/>
                <w:szCs w:val="20"/>
              </w:rPr>
            </w:pPr>
            <w:r>
              <w:rPr>
                <w:noProof/>
                <w:color w:val="006100"/>
                <w:sz w:val="20"/>
              </w:rPr>
              <w:t>Siht</w:t>
            </w:r>
          </w:p>
        </w:tc>
        <w:tc>
          <w:tcPr>
            <w:tcW w:w="4065" w:type="dxa"/>
            <w:shd w:val="clear" w:color="auto" w:fill="C6EFCE"/>
            <w:noWrap/>
            <w:vAlign w:val="center"/>
          </w:tcPr>
          <w:p w14:paraId="35692F18" w14:textId="77777777" w:rsidR="00A612E2" w:rsidRPr="003B127D" w:rsidRDefault="00A612E2" w:rsidP="00742B81">
            <w:pPr>
              <w:jc w:val="center"/>
              <w:rPr>
                <w:noProof/>
                <w:color w:val="006100"/>
                <w:sz w:val="20"/>
                <w:szCs w:val="20"/>
              </w:rPr>
            </w:pPr>
            <w:r>
              <w:rPr>
                <w:noProof/>
                <w:color w:val="006100"/>
                <w:sz w:val="20"/>
              </w:rPr>
              <w:t>Riiklik turismifond: Fondile tehtud väljamaksed kogusummas 150 000 000 eurot omakapitali toetusena.</w:t>
            </w:r>
          </w:p>
        </w:tc>
      </w:tr>
      <w:tr w:rsidR="00A612E2" w:rsidRPr="00D90835" w14:paraId="61F38135" w14:textId="77777777" w:rsidTr="00742B81">
        <w:trPr>
          <w:trHeight w:val="302"/>
        </w:trPr>
        <w:tc>
          <w:tcPr>
            <w:tcW w:w="1413" w:type="dxa"/>
            <w:shd w:val="clear" w:color="auto" w:fill="C6EFCE"/>
            <w:noWrap/>
            <w:vAlign w:val="center"/>
          </w:tcPr>
          <w:p w14:paraId="09B24C3A" w14:textId="77777777" w:rsidR="00A612E2" w:rsidRPr="00246CC4" w:rsidRDefault="00A612E2" w:rsidP="00742B81">
            <w:pPr>
              <w:rPr>
                <w:noProof/>
                <w:color w:val="006100"/>
                <w:sz w:val="20"/>
                <w:szCs w:val="20"/>
              </w:rPr>
            </w:pPr>
            <w:r>
              <w:rPr>
                <w:noProof/>
                <w:color w:val="006100"/>
                <w:sz w:val="20"/>
              </w:rPr>
              <w:t>M2C3-9</w:t>
            </w:r>
          </w:p>
        </w:tc>
        <w:tc>
          <w:tcPr>
            <w:tcW w:w="3150" w:type="dxa"/>
            <w:shd w:val="clear" w:color="auto" w:fill="C6EFCE"/>
            <w:noWrap/>
            <w:vAlign w:val="center"/>
          </w:tcPr>
          <w:p w14:paraId="18230D70" w14:textId="77777777" w:rsidR="00A612E2" w:rsidRPr="003B127D" w:rsidRDefault="00A612E2" w:rsidP="00742B81">
            <w:pPr>
              <w:rPr>
                <w:noProof/>
                <w:color w:val="006100"/>
                <w:sz w:val="20"/>
                <w:szCs w:val="20"/>
              </w:rPr>
            </w:pPr>
            <w:r>
              <w:rPr>
                <w:noProof/>
                <w:color w:val="006100"/>
                <w:sz w:val="20"/>
              </w:rPr>
              <w:t>Investeering 3.1. Tõhusa kaugkütte edendamine</w:t>
            </w:r>
          </w:p>
        </w:tc>
        <w:tc>
          <w:tcPr>
            <w:tcW w:w="1485" w:type="dxa"/>
            <w:shd w:val="clear" w:color="auto" w:fill="C6EFCE"/>
            <w:noWrap/>
            <w:vAlign w:val="center"/>
          </w:tcPr>
          <w:p w14:paraId="13C7364A" w14:textId="77777777" w:rsidR="00A612E2" w:rsidRPr="00246CC4" w:rsidRDefault="00A612E2" w:rsidP="00742B81">
            <w:pPr>
              <w:rPr>
                <w:noProof/>
                <w:color w:val="006100"/>
                <w:sz w:val="20"/>
                <w:szCs w:val="20"/>
              </w:rPr>
            </w:pPr>
            <w:r>
              <w:rPr>
                <w:noProof/>
                <w:color w:val="006100"/>
                <w:sz w:val="20"/>
              </w:rPr>
              <w:t>Eesmärk</w:t>
            </w:r>
          </w:p>
        </w:tc>
        <w:tc>
          <w:tcPr>
            <w:tcW w:w="4065" w:type="dxa"/>
            <w:shd w:val="clear" w:color="auto" w:fill="C6EFCE"/>
            <w:noWrap/>
            <w:vAlign w:val="center"/>
          </w:tcPr>
          <w:p w14:paraId="5C7A7BFD" w14:textId="77777777" w:rsidR="00A612E2" w:rsidRPr="003B127D" w:rsidRDefault="00A612E2" w:rsidP="00742B81">
            <w:pPr>
              <w:jc w:val="center"/>
              <w:rPr>
                <w:noProof/>
                <w:color w:val="006100"/>
                <w:sz w:val="20"/>
                <w:szCs w:val="20"/>
              </w:rPr>
            </w:pPr>
            <w:r>
              <w:rPr>
                <w:noProof/>
                <w:color w:val="006100"/>
                <w:sz w:val="20"/>
              </w:rPr>
              <w:t xml:space="preserve">Lepingud küttevõrkude täiustamiseks sõlmib ökoloogilise ülemineku ministeerium pärast avalikku hankemenetlust. </w:t>
            </w:r>
          </w:p>
        </w:tc>
      </w:tr>
      <w:tr w:rsidR="00A612E2" w:rsidRPr="00D90835" w14:paraId="279D8193" w14:textId="77777777" w:rsidTr="00742B81">
        <w:trPr>
          <w:trHeight w:val="302"/>
        </w:trPr>
        <w:tc>
          <w:tcPr>
            <w:tcW w:w="1413" w:type="dxa"/>
            <w:shd w:val="clear" w:color="auto" w:fill="C6EFCE"/>
            <w:noWrap/>
            <w:vAlign w:val="center"/>
          </w:tcPr>
          <w:p w14:paraId="55B0C876" w14:textId="77777777" w:rsidR="00A612E2" w:rsidRPr="00246CC4" w:rsidRDefault="00A612E2" w:rsidP="00742B81">
            <w:pPr>
              <w:rPr>
                <w:noProof/>
                <w:color w:val="006100"/>
                <w:sz w:val="20"/>
                <w:szCs w:val="20"/>
              </w:rPr>
            </w:pPr>
            <w:r>
              <w:rPr>
                <w:noProof/>
                <w:color w:val="006100"/>
                <w:sz w:val="20"/>
              </w:rPr>
              <w:t>M2C4-19</w:t>
            </w:r>
          </w:p>
        </w:tc>
        <w:tc>
          <w:tcPr>
            <w:tcW w:w="3150" w:type="dxa"/>
            <w:shd w:val="clear" w:color="auto" w:fill="C6EFCE"/>
            <w:noWrap/>
            <w:vAlign w:val="center"/>
          </w:tcPr>
          <w:p w14:paraId="7A073A85" w14:textId="77777777" w:rsidR="00A612E2" w:rsidRPr="003B127D" w:rsidRDefault="00A612E2" w:rsidP="00742B81">
            <w:pPr>
              <w:rPr>
                <w:noProof/>
                <w:color w:val="006100"/>
                <w:sz w:val="20"/>
                <w:szCs w:val="20"/>
              </w:rPr>
            </w:pPr>
            <w:r>
              <w:rPr>
                <w:noProof/>
                <w:color w:val="006100"/>
                <w:sz w:val="20"/>
              </w:rPr>
              <w:t>Investeering. 3.1. Linna- ja linnalähedaste metsade kaitse ja edendamine</w:t>
            </w:r>
          </w:p>
        </w:tc>
        <w:tc>
          <w:tcPr>
            <w:tcW w:w="1485" w:type="dxa"/>
            <w:shd w:val="clear" w:color="auto" w:fill="C6EFCE"/>
            <w:noWrap/>
            <w:vAlign w:val="center"/>
          </w:tcPr>
          <w:p w14:paraId="025CF07D" w14:textId="77777777" w:rsidR="00A612E2" w:rsidRPr="00246CC4" w:rsidRDefault="00A612E2" w:rsidP="00742B81">
            <w:pPr>
              <w:rPr>
                <w:noProof/>
                <w:color w:val="006100"/>
                <w:sz w:val="20"/>
                <w:szCs w:val="20"/>
              </w:rPr>
            </w:pPr>
            <w:r>
              <w:rPr>
                <w:noProof/>
                <w:color w:val="006100"/>
                <w:sz w:val="20"/>
              </w:rPr>
              <w:t>Siht</w:t>
            </w:r>
          </w:p>
        </w:tc>
        <w:tc>
          <w:tcPr>
            <w:tcW w:w="4065" w:type="dxa"/>
            <w:shd w:val="clear" w:color="auto" w:fill="C6EFCE"/>
            <w:noWrap/>
            <w:vAlign w:val="center"/>
          </w:tcPr>
          <w:p w14:paraId="42829BBD" w14:textId="77777777" w:rsidR="00A612E2" w:rsidRPr="003B127D" w:rsidRDefault="00A612E2" w:rsidP="00742B81">
            <w:pPr>
              <w:jc w:val="center"/>
              <w:rPr>
                <w:noProof/>
                <w:color w:val="006100"/>
                <w:sz w:val="20"/>
                <w:szCs w:val="20"/>
              </w:rPr>
            </w:pPr>
            <w:r>
              <w:rPr>
                <w:noProof/>
                <w:color w:val="006100"/>
                <w:sz w:val="20"/>
              </w:rPr>
              <w:t>Taimepuud linna- ja linnalähedaste rohealade kaitseks ja väärtustamiseks T1</w:t>
            </w:r>
          </w:p>
        </w:tc>
      </w:tr>
      <w:tr w:rsidR="00A612E2" w:rsidRPr="00D90835" w14:paraId="7D16BC34" w14:textId="77777777" w:rsidTr="00742B81">
        <w:trPr>
          <w:trHeight w:val="302"/>
        </w:trPr>
        <w:tc>
          <w:tcPr>
            <w:tcW w:w="1413" w:type="dxa"/>
            <w:shd w:val="clear" w:color="auto" w:fill="C6EFCE"/>
            <w:noWrap/>
            <w:vAlign w:val="center"/>
          </w:tcPr>
          <w:p w14:paraId="60809BB3" w14:textId="77777777" w:rsidR="00A612E2" w:rsidRPr="00246CC4" w:rsidRDefault="00A612E2" w:rsidP="00742B81">
            <w:pPr>
              <w:rPr>
                <w:noProof/>
                <w:color w:val="006100"/>
                <w:sz w:val="20"/>
                <w:szCs w:val="20"/>
              </w:rPr>
            </w:pPr>
            <w:r>
              <w:rPr>
                <w:noProof/>
                <w:color w:val="006100"/>
                <w:sz w:val="20"/>
              </w:rPr>
              <w:t>M2C4-24</w:t>
            </w:r>
          </w:p>
        </w:tc>
        <w:tc>
          <w:tcPr>
            <w:tcW w:w="3150" w:type="dxa"/>
            <w:shd w:val="clear" w:color="auto" w:fill="C6EFCE"/>
            <w:noWrap/>
            <w:vAlign w:val="center"/>
          </w:tcPr>
          <w:p w14:paraId="40E1FDD1" w14:textId="77777777" w:rsidR="00A612E2" w:rsidRPr="003B127D" w:rsidRDefault="00A612E2" w:rsidP="00742B81">
            <w:pPr>
              <w:rPr>
                <w:noProof/>
                <w:color w:val="006100"/>
                <w:sz w:val="20"/>
                <w:szCs w:val="20"/>
              </w:rPr>
            </w:pPr>
            <w:r>
              <w:rPr>
                <w:noProof/>
                <w:color w:val="006100"/>
                <w:sz w:val="20"/>
              </w:rPr>
              <w:t>Investeering 3.4. Harva kasutatavate alade mulla tervendamine</w:t>
            </w:r>
          </w:p>
        </w:tc>
        <w:tc>
          <w:tcPr>
            <w:tcW w:w="1485" w:type="dxa"/>
            <w:shd w:val="clear" w:color="auto" w:fill="C6EFCE"/>
            <w:noWrap/>
            <w:vAlign w:val="center"/>
          </w:tcPr>
          <w:p w14:paraId="38D301F5" w14:textId="77777777" w:rsidR="00A612E2" w:rsidRPr="00246CC4" w:rsidRDefault="00A612E2" w:rsidP="00742B81">
            <w:pPr>
              <w:rPr>
                <w:noProof/>
                <w:color w:val="006100"/>
                <w:sz w:val="20"/>
                <w:szCs w:val="20"/>
              </w:rPr>
            </w:pPr>
            <w:r>
              <w:rPr>
                <w:noProof/>
                <w:color w:val="006100"/>
                <w:sz w:val="20"/>
              </w:rPr>
              <w:t>Eesmärk</w:t>
            </w:r>
          </w:p>
        </w:tc>
        <w:tc>
          <w:tcPr>
            <w:tcW w:w="4065" w:type="dxa"/>
            <w:shd w:val="clear" w:color="auto" w:fill="C6EFCE"/>
            <w:noWrap/>
            <w:vAlign w:val="center"/>
          </w:tcPr>
          <w:p w14:paraId="11FEF557" w14:textId="77777777" w:rsidR="00A612E2" w:rsidRPr="003B127D" w:rsidRDefault="00A612E2" w:rsidP="00742B81">
            <w:pPr>
              <w:jc w:val="center"/>
              <w:rPr>
                <w:noProof/>
                <w:color w:val="006100"/>
                <w:sz w:val="20"/>
                <w:szCs w:val="20"/>
              </w:rPr>
            </w:pPr>
            <w:r>
              <w:rPr>
                <w:noProof/>
                <w:color w:val="006100"/>
                <w:sz w:val="20"/>
              </w:rPr>
              <w:t>Harva kasutatavate alade puhastamise õigusraamistik</w:t>
            </w:r>
          </w:p>
        </w:tc>
      </w:tr>
      <w:tr w:rsidR="00A612E2" w:rsidRPr="00D90835" w14:paraId="45DD8BE1" w14:textId="77777777" w:rsidTr="00742B81">
        <w:trPr>
          <w:trHeight w:val="302"/>
        </w:trPr>
        <w:tc>
          <w:tcPr>
            <w:tcW w:w="1413" w:type="dxa"/>
            <w:shd w:val="clear" w:color="auto" w:fill="C6EFCE"/>
            <w:noWrap/>
            <w:vAlign w:val="center"/>
          </w:tcPr>
          <w:p w14:paraId="6C3F2088" w14:textId="77777777" w:rsidR="00A612E2" w:rsidRPr="00246CC4" w:rsidRDefault="00A612E2" w:rsidP="00742B81">
            <w:pPr>
              <w:rPr>
                <w:noProof/>
                <w:color w:val="006100"/>
                <w:sz w:val="20"/>
                <w:szCs w:val="20"/>
              </w:rPr>
            </w:pPr>
            <w:r>
              <w:rPr>
                <w:noProof/>
                <w:color w:val="006100"/>
                <w:sz w:val="20"/>
              </w:rPr>
              <w:t>M3C1-3</w:t>
            </w:r>
          </w:p>
        </w:tc>
        <w:tc>
          <w:tcPr>
            <w:tcW w:w="3150" w:type="dxa"/>
            <w:shd w:val="clear" w:color="auto" w:fill="C6EFCE"/>
            <w:noWrap/>
            <w:vAlign w:val="center"/>
          </w:tcPr>
          <w:p w14:paraId="4CCFF52C" w14:textId="77777777" w:rsidR="00A612E2" w:rsidRPr="003B127D" w:rsidRDefault="00A612E2" w:rsidP="00742B81">
            <w:pPr>
              <w:rPr>
                <w:noProof/>
                <w:color w:val="006100"/>
                <w:sz w:val="20"/>
                <w:szCs w:val="20"/>
              </w:rPr>
            </w:pPr>
            <w:r>
              <w:rPr>
                <w:noProof/>
                <w:color w:val="006100"/>
                <w:sz w:val="20"/>
              </w:rPr>
              <w:t>Investeering 1.1. Reisijate ja kauba kiirrongiühendus lõunasse</w:t>
            </w:r>
          </w:p>
        </w:tc>
        <w:tc>
          <w:tcPr>
            <w:tcW w:w="1485" w:type="dxa"/>
            <w:shd w:val="clear" w:color="auto" w:fill="C6EFCE"/>
            <w:noWrap/>
            <w:vAlign w:val="center"/>
          </w:tcPr>
          <w:p w14:paraId="60FD64E3" w14:textId="77777777" w:rsidR="00A612E2" w:rsidRPr="00246CC4" w:rsidRDefault="00A612E2" w:rsidP="00742B81">
            <w:pPr>
              <w:rPr>
                <w:noProof/>
                <w:color w:val="006100"/>
                <w:sz w:val="20"/>
                <w:szCs w:val="20"/>
              </w:rPr>
            </w:pPr>
            <w:r>
              <w:rPr>
                <w:noProof/>
                <w:color w:val="006100"/>
                <w:sz w:val="20"/>
              </w:rPr>
              <w:t>Eesmärk</w:t>
            </w:r>
          </w:p>
        </w:tc>
        <w:tc>
          <w:tcPr>
            <w:tcW w:w="4065" w:type="dxa"/>
            <w:shd w:val="clear" w:color="auto" w:fill="C6EFCE"/>
            <w:noWrap/>
            <w:vAlign w:val="center"/>
          </w:tcPr>
          <w:p w14:paraId="74143260" w14:textId="77777777" w:rsidR="00A612E2" w:rsidRPr="003B127D" w:rsidRDefault="00A612E2" w:rsidP="00742B81">
            <w:pPr>
              <w:jc w:val="center"/>
              <w:rPr>
                <w:noProof/>
                <w:color w:val="006100"/>
                <w:sz w:val="20"/>
                <w:szCs w:val="20"/>
              </w:rPr>
            </w:pPr>
            <w:r>
              <w:rPr>
                <w:noProof/>
                <w:color w:val="006100"/>
                <w:sz w:val="20"/>
              </w:rPr>
              <w:t>Lepingu(te) sõlmimine kiirraudtee ehitamiseks Napoli-Bari ja Palermo-Catania liinidel</w:t>
            </w:r>
          </w:p>
        </w:tc>
      </w:tr>
      <w:tr w:rsidR="00A612E2" w:rsidRPr="00D90835" w14:paraId="36E6E963" w14:textId="77777777" w:rsidTr="00742B81">
        <w:trPr>
          <w:trHeight w:val="302"/>
        </w:trPr>
        <w:tc>
          <w:tcPr>
            <w:tcW w:w="1413" w:type="dxa"/>
            <w:shd w:val="clear" w:color="auto" w:fill="C6EFCE"/>
            <w:noWrap/>
            <w:vAlign w:val="center"/>
          </w:tcPr>
          <w:p w14:paraId="5F4C0C14" w14:textId="77777777" w:rsidR="00A612E2" w:rsidRPr="00246CC4" w:rsidRDefault="00A612E2" w:rsidP="00742B81">
            <w:pPr>
              <w:rPr>
                <w:noProof/>
                <w:color w:val="006100"/>
                <w:sz w:val="20"/>
                <w:szCs w:val="20"/>
              </w:rPr>
            </w:pPr>
            <w:r>
              <w:rPr>
                <w:noProof/>
                <w:color w:val="006100"/>
                <w:sz w:val="20"/>
              </w:rPr>
              <w:t>M3C1-12</w:t>
            </w:r>
          </w:p>
        </w:tc>
        <w:tc>
          <w:tcPr>
            <w:tcW w:w="3150" w:type="dxa"/>
            <w:shd w:val="clear" w:color="auto" w:fill="C6EFCE"/>
            <w:noWrap/>
            <w:vAlign w:val="center"/>
          </w:tcPr>
          <w:p w14:paraId="03785733" w14:textId="77777777" w:rsidR="00A612E2" w:rsidRPr="003B127D" w:rsidRDefault="00A612E2" w:rsidP="00742B81">
            <w:pPr>
              <w:rPr>
                <w:noProof/>
                <w:color w:val="006100"/>
                <w:sz w:val="20"/>
                <w:szCs w:val="20"/>
              </w:rPr>
            </w:pPr>
            <w:r>
              <w:rPr>
                <w:noProof/>
                <w:color w:val="006100"/>
                <w:sz w:val="20"/>
              </w:rPr>
              <w:t>Investeering 1.4. Euroopa raudteetranspordi juhtimissüsteemi (ERTMS) kasutuselevõtmine</w:t>
            </w:r>
          </w:p>
        </w:tc>
        <w:tc>
          <w:tcPr>
            <w:tcW w:w="1485" w:type="dxa"/>
            <w:shd w:val="clear" w:color="auto" w:fill="C6EFCE"/>
            <w:noWrap/>
            <w:vAlign w:val="center"/>
          </w:tcPr>
          <w:p w14:paraId="3AB603A3" w14:textId="77777777" w:rsidR="00A612E2" w:rsidRPr="00246CC4" w:rsidRDefault="00A612E2" w:rsidP="00742B81">
            <w:pPr>
              <w:rPr>
                <w:noProof/>
                <w:color w:val="006100"/>
                <w:sz w:val="20"/>
                <w:szCs w:val="20"/>
              </w:rPr>
            </w:pPr>
            <w:r>
              <w:rPr>
                <w:noProof/>
                <w:color w:val="006100"/>
                <w:sz w:val="20"/>
              </w:rPr>
              <w:t>Eesmärk</w:t>
            </w:r>
          </w:p>
        </w:tc>
        <w:tc>
          <w:tcPr>
            <w:tcW w:w="4065" w:type="dxa"/>
            <w:shd w:val="clear" w:color="auto" w:fill="C6EFCE"/>
            <w:noWrap/>
            <w:vAlign w:val="center"/>
          </w:tcPr>
          <w:p w14:paraId="73B66252" w14:textId="77777777" w:rsidR="00A612E2" w:rsidRPr="003B127D" w:rsidRDefault="00A612E2" w:rsidP="00742B81">
            <w:pPr>
              <w:jc w:val="center"/>
              <w:rPr>
                <w:noProof/>
                <w:color w:val="006100"/>
                <w:sz w:val="20"/>
                <w:szCs w:val="20"/>
              </w:rPr>
            </w:pPr>
            <w:r>
              <w:rPr>
                <w:noProof/>
                <w:color w:val="006100"/>
                <w:sz w:val="20"/>
              </w:rPr>
              <w:t>Euroopa raudteetranspordi juhtimissüsteemi lepingute sõlmimine</w:t>
            </w:r>
          </w:p>
        </w:tc>
      </w:tr>
      <w:tr w:rsidR="00A612E2" w:rsidRPr="00D90835" w14:paraId="189617BC" w14:textId="77777777" w:rsidTr="00742B81">
        <w:trPr>
          <w:trHeight w:val="302"/>
        </w:trPr>
        <w:tc>
          <w:tcPr>
            <w:tcW w:w="1413" w:type="dxa"/>
            <w:shd w:val="clear" w:color="auto" w:fill="C6EFCE"/>
            <w:noWrap/>
            <w:vAlign w:val="center"/>
          </w:tcPr>
          <w:p w14:paraId="53944FB5" w14:textId="77777777" w:rsidR="00A612E2" w:rsidRPr="00246CC4" w:rsidRDefault="00A612E2" w:rsidP="00742B81">
            <w:pPr>
              <w:rPr>
                <w:noProof/>
                <w:color w:val="006100"/>
                <w:sz w:val="20"/>
                <w:szCs w:val="20"/>
              </w:rPr>
            </w:pPr>
            <w:r>
              <w:rPr>
                <w:noProof/>
                <w:color w:val="006100"/>
                <w:sz w:val="20"/>
              </w:rPr>
              <w:t>M3C2-8</w:t>
            </w:r>
          </w:p>
        </w:tc>
        <w:tc>
          <w:tcPr>
            <w:tcW w:w="3150" w:type="dxa"/>
            <w:shd w:val="clear" w:color="auto" w:fill="C6EFCE"/>
            <w:noWrap/>
            <w:vAlign w:val="center"/>
          </w:tcPr>
          <w:p w14:paraId="7BC2BD4C" w14:textId="77777777" w:rsidR="00A612E2" w:rsidRPr="003B127D" w:rsidRDefault="00A612E2" w:rsidP="00742B81">
            <w:pPr>
              <w:rPr>
                <w:noProof/>
                <w:color w:val="006100"/>
                <w:sz w:val="20"/>
                <w:szCs w:val="20"/>
              </w:rPr>
            </w:pPr>
            <w:r>
              <w:rPr>
                <w:noProof/>
                <w:color w:val="006100"/>
                <w:sz w:val="20"/>
              </w:rPr>
              <w:t>Investeering 1.1. Rohelised sadamad: taastuvenergia ja energiatõhususega seotud sekkumismeetmed sadamates</w:t>
            </w:r>
          </w:p>
        </w:tc>
        <w:tc>
          <w:tcPr>
            <w:tcW w:w="1485" w:type="dxa"/>
            <w:shd w:val="clear" w:color="auto" w:fill="C6EFCE"/>
            <w:noWrap/>
            <w:vAlign w:val="center"/>
          </w:tcPr>
          <w:p w14:paraId="78E5180C" w14:textId="77777777" w:rsidR="00A612E2" w:rsidRPr="00246CC4" w:rsidRDefault="00A612E2" w:rsidP="00742B81">
            <w:pPr>
              <w:rPr>
                <w:noProof/>
                <w:color w:val="006100"/>
                <w:sz w:val="20"/>
                <w:szCs w:val="20"/>
              </w:rPr>
            </w:pPr>
            <w:r>
              <w:rPr>
                <w:noProof/>
                <w:color w:val="006100"/>
                <w:sz w:val="20"/>
              </w:rPr>
              <w:t>Siht</w:t>
            </w:r>
          </w:p>
        </w:tc>
        <w:tc>
          <w:tcPr>
            <w:tcW w:w="4065" w:type="dxa"/>
            <w:shd w:val="clear" w:color="auto" w:fill="C6EFCE"/>
            <w:noWrap/>
            <w:vAlign w:val="center"/>
          </w:tcPr>
          <w:p w14:paraId="07D885EA" w14:textId="77777777" w:rsidR="00A612E2" w:rsidRPr="003B127D" w:rsidRDefault="00A612E2" w:rsidP="00742B81">
            <w:pPr>
              <w:jc w:val="center"/>
              <w:rPr>
                <w:noProof/>
                <w:color w:val="006100"/>
                <w:sz w:val="20"/>
                <w:szCs w:val="20"/>
              </w:rPr>
            </w:pPr>
            <w:r>
              <w:rPr>
                <w:noProof/>
                <w:color w:val="006100"/>
                <w:sz w:val="20"/>
              </w:rPr>
              <w:t>Rohelised sadamad: tööde loovutamine</w:t>
            </w:r>
          </w:p>
        </w:tc>
      </w:tr>
      <w:tr w:rsidR="00A612E2" w:rsidRPr="00D90835" w14:paraId="6A58C011" w14:textId="77777777" w:rsidTr="00742B81">
        <w:trPr>
          <w:trHeight w:val="302"/>
        </w:trPr>
        <w:tc>
          <w:tcPr>
            <w:tcW w:w="1413" w:type="dxa"/>
            <w:shd w:val="clear" w:color="auto" w:fill="C6EFCE"/>
            <w:noWrap/>
            <w:vAlign w:val="center"/>
          </w:tcPr>
          <w:p w14:paraId="511943D7" w14:textId="77777777" w:rsidR="00A612E2" w:rsidRPr="00246CC4" w:rsidRDefault="00A612E2" w:rsidP="00742B81">
            <w:pPr>
              <w:rPr>
                <w:noProof/>
                <w:color w:val="006100"/>
                <w:sz w:val="20"/>
                <w:szCs w:val="20"/>
              </w:rPr>
            </w:pPr>
            <w:r>
              <w:rPr>
                <w:noProof/>
                <w:color w:val="006100"/>
                <w:sz w:val="20"/>
              </w:rPr>
              <w:t>M4C1-29</w:t>
            </w:r>
          </w:p>
        </w:tc>
        <w:tc>
          <w:tcPr>
            <w:tcW w:w="3150" w:type="dxa"/>
            <w:shd w:val="clear" w:color="auto" w:fill="C6EFCE"/>
            <w:noWrap/>
            <w:vAlign w:val="center"/>
          </w:tcPr>
          <w:p w14:paraId="514C5FF4" w14:textId="77777777" w:rsidR="00A612E2" w:rsidRPr="003B127D" w:rsidRDefault="00A612E2" w:rsidP="00742B81">
            <w:pPr>
              <w:rPr>
                <w:noProof/>
                <w:color w:val="006100"/>
                <w:sz w:val="20"/>
                <w:szCs w:val="20"/>
              </w:rPr>
            </w:pPr>
            <w:r>
              <w:rPr>
                <w:noProof/>
                <w:color w:val="006100"/>
                <w:sz w:val="20"/>
              </w:rPr>
              <w:t xml:space="preserve">Reform 1.7. Üliõpilaste eluasemete reguleerimise reform ja investeeringud üliõpilaste eluasemetesse </w:t>
            </w:r>
          </w:p>
        </w:tc>
        <w:tc>
          <w:tcPr>
            <w:tcW w:w="1485" w:type="dxa"/>
            <w:shd w:val="clear" w:color="auto" w:fill="C6EFCE"/>
            <w:noWrap/>
            <w:vAlign w:val="center"/>
          </w:tcPr>
          <w:p w14:paraId="7A09ED1A" w14:textId="77777777" w:rsidR="00A612E2" w:rsidRPr="00246CC4" w:rsidRDefault="00A612E2" w:rsidP="00742B81">
            <w:pPr>
              <w:rPr>
                <w:noProof/>
                <w:color w:val="006100"/>
                <w:sz w:val="20"/>
                <w:szCs w:val="20"/>
              </w:rPr>
            </w:pPr>
            <w:r>
              <w:rPr>
                <w:noProof/>
                <w:color w:val="006100"/>
                <w:sz w:val="20"/>
              </w:rPr>
              <w:t>Eesmärk</w:t>
            </w:r>
          </w:p>
        </w:tc>
        <w:tc>
          <w:tcPr>
            <w:tcW w:w="4065" w:type="dxa"/>
            <w:shd w:val="clear" w:color="auto" w:fill="C6EFCE"/>
            <w:noWrap/>
            <w:vAlign w:val="center"/>
          </w:tcPr>
          <w:p w14:paraId="69D9FA00" w14:textId="77777777" w:rsidR="00A612E2" w:rsidRPr="003B127D" w:rsidRDefault="00A612E2" w:rsidP="00742B81">
            <w:pPr>
              <w:jc w:val="center"/>
              <w:rPr>
                <w:noProof/>
                <w:color w:val="006100"/>
                <w:sz w:val="20"/>
                <w:szCs w:val="20"/>
              </w:rPr>
            </w:pPr>
            <w:r>
              <w:rPr>
                <w:noProof/>
                <w:color w:val="006100"/>
                <w:sz w:val="20"/>
              </w:rPr>
              <w:t xml:space="preserve">Üliõpilaste eluasemeid käsitlevate õigusaktide reformi jõustumine.    </w:t>
            </w:r>
          </w:p>
        </w:tc>
      </w:tr>
      <w:tr w:rsidR="00A612E2" w:rsidRPr="00D90835" w14:paraId="2EA196CA" w14:textId="77777777" w:rsidTr="00742B81">
        <w:trPr>
          <w:trHeight w:val="302"/>
        </w:trPr>
        <w:tc>
          <w:tcPr>
            <w:tcW w:w="1413" w:type="dxa"/>
            <w:shd w:val="clear" w:color="auto" w:fill="C6EFCE"/>
            <w:noWrap/>
            <w:vAlign w:val="center"/>
          </w:tcPr>
          <w:p w14:paraId="69CD45DB" w14:textId="77777777" w:rsidR="00A612E2" w:rsidRPr="00246CC4" w:rsidRDefault="00A612E2" w:rsidP="00742B81">
            <w:pPr>
              <w:rPr>
                <w:noProof/>
                <w:color w:val="006100"/>
                <w:sz w:val="20"/>
                <w:szCs w:val="20"/>
              </w:rPr>
            </w:pPr>
            <w:r>
              <w:rPr>
                <w:noProof/>
                <w:color w:val="006100"/>
                <w:sz w:val="20"/>
              </w:rPr>
              <w:t>M5C2-13</w:t>
            </w:r>
          </w:p>
        </w:tc>
        <w:tc>
          <w:tcPr>
            <w:tcW w:w="3150" w:type="dxa"/>
            <w:shd w:val="clear" w:color="auto" w:fill="C6EFCE"/>
            <w:noWrap/>
            <w:vAlign w:val="center"/>
          </w:tcPr>
          <w:p w14:paraId="02FDE22A" w14:textId="77777777" w:rsidR="00A612E2" w:rsidRPr="003B127D" w:rsidRDefault="00A612E2" w:rsidP="00742B81">
            <w:pPr>
              <w:rPr>
                <w:noProof/>
                <w:color w:val="006100"/>
                <w:sz w:val="20"/>
                <w:szCs w:val="20"/>
              </w:rPr>
            </w:pPr>
            <w:r>
              <w:rPr>
                <w:noProof/>
                <w:color w:val="006100"/>
                <w:sz w:val="20"/>
              </w:rPr>
              <w:t>Investeering 5. Linnade integratsioonikavad - üldprojektid</w:t>
            </w:r>
          </w:p>
        </w:tc>
        <w:tc>
          <w:tcPr>
            <w:tcW w:w="1485" w:type="dxa"/>
            <w:shd w:val="clear" w:color="auto" w:fill="C6EFCE"/>
            <w:noWrap/>
            <w:vAlign w:val="center"/>
          </w:tcPr>
          <w:p w14:paraId="60DA258B" w14:textId="77777777" w:rsidR="00A612E2" w:rsidRPr="00246CC4" w:rsidRDefault="00A612E2" w:rsidP="00742B81">
            <w:pPr>
              <w:rPr>
                <w:noProof/>
                <w:color w:val="006100"/>
                <w:sz w:val="20"/>
                <w:szCs w:val="20"/>
              </w:rPr>
            </w:pPr>
            <w:r>
              <w:rPr>
                <w:noProof/>
                <w:color w:val="006100"/>
                <w:sz w:val="20"/>
              </w:rPr>
              <w:t>Eesmärk</w:t>
            </w:r>
          </w:p>
        </w:tc>
        <w:tc>
          <w:tcPr>
            <w:tcW w:w="4065" w:type="dxa"/>
            <w:shd w:val="clear" w:color="auto" w:fill="C6EFCE"/>
            <w:noWrap/>
            <w:vAlign w:val="center"/>
          </w:tcPr>
          <w:p w14:paraId="2BDF3FDC" w14:textId="77777777" w:rsidR="00A612E2" w:rsidRPr="003B127D" w:rsidRDefault="00A612E2" w:rsidP="00742B81">
            <w:pPr>
              <w:jc w:val="center"/>
              <w:rPr>
                <w:noProof/>
                <w:color w:val="006100"/>
                <w:sz w:val="20"/>
                <w:szCs w:val="20"/>
              </w:rPr>
            </w:pPr>
            <w:r>
              <w:rPr>
                <w:noProof/>
                <w:color w:val="006100"/>
                <w:sz w:val="20"/>
              </w:rPr>
              <w:t>Suurlinnapiirkondade taaselustamise projektide investeerimiskava jõustumine.</w:t>
            </w:r>
          </w:p>
        </w:tc>
      </w:tr>
      <w:tr w:rsidR="00A612E2" w:rsidRPr="00D90835" w14:paraId="0990F6F6" w14:textId="77777777" w:rsidTr="00742B81">
        <w:trPr>
          <w:trHeight w:val="302"/>
        </w:trPr>
        <w:tc>
          <w:tcPr>
            <w:tcW w:w="1413" w:type="dxa"/>
            <w:shd w:val="clear" w:color="auto" w:fill="C6EFCE"/>
            <w:noWrap/>
            <w:vAlign w:val="center"/>
          </w:tcPr>
          <w:p w14:paraId="0822A23F" w14:textId="77777777" w:rsidR="00A612E2" w:rsidRPr="00246CC4" w:rsidRDefault="00A612E2" w:rsidP="00742B81">
            <w:pPr>
              <w:rPr>
                <w:noProof/>
                <w:color w:val="006100"/>
                <w:sz w:val="20"/>
                <w:szCs w:val="20"/>
              </w:rPr>
            </w:pPr>
            <w:r>
              <w:rPr>
                <w:noProof/>
                <w:color w:val="006100"/>
                <w:sz w:val="20"/>
              </w:rPr>
              <w:t>M6C2-7</w:t>
            </w:r>
          </w:p>
        </w:tc>
        <w:tc>
          <w:tcPr>
            <w:tcW w:w="3150" w:type="dxa"/>
            <w:shd w:val="clear" w:color="auto" w:fill="C6EFCE"/>
            <w:noWrap/>
            <w:vAlign w:val="center"/>
          </w:tcPr>
          <w:p w14:paraId="33B6FCB7" w14:textId="77777777" w:rsidR="00A612E2" w:rsidRPr="003B127D" w:rsidRDefault="00A612E2" w:rsidP="00742B81">
            <w:pPr>
              <w:rPr>
                <w:noProof/>
                <w:color w:val="006100"/>
                <w:sz w:val="20"/>
                <w:szCs w:val="20"/>
              </w:rPr>
            </w:pPr>
            <w:r>
              <w:rPr>
                <w:noProof/>
                <w:color w:val="006600"/>
                <w:sz w:val="20"/>
              </w:rPr>
              <w:t>Investeering 1.1. Haiglate tehniliste seadmete digitaalne ajakohastamine.</w:t>
            </w:r>
          </w:p>
        </w:tc>
        <w:tc>
          <w:tcPr>
            <w:tcW w:w="1485" w:type="dxa"/>
            <w:shd w:val="clear" w:color="auto" w:fill="C6EFCE"/>
            <w:noWrap/>
            <w:vAlign w:val="center"/>
          </w:tcPr>
          <w:p w14:paraId="0E09CA4E" w14:textId="77777777" w:rsidR="00A612E2" w:rsidRPr="00246CC4" w:rsidRDefault="00A612E2" w:rsidP="00742B81">
            <w:pPr>
              <w:rPr>
                <w:noProof/>
                <w:color w:val="006100"/>
                <w:sz w:val="20"/>
                <w:szCs w:val="20"/>
              </w:rPr>
            </w:pPr>
            <w:r>
              <w:rPr>
                <w:noProof/>
                <w:color w:val="006600"/>
                <w:sz w:val="20"/>
              </w:rPr>
              <w:t>Eesmärk</w:t>
            </w:r>
          </w:p>
        </w:tc>
        <w:tc>
          <w:tcPr>
            <w:tcW w:w="4065" w:type="dxa"/>
            <w:shd w:val="clear" w:color="auto" w:fill="C6EFCE"/>
            <w:noWrap/>
            <w:vAlign w:val="center"/>
          </w:tcPr>
          <w:p w14:paraId="28A2D34D" w14:textId="77777777" w:rsidR="00A612E2" w:rsidRPr="003B127D" w:rsidRDefault="00A612E2" w:rsidP="00742B81">
            <w:pPr>
              <w:jc w:val="center"/>
              <w:rPr>
                <w:noProof/>
                <w:color w:val="006600"/>
                <w:sz w:val="20"/>
                <w:szCs w:val="20"/>
              </w:rPr>
            </w:pPr>
            <w:r>
              <w:rPr>
                <w:noProof/>
                <w:color w:val="006600"/>
                <w:sz w:val="20"/>
              </w:rPr>
              <w:t>Kõigi riigihankelepingute sõlmimine</w:t>
            </w:r>
          </w:p>
        </w:tc>
      </w:tr>
      <w:tr w:rsidR="00A612E2" w:rsidRPr="00246CC4" w14:paraId="7418755C" w14:textId="77777777" w:rsidTr="00742B81">
        <w:trPr>
          <w:trHeight w:val="302"/>
        </w:trPr>
        <w:tc>
          <w:tcPr>
            <w:tcW w:w="1413" w:type="dxa"/>
            <w:shd w:val="clear" w:color="auto" w:fill="C6EFCE"/>
            <w:noWrap/>
            <w:vAlign w:val="bottom"/>
          </w:tcPr>
          <w:p w14:paraId="195EE182" w14:textId="77777777" w:rsidR="00A612E2" w:rsidRPr="003B127D" w:rsidRDefault="00A612E2" w:rsidP="00742B81">
            <w:pPr>
              <w:jc w:val="center"/>
              <w:rPr>
                <w:noProof/>
                <w:color w:val="006100"/>
                <w:sz w:val="20"/>
                <w:szCs w:val="20"/>
                <w:lang w:val="en-IE"/>
              </w:rPr>
            </w:pPr>
          </w:p>
        </w:tc>
        <w:tc>
          <w:tcPr>
            <w:tcW w:w="3150" w:type="dxa"/>
            <w:shd w:val="clear" w:color="auto" w:fill="C6EFCE"/>
            <w:noWrap/>
            <w:vAlign w:val="bottom"/>
          </w:tcPr>
          <w:p w14:paraId="67FDFD29" w14:textId="77777777" w:rsidR="00A612E2" w:rsidRPr="003B127D" w:rsidRDefault="00A612E2" w:rsidP="00742B81">
            <w:pPr>
              <w:rPr>
                <w:noProof/>
                <w:color w:val="006100"/>
                <w:sz w:val="20"/>
                <w:szCs w:val="20"/>
                <w:lang w:val="en-IE"/>
              </w:rPr>
            </w:pPr>
          </w:p>
        </w:tc>
        <w:tc>
          <w:tcPr>
            <w:tcW w:w="1485" w:type="dxa"/>
            <w:shd w:val="clear" w:color="auto" w:fill="C6EFCE"/>
            <w:noWrap/>
            <w:vAlign w:val="bottom"/>
          </w:tcPr>
          <w:p w14:paraId="15E5EBEF" w14:textId="77777777" w:rsidR="00A612E2" w:rsidRPr="00246CC4" w:rsidRDefault="00A612E2" w:rsidP="00742B81">
            <w:pPr>
              <w:rPr>
                <w:noProof/>
                <w:color w:val="006100"/>
                <w:sz w:val="20"/>
                <w:szCs w:val="20"/>
              </w:rPr>
            </w:pPr>
            <w:r>
              <w:rPr>
                <w:noProof/>
                <w:color w:val="006100"/>
                <w:sz w:val="20"/>
              </w:rPr>
              <w:t>Osamakse summa</w:t>
            </w:r>
          </w:p>
        </w:tc>
        <w:tc>
          <w:tcPr>
            <w:tcW w:w="4065" w:type="dxa"/>
            <w:shd w:val="clear" w:color="auto" w:fill="C6EFCE"/>
            <w:noWrap/>
            <w:vAlign w:val="bottom"/>
          </w:tcPr>
          <w:p w14:paraId="3098E1BA" w14:textId="77777777" w:rsidR="00A612E2" w:rsidRPr="00246CC4" w:rsidRDefault="00A612E2" w:rsidP="00742B81">
            <w:pPr>
              <w:rPr>
                <w:noProof/>
                <w:color w:val="006100"/>
                <w:sz w:val="20"/>
                <w:szCs w:val="20"/>
              </w:rPr>
            </w:pPr>
            <w:r>
              <w:rPr>
                <w:noProof/>
                <w:color w:val="006100"/>
                <w:sz w:val="20"/>
              </w:rPr>
              <w:t>9</w:t>
            </w:r>
            <w:r>
              <w:rPr>
                <w:rFonts w:ascii="Arial Narrow" w:hAnsi="Arial Narrow"/>
                <w:noProof/>
                <w:color w:val="006100"/>
                <w:sz w:val="20"/>
              </w:rPr>
              <w:t xml:space="preserve"> </w:t>
            </w:r>
            <w:r>
              <w:rPr>
                <w:noProof/>
                <w:color w:val="006100"/>
                <w:sz w:val="20"/>
              </w:rPr>
              <w:t>825</w:t>
            </w:r>
            <w:r>
              <w:rPr>
                <w:rFonts w:ascii="Arial Narrow" w:hAnsi="Arial Narrow"/>
                <w:noProof/>
                <w:color w:val="006100"/>
                <w:sz w:val="20"/>
              </w:rPr>
              <w:t xml:space="preserve"> </w:t>
            </w:r>
            <w:r>
              <w:rPr>
                <w:noProof/>
                <w:color w:val="006100"/>
                <w:sz w:val="20"/>
              </w:rPr>
              <w:t>328</w:t>
            </w:r>
            <w:r>
              <w:rPr>
                <w:rFonts w:ascii="Arial Narrow" w:hAnsi="Arial Narrow"/>
                <w:noProof/>
                <w:color w:val="006100"/>
                <w:sz w:val="20"/>
              </w:rPr>
              <w:t xml:space="preserve"> </w:t>
            </w:r>
            <w:r>
              <w:rPr>
                <w:noProof/>
                <w:color w:val="006100"/>
                <w:sz w:val="20"/>
              </w:rPr>
              <w:t>389 eurot</w:t>
            </w:r>
          </w:p>
        </w:tc>
      </w:tr>
    </w:tbl>
    <w:p w14:paraId="695B2DA0" w14:textId="23FFB5DC" w:rsidR="00392579" w:rsidRDefault="00392579" w:rsidP="00A612E2">
      <w:pPr>
        <w:spacing w:after="200" w:line="276" w:lineRule="auto"/>
        <w:rPr>
          <w:rFonts w:eastAsia="Calibri"/>
          <w:noProof/>
          <w:lang w:val="en-GB"/>
        </w:rPr>
      </w:pPr>
    </w:p>
    <w:p w14:paraId="23F0776A" w14:textId="77777777" w:rsidR="00392579" w:rsidRDefault="00392579">
      <w:pPr>
        <w:spacing w:after="160" w:line="259" w:lineRule="auto"/>
        <w:rPr>
          <w:rFonts w:eastAsia="Calibri"/>
          <w:noProof/>
        </w:rPr>
      </w:pPr>
      <w:r>
        <w:rPr>
          <w:noProof/>
        </w:rPr>
        <w:br w:type="page"/>
      </w:r>
    </w:p>
    <w:p w14:paraId="69F23FD8" w14:textId="77777777" w:rsidR="00A612E2" w:rsidRPr="00246CC4" w:rsidRDefault="00A612E2" w:rsidP="00A612E2">
      <w:pPr>
        <w:numPr>
          <w:ilvl w:val="1"/>
          <w:numId w:val="6"/>
        </w:numPr>
        <w:spacing w:before="120" w:after="120"/>
        <w:jc w:val="both"/>
        <w:rPr>
          <w:rFonts w:eastAsia="Calibri"/>
          <w:noProof/>
        </w:rPr>
      </w:pPr>
      <w:r>
        <w:rPr>
          <w:noProof/>
        </w:rPr>
        <w:t>Neljas osamakse (laenutoetus):</w:t>
      </w:r>
    </w:p>
    <w:tbl>
      <w:tblPr>
        <w:tblW w:w="1014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3165"/>
        <w:gridCol w:w="1468"/>
        <w:gridCol w:w="4095"/>
      </w:tblGrid>
      <w:tr w:rsidR="00A612E2" w:rsidRPr="00246CC4" w14:paraId="5720D62B" w14:textId="77777777" w:rsidTr="00742B81">
        <w:trPr>
          <w:trHeight w:val="906"/>
          <w:tblHeader/>
        </w:trPr>
        <w:tc>
          <w:tcPr>
            <w:tcW w:w="1413" w:type="dxa"/>
            <w:vMerge w:val="restart"/>
            <w:shd w:val="clear" w:color="auto" w:fill="BDD7EE"/>
            <w:vAlign w:val="center"/>
            <w:hideMark/>
          </w:tcPr>
          <w:p w14:paraId="0D8830D1" w14:textId="77777777" w:rsidR="00A612E2" w:rsidRPr="00246CC4" w:rsidRDefault="00A612E2" w:rsidP="00742B81">
            <w:pPr>
              <w:jc w:val="center"/>
              <w:rPr>
                <w:b/>
                <w:bCs/>
                <w:noProof/>
                <w:sz w:val="20"/>
                <w:szCs w:val="20"/>
              </w:rPr>
            </w:pPr>
            <w:r>
              <w:rPr>
                <w:b/>
                <w:noProof/>
                <w:sz w:val="20"/>
              </w:rPr>
              <w:t>Järjekorranumber</w:t>
            </w:r>
          </w:p>
        </w:tc>
        <w:tc>
          <w:tcPr>
            <w:tcW w:w="3165" w:type="dxa"/>
            <w:vMerge w:val="restart"/>
            <w:shd w:val="clear" w:color="auto" w:fill="BDD7EE"/>
            <w:vAlign w:val="center"/>
            <w:hideMark/>
          </w:tcPr>
          <w:p w14:paraId="3CC57241" w14:textId="77777777" w:rsidR="00A612E2" w:rsidRPr="003B127D" w:rsidRDefault="00A612E2" w:rsidP="00742B81">
            <w:pPr>
              <w:jc w:val="center"/>
              <w:rPr>
                <w:b/>
                <w:bCs/>
                <w:noProof/>
                <w:sz w:val="20"/>
                <w:szCs w:val="20"/>
              </w:rPr>
            </w:pPr>
            <w:r>
              <w:rPr>
                <w:b/>
                <w:noProof/>
                <w:sz w:val="20"/>
              </w:rPr>
              <w:t>Seotud meede (reform või investeering)</w:t>
            </w:r>
          </w:p>
        </w:tc>
        <w:tc>
          <w:tcPr>
            <w:tcW w:w="1468" w:type="dxa"/>
            <w:vMerge w:val="restart"/>
            <w:shd w:val="clear" w:color="auto" w:fill="BDD7EE"/>
            <w:vAlign w:val="center"/>
            <w:hideMark/>
          </w:tcPr>
          <w:p w14:paraId="7DBD0785" w14:textId="77777777" w:rsidR="00A612E2" w:rsidRPr="00246CC4" w:rsidRDefault="00A612E2" w:rsidP="00742B81">
            <w:pPr>
              <w:jc w:val="center"/>
              <w:rPr>
                <w:b/>
                <w:bCs/>
                <w:noProof/>
                <w:sz w:val="20"/>
                <w:szCs w:val="20"/>
              </w:rPr>
            </w:pPr>
            <w:r>
              <w:rPr>
                <w:b/>
                <w:noProof/>
                <w:sz w:val="20"/>
              </w:rPr>
              <w:t>Eesmärk / siht</w:t>
            </w:r>
          </w:p>
        </w:tc>
        <w:tc>
          <w:tcPr>
            <w:tcW w:w="4095" w:type="dxa"/>
            <w:vMerge w:val="restart"/>
            <w:shd w:val="clear" w:color="auto" w:fill="BDD7EE"/>
            <w:vAlign w:val="center"/>
            <w:hideMark/>
          </w:tcPr>
          <w:p w14:paraId="57D66656" w14:textId="77777777" w:rsidR="00A612E2" w:rsidRPr="00246CC4" w:rsidRDefault="00A612E2" w:rsidP="00742B81">
            <w:pPr>
              <w:jc w:val="center"/>
              <w:rPr>
                <w:b/>
                <w:bCs/>
                <w:noProof/>
                <w:sz w:val="20"/>
                <w:szCs w:val="20"/>
              </w:rPr>
            </w:pPr>
            <w:r>
              <w:rPr>
                <w:b/>
                <w:noProof/>
                <w:sz w:val="20"/>
              </w:rPr>
              <w:t>Nimi</w:t>
            </w:r>
          </w:p>
        </w:tc>
      </w:tr>
      <w:tr w:rsidR="00A612E2" w:rsidRPr="00246CC4" w14:paraId="544011AC" w14:textId="77777777" w:rsidTr="00742B81">
        <w:trPr>
          <w:trHeight w:val="517"/>
        </w:trPr>
        <w:tc>
          <w:tcPr>
            <w:tcW w:w="1413" w:type="dxa"/>
            <w:vMerge/>
            <w:vAlign w:val="center"/>
            <w:hideMark/>
          </w:tcPr>
          <w:p w14:paraId="21C5232A" w14:textId="77777777" w:rsidR="00A612E2" w:rsidRPr="00246CC4" w:rsidRDefault="00A612E2" w:rsidP="00742B81">
            <w:pPr>
              <w:rPr>
                <w:b/>
                <w:bCs/>
                <w:noProof/>
              </w:rPr>
            </w:pPr>
          </w:p>
        </w:tc>
        <w:tc>
          <w:tcPr>
            <w:tcW w:w="3165" w:type="dxa"/>
            <w:vMerge/>
            <w:vAlign w:val="center"/>
            <w:hideMark/>
          </w:tcPr>
          <w:p w14:paraId="22E2B92F" w14:textId="77777777" w:rsidR="00A612E2" w:rsidRPr="00246CC4" w:rsidRDefault="00A612E2" w:rsidP="00742B81">
            <w:pPr>
              <w:rPr>
                <w:b/>
                <w:bCs/>
                <w:noProof/>
              </w:rPr>
            </w:pPr>
          </w:p>
        </w:tc>
        <w:tc>
          <w:tcPr>
            <w:tcW w:w="1468" w:type="dxa"/>
            <w:vMerge/>
            <w:vAlign w:val="center"/>
            <w:hideMark/>
          </w:tcPr>
          <w:p w14:paraId="6EE6F904" w14:textId="77777777" w:rsidR="00A612E2" w:rsidRPr="00246CC4" w:rsidRDefault="00A612E2" w:rsidP="00742B81">
            <w:pPr>
              <w:rPr>
                <w:b/>
                <w:bCs/>
                <w:noProof/>
              </w:rPr>
            </w:pPr>
          </w:p>
        </w:tc>
        <w:tc>
          <w:tcPr>
            <w:tcW w:w="4095" w:type="dxa"/>
            <w:vMerge/>
            <w:vAlign w:val="center"/>
            <w:hideMark/>
          </w:tcPr>
          <w:p w14:paraId="2DEC1075" w14:textId="77777777" w:rsidR="00A612E2" w:rsidRPr="00246CC4" w:rsidRDefault="00A612E2" w:rsidP="00742B81">
            <w:pPr>
              <w:rPr>
                <w:b/>
                <w:bCs/>
                <w:noProof/>
              </w:rPr>
            </w:pPr>
          </w:p>
        </w:tc>
      </w:tr>
      <w:tr w:rsidR="00A612E2" w:rsidRPr="00D90835" w14:paraId="43693D44" w14:textId="77777777" w:rsidTr="00742B81">
        <w:trPr>
          <w:trHeight w:val="302"/>
        </w:trPr>
        <w:tc>
          <w:tcPr>
            <w:tcW w:w="1413" w:type="dxa"/>
            <w:shd w:val="clear" w:color="auto" w:fill="C6EFCE"/>
            <w:noWrap/>
            <w:vAlign w:val="center"/>
          </w:tcPr>
          <w:p w14:paraId="38F2E407" w14:textId="77777777" w:rsidR="00A612E2" w:rsidRPr="00246CC4" w:rsidRDefault="00A612E2" w:rsidP="00742B81">
            <w:pPr>
              <w:rPr>
                <w:noProof/>
                <w:color w:val="006100"/>
                <w:sz w:val="20"/>
                <w:szCs w:val="20"/>
              </w:rPr>
            </w:pPr>
            <w:r>
              <w:rPr>
                <w:noProof/>
                <w:color w:val="006100"/>
                <w:sz w:val="20"/>
              </w:rPr>
              <w:t>M1C1-125</w:t>
            </w:r>
          </w:p>
        </w:tc>
        <w:tc>
          <w:tcPr>
            <w:tcW w:w="3165" w:type="dxa"/>
            <w:shd w:val="clear" w:color="auto" w:fill="C6EFCE"/>
            <w:noWrap/>
            <w:vAlign w:val="center"/>
          </w:tcPr>
          <w:p w14:paraId="5922B3A3" w14:textId="77777777" w:rsidR="00A612E2" w:rsidRPr="003B127D" w:rsidRDefault="00A612E2" w:rsidP="00742B81">
            <w:pPr>
              <w:rPr>
                <w:noProof/>
                <w:color w:val="006100"/>
                <w:sz w:val="20"/>
                <w:szCs w:val="20"/>
              </w:rPr>
            </w:pPr>
            <w:r>
              <w:rPr>
                <w:noProof/>
                <w:color w:val="006100"/>
                <w:sz w:val="20"/>
              </w:rPr>
              <w:t>Investeering 1.2. Pilvandmetöötlus kohalikule makseasutusele</w:t>
            </w:r>
          </w:p>
        </w:tc>
        <w:tc>
          <w:tcPr>
            <w:tcW w:w="1468" w:type="dxa"/>
            <w:shd w:val="clear" w:color="auto" w:fill="C6EFCE"/>
            <w:noWrap/>
            <w:vAlign w:val="center"/>
          </w:tcPr>
          <w:p w14:paraId="23525EEA" w14:textId="77777777" w:rsidR="00A612E2" w:rsidRPr="00246CC4" w:rsidRDefault="00A612E2" w:rsidP="00742B81">
            <w:pPr>
              <w:rPr>
                <w:noProof/>
                <w:color w:val="006100"/>
                <w:sz w:val="20"/>
                <w:szCs w:val="20"/>
              </w:rPr>
            </w:pPr>
            <w:r>
              <w:rPr>
                <w:noProof/>
                <w:color w:val="006100"/>
                <w:sz w:val="20"/>
              </w:rPr>
              <w:t>Eesmärk</w:t>
            </w:r>
          </w:p>
        </w:tc>
        <w:tc>
          <w:tcPr>
            <w:tcW w:w="4095" w:type="dxa"/>
            <w:shd w:val="clear" w:color="auto" w:fill="C6EFCE"/>
            <w:noWrap/>
            <w:vAlign w:val="center"/>
          </w:tcPr>
          <w:p w14:paraId="2A1003A9" w14:textId="77777777" w:rsidR="00A612E2" w:rsidRPr="003B127D" w:rsidRDefault="00A612E2" w:rsidP="00742B81">
            <w:pPr>
              <w:jc w:val="center"/>
              <w:rPr>
                <w:noProof/>
                <w:color w:val="006100"/>
                <w:sz w:val="20"/>
                <w:szCs w:val="20"/>
              </w:rPr>
            </w:pPr>
            <w:r>
              <w:rPr>
                <w:noProof/>
                <w:color w:val="006100"/>
                <w:sz w:val="20"/>
              </w:rPr>
              <w:t>Kohaliku avaliku halduse pilvandmetöötluse (kõikide) avalike konkursside korraldamine</w:t>
            </w:r>
          </w:p>
        </w:tc>
      </w:tr>
      <w:tr w:rsidR="00A612E2" w:rsidRPr="00D90835" w14:paraId="638DEFE3" w14:textId="77777777" w:rsidTr="00742B81">
        <w:trPr>
          <w:trHeight w:val="302"/>
        </w:trPr>
        <w:tc>
          <w:tcPr>
            <w:tcW w:w="1413" w:type="dxa"/>
            <w:shd w:val="clear" w:color="auto" w:fill="C6EFCE"/>
            <w:noWrap/>
            <w:vAlign w:val="center"/>
          </w:tcPr>
          <w:p w14:paraId="37602F7F" w14:textId="77777777" w:rsidR="00A612E2" w:rsidRPr="00246CC4" w:rsidRDefault="00A612E2" w:rsidP="00742B81">
            <w:pPr>
              <w:rPr>
                <w:noProof/>
                <w:color w:val="006100"/>
                <w:sz w:val="20"/>
                <w:szCs w:val="20"/>
              </w:rPr>
            </w:pPr>
            <w:r>
              <w:rPr>
                <w:noProof/>
                <w:color w:val="006100"/>
                <w:sz w:val="20"/>
              </w:rPr>
              <w:t>M1C2-22</w:t>
            </w:r>
          </w:p>
        </w:tc>
        <w:tc>
          <w:tcPr>
            <w:tcW w:w="3165" w:type="dxa"/>
            <w:shd w:val="clear" w:color="auto" w:fill="C6EFCE"/>
            <w:noWrap/>
            <w:vAlign w:val="center"/>
          </w:tcPr>
          <w:p w14:paraId="000AF428" w14:textId="77777777" w:rsidR="00A612E2" w:rsidRPr="003B127D" w:rsidRDefault="00A612E2" w:rsidP="00742B81">
            <w:pPr>
              <w:rPr>
                <w:noProof/>
                <w:color w:val="006100"/>
                <w:sz w:val="20"/>
                <w:szCs w:val="20"/>
              </w:rPr>
            </w:pPr>
            <w:r>
              <w:rPr>
                <w:noProof/>
                <w:color w:val="006100"/>
                <w:sz w:val="20"/>
              </w:rPr>
              <w:t>Investeering 4. Satelliittehnoloogia ja kosmosemajandus</w:t>
            </w:r>
          </w:p>
        </w:tc>
        <w:tc>
          <w:tcPr>
            <w:tcW w:w="1468" w:type="dxa"/>
            <w:shd w:val="clear" w:color="auto" w:fill="C6EFCE"/>
            <w:noWrap/>
            <w:vAlign w:val="center"/>
          </w:tcPr>
          <w:p w14:paraId="3F454DEA" w14:textId="77777777" w:rsidR="00A612E2" w:rsidRPr="00246CC4" w:rsidRDefault="00A612E2" w:rsidP="00742B81">
            <w:pPr>
              <w:rPr>
                <w:noProof/>
                <w:color w:val="006100"/>
                <w:sz w:val="20"/>
                <w:szCs w:val="20"/>
              </w:rPr>
            </w:pPr>
            <w:r>
              <w:rPr>
                <w:noProof/>
                <w:color w:val="006100"/>
                <w:sz w:val="20"/>
              </w:rPr>
              <w:t>Eesmärk</w:t>
            </w:r>
          </w:p>
        </w:tc>
        <w:tc>
          <w:tcPr>
            <w:tcW w:w="4095" w:type="dxa"/>
            <w:shd w:val="clear" w:color="auto" w:fill="C6EFCE"/>
            <w:noWrap/>
            <w:vAlign w:val="center"/>
          </w:tcPr>
          <w:p w14:paraId="60CAEA5E" w14:textId="77777777" w:rsidR="00A612E2" w:rsidRPr="003B127D" w:rsidRDefault="00A612E2" w:rsidP="00742B81">
            <w:pPr>
              <w:jc w:val="center"/>
              <w:rPr>
                <w:noProof/>
                <w:color w:val="006100"/>
                <w:sz w:val="20"/>
                <w:szCs w:val="20"/>
              </w:rPr>
            </w:pPr>
            <w:r>
              <w:rPr>
                <w:noProof/>
                <w:color w:val="006100"/>
                <w:sz w:val="20"/>
              </w:rPr>
              <w:t>Kõikide satelliittehnoloogia ja kosmoseprojektide riigihankelepingute sõlmimine</w:t>
            </w:r>
          </w:p>
        </w:tc>
      </w:tr>
      <w:tr w:rsidR="00A612E2" w:rsidRPr="00D90835" w14:paraId="114176DA" w14:textId="77777777" w:rsidTr="00742B81">
        <w:trPr>
          <w:trHeight w:val="302"/>
        </w:trPr>
        <w:tc>
          <w:tcPr>
            <w:tcW w:w="1413" w:type="dxa"/>
            <w:shd w:val="clear" w:color="auto" w:fill="C6EFCE"/>
            <w:noWrap/>
            <w:vAlign w:val="center"/>
          </w:tcPr>
          <w:p w14:paraId="5738CC34" w14:textId="77777777" w:rsidR="00A612E2" w:rsidRPr="00246CC4" w:rsidRDefault="00A612E2" w:rsidP="00742B81">
            <w:pPr>
              <w:rPr>
                <w:noProof/>
                <w:color w:val="006100"/>
                <w:sz w:val="20"/>
                <w:szCs w:val="20"/>
              </w:rPr>
            </w:pPr>
            <w:r>
              <w:rPr>
                <w:noProof/>
                <w:color w:val="006100"/>
                <w:sz w:val="20"/>
              </w:rPr>
              <w:t>M2C2-48</w:t>
            </w:r>
          </w:p>
        </w:tc>
        <w:tc>
          <w:tcPr>
            <w:tcW w:w="3165" w:type="dxa"/>
            <w:shd w:val="clear" w:color="auto" w:fill="C6EFCE"/>
            <w:noWrap/>
            <w:vAlign w:val="center"/>
          </w:tcPr>
          <w:p w14:paraId="38FEC095" w14:textId="77777777" w:rsidR="00A612E2" w:rsidRPr="003B127D" w:rsidRDefault="00A612E2" w:rsidP="00742B81">
            <w:pPr>
              <w:rPr>
                <w:noProof/>
                <w:color w:val="006100"/>
                <w:sz w:val="20"/>
                <w:szCs w:val="20"/>
              </w:rPr>
            </w:pPr>
            <w:r>
              <w:rPr>
                <w:noProof/>
                <w:color w:val="006100"/>
                <w:sz w:val="20"/>
              </w:rPr>
              <w:t>Investeering 3.1. Vesiniku tootmine mahajäetud tööstusaladel (Hydrogen Valleys)</w:t>
            </w:r>
          </w:p>
        </w:tc>
        <w:tc>
          <w:tcPr>
            <w:tcW w:w="1468" w:type="dxa"/>
            <w:shd w:val="clear" w:color="auto" w:fill="C6EFCE"/>
            <w:noWrap/>
            <w:vAlign w:val="center"/>
          </w:tcPr>
          <w:p w14:paraId="202ED7DE" w14:textId="77777777" w:rsidR="00A612E2" w:rsidRPr="00246CC4" w:rsidRDefault="00A612E2" w:rsidP="00742B81">
            <w:pPr>
              <w:rPr>
                <w:noProof/>
                <w:color w:val="006100"/>
                <w:sz w:val="20"/>
                <w:szCs w:val="20"/>
              </w:rPr>
            </w:pPr>
            <w:r>
              <w:rPr>
                <w:noProof/>
                <w:color w:val="006100"/>
                <w:sz w:val="20"/>
              </w:rPr>
              <w:t>Eesmärk</w:t>
            </w:r>
          </w:p>
        </w:tc>
        <w:tc>
          <w:tcPr>
            <w:tcW w:w="4095" w:type="dxa"/>
            <w:shd w:val="clear" w:color="auto" w:fill="C6EFCE"/>
            <w:noWrap/>
            <w:vAlign w:val="center"/>
          </w:tcPr>
          <w:p w14:paraId="401C1AEB" w14:textId="77777777" w:rsidR="00A612E2" w:rsidRPr="003B127D" w:rsidRDefault="00A612E2" w:rsidP="00742B81">
            <w:pPr>
              <w:jc w:val="center"/>
              <w:rPr>
                <w:noProof/>
                <w:color w:val="006100"/>
                <w:sz w:val="20"/>
                <w:szCs w:val="20"/>
              </w:rPr>
            </w:pPr>
            <w:r>
              <w:rPr>
                <w:noProof/>
                <w:color w:val="006100"/>
                <w:sz w:val="20"/>
              </w:rPr>
              <w:t>Kõigi selliste projektide riigihankelepingute sõlmimine, mille eesmärk on vesiniku tootmine mahajäetud tööstuspiirkondade keskustes</w:t>
            </w:r>
          </w:p>
        </w:tc>
      </w:tr>
      <w:tr w:rsidR="00A612E2" w:rsidRPr="00D90835" w14:paraId="2E28F66F" w14:textId="77777777" w:rsidTr="00742B81">
        <w:trPr>
          <w:trHeight w:val="302"/>
        </w:trPr>
        <w:tc>
          <w:tcPr>
            <w:tcW w:w="1413" w:type="dxa"/>
            <w:shd w:val="clear" w:color="auto" w:fill="C6EFCE"/>
            <w:noWrap/>
            <w:vAlign w:val="center"/>
          </w:tcPr>
          <w:p w14:paraId="177935A1" w14:textId="77777777" w:rsidR="00A612E2" w:rsidRPr="00246CC4" w:rsidRDefault="00A612E2" w:rsidP="00742B81">
            <w:pPr>
              <w:rPr>
                <w:noProof/>
                <w:color w:val="006100"/>
                <w:sz w:val="20"/>
                <w:szCs w:val="20"/>
              </w:rPr>
            </w:pPr>
            <w:r>
              <w:rPr>
                <w:noProof/>
                <w:color w:val="006100"/>
                <w:sz w:val="20"/>
              </w:rPr>
              <w:t>M2C2-50</w:t>
            </w:r>
          </w:p>
        </w:tc>
        <w:tc>
          <w:tcPr>
            <w:tcW w:w="3165" w:type="dxa"/>
            <w:shd w:val="clear" w:color="auto" w:fill="C6EFCE"/>
            <w:noWrap/>
            <w:vAlign w:val="center"/>
          </w:tcPr>
          <w:p w14:paraId="200B3051" w14:textId="77777777" w:rsidR="00A612E2" w:rsidRPr="003B127D" w:rsidRDefault="00A612E2" w:rsidP="00742B81">
            <w:pPr>
              <w:rPr>
                <w:noProof/>
                <w:color w:val="006100"/>
                <w:sz w:val="20"/>
                <w:szCs w:val="20"/>
              </w:rPr>
            </w:pPr>
            <w:r>
              <w:rPr>
                <w:noProof/>
                <w:color w:val="006100"/>
                <w:sz w:val="20"/>
              </w:rPr>
              <w:t>Investeering 3.2. Vesiniku kasutamine raskesti amortiseeritavas tööstuses</w:t>
            </w:r>
          </w:p>
        </w:tc>
        <w:tc>
          <w:tcPr>
            <w:tcW w:w="1468" w:type="dxa"/>
            <w:shd w:val="clear" w:color="auto" w:fill="C6EFCE"/>
            <w:noWrap/>
            <w:vAlign w:val="center"/>
          </w:tcPr>
          <w:p w14:paraId="68494A32" w14:textId="77777777" w:rsidR="00A612E2" w:rsidRPr="00246CC4" w:rsidRDefault="00A612E2" w:rsidP="00742B81">
            <w:pPr>
              <w:rPr>
                <w:noProof/>
                <w:color w:val="006100"/>
                <w:sz w:val="20"/>
                <w:szCs w:val="20"/>
              </w:rPr>
            </w:pPr>
            <w:r>
              <w:rPr>
                <w:noProof/>
                <w:color w:val="006100"/>
                <w:sz w:val="20"/>
              </w:rPr>
              <w:t>Eesmärk</w:t>
            </w:r>
          </w:p>
        </w:tc>
        <w:tc>
          <w:tcPr>
            <w:tcW w:w="4095" w:type="dxa"/>
            <w:shd w:val="clear" w:color="auto" w:fill="C6EFCE"/>
            <w:noWrap/>
            <w:vAlign w:val="center"/>
          </w:tcPr>
          <w:p w14:paraId="5EB057E6" w14:textId="77777777" w:rsidR="00A612E2" w:rsidRPr="003B127D" w:rsidRDefault="00A612E2" w:rsidP="00742B81">
            <w:pPr>
              <w:jc w:val="center"/>
              <w:rPr>
                <w:noProof/>
                <w:color w:val="006100"/>
                <w:sz w:val="20"/>
                <w:szCs w:val="20"/>
              </w:rPr>
            </w:pPr>
            <w:r>
              <w:rPr>
                <w:noProof/>
                <w:color w:val="006100"/>
                <w:sz w:val="20"/>
              </w:rPr>
              <w:t>Kokkulepe edendada üleminekut metaanilt keskkonnahoidlikule vesinikule</w:t>
            </w:r>
          </w:p>
        </w:tc>
      </w:tr>
      <w:tr w:rsidR="00A612E2" w:rsidRPr="00D90835" w14:paraId="4C4C69DD" w14:textId="77777777" w:rsidTr="00742B81">
        <w:trPr>
          <w:trHeight w:val="302"/>
        </w:trPr>
        <w:tc>
          <w:tcPr>
            <w:tcW w:w="1413" w:type="dxa"/>
            <w:shd w:val="clear" w:color="auto" w:fill="C6EFCE"/>
            <w:noWrap/>
            <w:vAlign w:val="center"/>
          </w:tcPr>
          <w:p w14:paraId="7482DF08" w14:textId="77777777" w:rsidR="00A612E2" w:rsidRPr="00246CC4" w:rsidRDefault="00A612E2" w:rsidP="00742B81">
            <w:pPr>
              <w:rPr>
                <w:noProof/>
                <w:color w:val="006100"/>
                <w:sz w:val="20"/>
                <w:szCs w:val="20"/>
              </w:rPr>
            </w:pPr>
            <w:r>
              <w:rPr>
                <w:noProof/>
                <w:color w:val="006100"/>
                <w:sz w:val="20"/>
              </w:rPr>
              <w:t>M5C2-21</w:t>
            </w:r>
          </w:p>
        </w:tc>
        <w:tc>
          <w:tcPr>
            <w:tcW w:w="3165" w:type="dxa"/>
            <w:shd w:val="clear" w:color="auto" w:fill="C6EFCE"/>
            <w:noWrap/>
            <w:vAlign w:val="center"/>
          </w:tcPr>
          <w:p w14:paraId="5BB32686" w14:textId="77777777" w:rsidR="00A612E2" w:rsidRPr="003B127D" w:rsidRDefault="00A612E2" w:rsidP="00742B81">
            <w:pPr>
              <w:rPr>
                <w:noProof/>
                <w:color w:val="006100"/>
                <w:sz w:val="20"/>
                <w:szCs w:val="20"/>
              </w:rPr>
            </w:pPr>
            <w:r>
              <w:rPr>
                <w:noProof/>
                <w:color w:val="006100"/>
                <w:sz w:val="20"/>
              </w:rPr>
              <w:t>Investeering 7. Sport ja sotsiaalse kaasatuse projekt</w:t>
            </w:r>
          </w:p>
        </w:tc>
        <w:tc>
          <w:tcPr>
            <w:tcW w:w="1468" w:type="dxa"/>
            <w:shd w:val="clear" w:color="auto" w:fill="C6EFCE"/>
            <w:noWrap/>
            <w:vAlign w:val="center"/>
          </w:tcPr>
          <w:p w14:paraId="02D9BCD3" w14:textId="77777777" w:rsidR="00A612E2" w:rsidRPr="00246CC4" w:rsidRDefault="00A612E2" w:rsidP="00742B81">
            <w:pPr>
              <w:rPr>
                <w:noProof/>
                <w:color w:val="006100"/>
                <w:sz w:val="20"/>
                <w:szCs w:val="20"/>
              </w:rPr>
            </w:pPr>
            <w:r>
              <w:rPr>
                <w:noProof/>
                <w:color w:val="006100"/>
                <w:sz w:val="20"/>
              </w:rPr>
              <w:t>Eesmärk</w:t>
            </w:r>
          </w:p>
        </w:tc>
        <w:tc>
          <w:tcPr>
            <w:tcW w:w="4095" w:type="dxa"/>
            <w:shd w:val="clear" w:color="auto" w:fill="C6EFCE"/>
            <w:noWrap/>
            <w:vAlign w:val="center"/>
          </w:tcPr>
          <w:p w14:paraId="762D8B78" w14:textId="77777777" w:rsidR="00A612E2" w:rsidRPr="003B127D" w:rsidRDefault="00A612E2" w:rsidP="00742B81">
            <w:pPr>
              <w:jc w:val="center"/>
              <w:rPr>
                <w:noProof/>
                <w:color w:val="006100"/>
                <w:sz w:val="20"/>
                <w:szCs w:val="20"/>
              </w:rPr>
            </w:pPr>
            <w:r>
              <w:rPr>
                <w:noProof/>
                <w:color w:val="006100"/>
                <w:sz w:val="20"/>
              </w:rPr>
              <w:t>Kõigi spordi- ja sotsiaalse kaasamise projektide riigihankelepingute sõlmimine avaliku konkursikutse alusel.</w:t>
            </w:r>
          </w:p>
        </w:tc>
      </w:tr>
      <w:tr w:rsidR="00A612E2" w:rsidRPr="00D90835" w14:paraId="759D8928" w14:textId="77777777" w:rsidTr="00742B81">
        <w:trPr>
          <w:trHeight w:val="302"/>
        </w:trPr>
        <w:tc>
          <w:tcPr>
            <w:tcW w:w="1413" w:type="dxa"/>
            <w:shd w:val="clear" w:color="auto" w:fill="C6EFCE"/>
            <w:noWrap/>
            <w:vAlign w:val="center"/>
          </w:tcPr>
          <w:p w14:paraId="2A862A03" w14:textId="77777777" w:rsidR="00A612E2" w:rsidRPr="00246CC4" w:rsidRDefault="00A612E2" w:rsidP="00742B81">
            <w:pPr>
              <w:rPr>
                <w:noProof/>
                <w:color w:val="006100"/>
                <w:sz w:val="20"/>
                <w:szCs w:val="20"/>
              </w:rPr>
            </w:pPr>
            <w:r>
              <w:rPr>
                <w:noProof/>
                <w:color w:val="006100"/>
                <w:sz w:val="20"/>
              </w:rPr>
              <w:t>M1C3-20</w:t>
            </w:r>
          </w:p>
        </w:tc>
        <w:tc>
          <w:tcPr>
            <w:tcW w:w="3165" w:type="dxa"/>
            <w:shd w:val="clear" w:color="auto" w:fill="C6EFCE"/>
            <w:noWrap/>
            <w:vAlign w:val="center"/>
          </w:tcPr>
          <w:p w14:paraId="7806900D" w14:textId="77777777" w:rsidR="00A612E2" w:rsidRPr="003B127D" w:rsidRDefault="00A612E2" w:rsidP="00742B81">
            <w:pPr>
              <w:rPr>
                <w:noProof/>
                <w:color w:val="006100"/>
                <w:sz w:val="20"/>
                <w:szCs w:val="20"/>
              </w:rPr>
            </w:pPr>
            <w:r>
              <w:rPr>
                <w:noProof/>
                <w:color w:val="006100"/>
                <w:sz w:val="20"/>
              </w:rPr>
              <w:t>Investeering 3.2. Filmitööstuse arendamine (Cinecittà projekt)</w:t>
            </w:r>
          </w:p>
        </w:tc>
        <w:tc>
          <w:tcPr>
            <w:tcW w:w="1468" w:type="dxa"/>
            <w:shd w:val="clear" w:color="auto" w:fill="C6EFCE"/>
            <w:noWrap/>
            <w:vAlign w:val="center"/>
          </w:tcPr>
          <w:p w14:paraId="2ED13032" w14:textId="77777777" w:rsidR="00A612E2" w:rsidRPr="00246CC4" w:rsidRDefault="00A612E2" w:rsidP="00742B81">
            <w:pPr>
              <w:rPr>
                <w:noProof/>
                <w:color w:val="006100"/>
                <w:sz w:val="20"/>
                <w:szCs w:val="20"/>
              </w:rPr>
            </w:pPr>
            <w:r>
              <w:rPr>
                <w:noProof/>
                <w:color w:val="006100"/>
                <w:sz w:val="20"/>
              </w:rPr>
              <w:t>Eesmärk</w:t>
            </w:r>
          </w:p>
        </w:tc>
        <w:tc>
          <w:tcPr>
            <w:tcW w:w="4095" w:type="dxa"/>
            <w:shd w:val="clear" w:color="auto" w:fill="C6EFCE"/>
            <w:noWrap/>
            <w:vAlign w:val="center"/>
          </w:tcPr>
          <w:p w14:paraId="2A32B02D" w14:textId="77777777" w:rsidR="00A612E2" w:rsidRPr="003B127D" w:rsidRDefault="00A612E2" w:rsidP="00742B81">
            <w:pPr>
              <w:jc w:val="center"/>
              <w:rPr>
                <w:noProof/>
                <w:color w:val="006100"/>
                <w:sz w:val="20"/>
                <w:szCs w:val="20"/>
              </w:rPr>
            </w:pPr>
            <w:r>
              <w:rPr>
                <w:noProof/>
                <w:color w:val="006100"/>
                <w:sz w:val="20"/>
              </w:rPr>
              <w:t>Rakendusüksuse Cinecittà SPA ja äriühingute vahel üheksa stuudio ehitamiseks sõlmitud lepingu allkirjastamine</w:t>
            </w:r>
          </w:p>
        </w:tc>
      </w:tr>
      <w:tr w:rsidR="00A612E2" w:rsidRPr="00D90835" w14:paraId="6153FF6D" w14:textId="77777777" w:rsidTr="00742B81">
        <w:trPr>
          <w:trHeight w:val="302"/>
        </w:trPr>
        <w:tc>
          <w:tcPr>
            <w:tcW w:w="1413" w:type="dxa"/>
            <w:shd w:val="clear" w:color="auto" w:fill="C6EFCE"/>
            <w:noWrap/>
            <w:vAlign w:val="center"/>
          </w:tcPr>
          <w:p w14:paraId="37A3C96E" w14:textId="77777777" w:rsidR="00A612E2" w:rsidRPr="00246CC4" w:rsidRDefault="00A612E2" w:rsidP="00742B81">
            <w:pPr>
              <w:rPr>
                <w:noProof/>
                <w:color w:val="006100"/>
                <w:sz w:val="20"/>
                <w:szCs w:val="20"/>
              </w:rPr>
            </w:pPr>
            <w:r>
              <w:rPr>
                <w:noProof/>
                <w:color w:val="006100"/>
                <w:sz w:val="20"/>
              </w:rPr>
              <w:t>M2C4-21</w:t>
            </w:r>
          </w:p>
        </w:tc>
        <w:tc>
          <w:tcPr>
            <w:tcW w:w="3165" w:type="dxa"/>
            <w:shd w:val="clear" w:color="auto" w:fill="C6EFCE"/>
            <w:noWrap/>
            <w:vAlign w:val="center"/>
          </w:tcPr>
          <w:p w14:paraId="21734B38" w14:textId="77777777" w:rsidR="00A612E2" w:rsidRPr="003B127D" w:rsidRDefault="00A612E2" w:rsidP="00742B81">
            <w:pPr>
              <w:rPr>
                <w:noProof/>
                <w:color w:val="006100"/>
                <w:sz w:val="20"/>
                <w:szCs w:val="20"/>
              </w:rPr>
            </w:pPr>
            <w:r>
              <w:rPr>
                <w:noProof/>
                <w:color w:val="006100"/>
                <w:sz w:val="20"/>
              </w:rPr>
              <w:t>Investeering 3.3. Po piirkonnas looduskeskkonna taastamine</w:t>
            </w:r>
          </w:p>
        </w:tc>
        <w:tc>
          <w:tcPr>
            <w:tcW w:w="1468" w:type="dxa"/>
            <w:shd w:val="clear" w:color="auto" w:fill="C6EFCE"/>
            <w:noWrap/>
            <w:vAlign w:val="center"/>
          </w:tcPr>
          <w:p w14:paraId="5F19570B" w14:textId="77777777" w:rsidR="00A612E2" w:rsidRPr="00246CC4" w:rsidRDefault="00A612E2" w:rsidP="00742B81">
            <w:pPr>
              <w:rPr>
                <w:noProof/>
                <w:color w:val="006100"/>
                <w:sz w:val="20"/>
                <w:szCs w:val="20"/>
              </w:rPr>
            </w:pPr>
            <w:r>
              <w:rPr>
                <w:noProof/>
                <w:color w:val="006100"/>
                <w:sz w:val="20"/>
              </w:rPr>
              <w:t>Eesmärk</w:t>
            </w:r>
          </w:p>
        </w:tc>
        <w:tc>
          <w:tcPr>
            <w:tcW w:w="4095" w:type="dxa"/>
            <w:shd w:val="clear" w:color="auto" w:fill="C6EFCE"/>
            <w:noWrap/>
            <w:vAlign w:val="center"/>
          </w:tcPr>
          <w:p w14:paraId="6A2D2792" w14:textId="77777777" w:rsidR="00A612E2" w:rsidRPr="003B127D" w:rsidRDefault="00A612E2" w:rsidP="00742B81">
            <w:pPr>
              <w:jc w:val="center"/>
              <w:rPr>
                <w:noProof/>
                <w:color w:val="006100"/>
                <w:sz w:val="20"/>
                <w:szCs w:val="20"/>
              </w:rPr>
            </w:pPr>
            <w:r>
              <w:rPr>
                <w:noProof/>
                <w:color w:val="006100"/>
                <w:sz w:val="20"/>
              </w:rPr>
              <w:t xml:space="preserve">Po piirkonnas looduskeskkonna taastamiseks võetavate sekkumismeetmete õigusraamistiku läbivaatamine </w:t>
            </w:r>
          </w:p>
        </w:tc>
      </w:tr>
      <w:tr w:rsidR="00A612E2" w:rsidRPr="00D90835" w14:paraId="418DD50E" w14:textId="77777777" w:rsidTr="00742B81">
        <w:trPr>
          <w:trHeight w:val="302"/>
        </w:trPr>
        <w:tc>
          <w:tcPr>
            <w:tcW w:w="1413" w:type="dxa"/>
            <w:shd w:val="clear" w:color="auto" w:fill="C6EFCE"/>
            <w:noWrap/>
            <w:vAlign w:val="center"/>
          </w:tcPr>
          <w:p w14:paraId="6E7AEE4F" w14:textId="77777777" w:rsidR="00A612E2" w:rsidRPr="00246CC4" w:rsidRDefault="00A612E2" w:rsidP="00742B81">
            <w:pPr>
              <w:rPr>
                <w:noProof/>
                <w:color w:val="006100"/>
                <w:sz w:val="20"/>
                <w:szCs w:val="20"/>
              </w:rPr>
            </w:pPr>
            <w:r>
              <w:rPr>
                <w:noProof/>
                <w:color w:val="006100"/>
                <w:sz w:val="20"/>
              </w:rPr>
              <w:t>M4C1-28</w:t>
            </w:r>
          </w:p>
        </w:tc>
        <w:tc>
          <w:tcPr>
            <w:tcW w:w="3165" w:type="dxa"/>
            <w:shd w:val="clear" w:color="auto" w:fill="C6EFCE"/>
            <w:noWrap/>
            <w:vAlign w:val="center"/>
          </w:tcPr>
          <w:p w14:paraId="7D15343F" w14:textId="77777777" w:rsidR="00A612E2" w:rsidRPr="003B127D" w:rsidRDefault="00A612E2" w:rsidP="00742B81">
            <w:pPr>
              <w:rPr>
                <w:noProof/>
                <w:color w:val="006100"/>
                <w:sz w:val="20"/>
                <w:szCs w:val="20"/>
              </w:rPr>
            </w:pPr>
            <w:r>
              <w:rPr>
                <w:noProof/>
                <w:color w:val="006100"/>
                <w:sz w:val="20"/>
              </w:rPr>
              <w:t>Reform 1.7. Üliõpilaste eluasemete reguleerimise reform ja investeeringud üliõpilaste eluasemetesse</w:t>
            </w:r>
          </w:p>
        </w:tc>
        <w:tc>
          <w:tcPr>
            <w:tcW w:w="1468" w:type="dxa"/>
            <w:shd w:val="clear" w:color="auto" w:fill="C6EFCE"/>
            <w:noWrap/>
            <w:vAlign w:val="center"/>
          </w:tcPr>
          <w:p w14:paraId="3182564A" w14:textId="77777777" w:rsidR="00A612E2" w:rsidRPr="00246CC4" w:rsidRDefault="00A612E2" w:rsidP="00742B81">
            <w:pPr>
              <w:rPr>
                <w:noProof/>
                <w:color w:val="006100"/>
                <w:sz w:val="20"/>
                <w:szCs w:val="20"/>
              </w:rPr>
            </w:pPr>
            <w:r>
              <w:rPr>
                <w:noProof/>
                <w:color w:val="006100"/>
                <w:sz w:val="20"/>
              </w:rPr>
              <w:t>Eesmärk</w:t>
            </w:r>
          </w:p>
        </w:tc>
        <w:tc>
          <w:tcPr>
            <w:tcW w:w="4095" w:type="dxa"/>
            <w:shd w:val="clear" w:color="auto" w:fill="C6EFCE"/>
            <w:noWrap/>
            <w:vAlign w:val="center"/>
          </w:tcPr>
          <w:p w14:paraId="70352308" w14:textId="77777777" w:rsidR="00A612E2" w:rsidRPr="003B127D" w:rsidRDefault="00A612E2" w:rsidP="00742B81">
            <w:pPr>
              <w:jc w:val="center"/>
              <w:rPr>
                <w:noProof/>
                <w:color w:val="006100"/>
                <w:sz w:val="20"/>
                <w:szCs w:val="20"/>
              </w:rPr>
            </w:pPr>
            <w:r>
              <w:rPr>
                <w:noProof/>
                <w:color w:val="006100"/>
                <w:sz w:val="20"/>
              </w:rPr>
              <w:t xml:space="preserve"> Täiendavate majutuskohtade (voodikohad) loomist käsitlevate esialgsete lepingute sõlmimine</w:t>
            </w:r>
          </w:p>
        </w:tc>
      </w:tr>
      <w:tr w:rsidR="00A612E2" w:rsidRPr="00D90835" w14:paraId="724152E2" w14:textId="77777777" w:rsidTr="00742B81">
        <w:trPr>
          <w:trHeight w:val="302"/>
        </w:trPr>
        <w:tc>
          <w:tcPr>
            <w:tcW w:w="1413" w:type="dxa"/>
            <w:shd w:val="clear" w:color="auto" w:fill="C6EFCE"/>
            <w:noWrap/>
            <w:vAlign w:val="center"/>
          </w:tcPr>
          <w:p w14:paraId="79334A55" w14:textId="77777777" w:rsidR="00A612E2" w:rsidRPr="00246CC4" w:rsidRDefault="00A612E2" w:rsidP="00742B81">
            <w:pPr>
              <w:rPr>
                <w:noProof/>
                <w:color w:val="006100"/>
                <w:sz w:val="20"/>
                <w:szCs w:val="20"/>
              </w:rPr>
            </w:pPr>
            <w:r>
              <w:rPr>
                <w:noProof/>
                <w:color w:val="006100"/>
                <w:sz w:val="20"/>
              </w:rPr>
              <w:t>M4C2-12</w:t>
            </w:r>
          </w:p>
        </w:tc>
        <w:tc>
          <w:tcPr>
            <w:tcW w:w="3165" w:type="dxa"/>
            <w:shd w:val="clear" w:color="auto" w:fill="C6EFCE"/>
            <w:noWrap/>
            <w:vAlign w:val="center"/>
          </w:tcPr>
          <w:p w14:paraId="3FB78D53" w14:textId="77777777" w:rsidR="00A612E2" w:rsidRPr="00246CC4" w:rsidRDefault="00A612E2" w:rsidP="00742B81">
            <w:pPr>
              <w:rPr>
                <w:noProof/>
                <w:color w:val="006100"/>
                <w:sz w:val="20"/>
                <w:szCs w:val="20"/>
              </w:rPr>
            </w:pPr>
            <w:r>
              <w:rPr>
                <w:noProof/>
                <w:color w:val="006100"/>
                <w:sz w:val="20"/>
              </w:rPr>
              <w:t>Investeering 2.1. Üleeuroopalist huvi pakkuvad tähtsad projektid</w:t>
            </w:r>
          </w:p>
        </w:tc>
        <w:tc>
          <w:tcPr>
            <w:tcW w:w="1468" w:type="dxa"/>
            <w:shd w:val="clear" w:color="auto" w:fill="C6EFCE"/>
            <w:noWrap/>
            <w:vAlign w:val="center"/>
          </w:tcPr>
          <w:p w14:paraId="7FB57919" w14:textId="77777777" w:rsidR="00A612E2" w:rsidRPr="00246CC4" w:rsidRDefault="00A612E2" w:rsidP="00742B81">
            <w:pPr>
              <w:rPr>
                <w:noProof/>
                <w:color w:val="006100"/>
                <w:sz w:val="20"/>
                <w:szCs w:val="20"/>
              </w:rPr>
            </w:pPr>
            <w:r>
              <w:rPr>
                <w:noProof/>
                <w:color w:val="006100"/>
                <w:sz w:val="20"/>
              </w:rPr>
              <w:t>Eesmärk</w:t>
            </w:r>
          </w:p>
        </w:tc>
        <w:tc>
          <w:tcPr>
            <w:tcW w:w="4095" w:type="dxa"/>
            <w:shd w:val="clear" w:color="auto" w:fill="C6EFCE"/>
            <w:noWrap/>
            <w:vAlign w:val="center"/>
          </w:tcPr>
          <w:p w14:paraId="6FF3AD04" w14:textId="77777777" w:rsidR="00A612E2" w:rsidRPr="003B127D" w:rsidRDefault="00A612E2" w:rsidP="00742B81">
            <w:pPr>
              <w:jc w:val="center"/>
              <w:rPr>
                <w:noProof/>
                <w:color w:val="006100"/>
                <w:sz w:val="20"/>
                <w:szCs w:val="20"/>
              </w:rPr>
            </w:pPr>
            <w:r>
              <w:rPr>
                <w:noProof/>
                <w:color w:val="006100"/>
                <w:sz w:val="20"/>
              </w:rPr>
              <w:t>Üleeuroopalist huvi pakkuvate tähtsate projektide osalejate nimekiri on valmis 30. juuniks 2023</w:t>
            </w:r>
          </w:p>
        </w:tc>
      </w:tr>
      <w:tr w:rsidR="00A612E2" w:rsidRPr="00246CC4" w14:paraId="6AE4D1C6" w14:textId="77777777" w:rsidTr="00742B81">
        <w:trPr>
          <w:trHeight w:val="302"/>
        </w:trPr>
        <w:tc>
          <w:tcPr>
            <w:tcW w:w="1413" w:type="dxa"/>
            <w:shd w:val="clear" w:color="auto" w:fill="C6EFCE"/>
            <w:noWrap/>
            <w:vAlign w:val="center"/>
          </w:tcPr>
          <w:p w14:paraId="4F159F9D" w14:textId="77777777" w:rsidR="00A612E2" w:rsidRPr="00246CC4" w:rsidRDefault="00A612E2" w:rsidP="00742B81">
            <w:pPr>
              <w:rPr>
                <w:noProof/>
                <w:color w:val="006100"/>
                <w:sz w:val="20"/>
                <w:szCs w:val="20"/>
              </w:rPr>
            </w:pPr>
            <w:r>
              <w:rPr>
                <w:noProof/>
                <w:color w:val="006100"/>
                <w:sz w:val="20"/>
              </w:rPr>
              <w:t>M4C2-16</w:t>
            </w:r>
          </w:p>
        </w:tc>
        <w:tc>
          <w:tcPr>
            <w:tcW w:w="3165" w:type="dxa"/>
            <w:shd w:val="clear" w:color="auto" w:fill="C6EFCE"/>
            <w:noWrap/>
            <w:vAlign w:val="center"/>
          </w:tcPr>
          <w:p w14:paraId="0B991917" w14:textId="77777777" w:rsidR="00A612E2" w:rsidRPr="003B127D" w:rsidRDefault="00A612E2" w:rsidP="00742B81">
            <w:pPr>
              <w:rPr>
                <w:noProof/>
                <w:color w:val="006100"/>
                <w:sz w:val="20"/>
                <w:szCs w:val="20"/>
              </w:rPr>
            </w:pPr>
            <w:r>
              <w:rPr>
                <w:noProof/>
                <w:color w:val="006100"/>
                <w:sz w:val="20"/>
              </w:rPr>
              <w:t>Investeering 3.1. Teadusuuringute ja innovatsiooni infrastruktuuride integreeritud süsteemi loomise fond</w:t>
            </w:r>
          </w:p>
        </w:tc>
        <w:tc>
          <w:tcPr>
            <w:tcW w:w="1468" w:type="dxa"/>
            <w:shd w:val="clear" w:color="auto" w:fill="C6EFCE"/>
            <w:noWrap/>
            <w:vAlign w:val="center"/>
          </w:tcPr>
          <w:p w14:paraId="0B642CAC" w14:textId="77777777" w:rsidR="00A612E2" w:rsidRPr="00246CC4" w:rsidRDefault="00A612E2" w:rsidP="00742B81">
            <w:pPr>
              <w:rPr>
                <w:noProof/>
                <w:color w:val="006100"/>
                <w:sz w:val="20"/>
                <w:szCs w:val="20"/>
              </w:rPr>
            </w:pPr>
            <w:r>
              <w:rPr>
                <w:noProof/>
                <w:color w:val="006100"/>
                <w:sz w:val="20"/>
              </w:rPr>
              <w:t>Siht</w:t>
            </w:r>
          </w:p>
        </w:tc>
        <w:tc>
          <w:tcPr>
            <w:tcW w:w="4095" w:type="dxa"/>
            <w:shd w:val="clear" w:color="auto" w:fill="C6EFCE"/>
            <w:noWrap/>
            <w:vAlign w:val="center"/>
          </w:tcPr>
          <w:p w14:paraId="1D12877F" w14:textId="77777777" w:rsidR="00A612E2" w:rsidRPr="00246CC4" w:rsidRDefault="00A612E2" w:rsidP="00742B81">
            <w:pPr>
              <w:jc w:val="center"/>
              <w:rPr>
                <w:noProof/>
                <w:color w:val="006100"/>
                <w:sz w:val="20"/>
                <w:szCs w:val="20"/>
              </w:rPr>
            </w:pPr>
            <w:r>
              <w:rPr>
                <w:noProof/>
                <w:color w:val="006100"/>
                <w:sz w:val="20"/>
              </w:rPr>
              <w:t>Rahastatud taristute arv</w:t>
            </w:r>
          </w:p>
        </w:tc>
      </w:tr>
      <w:tr w:rsidR="00A612E2" w:rsidRPr="00D90835" w14:paraId="578A619D" w14:textId="77777777" w:rsidTr="00742B81">
        <w:trPr>
          <w:trHeight w:val="302"/>
        </w:trPr>
        <w:tc>
          <w:tcPr>
            <w:tcW w:w="1413" w:type="dxa"/>
            <w:shd w:val="clear" w:color="auto" w:fill="C6EFCE"/>
            <w:noWrap/>
            <w:vAlign w:val="center"/>
          </w:tcPr>
          <w:p w14:paraId="6750936F" w14:textId="77777777" w:rsidR="00A612E2" w:rsidRPr="00246CC4" w:rsidRDefault="00A612E2" w:rsidP="00742B81">
            <w:pPr>
              <w:rPr>
                <w:noProof/>
                <w:color w:val="006100"/>
                <w:sz w:val="20"/>
                <w:szCs w:val="20"/>
              </w:rPr>
            </w:pPr>
            <w:r>
              <w:rPr>
                <w:noProof/>
                <w:color w:val="006100"/>
                <w:sz w:val="20"/>
              </w:rPr>
              <w:t>M5C1-18</w:t>
            </w:r>
          </w:p>
        </w:tc>
        <w:tc>
          <w:tcPr>
            <w:tcW w:w="3165" w:type="dxa"/>
            <w:shd w:val="clear" w:color="auto" w:fill="C6EFCE"/>
            <w:noWrap/>
            <w:vAlign w:val="center"/>
          </w:tcPr>
          <w:p w14:paraId="193508EE" w14:textId="77777777" w:rsidR="00A612E2" w:rsidRPr="003B127D" w:rsidRDefault="00A612E2" w:rsidP="00742B81">
            <w:pPr>
              <w:rPr>
                <w:noProof/>
                <w:color w:val="006100"/>
                <w:sz w:val="20"/>
                <w:szCs w:val="20"/>
              </w:rPr>
            </w:pPr>
            <w:r>
              <w:rPr>
                <w:noProof/>
                <w:color w:val="006100"/>
                <w:sz w:val="20"/>
              </w:rPr>
              <w:t>Investeering 5. Naistele kuuluvate ettevõtete loomine</w:t>
            </w:r>
          </w:p>
        </w:tc>
        <w:tc>
          <w:tcPr>
            <w:tcW w:w="1468" w:type="dxa"/>
            <w:shd w:val="clear" w:color="auto" w:fill="C6EFCE"/>
            <w:noWrap/>
            <w:vAlign w:val="center"/>
          </w:tcPr>
          <w:p w14:paraId="22A452C0" w14:textId="77777777" w:rsidR="00A612E2" w:rsidRPr="00246CC4" w:rsidRDefault="00A612E2" w:rsidP="00742B81">
            <w:pPr>
              <w:rPr>
                <w:noProof/>
                <w:color w:val="006100"/>
                <w:sz w:val="20"/>
                <w:szCs w:val="20"/>
              </w:rPr>
            </w:pPr>
            <w:r>
              <w:rPr>
                <w:noProof/>
                <w:color w:val="006100"/>
                <w:sz w:val="20"/>
              </w:rPr>
              <w:t>Siht</w:t>
            </w:r>
          </w:p>
        </w:tc>
        <w:tc>
          <w:tcPr>
            <w:tcW w:w="4095" w:type="dxa"/>
            <w:shd w:val="clear" w:color="auto" w:fill="C6EFCE"/>
            <w:noWrap/>
            <w:vAlign w:val="center"/>
          </w:tcPr>
          <w:p w14:paraId="150763BF" w14:textId="77777777" w:rsidR="00A612E2" w:rsidRPr="003B127D" w:rsidRDefault="00A612E2" w:rsidP="00742B81">
            <w:pPr>
              <w:jc w:val="center"/>
              <w:rPr>
                <w:noProof/>
                <w:color w:val="006100"/>
                <w:sz w:val="20"/>
                <w:szCs w:val="20"/>
              </w:rPr>
            </w:pPr>
            <w:r>
              <w:rPr>
                <w:noProof/>
                <w:color w:val="006100"/>
                <w:sz w:val="20"/>
              </w:rPr>
              <w:t xml:space="preserve">Ettevõtetele on antud finantstoetust </w:t>
            </w:r>
          </w:p>
        </w:tc>
      </w:tr>
      <w:tr w:rsidR="00A612E2" w:rsidRPr="00D90835" w14:paraId="4B044FBA" w14:textId="77777777" w:rsidTr="00742B81">
        <w:trPr>
          <w:trHeight w:val="302"/>
        </w:trPr>
        <w:tc>
          <w:tcPr>
            <w:tcW w:w="1413" w:type="dxa"/>
            <w:shd w:val="clear" w:color="auto" w:fill="C6EFCE"/>
            <w:noWrap/>
            <w:vAlign w:val="center"/>
          </w:tcPr>
          <w:p w14:paraId="72CFABF5" w14:textId="77777777" w:rsidR="00A612E2" w:rsidRPr="00246CC4" w:rsidRDefault="00A612E2" w:rsidP="00742B81">
            <w:pPr>
              <w:rPr>
                <w:noProof/>
                <w:color w:val="006100"/>
                <w:sz w:val="20"/>
                <w:szCs w:val="20"/>
              </w:rPr>
            </w:pPr>
            <w:r>
              <w:rPr>
                <w:noProof/>
                <w:color w:val="006100"/>
                <w:sz w:val="20"/>
              </w:rPr>
              <w:t>M6C2-14</w:t>
            </w:r>
          </w:p>
        </w:tc>
        <w:tc>
          <w:tcPr>
            <w:tcW w:w="3165" w:type="dxa"/>
            <w:shd w:val="clear" w:color="auto" w:fill="C6EFCE"/>
            <w:noWrap/>
            <w:vAlign w:val="center"/>
          </w:tcPr>
          <w:p w14:paraId="2404D3BC" w14:textId="77777777" w:rsidR="00A612E2" w:rsidRPr="003B127D" w:rsidRDefault="00A612E2" w:rsidP="00742B81">
            <w:pPr>
              <w:rPr>
                <w:noProof/>
                <w:color w:val="006100"/>
                <w:sz w:val="20"/>
                <w:szCs w:val="20"/>
              </w:rPr>
            </w:pPr>
            <w:r>
              <w:rPr>
                <w:noProof/>
                <w:color w:val="006600"/>
                <w:sz w:val="20"/>
              </w:rPr>
              <w:t>Investeering 2.2. Tervishoiusüsteemi spetsialistide tehniliste, kutsealaste, digitaalsete ja juhtimisoskuste arendamine.</w:t>
            </w:r>
          </w:p>
        </w:tc>
        <w:tc>
          <w:tcPr>
            <w:tcW w:w="1468" w:type="dxa"/>
            <w:shd w:val="clear" w:color="auto" w:fill="C6EFCE"/>
            <w:noWrap/>
            <w:vAlign w:val="center"/>
          </w:tcPr>
          <w:p w14:paraId="683BA557" w14:textId="77777777" w:rsidR="00A612E2" w:rsidRPr="00246CC4" w:rsidRDefault="00A612E2" w:rsidP="00742B81">
            <w:pPr>
              <w:rPr>
                <w:noProof/>
                <w:color w:val="006100"/>
                <w:sz w:val="20"/>
                <w:szCs w:val="20"/>
              </w:rPr>
            </w:pPr>
            <w:r>
              <w:rPr>
                <w:noProof/>
                <w:color w:val="006600"/>
                <w:sz w:val="20"/>
              </w:rPr>
              <w:t>Siht</w:t>
            </w:r>
          </w:p>
        </w:tc>
        <w:tc>
          <w:tcPr>
            <w:tcW w:w="4095" w:type="dxa"/>
            <w:shd w:val="clear" w:color="auto" w:fill="C6EFCE"/>
            <w:noWrap/>
            <w:vAlign w:val="center"/>
          </w:tcPr>
          <w:p w14:paraId="5342F6D6" w14:textId="77777777" w:rsidR="00A612E2" w:rsidRPr="003B127D" w:rsidRDefault="00A612E2" w:rsidP="00742B81">
            <w:pPr>
              <w:jc w:val="center"/>
              <w:rPr>
                <w:noProof/>
                <w:color w:val="006600"/>
                <w:sz w:val="20"/>
                <w:szCs w:val="20"/>
              </w:rPr>
            </w:pPr>
            <w:r>
              <w:rPr>
                <w:noProof/>
                <w:color w:val="006600"/>
                <w:sz w:val="20"/>
              </w:rPr>
              <w:t>Üldarsti erikoolituse stipendiume antakse.</w:t>
            </w:r>
          </w:p>
        </w:tc>
      </w:tr>
      <w:tr w:rsidR="00A612E2" w:rsidRPr="00246CC4" w14:paraId="6DAB582A" w14:textId="77777777" w:rsidTr="00742B81">
        <w:trPr>
          <w:trHeight w:val="302"/>
        </w:trPr>
        <w:tc>
          <w:tcPr>
            <w:tcW w:w="1413" w:type="dxa"/>
            <w:shd w:val="clear" w:color="auto" w:fill="C6EFCE"/>
            <w:noWrap/>
            <w:vAlign w:val="bottom"/>
          </w:tcPr>
          <w:p w14:paraId="7F736031" w14:textId="77777777" w:rsidR="00A612E2" w:rsidRPr="003B127D" w:rsidRDefault="00A612E2" w:rsidP="00742B81">
            <w:pPr>
              <w:jc w:val="center"/>
              <w:rPr>
                <w:noProof/>
                <w:color w:val="006100"/>
                <w:sz w:val="20"/>
                <w:szCs w:val="20"/>
                <w:lang w:val="en-IE"/>
              </w:rPr>
            </w:pPr>
          </w:p>
        </w:tc>
        <w:tc>
          <w:tcPr>
            <w:tcW w:w="3165" w:type="dxa"/>
            <w:shd w:val="clear" w:color="auto" w:fill="C6EFCE"/>
            <w:noWrap/>
            <w:vAlign w:val="bottom"/>
          </w:tcPr>
          <w:p w14:paraId="083E3EE6" w14:textId="77777777" w:rsidR="00A612E2" w:rsidRPr="003B127D" w:rsidRDefault="00A612E2" w:rsidP="00742B81">
            <w:pPr>
              <w:rPr>
                <w:noProof/>
                <w:color w:val="006100"/>
                <w:sz w:val="20"/>
                <w:szCs w:val="20"/>
                <w:lang w:val="en-IE"/>
              </w:rPr>
            </w:pPr>
          </w:p>
        </w:tc>
        <w:tc>
          <w:tcPr>
            <w:tcW w:w="1468" w:type="dxa"/>
            <w:shd w:val="clear" w:color="auto" w:fill="C6EFCE"/>
            <w:noWrap/>
            <w:vAlign w:val="bottom"/>
          </w:tcPr>
          <w:p w14:paraId="56FFC436" w14:textId="77777777" w:rsidR="00A612E2" w:rsidRPr="00246CC4" w:rsidRDefault="00A612E2" w:rsidP="00742B81">
            <w:pPr>
              <w:rPr>
                <w:noProof/>
                <w:color w:val="006100"/>
                <w:sz w:val="20"/>
                <w:szCs w:val="20"/>
              </w:rPr>
            </w:pPr>
            <w:r>
              <w:rPr>
                <w:noProof/>
                <w:color w:val="006100"/>
                <w:sz w:val="20"/>
              </w:rPr>
              <w:t>Osamakse summa</w:t>
            </w:r>
          </w:p>
        </w:tc>
        <w:tc>
          <w:tcPr>
            <w:tcW w:w="4095" w:type="dxa"/>
            <w:shd w:val="clear" w:color="auto" w:fill="C6EFCE"/>
            <w:noWrap/>
            <w:vAlign w:val="bottom"/>
          </w:tcPr>
          <w:p w14:paraId="2D173079" w14:textId="77777777" w:rsidR="00A612E2" w:rsidRPr="00246CC4" w:rsidRDefault="00A612E2" w:rsidP="00742B81">
            <w:pPr>
              <w:rPr>
                <w:noProof/>
                <w:color w:val="006100"/>
                <w:sz w:val="20"/>
                <w:szCs w:val="20"/>
              </w:rPr>
            </w:pPr>
            <w:r>
              <w:rPr>
                <w:noProof/>
                <w:color w:val="006100"/>
                <w:sz w:val="20"/>
              </w:rPr>
              <w:t>16 611 453 220 eurot</w:t>
            </w:r>
          </w:p>
        </w:tc>
      </w:tr>
    </w:tbl>
    <w:p w14:paraId="35969FC1" w14:textId="3AF188EC" w:rsidR="00D8527D" w:rsidRDefault="00D8527D" w:rsidP="00D8527D">
      <w:pPr>
        <w:spacing w:before="120" w:after="120"/>
        <w:jc w:val="both"/>
        <w:rPr>
          <w:rFonts w:eastAsia="Calibri"/>
          <w:noProof/>
          <w:lang w:val="en-GB"/>
        </w:rPr>
      </w:pPr>
    </w:p>
    <w:p w14:paraId="5F1E8679" w14:textId="77777777" w:rsidR="00D8527D" w:rsidRDefault="00D8527D">
      <w:pPr>
        <w:spacing w:after="160" w:line="259" w:lineRule="auto"/>
        <w:rPr>
          <w:rFonts w:eastAsia="Calibri"/>
          <w:noProof/>
        </w:rPr>
      </w:pPr>
      <w:r>
        <w:rPr>
          <w:noProof/>
        </w:rPr>
        <w:br w:type="page"/>
      </w:r>
    </w:p>
    <w:p w14:paraId="616224AA" w14:textId="2BE33520" w:rsidR="00A612E2" w:rsidRPr="00246CC4" w:rsidRDefault="00A612E2" w:rsidP="00A612E2">
      <w:pPr>
        <w:numPr>
          <w:ilvl w:val="1"/>
          <w:numId w:val="6"/>
        </w:numPr>
        <w:spacing w:before="120" w:after="120"/>
        <w:jc w:val="both"/>
        <w:rPr>
          <w:rFonts w:eastAsia="Calibri"/>
          <w:noProof/>
        </w:rPr>
      </w:pPr>
      <w:r>
        <w:rPr>
          <w:noProof/>
        </w:rPr>
        <w:t>Viies osamakse (laenutoetus):</w:t>
      </w:r>
    </w:p>
    <w:tbl>
      <w:tblPr>
        <w:tblW w:w="10139" w:type="dxa"/>
        <w:tblInd w:w="113" w:type="dxa"/>
        <w:tblLook w:val="04A0" w:firstRow="1" w:lastRow="0" w:firstColumn="1" w:lastColumn="0" w:noHBand="0" w:noVBand="1"/>
      </w:tblPr>
      <w:tblGrid>
        <w:gridCol w:w="1827"/>
        <w:gridCol w:w="3195"/>
        <w:gridCol w:w="1438"/>
        <w:gridCol w:w="4093"/>
      </w:tblGrid>
      <w:tr w:rsidR="00A612E2" w:rsidRPr="00246CC4" w14:paraId="42E88692" w14:textId="77777777" w:rsidTr="00D8527D">
        <w:trPr>
          <w:trHeight w:val="906"/>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D256CB2" w14:textId="77777777" w:rsidR="00A612E2" w:rsidRPr="00246CC4" w:rsidRDefault="00A612E2" w:rsidP="00742B81">
            <w:pPr>
              <w:jc w:val="center"/>
              <w:rPr>
                <w:b/>
                <w:bCs/>
                <w:noProof/>
                <w:sz w:val="20"/>
                <w:szCs w:val="20"/>
              </w:rPr>
            </w:pPr>
            <w:r>
              <w:rPr>
                <w:b/>
                <w:noProof/>
                <w:sz w:val="20"/>
              </w:rPr>
              <w:t>Järjekorranumber</w:t>
            </w:r>
          </w:p>
        </w:tc>
        <w:tc>
          <w:tcPr>
            <w:tcW w:w="319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FC7A175" w14:textId="77777777" w:rsidR="00A612E2" w:rsidRPr="003B127D" w:rsidRDefault="00A612E2" w:rsidP="008B3890">
            <w:pPr>
              <w:jc w:val="center"/>
              <w:rPr>
                <w:b/>
                <w:bCs/>
                <w:noProof/>
                <w:sz w:val="20"/>
                <w:szCs w:val="20"/>
              </w:rPr>
            </w:pPr>
            <w:r>
              <w:rPr>
                <w:b/>
                <w:noProof/>
                <w:sz w:val="20"/>
              </w:rPr>
              <w:t>Seotud meede (reform või investeering)</w:t>
            </w:r>
          </w:p>
        </w:tc>
        <w:tc>
          <w:tcPr>
            <w:tcW w:w="143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889F991" w14:textId="77777777" w:rsidR="00A612E2" w:rsidRPr="00246CC4" w:rsidRDefault="00A612E2" w:rsidP="00742B81">
            <w:pPr>
              <w:jc w:val="center"/>
              <w:rPr>
                <w:b/>
                <w:bCs/>
                <w:noProof/>
                <w:sz w:val="20"/>
                <w:szCs w:val="20"/>
              </w:rPr>
            </w:pPr>
            <w:r>
              <w:rPr>
                <w:b/>
                <w:noProof/>
                <w:sz w:val="20"/>
              </w:rPr>
              <w:t>Eesmärk / siht</w:t>
            </w:r>
          </w:p>
        </w:tc>
        <w:tc>
          <w:tcPr>
            <w:tcW w:w="409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0381774" w14:textId="77777777" w:rsidR="00A612E2" w:rsidRPr="00246CC4" w:rsidRDefault="00A612E2" w:rsidP="00742B81">
            <w:pPr>
              <w:jc w:val="center"/>
              <w:rPr>
                <w:b/>
                <w:bCs/>
                <w:noProof/>
                <w:sz w:val="20"/>
                <w:szCs w:val="20"/>
              </w:rPr>
            </w:pPr>
            <w:r>
              <w:rPr>
                <w:b/>
                <w:noProof/>
                <w:sz w:val="20"/>
              </w:rPr>
              <w:t>Nimi</w:t>
            </w:r>
          </w:p>
        </w:tc>
      </w:tr>
      <w:tr w:rsidR="00A612E2" w:rsidRPr="00246CC4" w14:paraId="643BA6A5" w14:textId="77777777" w:rsidTr="00D8527D">
        <w:trPr>
          <w:trHeight w:val="517"/>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D7F692D" w14:textId="77777777" w:rsidR="00A612E2" w:rsidRPr="00246CC4" w:rsidRDefault="00A612E2" w:rsidP="00742B81">
            <w:pPr>
              <w:rPr>
                <w:b/>
                <w:bCs/>
                <w:noProof/>
              </w:rPr>
            </w:pPr>
          </w:p>
        </w:tc>
        <w:tc>
          <w:tcPr>
            <w:tcW w:w="3195" w:type="dxa"/>
            <w:vMerge/>
            <w:tcBorders>
              <w:top w:val="single" w:sz="4" w:space="0" w:color="auto"/>
              <w:left w:val="single" w:sz="4" w:space="0" w:color="auto"/>
              <w:bottom w:val="single" w:sz="4" w:space="0" w:color="auto"/>
              <w:right w:val="single" w:sz="4" w:space="0" w:color="auto"/>
            </w:tcBorders>
            <w:vAlign w:val="center"/>
            <w:hideMark/>
          </w:tcPr>
          <w:p w14:paraId="4BF2D0E4" w14:textId="77777777" w:rsidR="00A612E2" w:rsidRPr="00246CC4" w:rsidRDefault="00A612E2" w:rsidP="008B3890">
            <w:pPr>
              <w:rPr>
                <w:b/>
                <w:bCs/>
                <w:noProof/>
              </w:rPr>
            </w:pPr>
          </w:p>
        </w:tc>
        <w:tc>
          <w:tcPr>
            <w:tcW w:w="1438" w:type="dxa"/>
            <w:vMerge/>
            <w:tcBorders>
              <w:top w:val="single" w:sz="4" w:space="0" w:color="auto"/>
              <w:left w:val="single" w:sz="4" w:space="0" w:color="auto"/>
              <w:bottom w:val="single" w:sz="4" w:space="0" w:color="auto"/>
              <w:right w:val="single" w:sz="4" w:space="0" w:color="auto"/>
            </w:tcBorders>
            <w:vAlign w:val="center"/>
            <w:hideMark/>
          </w:tcPr>
          <w:p w14:paraId="3D44AA3F" w14:textId="77777777" w:rsidR="00A612E2" w:rsidRPr="00246CC4" w:rsidRDefault="00A612E2" w:rsidP="00742B81">
            <w:pPr>
              <w:rPr>
                <w:b/>
                <w:bCs/>
                <w:noProof/>
              </w:rPr>
            </w:pPr>
          </w:p>
        </w:tc>
        <w:tc>
          <w:tcPr>
            <w:tcW w:w="4093" w:type="dxa"/>
            <w:vMerge/>
            <w:tcBorders>
              <w:top w:val="single" w:sz="4" w:space="0" w:color="auto"/>
              <w:left w:val="single" w:sz="4" w:space="0" w:color="auto"/>
              <w:bottom w:val="single" w:sz="4" w:space="0" w:color="auto"/>
              <w:right w:val="single" w:sz="4" w:space="0" w:color="auto"/>
            </w:tcBorders>
            <w:vAlign w:val="center"/>
            <w:hideMark/>
          </w:tcPr>
          <w:p w14:paraId="0E44108D" w14:textId="77777777" w:rsidR="00A612E2" w:rsidRPr="00246CC4" w:rsidRDefault="00A612E2" w:rsidP="00742B81">
            <w:pPr>
              <w:rPr>
                <w:b/>
                <w:bCs/>
                <w:noProof/>
              </w:rPr>
            </w:pPr>
          </w:p>
        </w:tc>
      </w:tr>
      <w:tr w:rsidR="00A612E2" w:rsidRPr="00D90835" w14:paraId="3493AE4A" w14:textId="77777777" w:rsidTr="00D8527D">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F74F556" w14:textId="77777777" w:rsidR="00A612E2" w:rsidRPr="00246CC4" w:rsidRDefault="00A612E2" w:rsidP="00742B81">
            <w:pPr>
              <w:jc w:val="center"/>
              <w:rPr>
                <w:noProof/>
                <w:color w:val="006100"/>
                <w:sz w:val="20"/>
                <w:szCs w:val="20"/>
              </w:rPr>
            </w:pPr>
            <w:r>
              <w:rPr>
                <w:noProof/>
                <w:color w:val="006100"/>
                <w:sz w:val="20"/>
              </w:rPr>
              <w:t>M2C3-5</w:t>
            </w:r>
          </w:p>
        </w:tc>
        <w:tc>
          <w:tcPr>
            <w:tcW w:w="3195" w:type="dxa"/>
            <w:tcBorders>
              <w:top w:val="single" w:sz="4" w:space="0" w:color="auto"/>
              <w:left w:val="nil"/>
              <w:bottom w:val="single" w:sz="4" w:space="0" w:color="auto"/>
              <w:right w:val="single" w:sz="4" w:space="0" w:color="auto"/>
            </w:tcBorders>
            <w:shd w:val="clear" w:color="auto" w:fill="C6EFCE"/>
            <w:noWrap/>
            <w:vAlign w:val="center"/>
          </w:tcPr>
          <w:p w14:paraId="24F4C593" w14:textId="77777777" w:rsidR="00A612E2" w:rsidRPr="003B127D" w:rsidRDefault="00A612E2" w:rsidP="008B3890">
            <w:pPr>
              <w:rPr>
                <w:noProof/>
                <w:color w:val="006100"/>
                <w:sz w:val="20"/>
                <w:szCs w:val="20"/>
              </w:rPr>
            </w:pPr>
            <w:r>
              <w:rPr>
                <w:noProof/>
                <w:color w:val="006100"/>
                <w:sz w:val="20"/>
              </w:rPr>
              <w:t xml:space="preserve">Investeering 1.1. Uute koolide ehitamine hoone asendamise teel </w:t>
            </w:r>
          </w:p>
        </w:tc>
        <w:tc>
          <w:tcPr>
            <w:tcW w:w="1438" w:type="dxa"/>
            <w:tcBorders>
              <w:top w:val="single" w:sz="4" w:space="0" w:color="auto"/>
              <w:left w:val="nil"/>
              <w:bottom w:val="single" w:sz="4" w:space="0" w:color="auto"/>
              <w:right w:val="single" w:sz="4" w:space="0" w:color="auto"/>
            </w:tcBorders>
            <w:shd w:val="clear" w:color="auto" w:fill="C6EFCE"/>
            <w:noWrap/>
            <w:vAlign w:val="center"/>
          </w:tcPr>
          <w:p w14:paraId="5D4C705E" w14:textId="77777777" w:rsidR="00A612E2" w:rsidRPr="00246CC4" w:rsidRDefault="00A612E2" w:rsidP="00742B81">
            <w:pPr>
              <w:jc w:val="center"/>
              <w:rPr>
                <w:noProof/>
                <w:color w:val="006100"/>
                <w:sz w:val="20"/>
                <w:szCs w:val="20"/>
              </w:rPr>
            </w:pPr>
            <w:r>
              <w:rPr>
                <w:noProof/>
                <w:color w:val="006100"/>
                <w:sz w:val="20"/>
              </w:rPr>
              <w:t>Eesmärk</w:t>
            </w:r>
          </w:p>
        </w:tc>
        <w:tc>
          <w:tcPr>
            <w:tcW w:w="4093" w:type="dxa"/>
            <w:tcBorders>
              <w:top w:val="single" w:sz="4" w:space="0" w:color="auto"/>
              <w:left w:val="nil"/>
              <w:bottom w:val="single" w:sz="4" w:space="0" w:color="auto"/>
              <w:right w:val="single" w:sz="4" w:space="0" w:color="auto"/>
            </w:tcBorders>
            <w:shd w:val="clear" w:color="auto" w:fill="C6EFCE"/>
            <w:noWrap/>
            <w:vAlign w:val="center"/>
          </w:tcPr>
          <w:p w14:paraId="587FA96D" w14:textId="77777777" w:rsidR="00A612E2" w:rsidRPr="003B127D" w:rsidRDefault="00A612E2" w:rsidP="00742B81">
            <w:pPr>
              <w:jc w:val="center"/>
              <w:rPr>
                <w:noProof/>
                <w:color w:val="006100"/>
                <w:sz w:val="20"/>
                <w:szCs w:val="20"/>
              </w:rPr>
            </w:pPr>
            <w:r>
              <w:rPr>
                <w:noProof/>
                <w:color w:val="006100"/>
                <w:sz w:val="20"/>
              </w:rPr>
              <w:t xml:space="preserve">Kõigi riigihankelepingute sõlmimine uute koolide ehitamiseks hoone asendamise teel, et ajakohastada koolihoonete energiat, pärast avalikku hankemenetlust </w:t>
            </w:r>
          </w:p>
        </w:tc>
      </w:tr>
      <w:tr w:rsidR="00A612E2" w:rsidRPr="00D90835" w14:paraId="50EECB6A"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09211BF" w14:textId="77777777" w:rsidR="00A612E2" w:rsidRPr="00246CC4" w:rsidRDefault="00A612E2" w:rsidP="00742B81">
            <w:pPr>
              <w:jc w:val="center"/>
              <w:rPr>
                <w:noProof/>
                <w:color w:val="006100"/>
                <w:sz w:val="20"/>
                <w:szCs w:val="20"/>
              </w:rPr>
            </w:pPr>
            <w:r>
              <w:rPr>
                <w:noProof/>
                <w:color w:val="006100"/>
                <w:sz w:val="20"/>
              </w:rPr>
              <w:t>M2C4-28</w:t>
            </w:r>
          </w:p>
        </w:tc>
        <w:tc>
          <w:tcPr>
            <w:tcW w:w="3195" w:type="dxa"/>
            <w:tcBorders>
              <w:top w:val="nil"/>
              <w:left w:val="nil"/>
              <w:bottom w:val="single" w:sz="4" w:space="0" w:color="auto"/>
              <w:right w:val="single" w:sz="4" w:space="0" w:color="auto"/>
            </w:tcBorders>
            <w:shd w:val="clear" w:color="auto" w:fill="C6EFCE"/>
            <w:noWrap/>
            <w:vAlign w:val="center"/>
          </w:tcPr>
          <w:p w14:paraId="1EBF7D18" w14:textId="77777777" w:rsidR="00A612E2" w:rsidRPr="003B127D" w:rsidRDefault="00A612E2" w:rsidP="008B3890">
            <w:pPr>
              <w:rPr>
                <w:noProof/>
                <w:color w:val="006100"/>
                <w:sz w:val="20"/>
                <w:szCs w:val="20"/>
              </w:rPr>
            </w:pPr>
            <w:r>
              <w:rPr>
                <w:noProof/>
                <w:color w:val="006100"/>
                <w:sz w:val="20"/>
              </w:rPr>
              <w:t>Investeering 4.1. Investeeringud esmastesse veeinfrastruktuuridesse veevarustuse kindluse tagamiseks</w:t>
            </w:r>
          </w:p>
        </w:tc>
        <w:tc>
          <w:tcPr>
            <w:tcW w:w="1438" w:type="dxa"/>
            <w:tcBorders>
              <w:top w:val="nil"/>
              <w:left w:val="nil"/>
              <w:bottom w:val="single" w:sz="4" w:space="0" w:color="auto"/>
              <w:right w:val="single" w:sz="4" w:space="0" w:color="auto"/>
            </w:tcBorders>
            <w:shd w:val="clear" w:color="auto" w:fill="C6EFCE"/>
            <w:noWrap/>
            <w:vAlign w:val="center"/>
          </w:tcPr>
          <w:p w14:paraId="332EB7BE" w14:textId="77777777" w:rsidR="00A612E2" w:rsidRPr="00246CC4" w:rsidRDefault="00A612E2" w:rsidP="00742B81">
            <w:pPr>
              <w:jc w:val="center"/>
              <w:rPr>
                <w:noProof/>
                <w:color w:val="006100"/>
                <w:sz w:val="20"/>
                <w:szCs w:val="20"/>
              </w:rPr>
            </w:pPr>
            <w:r>
              <w:rPr>
                <w:noProof/>
                <w:color w:val="006100"/>
                <w:sz w:val="20"/>
              </w:rPr>
              <w:t>Eesmärk</w:t>
            </w:r>
          </w:p>
        </w:tc>
        <w:tc>
          <w:tcPr>
            <w:tcW w:w="4093" w:type="dxa"/>
            <w:tcBorders>
              <w:top w:val="nil"/>
              <w:left w:val="nil"/>
              <w:bottom w:val="single" w:sz="4" w:space="0" w:color="auto"/>
              <w:right w:val="single" w:sz="4" w:space="0" w:color="auto"/>
            </w:tcBorders>
            <w:shd w:val="clear" w:color="auto" w:fill="C6EFCE"/>
            <w:noWrap/>
            <w:vAlign w:val="center"/>
          </w:tcPr>
          <w:p w14:paraId="224BCC71" w14:textId="77777777" w:rsidR="00A612E2" w:rsidRPr="003B127D" w:rsidRDefault="00A612E2" w:rsidP="00742B81">
            <w:pPr>
              <w:jc w:val="center"/>
              <w:rPr>
                <w:noProof/>
                <w:color w:val="006100"/>
                <w:sz w:val="20"/>
                <w:szCs w:val="20"/>
              </w:rPr>
            </w:pPr>
            <w:r>
              <w:rPr>
                <w:noProof/>
                <w:color w:val="006100"/>
                <w:sz w:val="20"/>
              </w:rPr>
              <w:t xml:space="preserve">Rahaliste vahendite eraldamine kõigile projektidele, mis on seotud investeeringutega primaarveetaristusse ja veevarustuse kindlusega </w:t>
            </w:r>
          </w:p>
        </w:tc>
      </w:tr>
      <w:tr w:rsidR="00A612E2" w:rsidRPr="00D90835" w14:paraId="780AD9C8"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3FE7C78" w14:textId="77777777" w:rsidR="00A612E2" w:rsidRPr="00246CC4" w:rsidRDefault="00A612E2" w:rsidP="00742B81">
            <w:pPr>
              <w:jc w:val="center"/>
              <w:rPr>
                <w:noProof/>
                <w:color w:val="006100"/>
                <w:sz w:val="20"/>
                <w:szCs w:val="20"/>
              </w:rPr>
            </w:pPr>
            <w:r>
              <w:rPr>
                <w:noProof/>
                <w:color w:val="006100"/>
                <w:sz w:val="20"/>
              </w:rPr>
              <w:t>M2C4-30</w:t>
            </w:r>
          </w:p>
        </w:tc>
        <w:tc>
          <w:tcPr>
            <w:tcW w:w="3195" w:type="dxa"/>
            <w:tcBorders>
              <w:top w:val="nil"/>
              <w:left w:val="nil"/>
              <w:bottom w:val="single" w:sz="4" w:space="0" w:color="auto"/>
              <w:right w:val="single" w:sz="4" w:space="0" w:color="auto"/>
            </w:tcBorders>
            <w:shd w:val="clear" w:color="auto" w:fill="C6EFCE"/>
            <w:noWrap/>
            <w:vAlign w:val="center"/>
          </w:tcPr>
          <w:p w14:paraId="04F9F511" w14:textId="77777777" w:rsidR="00A612E2" w:rsidRPr="003B127D" w:rsidRDefault="00A612E2" w:rsidP="008B3890">
            <w:pPr>
              <w:rPr>
                <w:noProof/>
                <w:color w:val="006100"/>
                <w:sz w:val="20"/>
                <w:szCs w:val="20"/>
              </w:rPr>
            </w:pPr>
            <w:r>
              <w:rPr>
                <w:noProof/>
                <w:color w:val="006100"/>
                <w:sz w:val="20"/>
              </w:rPr>
              <w:t>Investeering 4.2. Veejaotusvõrkude kadude vähendamine, sealhulgas võrkude digiteerimine ja seire</w:t>
            </w:r>
          </w:p>
        </w:tc>
        <w:tc>
          <w:tcPr>
            <w:tcW w:w="1438" w:type="dxa"/>
            <w:tcBorders>
              <w:top w:val="nil"/>
              <w:left w:val="nil"/>
              <w:bottom w:val="single" w:sz="4" w:space="0" w:color="auto"/>
              <w:right w:val="single" w:sz="4" w:space="0" w:color="auto"/>
            </w:tcBorders>
            <w:shd w:val="clear" w:color="auto" w:fill="C6EFCE"/>
            <w:noWrap/>
            <w:vAlign w:val="center"/>
          </w:tcPr>
          <w:p w14:paraId="043B4F31" w14:textId="77777777" w:rsidR="00A612E2" w:rsidRPr="00246CC4" w:rsidRDefault="00A612E2" w:rsidP="00742B81">
            <w:pPr>
              <w:jc w:val="center"/>
              <w:rPr>
                <w:noProof/>
                <w:color w:val="006100"/>
                <w:sz w:val="20"/>
                <w:szCs w:val="20"/>
              </w:rPr>
            </w:pPr>
            <w:r>
              <w:rPr>
                <w:noProof/>
                <w:color w:val="006100"/>
                <w:sz w:val="20"/>
              </w:rPr>
              <w:t>Eesmärk</w:t>
            </w:r>
          </w:p>
        </w:tc>
        <w:tc>
          <w:tcPr>
            <w:tcW w:w="4093" w:type="dxa"/>
            <w:tcBorders>
              <w:top w:val="nil"/>
              <w:left w:val="nil"/>
              <w:bottom w:val="single" w:sz="4" w:space="0" w:color="auto"/>
              <w:right w:val="single" w:sz="4" w:space="0" w:color="auto"/>
            </w:tcBorders>
            <w:shd w:val="clear" w:color="auto" w:fill="C6EFCE"/>
            <w:noWrap/>
            <w:vAlign w:val="center"/>
          </w:tcPr>
          <w:p w14:paraId="7259BF3F" w14:textId="77777777" w:rsidR="00A612E2" w:rsidRPr="003B127D" w:rsidRDefault="00A612E2" w:rsidP="00742B81">
            <w:pPr>
              <w:jc w:val="center"/>
              <w:rPr>
                <w:noProof/>
                <w:color w:val="006100"/>
                <w:sz w:val="20"/>
                <w:szCs w:val="20"/>
              </w:rPr>
            </w:pPr>
            <w:r>
              <w:rPr>
                <w:noProof/>
                <w:color w:val="006100"/>
                <w:sz w:val="20"/>
              </w:rPr>
              <w:t>Rahaliste vahendite eraldamine kõigile veejaotusvõrkudega seotud sekkumisprojektidele, sealhulgas võrkude digiteerimisele ja järelevalvele</w:t>
            </w:r>
          </w:p>
        </w:tc>
      </w:tr>
      <w:tr w:rsidR="00A612E2" w:rsidRPr="00D90835" w14:paraId="7A0E4DC2"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351BE46" w14:textId="77777777" w:rsidR="00A612E2" w:rsidRPr="00246CC4" w:rsidRDefault="00A612E2" w:rsidP="00742B81">
            <w:pPr>
              <w:jc w:val="center"/>
              <w:rPr>
                <w:noProof/>
                <w:color w:val="006100"/>
                <w:sz w:val="20"/>
                <w:szCs w:val="20"/>
              </w:rPr>
            </w:pPr>
            <w:r>
              <w:rPr>
                <w:noProof/>
                <w:color w:val="006100"/>
                <w:sz w:val="20"/>
              </w:rPr>
              <w:t>M1C1-14</w:t>
            </w:r>
          </w:p>
        </w:tc>
        <w:tc>
          <w:tcPr>
            <w:tcW w:w="3195" w:type="dxa"/>
            <w:tcBorders>
              <w:top w:val="nil"/>
              <w:left w:val="nil"/>
              <w:bottom w:val="single" w:sz="4" w:space="0" w:color="auto"/>
              <w:right w:val="single" w:sz="4" w:space="0" w:color="auto"/>
            </w:tcBorders>
            <w:shd w:val="clear" w:color="auto" w:fill="C6EFCE"/>
            <w:noWrap/>
            <w:vAlign w:val="center"/>
          </w:tcPr>
          <w:p w14:paraId="01FD5D93" w14:textId="77777777" w:rsidR="00A612E2" w:rsidRPr="003B127D" w:rsidRDefault="00A612E2" w:rsidP="008B3890">
            <w:pPr>
              <w:rPr>
                <w:noProof/>
                <w:color w:val="006100"/>
                <w:sz w:val="20"/>
                <w:szCs w:val="20"/>
              </w:rPr>
            </w:pPr>
            <w:r>
              <w:rPr>
                <w:noProof/>
                <w:color w:val="006100"/>
                <w:sz w:val="20"/>
              </w:rPr>
              <w:t>Investeering 1.6.5. Riiginõukogu digiteerimine</w:t>
            </w:r>
          </w:p>
        </w:tc>
        <w:tc>
          <w:tcPr>
            <w:tcW w:w="1438" w:type="dxa"/>
            <w:tcBorders>
              <w:top w:val="nil"/>
              <w:left w:val="nil"/>
              <w:bottom w:val="single" w:sz="4" w:space="0" w:color="auto"/>
              <w:right w:val="single" w:sz="4" w:space="0" w:color="auto"/>
            </w:tcBorders>
            <w:shd w:val="clear" w:color="auto" w:fill="C6EFCE"/>
            <w:noWrap/>
            <w:vAlign w:val="center"/>
          </w:tcPr>
          <w:p w14:paraId="6FFB7138" w14:textId="77777777" w:rsidR="00A612E2" w:rsidRPr="00246CC4" w:rsidRDefault="00A612E2" w:rsidP="00742B81">
            <w:pPr>
              <w:jc w:val="center"/>
              <w:rPr>
                <w:noProof/>
                <w:color w:val="006100"/>
                <w:sz w:val="20"/>
                <w:szCs w:val="20"/>
              </w:rPr>
            </w:pPr>
            <w:r>
              <w:rPr>
                <w:noProof/>
                <w:color w:val="006100"/>
                <w:sz w:val="20"/>
              </w:rPr>
              <w:t>Siht</w:t>
            </w:r>
          </w:p>
        </w:tc>
        <w:tc>
          <w:tcPr>
            <w:tcW w:w="4093" w:type="dxa"/>
            <w:tcBorders>
              <w:top w:val="nil"/>
              <w:left w:val="nil"/>
              <w:bottom w:val="single" w:sz="4" w:space="0" w:color="auto"/>
              <w:right w:val="single" w:sz="4" w:space="0" w:color="auto"/>
            </w:tcBorders>
            <w:shd w:val="clear" w:color="auto" w:fill="C6EFCE"/>
            <w:noWrap/>
            <w:vAlign w:val="center"/>
          </w:tcPr>
          <w:p w14:paraId="1C33609E" w14:textId="77777777" w:rsidR="00A612E2" w:rsidRPr="003B127D" w:rsidRDefault="00A612E2" w:rsidP="00742B81">
            <w:pPr>
              <w:jc w:val="center"/>
              <w:rPr>
                <w:noProof/>
                <w:color w:val="006100"/>
                <w:sz w:val="20"/>
                <w:szCs w:val="20"/>
              </w:rPr>
            </w:pPr>
            <w:r>
              <w:rPr>
                <w:noProof/>
                <w:color w:val="006100"/>
                <w:sz w:val="20"/>
              </w:rPr>
              <w:t>Riiginõukogu – andmelaos T1 analüüsimiseks kättesaadavad kohtudokumendid</w:t>
            </w:r>
          </w:p>
        </w:tc>
      </w:tr>
      <w:tr w:rsidR="00A612E2" w:rsidRPr="00D90835" w14:paraId="77C018B1"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1CA0CCE" w14:textId="77777777" w:rsidR="00A612E2" w:rsidRPr="00246CC4" w:rsidRDefault="00A612E2" w:rsidP="00742B81">
            <w:pPr>
              <w:jc w:val="center"/>
              <w:rPr>
                <w:noProof/>
                <w:color w:val="006100"/>
                <w:sz w:val="20"/>
                <w:szCs w:val="20"/>
              </w:rPr>
            </w:pPr>
            <w:r>
              <w:rPr>
                <w:noProof/>
                <w:color w:val="006100"/>
                <w:sz w:val="20"/>
              </w:rPr>
              <w:t>M1C1-16</w:t>
            </w:r>
          </w:p>
        </w:tc>
        <w:tc>
          <w:tcPr>
            <w:tcW w:w="3195" w:type="dxa"/>
            <w:tcBorders>
              <w:top w:val="nil"/>
              <w:left w:val="nil"/>
              <w:bottom w:val="single" w:sz="4" w:space="0" w:color="auto"/>
              <w:right w:val="single" w:sz="4" w:space="0" w:color="auto"/>
            </w:tcBorders>
            <w:shd w:val="clear" w:color="auto" w:fill="C6EFCE"/>
            <w:noWrap/>
            <w:vAlign w:val="center"/>
          </w:tcPr>
          <w:p w14:paraId="0F5A0219" w14:textId="77777777" w:rsidR="00A612E2" w:rsidRPr="003B127D" w:rsidRDefault="00A612E2" w:rsidP="008B3890">
            <w:pPr>
              <w:rPr>
                <w:noProof/>
                <w:color w:val="006100"/>
                <w:sz w:val="20"/>
                <w:szCs w:val="20"/>
              </w:rPr>
            </w:pPr>
            <w:r>
              <w:rPr>
                <w:noProof/>
                <w:color w:val="006100"/>
                <w:sz w:val="20"/>
              </w:rPr>
              <w:t>Investeering 1.6.5. Riiginõukogu digiteerimine</w:t>
            </w:r>
          </w:p>
        </w:tc>
        <w:tc>
          <w:tcPr>
            <w:tcW w:w="1438" w:type="dxa"/>
            <w:tcBorders>
              <w:top w:val="nil"/>
              <w:left w:val="nil"/>
              <w:bottom w:val="single" w:sz="4" w:space="0" w:color="auto"/>
              <w:right w:val="single" w:sz="4" w:space="0" w:color="auto"/>
            </w:tcBorders>
            <w:shd w:val="clear" w:color="auto" w:fill="C6EFCE"/>
            <w:noWrap/>
            <w:vAlign w:val="center"/>
          </w:tcPr>
          <w:p w14:paraId="0B0F2299" w14:textId="77777777" w:rsidR="00A612E2" w:rsidRPr="00246CC4" w:rsidRDefault="00A612E2" w:rsidP="00742B81">
            <w:pPr>
              <w:jc w:val="center"/>
              <w:rPr>
                <w:noProof/>
                <w:color w:val="006100"/>
                <w:sz w:val="20"/>
                <w:szCs w:val="20"/>
              </w:rPr>
            </w:pPr>
            <w:r>
              <w:rPr>
                <w:noProof/>
                <w:color w:val="006100"/>
                <w:sz w:val="20"/>
              </w:rPr>
              <w:t>Siht</w:t>
            </w:r>
          </w:p>
        </w:tc>
        <w:tc>
          <w:tcPr>
            <w:tcW w:w="4093" w:type="dxa"/>
            <w:tcBorders>
              <w:top w:val="nil"/>
              <w:left w:val="nil"/>
              <w:bottom w:val="single" w:sz="4" w:space="0" w:color="auto"/>
              <w:right w:val="single" w:sz="4" w:space="0" w:color="auto"/>
            </w:tcBorders>
            <w:shd w:val="clear" w:color="auto" w:fill="C6EFCE"/>
            <w:noWrap/>
            <w:vAlign w:val="center"/>
          </w:tcPr>
          <w:p w14:paraId="5EAEECD2" w14:textId="77777777" w:rsidR="00A612E2" w:rsidRPr="003B127D" w:rsidRDefault="00A612E2" w:rsidP="00742B81">
            <w:pPr>
              <w:jc w:val="center"/>
              <w:rPr>
                <w:noProof/>
                <w:color w:val="006100"/>
                <w:sz w:val="20"/>
                <w:szCs w:val="20"/>
              </w:rPr>
            </w:pPr>
            <w:r>
              <w:rPr>
                <w:noProof/>
                <w:color w:val="006100"/>
                <w:sz w:val="20"/>
              </w:rPr>
              <w:t>Riiginõukogu – andmelaos T2 analüüsimiseks kättesaadavad kohtudokumendid</w:t>
            </w:r>
          </w:p>
        </w:tc>
      </w:tr>
      <w:tr w:rsidR="00A612E2" w:rsidRPr="00D90835" w14:paraId="23966F92"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F80276D" w14:textId="77777777" w:rsidR="00A612E2" w:rsidRPr="00246CC4" w:rsidRDefault="00A612E2" w:rsidP="00742B81">
            <w:pPr>
              <w:jc w:val="center"/>
              <w:rPr>
                <w:noProof/>
                <w:color w:val="006100"/>
                <w:sz w:val="20"/>
                <w:szCs w:val="20"/>
              </w:rPr>
            </w:pPr>
            <w:r>
              <w:rPr>
                <w:noProof/>
                <w:color w:val="006100"/>
                <w:sz w:val="20"/>
              </w:rPr>
              <w:t>M1C1-126</w:t>
            </w:r>
          </w:p>
        </w:tc>
        <w:tc>
          <w:tcPr>
            <w:tcW w:w="3195" w:type="dxa"/>
            <w:tcBorders>
              <w:top w:val="nil"/>
              <w:left w:val="nil"/>
              <w:bottom w:val="single" w:sz="4" w:space="0" w:color="auto"/>
              <w:right w:val="single" w:sz="4" w:space="0" w:color="auto"/>
            </w:tcBorders>
            <w:shd w:val="clear" w:color="auto" w:fill="C6EFCE"/>
            <w:noWrap/>
            <w:vAlign w:val="center"/>
          </w:tcPr>
          <w:p w14:paraId="12755472" w14:textId="77777777" w:rsidR="00A612E2" w:rsidRPr="003B127D" w:rsidRDefault="00A612E2" w:rsidP="008B3890">
            <w:pPr>
              <w:rPr>
                <w:noProof/>
                <w:color w:val="006100"/>
                <w:sz w:val="20"/>
                <w:szCs w:val="20"/>
              </w:rPr>
            </w:pPr>
            <w:r>
              <w:rPr>
                <w:noProof/>
                <w:color w:val="006100"/>
                <w:sz w:val="20"/>
              </w:rPr>
              <w:t>Investeering 1.4.3. PagoPA platvormi teenuste ja rakenduse „IO“ kasutuselevõtmine</w:t>
            </w:r>
          </w:p>
        </w:tc>
        <w:tc>
          <w:tcPr>
            <w:tcW w:w="1438" w:type="dxa"/>
            <w:tcBorders>
              <w:top w:val="nil"/>
              <w:left w:val="nil"/>
              <w:bottom w:val="single" w:sz="4" w:space="0" w:color="auto"/>
              <w:right w:val="single" w:sz="4" w:space="0" w:color="auto"/>
            </w:tcBorders>
            <w:shd w:val="clear" w:color="auto" w:fill="C6EFCE"/>
            <w:noWrap/>
            <w:vAlign w:val="center"/>
          </w:tcPr>
          <w:p w14:paraId="3A3556B5" w14:textId="77777777" w:rsidR="00A612E2" w:rsidRPr="00246CC4" w:rsidRDefault="00A612E2" w:rsidP="00742B81">
            <w:pPr>
              <w:jc w:val="center"/>
              <w:rPr>
                <w:noProof/>
                <w:color w:val="006100"/>
                <w:sz w:val="20"/>
                <w:szCs w:val="20"/>
              </w:rPr>
            </w:pPr>
            <w:r>
              <w:rPr>
                <w:noProof/>
                <w:color w:val="006100"/>
                <w:sz w:val="20"/>
              </w:rPr>
              <w:t>Siht</w:t>
            </w:r>
          </w:p>
        </w:tc>
        <w:tc>
          <w:tcPr>
            <w:tcW w:w="4093" w:type="dxa"/>
            <w:tcBorders>
              <w:top w:val="nil"/>
              <w:left w:val="nil"/>
              <w:bottom w:val="single" w:sz="4" w:space="0" w:color="auto"/>
              <w:right w:val="single" w:sz="4" w:space="0" w:color="auto"/>
            </w:tcBorders>
            <w:shd w:val="clear" w:color="auto" w:fill="C6EFCE"/>
            <w:noWrap/>
            <w:vAlign w:val="center"/>
          </w:tcPr>
          <w:p w14:paraId="2B4C278F" w14:textId="77777777" w:rsidR="00A612E2" w:rsidRPr="003B127D" w:rsidRDefault="00A612E2" w:rsidP="00742B81">
            <w:pPr>
              <w:jc w:val="center"/>
              <w:rPr>
                <w:noProof/>
                <w:color w:val="006100"/>
                <w:sz w:val="20"/>
                <w:szCs w:val="20"/>
              </w:rPr>
            </w:pPr>
            <w:r>
              <w:rPr>
                <w:noProof/>
                <w:color w:val="006100"/>
                <w:sz w:val="20"/>
              </w:rPr>
              <w:t>PagoPA platvormi teenuste T1 kasutuselevõtu suurendamine</w:t>
            </w:r>
          </w:p>
        </w:tc>
      </w:tr>
      <w:tr w:rsidR="00A612E2" w:rsidRPr="00D90835" w14:paraId="720F5508"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D42E69D" w14:textId="77777777" w:rsidR="00A612E2" w:rsidRPr="00246CC4" w:rsidRDefault="00A612E2" w:rsidP="00742B81">
            <w:pPr>
              <w:jc w:val="center"/>
              <w:rPr>
                <w:noProof/>
                <w:color w:val="006100"/>
                <w:sz w:val="20"/>
                <w:szCs w:val="20"/>
              </w:rPr>
            </w:pPr>
            <w:r>
              <w:rPr>
                <w:noProof/>
                <w:color w:val="006100"/>
                <w:sz w:val="20"/>
              </w:rPr>
              <w:t>M1C1-127</w:t>
            </w:r>
          </w:p>
        </w:tc>
        <w:tc>
          <w:tcPr>
            <w:tcW w:w="3195" w:type="dxa"/>
            <w:tcBorders>
              <w:top w:val="nil"/>
              <w:left w:val="nil"/>
              <w:bottom w:val="single" w:sz="4" w:space="0" w:color="auto"/>
              <w:right w:val="single" w:sz="4" w:space="0" w:color="auto"/>
            </w:tcBorders>
            <w:shd w:val="clear" w:color="auto" w:fill="C6EFCE"/>
            <w:noWrap/>
            <w:vAlign w:val="center"/>
          </w:tcPr>
          <w:p w14:paraId="6A96062D" w14:textId="77777777" w:rsidR="00A612E2" w:rsidRPr="003B127D" w:rsidRDefault="00A612E2" w:rsidP="008B3890">
            <w:pPr>
              <w:rPr>
                <w:noProof/>
                <w:color w:val="006100"/>
                <w:sz w:val="20"/>
                <w:szCs w:val="20"/>
              </w:rPr>
            </w:pPr>
            <w:r>
              <w:rPr>
                <w:noProof/>
                <w:color w:val="006100"/>
                <w:sz w:val="20"/>
              </w:rPr>
              <w:t>Investeering 1.4.3. PagoPA platvormi teenuste ja rakenduse „IO“ kasutuselevõtmine</w:t>
            </w:r>
          </w:p>
        </w:tc>
        <w:tc>
          <w:tcPr>
            <w:tcW w:w="1438" w:type="dxa"/>
            <w:tcBorders>
              <w:top w:val="nil"/>
              <w:left w:val="nil"/>
              <w:bottom w:val="single" w:sz="4" w:space="0" w:color="auto"/>
              <w:right w:val="single" w:sz="4" w:space="0" w:color="auto"/>
            </w:tcBorders>
            <w:shd w:val="clear" w:color="auto" w:fill="C6EFCE"/>
            <w:noWrap/>
            <w:vAlign w:val="center"/>
          </w:tcPr>
          <w:p w14:paraId="1877D0D4" w14:textId="77777777" w:rsidR="00A612E2" w:rsidRPr="00246CC4" w:rsidRDefault="00A612E2" w:rsidP="00742B81">
            <w:pPr>
              <w:jc w:val="center"/>
              <w:rPr>
                <w:noProof/>
                <w:color w:val="006100"/>
                <w:sz w:val="20"/>
                <w:szCs w:val="20"/>
              </w:rPr>
            </w:pPr>
            <w:r>
              <w:rPr>
                <w:noProof/>
                <w:color w:val="006100"/>
                <w:sz w:val="20"/>
              </w:rPr>
              <w:t>Siht</w:t>
            </w:r>
          </w:p>
        </w:tc>
        <w:tc>
          <w:tcPr>
            <w:tcW w:w="4093" w:type="dxa"/>
            <w:tcBorders>
              <w:top w:val="nil"/>
              <w:left w:val="nil"/>
              <w:bottom w:val="single" w:sz="4" w:space="0" w:color="auto"/>
              <w:right w:val="single" w:sz="4" w:space="0" w:color="auto"/>
            </w:tcBorders>
            <w:shd w:val="clear" w:color="auto" w:fill="C6EFCE"/>
            <w:noWrap/>
            <w:vAlign w:val="center"/>
          </w:tcPr>
          <w:p w14:paraId="47931EBF" w14:textId="77777777" w:rsidR="00A612E2" w:rsidRPr="003B127D" w:rsidRDefault="00A612E2" w:rsidP="00742B81">
            <w:pPr>
              <w:jc w:val="center"/>
              <w:rPr>
                <w:noProof/>
                <w:color w:val="006100"/>
                <w:sz w:val="20"/>
                <w:szCs w:val="20"/>
              </w:rPr>
            </w:pPr>
            <w:r>
              <w:rPr>
                <w:noProof/>
                <w:color w:val="006100"/>
                <w:sz w:val="20"/>
              </w:rPr>
              <w:t>Rakenduse „IO“ rakenduse T1 vastuvõtmise suurendamine</w:t>
            </w:r>
          </w:p>
        </w:tc>
      </w:tr>
      <w:tr w:rsidR="00A612E2" w:rsidRPr="00D90835" w14:paraId="4336CAD4"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13E1754" w14:textId="77777777" w:rsidR="00A612E2" w:rsidRPr="00246CC4" w:rsidRDefault="00A612E2" w:rsidP="00742B81">
            <w:pPr>
              <w:jc w:val="center"/>
              <w:rPr>
                <w:noProof/>
                <w:color w:val="006100"/>
                <w:sz w:val="20"/>
                <w:szCs w:val="20"/>
              </w:rPr>
            </w:pPr>
            <w:r>
              <w:rPr>
                <w:noProof/>
                <w:color w:val="006100"/>
                <w:sz w:val="20"/>
              </w:rPr>
              <w:t>M1C1-128</w:t>
            </w:r>
          </w:p>
        </w:tc>
        <w:tc>
          <w:tcPr>
            <w:tcW w:w="3195" w:type="dxa"/>
            <w:tcBorders>
              <w:top w:val="nil"/>
              <w:left w:val="nil"/>
              <w:bottom w:val="single" w:sz="4" w:space="0" w:color="auto"/>
              <w:right w:val="single" w:sz="4" w:space="0" w:color="auto"/>
            </w:tcBorders>
            <w:shd w:val="clear" w:color="auto" w:fill="C6EFCE"/>
            <w:noWrap/>
            <w:vAlign w:val="center"/>
          </w:tcPr>
          <w:p w14:paraId="5611E26E" w14:textId="77777777" w:rsidR="00A612E2" w:rsidRPr="003B127D" w:rsidRDefault="00A612E2" w:rsidP="008B3890">
            <w:pPr>
              <w:rPr>
                <w:noProof/>
                <w:color w:val="006100"/>
                <w:sz w:val="20"/>
                <w:szCs w:val="20"/>
              </w:rPr>
            </w:pPr>
            <w:r>
              <w:rPr>
                <w:noProof/>
                <w:color w:val="006100"/>
                <w:sz w:val="20"/>
              </w:rPr>
              <w:t>Investeering 1.4.5. Avalike teadete digitaliseerimine</w:t>
            </w:r>
          </w:p>
        </w:tc>
        <w:tc>
          <w:tcPr>
            <w:tcW w:w="1438" w:type="dxa"/>
            <w:tcBorders>
              <w:top w:val="nil"/>
              <w:left w:val="nil"/>
              <w:bottom w:val="single" w:sz="4" w:space="0" w:color="auto"/>
              <w:right w:val="single" w:sz="4" w:space="0" w:color="auto"/>
            </w:tcBorders>
            <w:shd w:val="clear" w:color="auto" w:fill="C6EFCE"/>
            <w:noWrap/>
            <w:vAlign w:val="center"/>
          </w:tcPr>
          <w:p w14:paraId="07288BE7" w14:textId="77777777" w:rsidR="00A612E2" w:rsidRPr="00246CC4" w:rsidRDefault="00A612E2" w:rsidP="00742B81">
            <w:pPr>
              <w:jc w:val="center"/>
              <w:rPr>
                <w:noProof/>
                <w:color w:val="006100"/>
                <w:sz w:val="20"/>
                <w:szCs w:val="20"/>
              </w:rPr>
            </w:pPr>
            <w:r>
              <w:rPr>
                <w:noProof/>
                <w:color w:val="006100"/>
                <w:sz w:val="20"/>
              </w:rPr>
              <w:t>Siht</w:t>
            </w:r>
          </w:p>
        </w:tc>
        <w:tc>
          <w:tcPr>
            <w:tcW w:w="4093" w:type="dxa"/>
            <w:tcBorders>
              <w:top w:val="nil"/>
              <w:left w:val="nil"/>
              <w:bottom w:val="single" w:sz="4" w:space="0" w:color="auto"/>
              <w:right w:val="single" w:sz="4" w:space="0" w:color="auto"/>
            </w:tcBorders>
            <w:shd w:val="clear" w:color="auto" w:fill="C6EFCE"/>
            <w:noWrap/>
            <w:vAlign w:val="center"/>
          </w:tcPr>
          <w:p w14:paraId="398BCCA6" w14:textId="77777777" w:rsidR="00A612E2" w:rsidRPr="003B127D" w:rsidRDefault="00A612E2" w:rsidP="00742B81">
            <w:pPr>
              <w:jc w:val="center"/>
              <w:rPr>
                <w:noProof/>
                <w:color w:val="006100"/>
                <w:sz w:val="20"/>
                <w:szCs w:val="20"/>
              </w:rPr>
            </w:pPr>
            <w:r>
              <w:rPr>
                <w:noProof/>
                <w:color w:val="006100"/>
                <w:sz w:val="20"/>
              </w:rPr>
              <w:t>Digitaalsete avalike teadete T1 kasutuselevõtu suurendamine</w:t>
            </w:r>
          </w:p>
        </w:tc>
      </w:tr>
      <w:tr w:rsidR="00A612E2" w:rsidRPr="00D90835" w14:paraId="1A37EA63"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8100EA5" w14:textId="77777777" w:rsidR="00A612E2" w:rsidRPr="00246CC4" w:rsidRDefault="00A612E2" w:rsidP="00742B81">
            <w:pPr>
              <w:jc w:val="center"/>
              <w:rPr>
                <w:noProof/>
                <w:color w:val="006100"/>
                <w:sz w:val="20"/>
                <w:szCs w:val="20"/>
              </w:rPr>
            </w:pPr>
            <w:r>
              <w:rPr>
                <w:noProof/>
                <w:color w:val="006100"/>
                <w:sz w:val="20"/>
              </w:rPr>
              <w:t>M1C1-129</w:t>
            </w:r>
          </w:p>
        </w:tc>
        <w:tc>
          <w:tcPr>
            <w:tcW w:w="3195" w:type="dxa"/>
            <w:tcBorders>
              <w:top w:val="nil"/>
              <w:left w:val="nil"/>
              <w:bottom w:val="single" w:sz="4" w:space="0" w:color="auto"/>
              <w:right w:val="single" w:sz="4" w:space="0" w:color="auto"/>
            </w:tcBorders>
            <w:shd w:val="clear" w:color="auto" w:fill="C6EFCE"/>
            <w:noWrap/>
            <w:vAlign w:val="center"/>
          </w:tcPr>
          <w:p w14:paraId="0B0E8B70" w14:textId="77777777" w:rsidR="00A612E2" w:rsidRPr="003B127D" w:rsidRDefault="00A612E2" w:rsidP="008B3890">
            <w:pPr>
              <w:rPr>
                <w:noProof/>
                <w:color w:val="006100"/>
                <w:sz w:val="20"/>
                <w:szCs w:val="20"/>
              </w:rPr>
            </w:pPr>
            <w:r>
              <w:rPr>
                <w:noProof/>
                <w:color w:val="006100"/>
                <w:sz w:val="20"/>
              </w:rPr>
              <w:t>Investeering 1.6.1. Siseministeeriumi digiteerimine</w:t>
            </w:r>
          </w:p>
        </w:tc>
        <w:tc>
          <w:tcPr>
            <w:tcW w:w="1438" w:type="dxa"/>
            <w:tcBorders>
              <w:top w:val="nil"/>
              <w:left w:val="nil"/>
              <w:bottom w:val="single" w:sz="4" w:space="0" w:color="auto"/>
              <w:right w:val="single" w:sz="4" w:space="0" w:color="auto"/>
            </w:tcBorders>
            <w:shd w:val="clear" w:color="auto" w:fill="C6EFCE"/>
            <w:noWrap/>
            <w:vAlign w:val="center"/>
          </w:tcPr>
          <w:p w14:paraId="480803B4" w14:textId="77777777" w:rsidR="00A612E2" w:rsidRPr="00246CC4" w:rsidRDefault="00A612E2" w:rsidP="00742B81">
            <w:pPr>
              <w:jc w:val="center"/>
              <w:rPr>
                <w:noProof/>
                <w:color w:val="006100"/>
                <w:sz w:val="20"/>
                <w:szCs w:val="20"/>
              </w:rPr>
            </w:pPr>
            <w:r>
              <w:rPr>
                <w:noProof/>
                <w:color w:val="006100"/>
                <w:sz w:val="20"/>
              </w:rPr>
              <w:t>Siht</w:t>
            </w:r>
          </w:p>
        </w:tc>
        <w:tc>
          <w:tcPr>
            <w:tcW w:w="4093" w:type="dxa"/>
            <w:tcBorders>
              <w:top w:val="nil"/>
              <w:left w:val="nil"/>
              <w:bottom w:val="single" w:sz="4" w:space="0" w:color="auto"/>
              <w:right w:val="single" w:sz="4" w:space="0" w:color="auto"/>
            </w:tcBorders>
            <w:shd w:val="clear" w:color="auto" w:fill="C6EFCE"/>
            <w:noWrap/>
            <w:vAlign w:val="center"/>
          </w:tcPr>
          <w:p w14:paraId="7682FD2F" w14:textId="77777777" w:rsidR="00A612E2" w:rsidRPr="003B127D" w:rsidRDefault="00A612E2" w:rsidP="00742B81">
            <w:pPr>
              <w:jc w:val="center"/>
              <w:rPr>
                <w:noProof/>
                <w:color w:val="006100"/>
                <w:sz w:val="20"/>
                <w:szCs w:val="20"/>
              </w:rPr>
            </w:pPr>
            <w:r>
              <w:rPr>
                <w:noProof/>
                <w:color w:val="006100"/>
                <w:sz w:val="20"/>
              </w:rPr>
              <w:t>Siseministeerium – täielikult ümberkujundatud ja digiteeritud protsessid T1</w:t>
            </w:r>
          </w:p>
        </w:tc>
      </w:tr>
      <w:tr w:rsidR="00A612E2" w:rsidRPr="00246CC4" w14:paraId="5842815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E27AA9C" w14:textId="77777777" w:rsidR="00A612E2" w:rsidRPr="00246CC4" w:rsidRDefault="00A612E2" w:rsidP="00742B81">
            <w:pPr>
              <w:jc w:val="center"/>
              <w:rPr>
                <w:noProof/>
                <w:color w:val="006100"/>
                <w:sz w:val="20"/>
                <w:szCs w:val="20"/>
              </w:rPr>
            </w:pPr>
            <w:r>
              <w:rPr>
                <w:noProof/>
                <w:color w:val="006100"/>
                <w:sz w:val="20"/>
              </w:rPr>
              <w:t>M1C1-130</w:t>
            </w:r>
          </w:p>
        </w:tc>
        <w:tc>
          <w:tcPr>
            <w:tcW w:w="3195" w:type="dxa"/>
            <w:tcBorders>
              <w:top w:val="nil"/>
              <w:left w:val="nil"/>
              <w:bottom w:val="single" w:sz="4" w:space="0" w:color="auto"/>
              <w:right w:val="single" w:sz="4" w:space="0" w:color="auto"/>
            </w:tcBorders>
            <w:shd w:val="clear" w:color="auto" w:fill="C6EFCE"/>
            <w:noWrap/>
            <w:vAlign w:val="center"/>
          </w:tcPr>
          <w:p w14:paraId="02C909ED" w14:textId="77777777" w:rsidR="00A612E2" w:rsidRPr="003B127D" w:rsidRDefault="00A612E2" w:rsidP="008B3890">
            <w:pPr>
              <w:rPr>
                <w:noProof/>
                <w:color w:val="006100"/>
                <w:sz w:val="20"/>
                <w:szCs w:val="20"/>
              </w:rPr>
            </w:pPr>
            <w:r>
              <w:rPr>
                <w:noProof/>
                <w:color w:val="006100"/>
                <w:sz w:val="20"/>
              </w:rPr>
              <w:t>Investeering 1.6.2. Justiitsministeeriumi digiteerimine</w:t>
            </w:r>
          </w:p>
        </w:tc>
        <w:tc>
          <w:tcPr>
            <w:tcW w:w="1438" w:type="dxa"/>
            <w:tcBorders>
              <w:top w:val="nil"/>
              <w:left w:val="nil"/>
              <w:bottom w:val="single" w:sz="4" w:space="0" w:color="auto"/>
              <w:right w:val="single" w:sz="4" w:space="0" w:color="auto"/>
            </w:tcBorders>
            <w:shd w:val="clear" w:color="auto" w:fill="C6EFCE"/>
            <w:noWrap/>
            <w:vAlign w:val="center"/>
          </w:tcPr>
          <w:p w14:paraId="758E8842" w14:textId="77777777" w:rsidR="00A612E2" w:rsidRPr="00246CC4" w:rsidRDefault="00A612E2" w:rsidP="00742B81">
            <w:pPr>
              <w:jc w:val="center"/>
              <w:rPr>
                <w:noProof/>
                <w:color w:val="006100"/>
                <w:sz w:val="20"/>
                <w:szCs w:val="20"/>
              </w:rPr>
            </w:pPr>
            <w:r>
              <w:rPr>
                <w:noProof/>
                <w:color w:val="006100"/>
                <w:sz w:val="20"/>
              </w:rPr>
              <w:t>Siht</w:t>
            </w:r>
          </w:p>
        </w:tc>
        <w:tc>
          <w:tcPr>
            <w:tcW w:w="4093" w:type="dxa"/>
            <w:tcBorders>
              <w:top w:val="nil"/>
              <w:left w:val="nil"/>
              <w:bottom w:val="single" w:sz="4" w:space="0" w:color="auto"/>
              <w:right w:val="single" w:sz="4" w:space="0" w:color="auto"/>
            </w:tcBorders>
            <w:shd w:val="clear" w:color="auto" w:fill="C6EFCE"/>
            <w:noWrap/>
            <w:vAlign w:val="center"/>
          </w:tcPr>
          <w:p w14:paraId="780E50E6" w14:textId="77777777" w:rsidR="00A612E2" w:rsidRPr="00246CC4" w:rsidRDefault="00A612E2" w:rsidP="00742B81">
            <w:pPr>
              <w:jc w:val="center"/>
              <w:rPr>
                <w:noProof/>
                <w:color w:val="006100"/>
                <w:sz w:val="20"/>
                <w:szCs w:val="20"/>
              </w:rPr>
            </w:pPr>
            <w:r>
              <w:rPr>
                <w:noProof/>
                <w:color w:val="006100"/>
                <w:sz w:val="20"/>
              </w:rPr>
              <w:t>Digiteeritud kohtutoimikud T1</w:t>
            </w:r>
          </w:p>
        </w:tc>
      </w:tr>
      <w:tr w:rsidR="00A612E2" w:rsidRPr="00D90835" w14:paraId="2AC8790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A67BA59" w14:textId="77777777" w:rsidR="00A612E2" w:rsidRPr="00246CC4" w:rsidRDefault="00A612E2" w:rsidP="00742B81">
            <w:pPr>
              <w:jc w:val="center"/>
              <w:rPr>
                <w:noProof/>
                <w:color w:val="006100"/>
                <w:sz w:val="20"/>
                <w:szCs w:val="20"/>
              </w:rPr>
            </w:pPr>
            <w:r>
              <w:rPr>
                <w:noProof/>
                <w:color w:val="006100"/>
                <w:sz w:val="20"/>
              </w:rPr>
              <w:t>M1C1-131</w:t>
            </w:r>
          </w:p>
        </w:tc>
        <w:tc>
          <w:tcPr>
            <w:tcW w:w="3195" w:type="dxa"/>
            <w:tcBorders>
              <w:top w:val="nil"/>
              <w:left w:val="nil"/>
              <w:bottom w:val="single" w:sz="4" w:space="0" w:color="auto"/>
              <w:right w:val="single" w:sz="4" w:space="0" w:color="auto"/>
            </w:tcBorders>
            <w:shd w:val="clear" w:color="auto" w:fill="C6EFCE"/>
            <w:noWrap/>
            <w:vAlign w:val="center"/>
          </w:tcPr>
          <w:p w14:paraId="4864AB78" w14:textId="77777777" w:rsidR="00A612E2" w:rsidRPr="003B127D" w:rsidRDefault="00A612E2" w:rsidP="008B3890">
            <w:pPr>
              <w:rPr>
                <w:noProof/>
                <w:color w:val="006100"/>
                <w:sz w:val="20"/>
                <w:szCs w:val="20"/>
              </w:rPr>
            </w:pPr>
            <w:r>
              <w:rPr>
                <w:noProof/>
                <w:color w:val="006100"/>
                <w:sz w:val="20"/>
              </w:rPr>
              <w:t>Investeering 1.6.2. Justiitsministeeriumi digiteerimine</w:t>
            </w:r>
          </w:p>
        </w:tc>
        <w:tc>
          <w:tcPr>
            <w:tcW w:w="1438" w:type="dxa"/>
            <w:tcBorders>
              <w:top w:val="nil"/>
              <w:left w:val="nil"/>
              <w:bottom w:val="single" w:sz="4" w:space="0" w:color="auto"/>
              <w:right w:val="single" w:sz="4" w:space="0" w:color="auto"/>
            </w:tcBorders>
            <w:shd w:val="clear" w:color="auto" w:fill="C6EFCE"/>
            <w:noWrap/>
            <w:vAlign w:val="center"/>
          </w:tcPr>
          <w:p w14:paraId="5912EAD7" w14:textId="77777777" w:rsidR="00A612E2" w:rsidRPr="00246CC4" w:rsidRDefault="00A612E2" w:rsidP="00742B81">
            <w:pPr>
              <w:jc w:val="center"/>
              <w:rPr>
                <w:noProof/>
                <w:color w:val="006100"/>
                <w:sz w:val="20"/>
                <w:szCs w:val="20"/>
              </w:rPr>
            </w:pPr>
            <w:r>
              <w:rPr>
                <w:noProof/>
                <w:color w:val="006100"/>
                <w:sz w:val="20"/>
              </w:rPr>
              <w:t>Eesmärk</w:t>
            </w:r>
          </w:p>
        </w:tc>
        <w:tc>
          <w:tcPr>
            <w:tcW w:w="4093" w:type="dxa"/>
            <w:tcBorders>
              <w:top w:val="nil"/>
              <w:left w:val="nil"/>
              <w:bottom w:val="single" w:sz="4" w:space="0" w:color="auto"/>
              <w:right w:val="single" w:sz="4" w:space="0" w:color="auto"/>
            </w:tcBorders>
            <w:shd w:val="clear" w:color="auto" w:fill="C6EFCE"/>
            <w:noWrap/>
            <w:vAlign w:val="center"/>
          </w:tcPr>
          <w:p w14:paraId="45C8288D" w14:textId="77777777" w:rsidR="00A612E2" w:rsidRPr="003B127D" w:rsidRDefault="00A612E2" w:rsidP="00742B81">
            <w:pPr>
              <w:jc w:val="center"/>
              <w:rPr>
                <w:noProof/>
                <w:color w:val="006100"/>
                <w:sz w:val="20"/>
                <w:szCs w:val="20"/>
              </w:rPr>
            </w:pPr>
            <w:r>
              <w:rPr>
                <w:noProof/>
                <w:color w:val="006100"/>
                <w:sz w:val="20"/>
              </w:rPr>
              <w:t>Õigusalased andmebaasid T1</w:t>
            </w:r>
          </w:p>
        </w:tc>
      </w:tr>
      <w:tr w:rsidR="00A612E2" w:rsidRPr="00D90835" w14:paraId="7896055A"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7D79FD0" w14:textId="77777777" w:rsidR="00A612E2" w:rsidRPr="00246CC4" w:rsidRDefault="00A612E2" w:rsidP="00742B81">
            <w:pPr>
              <w:jc w:val="center"/>
              <w:rPr>
                <w:noProof/>
                <w:color w:val="006100"/>
                <w:sz w:val="20"/>
                <w:szCs w:val="20"/>
              </w:rPr>
            </w:pPr>
            <w:r>
              <w:rPr>
                <w:noProof/>
                <w:color w:val="006100"/>
                <w:sz w:val="20"/>
              </w:rPr>
              <w:t>M1C1-132</w:t>
            </w:r>
          </w:p>
        </w:tc>
        <w:tc>
          <w:tcPr>
            <w:tcW w:w="3195" w:type="dxa"/>
            <w:tcBorders>
              <w:top w:val="nil"/>
              <w:left w:val="nil"/>
              <w:bottom w:val="single" w:sz="4" w:space="0" w:color="auto"/>
              <w:right w:val="single" w:sz="4" w:space="0" w:color="auto"/>
            </w:tcBorders>
            <w:shd w:val="clear" w:color="auto" w:fill="C6EFCE"/>
            <w:noWrap/>
            <w:vAlign w:val="center"/>
          </w:tcPr>
          <w:p w14:paraId="561AD716" w14:textId="77777777" w:rsidR="00A612E2" w:rsidRPr="003B127D" w:rsidRDefault="00A612E2" w:rsidP="008B3890">
            <w:pPr>
              <w:rPr>
                <w:noProof/>
                <w:color w:val="006100"/>
                <w:sz w:val="20"/>
                <w:szCs w:val="20"/>
              </w:rPr>
            </w:pPr>
            <w:r>
              <w:rPr>
                <w:noProof/>
                <w:color w:val="006100"/>
                <w:sz w:val="20"/>
              </w:rPr>
              <w:t>Investeering 1.6.3. Riikliku sotsiaalkindlustusameti (INPS) ja riikliku tööõnnetuste vastu kindlustamise instituudi (INAIL) digitaliseerimine</w:t>
            </w:r>
          </w:p>
        </w:tc>
        <w:tc>
          <w:tcPr>
            <w:tcW w:w="1438" w:type="dxa"/>
            <w:tcBorders>
              <w:top w:val="nil"/>
              <w:left w:val="nil"/>
              <w:bottom w:val="single" w:sz="4" w:space="0" w:color="auto"/>
              <w:right w:val="single" w:sz="4" w:space="0" w:color="auto"/>
            </w:tcBorders>
            <w:shd w:val="clear" w:color="auto" w:fill="C6EFCE"/>
            <w:noWrap/>
            <w:vAlign w:val="center"/>
          </w:tcPr>
          <w:p w14:paraId="5EBA4FBE" w14:textId="77777777" w:rsidR="00A612E2" w:rsidRPr="00246CC4" w:rsidRDefault="00A612E2" w:rsidP="00742B81">
            <w:pPr>
              <w:jc w:val="center"/>
              <w:rPr>
                <w:noProof/>
                <w:color w:val="006100"/>
                <w:sz w:val="20"/>
                <w:szCs w:val="20"/>
              </w:rPr>
            </w:pPr>
            <w:r>
              <w:rPr>
                <w:noProof/>
                <w:color w:val="006100"/>
                <w:sz w:val="20"/>
              </w:rPr>
              <w:t>Siht</w:t>
            </w:r>
          </w:p>
        </w:tc>
        <w:tc>
          <w:tcPr>
            <w:tcW w:w="4093" w:type="dxa"/>
            <w:tcBorders>
              <w:top w:val="nil"/>
              <w:left w:val="nil"/>
              <w:bottom w:val="single" w:sz="4" w:space="0" w:color="auto"/>
              <w:right w:val="single" w:sz="4" w:space="0" w:color="auto"/>
            </w:tcBorders>
            <w:shd w:val="clear" w:color="auto" w:fill="C6EFCE"/>
            <w:noWrap/>
            <w:vAlign w:val="center"/>
          </w:tcPr>
          <w:p w14:paraId="2C920351" w14:textId="77777777" w:rsidR="00A612E2" w:rsidRPr="003B127D" w:rsidRDefault="00A612E2" w:rsidP="00742B81">
            <w:pPr>
              <w:jc w:val="center"/>
              <w:rPr>
                <w:noProof/>
                <w:color w:val="006100"/>
                <w:sz w:val="20"/>
                <w:szCs w:val="20"/>
              </w:rPr>
            </w:pPr>
            <w:r>
              <w:rPr>
                <w:noProof/>
                <w:color w:val="006100"/>
                <w:sz w:val="20"/>
              </w:rPr>
              <w:t>INPS – „One click by design“ teenused/sisu T2</w:t>
            </w:r>
          </w:p>
        </w:tc>
      </w:tr>
      <w:tr w:rsidR="00A612E2" w:rsidRPr="00D90835" w14:paraId="7D34F5C7"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E58401D" w14:textId="77777777" w:rsidR="00A612E2" w:rsidRPr="00246CC4" w:rsidRDefault="00A612E2" w:rsidP="00742B81">
            <w:pPr>
              <w:jc w:val="center"/>
              <w:rPr>
                <w:noProof/>
                <w:color w:val="006100"/>
                <w:sz w:val="20"/>
                <w:szCs w:val="20"/>
              </w:rPr>
            </w:pPr>
            <w:r>
              <w:rPr>
                <w:noProof/>
                <w:color w:val="006100"/>
                <w:sz w:val="20"/>
              </w:rPr>
              <w:t>M1C1-133</w:t>
            </w:r>
          </w:p>
        </w:tc>
        <w:tc>
          <w:tcPr>
            <w:tcW w:w="3195" w:type="dxa"/>
            <w:tcBorders>
              <w:top w:val="nil"/>
              <w:left w:val="nil"/>
              <w:bottom w:val="single" w:sz="4" w:space="0" w:color="auto"/>
              <w:right w:val="single" w:sz="4" w:space="0" w:color="auto"/>
            </w:tcBorders>
            <w:shd w:val="clear" w:color="auto" w:fill="C6EFCE"/>
            <w:noWrap/>
            <w:vAlign w:val="center"/>
          </w:tcPr>
          <w:p w14:paraId="0AA05A1A" w14:textId="77777777" w:rsidR="00A612E2" w:rsidRPr="003B127D" w:rsidRDefault="00A612E2" w:rsidP="008B3890">
            <w:pPr>
              <w:rPr>
                <w:noProof/>
                <w:color w:val="006100"/>
                <w:sz w:val="20"/>
                <w:szCs w:val="20"/>
              </w:rPr>
            </w:pPr>
            <w:r>
              <w:rPr>
                <w:noProof/>
                <w:color w:val="006100"/>
                <w:sz w:val="20"/>
              </w:rPr>
              <w:t>Investeering 1.6.3. Riikliku sotsiaalkindlustusameti (INPS) ja riikliku tööõnnetuste vastu kindlustamise instituudi (INAIL) digitaliseerimine</w:t>
            </w:r>
          </w:p>
        </w:tc>
        <w:tc>
          <w:tcPr>
            <w:tcW w:w="1438" w:type="dxa"/>
            <w:tcBorders>
              <w:top w:val="nil"/>
              <w:left w:val="nil"/>
              <w:bottom w:val="single" w:sz="4" w:space="0" w:color="auto"/>
              <w:right w:val="single" w:sz="4" w:space="0" w:color="auto"/>
            </w:tcBorders>
            <w:shd w:val="clear" w:color="auto" w:fill="C6EFCE"/>
            <w:noWrap/>
            <w:vAlign w:val="center"/>
          </w:tcPr>
          <w:p w14:paraId="44AD4873" w14:textId="77777777" w:rsidR="00A612E2" w:rsidRPr="00246CC4" w:rsidRDefault="00A612E2" w:rsidP="00742B81">
            <w:pPr>
              <w:jc w:val="center"/>
              <w:rPr>
                <w:noProof/>
                <w:color w:val="006100"/>
                <w:sz w:val="20"/>
                <w:szCs w:val="20"/>
              </w:rPr>
            </w:pPr>
            <w:r>
              <w:rPr>
                <w:noProof/>
                <w:color w:val="006100"/>
                <w:sz w:val="20"/>
              </w:rPr>
              <w:t>Siht</w:t>
            </w:r>
          </w:p>
        </w:tc>
        <w:tc>
          <w:tcPr>
            <w:tcW w:w="4093" w:type="dxa"/>
            <w:tcBorders>
              <w:top w:val="nil"/>
              <w:left w:val="nil"/>
              <w:bottom w:val="single" w:sz="4" w:space="0" w:color="auto"/>
              <w:right w:val="single" w:sz="4" w:space="0" w:color="auto"/>
            </w:tcBorders>
            <w:shd w:val="clear" w:color="auto" w:fill="C6EFCE"/>
            <w:noWrap/>
            <w:vAlign w:val="center"/>
          </w:tcPr>
          <w:p w14:paraId="46C135AD" w14:textId="77777777" w:rsidR="00A612E2" w:rsidRPr="003B127D" w:rsidRDefault="00A612E2" w:rsidP="00742B81">
            <w:pPr>
              <w:jc w:val="center"/>
              <w:rPr>
                <w:noProof/>
                <w:color w:val="006100"/>
                <w:sz w:val="20"/>
                <w:szCs w:val="20"/>
              </w:rPr>
            </w:pPr>
            <w:r>
              <w:rPr>
                <w:noProof/>
                <w:color w:val="006100"/>
                <w:sz w:val="20"/>
              </w:rPr>
              <w:t>INPS - parema info- ja kommunikatsioonitehnoloogia (IKT) oskustega töötajad T2</w:t>
            </w:r>
          </w:p>
        </w:tc>
      </w:tr>
      <w:tr w:rsidR="00A612E2" w:rsidRPr="00D90835" w14:paraId="7CD39665"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3C5BB84" w14:textId="77777777" w:rsidR="00A612E2" w:rsidRPr="00246CC4" w:rsidRDefault="00A612E2" w:rsidP="00742B81">
            <w:pPr>
              <w:jc w:val="center"/>
              <w:rPr>
                <w:noProof/>
                <w:color w:val="006100"/>
                <w:sz w:val="20"/>
                <w:szCs w:val="20"/>
              </w:rPr>
            </w:pPr>
            <w:r>
              <w:rPr>
                <w:noProof/>
                <w:color w:val="006100"/>
                <w:sz w:val="20"/>
              </w:rPr>
              <w:t>M1C1-134</w:t>
            </w:r>
          </w:p>
        </w:tc>
        <w:tc>
          <w:tcPr>
            <w:tcW w:w="3195" w:type="dxa"/>
            <w:tcBorders>
              <w:top w:val="nil"/>
              <w:left w:val="nil"/>
              <w:bottom w:val="single" w:sz="4" w:space="0" w:color="auto"/>
              <w:right w:val="single" w:sz="4" w:space="0" w:color="auto"/>
            </w:tcBorders>
            <w:shd w:val="clear" w:color="auto" w:fill="C6EFCE"/>
            <w:noWrap/>
            <w:vAlign w:val="center"/>
          </w:tcPr>
          <w:p w14:paraId="03B7AA46" w14:textId="77777777" w:rsidR="00A612E2" w:rsidRPr="003B127D" w:rsidRDefault="00A612E2" w:rsidP="008B3890">
            <w:pPr>
              <w:rPr>
                <w:noProof/>
                <w:color w:val="006100"/>
                <w:sz w:val="20"/>
                <w:szCs w:val="20"/>
              </w:rPr>
            </w:pPr>
            <w:r>
              <w:rPr>
                <w:noProof/>
                <w:color w:val="006100"/>
                <w:sz w:val="20"/>
              </w:rPr>
              <w:t>Investeering 1.6.3. Riikliku sotsiaalkindlustusameti (INPS) ja riikliku tööõnnetuste vastu kindlustamise instituudi (INAIL) digitaliseerimine</w:t>
            </w:r>
          </w:p>
        </w:tc>
        <w:tc>
          <w:tcPr>
            <w:tcW w:w="1438" w:type="dxa"/>
            <w:tcBorders>
              <w:top w:val="nil"/>
              <w:left w:val="nil"/>
              <w:bottom w:val="single" w:sz="4" w:space="0" w:color="auto"/>
              <w:right w:val="single" w:sz="4" w:space="0" w:color="auto"/>
            </w:tcBorders>
            <w:shd w:val="clear" w:color="auto" w:fill="C6EFCE"/>
            <w:noWrap/>
            <w:vAlign w:val="center"/>
          </w:tcPr>
          <w:p w14:paraId="380BE186" w14:textId="77777777" w:rsidR="00A612E2" w:rsidRPr="00246CC4" w:rsidRDefault="00A612E2" w:rsidP="00742B81">
            <w:pPr>
              <w:jc w:val="center"/>
              <w:rPr>
                <w:noProof/>
                <w:color w:val="006100"/>
                <w:sz w:val="20"/>
                <w:szCs w:val="20"/>
              </w:rPr>
            </w:pPr>
            <w:r>
              <w:rPr>
                <w:noProof/>
                <w:color w:val="006100"/>
                <w:sz w:val="20"/>
              </w:rPr>
              <w:t>Siht</w:t>
            </w:r>
          </w:p>
        </w:tc>
        <w:tc>
          <w:tcPr>
            <w:tcW w:w="4093" w:type="dxa"/>
            <w:tcBorders>
              <w:top w:val="nil"/>
              <w:left w:val="nil"/>
              <w:bottom w:val="single" w:sz="4" w:space="0" w:color="auto"/>
              <w:right w:val="single" w:sz="4" w:space="0" w:color="auto"/>
            </w:tcBorders>
            <w:shd w:val="clear" w:color="auto" w:fill="C6EFCE"/>
            <w:noWrap/>
            <w:vAlign w:val="center"/>
          </w:tcPr>
          <w:p w14:paraId="3AD79DF5" w14:textId="77777777" w:rsidR="00A612E2" w:rsidRPr="003B127D" w:rsidRDefault="00A612E2" w:rsidP="00742B81">
            <w:pPr>
              <w:jc w:val="center"/>
              <w:rPr>
                <w:noProof/>
                <w:color w:val="006100"/>
                <w:sz w:val="20"/>
                <w:szCs w:val="20"/>
              </w:rPr>
            </w:pPr>
            <w:r>
              <w:rPr>
                <w:noProof/>
                <w:color w:val="006100"/>
                <w:sz w:val="20"/>
              </w:rPr>
              <w:t>INAIL – täielikult ümberkavandatud ja digiteeritud protsessid/teenused T1</w:t>
            </w:r>
          </w:p>
        </w:tc>
      </w:tr>
      <w:tr w:rsidR="00A612E2" w:rsidRPr="00D90835" w14:paraId="38ABFC5A"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C3D8B17" w14:textId="77777777" w:rsidR="00A612E2" w:rsidRPr="00246CC4" w:rsidRDefault="00A612E2" w:rsidP="00742B81">
            <w:pPr>
              <w:jc w:val="center"/>
              <w:rPr>
                <w:noProof/>
                <w:color w:val="006100"/>
                <w:sz w:val="20"/>
                <w:szCs w:val="20"/>
              </w:rPr>
            </w:pPr>
            <w:r>
              <w:rPr>
                <w:noProof/>
                <w:color w:val="006100"/>
                <w:sz w:val="20"/>
              </w:rPr>
              <w:t>M1C1-135</w:t>
            </w:r>
          </w:p>
        </w:tc>
        <w:tc>
          <w:tcPr>
            <w:tcW w:w="3195" w:type="dxa"/>
            <w:tcBorders>
              <w:top w:val="nil"/>
              <w:left w:val="nil"/>
              <w:bottom w:val="single" w:sz="4" w:space="0" w:color="auto"/>
              <w:right w:val="single" w:sz="4" w:space="0" w:color="auto"/>
            </w:tcBorders>
            <w:shd w:val="clear" w:color="auto" w:fill="C6EFCE"/>
            <w:noWrap/>
            <w:vAlign w:val="center"/>
          </w:tcPr>
          <w:p w14:paraId="400DC87F" w14:textId="77777777" w:rsidR="00A612E2" w:rsidRPr="003B127D" w:rsidRDefault="00A612E2" w:rsidP="008B3890">
            <w:pPr>
              <w:rPr>
                <w:noProof/>
                <w:color w:val="006100"/>
                <w:sz w:val="20"/>
                <w:szCs w:val="20"/>
              </w:rPr>
            </w:pPr>
            <w:r>
              <w:rPr>
                <w:noProof/>
                <w:color w:val="006100"/>
                <w:sz w:val="20"/>
              </w:rPr>
              <w:t>Investeering 1.6.4. Kaitseministeeriumi digiteerimine</w:t>
            </w:r>
          </w:p>
        </w:tc>
        <w:tc>
          <w:tcPr>
            <w:tcW w:w="1438" w:type="dxa"/>
            <w:tcBorders>
              <w:top w:val="nil"/>
              <w:left w:val="nil"/>
              <w:bottom w:val="single" w:sz="4" w:space="0" w:color="auto"/>
              <w:right w:val="single" w:sz="4" w:space="0" w:color="auto"/>
            </w:tcBorders>
            <w:shd w:val="clear" w:color="auto" w:fill="C6EFCE"/>
            <w:noWrap/>
            <w:vAlign w:val="center"/>
          </w:tcPr>
          <w:p w14:paraId="6BD1937D" w14:textId="77777777" w:rsidR="00A612E2" w:rsidRPr="00246CC4" w:rsidRDefault="00A612E2" w:rsidP="00742B81">
            <w:pPr>
              <w:jc w:val="center"/>
              <w:rPr>
                <w:noProof/>
                <w:color w:val="006100"/>
                <w:sz w:val="20"/>
                <w:szCs w:val="20"/>
              </w:rPr>
            </w:pPr>
            <w:r>
              <w:rPr>
                <w:noProof/>
                <w:color w:val="006100"/>
                <w:sz w:val="20"/>
              </w:rPr>
              <w:t>Siht</w:t>
            </w:r>
          </w:p>
        </w:tc>
        <w:tc>
          <w:tcPr>
            <w:tcW w:w="4093" w:type="dxa"/>
            <w:tcBorders>
              <w:top w:val="nil"/>
              <w:left w:val="nil"/>
              <w:bottom w:val="single" w:sz="4" w:space="0" w:color="auto"/>
              <w:right w:val="single" w:sz="4" w:space="0" w:color="auto"/>
            </w:tcBorders>
            <w:shd w:val="clear" w:color="auto" w:fill="C6EFCE"/>
            <w:noWrap/>
            <w:vAlign w:val="center"/>
          </w:tcPr>
          <w:p w14:paraId="62141D11" w14:textId="77777777" w:rsidR="00A612E2" w:rsidRPr="003B127D" w:rsidRDefault="00A612E2" w:rsidP="00742B81">
            <w:pPr>
              <w:jc w:val="center"/>
              <w:rPr>
                <w:noProof/>
                <w:color w:val="006100"/>
                <w:sz w:val="20"/>
                <w:szCs w:val="20"/>
              </w:rPr>
            </w:pPr>
            <w:r>
              <w:rPr>
                <w:noProof/>
                <w:color w:val="006100"/>
                <w:sz w:val="20"/>
              </w:rPr>
              <w:t>Kaitseministeerium – protseduuride digiteerimine T1</w:t>
            </w:r>
          </w:p>
        </w:tc>
      </w:tr>
      <w:tr w:rsidR="00A612E2" w:rsidRPr="00D90835" w14:paraId="67E1B10D"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8FCE71B" w14:textId="77777777" w:rsidR="00A612E2" w:rsidRPr="00246CC4" w:rsidRDefault="00A612E2" w:rsidP="00742B81">
            <w:pPr>
              <w:jc w:val="center"/>
              <w:rPr>
                <w:noProof/>
                <w:color w:val="006100"/>
                <w:sz w:val="20"/>
                <w:szCs w:val="20"/>
              </w:rPr>
            </w:pPr>
            <w:r>
              <w:rPr>
                <w:noProof/>
                <w:color w:val="006100"/>
                <w:sz w:val="20"/>
              </w:rPr>
              <w:t>M1C1-136</w:t>
            </w:r>
          </w:p>
        </w:tc>
        <w:tc>
          <w:tcPr>
            <w:tcW w:w="3195" w:type="dxa"/>
            <w:tcBorders>
              <w:top w:val="nil"/>
              <w:left w:val="nil"/>
              <w:bottom w:val="single" w:sz="4" w:space="0" w:color="auto"/>
              <w:right w:val="single" w:sz="4" w:space="0" w:color="auto"/>
            </w:tcBorders>
            <w:shd w:val="clear" w:color="auto" w:fill="C6EFCE"/>
            <w:noWrap/>
            <w:vAlign w:val="center"/>
          </w:tcPr>
          <w:p w14:paraId="593ACB8D" w14:textId="77777777" w:rsidR="00A612E2" w:rsidRPr="003B127D" w:rsidRDefault="00A612E2" w:rsidP="008B3890">
            <w:pPr>
              <w:rPr>
                <w:noProof/>
                <w:color w:val="006100"/>
                <w:sz w:val="20"/>
                <w:szCs w:val="20"/>
              </w:rPr>
            </w:pPr>
            <w:r>
              <w:rPr>
                <w:noProof/>
                <w:color w:val="006100"/>
                <w:sz w:val="20"/>
              </w:rPr>
              <w:t>Investeering 1.6.4. Kaitseministeeriumi digiteerimine</w:t>
            </w:r>
          </w:p>
        </w:tc>
        <w:tc>
          <w:tcPr>
            <w:tcW w:w="1438" w:type="dxa"/>
            <w:tcBorders>
              <w:top w:val="nil"/>
              <w:left w:val="nil"/>
              <w:bottom w:val="single" w:sz="4" w:space="0" w:color="auto"/>
              <w:right w:val="single" w:sz="4" w:space="0" w:color="auto"/>
            </w:tcBorders>
            <w:shd w:val="clear" w:color="auto" w:fill="C6EFCE"/>
            <w:noWrap/>
            <w:vAlign w:val="center"/>
          </w:tcPr>
          <w:p w14:paraId="3F9FCAC5" w14:textId="77777777" w:rsidR="00A612E2" w:rsidRPr="00246CC4" w:rsidRDefault="00A612E2" w:rsidP="00742B81">
            <w:pPr>
              <w:jc w:val="center"/>
              <w:rPr>
                <w:noProof/>
                <w:color w:val="006100"/>
                <w:sz w:val="20"/>
                <w:szCs w:val="20"/>
              </w:rPr>
            </w:pPr>
            <w:r>
              <w:rPr>
                <w:noProof/>
                <w:color w:val="006100"/>
                <w:sz w:val="20"/>
              </w:rPr>
              <w:t>Siht</w:t>
            </w:r>
          </w:p>
        </w:tc>
        <w:tc>
          <w:tcPr>
            <w:tcW w:w="4093" w:type="dxa"/>
            <w:tcBorders>
              <w:top w:val="nil"/>
              <w:left w:val="nil"/>
              <w:bottom w:val="single" w:sz="4" w:space="0" w:color="auto"/>
              <w:right w:val="single" w:sz="4" w:space="0" w:color="auto"/>
            </w:tcBorders>
            <w:shd w:val="clear" w:color="auto" w:fill="C6EFCE"/>
            <w:noWrap/>
            <w:vAlign w:val="center"/>
          </w:tcPr>
          <w:p w14:paraId="7032CCA4" w14:textId="77777777" w:rsidR="00A612E2" w:rsidRPr="003B127D" w:rsidRDefault="00A612E2" w:rsidP="00742B81">
            <w:pPr>
              <w:jc w:val="center"/>
              <w:rPr>
                <w:noProof/>
                <w:color w:val="006100"/>
                <w:sz w:val="20"/>
                <w:szCs w:val="20"/>
              </w:rPr>
            </w:pPr>
            <w:r>
              <w:rPr>
                <w:noProof/>
                <w:color w:val="006100"/>
                <w:sz w:val="20"/>
              </w:rPr>
              <w:t>Kaitseministeerium – sertifikaatide T1 digiteerimine</w:t>
            </w:r>
          </w:p>
        </w:tc>
      </w:tr>
      <w:tr w:rsidR="00A612E2" w:rsidRPr="00D90835" w14:paraId="571D0292"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8523B21" w14:textId="77777777" w:rsidR="00A612E2" w:rsidRPr="00246CC4" w:rsidRDefault="00A612E2" w:rsidP="00742B81">
            <w:pPr>
              <w:jc w:val="center"/>
              <w:rPr>
                <w:noProof/>
                <w:color w:val="006100"/>
                <w:sz w:val="20"/>
                <w:szCs w:val="20"/>
              </w:rPr>
            </w:pPr>
            <w:r>
              <w:rPr>
                <w:noProof/>
                <w:color w:val="006100"/>
                <w:sz w:val="20"/>
              </w:rPr>
              <w:t>M1C1-137</w:t>
            </w:r>
          </w:p>
        </w:tc>
        <w:tc>
          <w:tcPr>
            <w:tcW w:w="3195" w:type="dxa"/>
            <w:tcBorders>
              <w:top w:val="nil"/>
              <w:left w:val="nil"/>
              <w:bottom w:val="single" w:sz="4" w:space="0" w:color="auto"/>
              <w:right w:val="single" w:sz="4" w:space="0" w:color="auto"/>
            </w:tcBorders>
            <w:shd w:val="clear" w:color="auto" w:fill="C6EFCE"/>
            <w:noWrap/>
            <w:vAlign w:val="center"/>
          </w:tcPr>
          <w:p w14:paraId="65B3410B" w14:textId="77777777" w:rsidR="00A612E2" w:rsidRPr="003B127D" w:rsidRDefault="00A612E2" w:rsidP="008B3890">
            <w:pPr>
              <w:rPr>
                <w:noProof/>
                <w:color w:val="006100"/>
                <w:sz w:val="20"/>
                <w:szCs w:val="20"/>
              </w:rPr>
            </w:pPr>
            <w:r>
              <w:rPr>
                <w:noProof/>
                <w:color w:val="006100"/>
                <w:sz w:val="20"/>
              </w:rPr>
              <w:t>Investeering 1.6.4. Kaitseministeeriumi digiteerimine</w:t>
            </w:r>
          </w:p>
        </w:tc>
        <w:tc>
          <w:tcPr>
            <w:tcW w:w="1438" w:type="dxa"/>
            <w:tcBorders>
              <w:top w:val="nil"/>
              <w:left w:val="nil"/>
              <w:bottom w:val="single" w:sz="4" w:space="0" w:color="auto"/>
              <w:right w:val="single" w:sz="4" w:space="0" w:color="auto"/>
            </w:tcBorders>
            <w:shd w:val="clear" w:color="auto" w:fill="C6EFCE"/>
            <w:noWrap/>
            <w:vAlign w:val="center"/>
          </w:tcPr>
          <w:p w14:paraId="28D33DF5" w14:textId="77777777" w:rsidR="00A612E2" w:rsidRPr="00246CC4" w:rsidRDefault="00A612E2" w:rsidP="00742B81">
            <w:pPr>
              <w:jc w:val="center"/>
              <w:rPr>
                <w:noProof/>
                <w:color w:val="006100"/>
                <w:sz w:val="20"/>
                <w:szCs w:val="20"/>
              </w:rPr>
            </w:pPr>
            <w:r>
              <w:rPr>
                <w:noProof/>
                <w:color w:val="006100"/>
                <w:sz w:val="20"/>
              </w:rPr>
              <w:t>Eesmärk</w:t>
            </w:r>
          </w:p>
        </w:tc>
        <w:tc>
          <w:tcPr>
            <w:tcW w:w="4093" w:type="dxa"/>
            <w:tcBorders>
              <w:top w:val="nil"/>
              <w:left w:val="nil"/>
              <w:bottom w:val="single" w:sz="4" w:space="0" w:color="auto"/>
              <w:right w:val="single" w:sz="4" w:space="0" w:color="auto"/>
            </w:tcBorders>
            <w:shd w:val="clear" w:color="auto" w:fill="C6EFCE"/>
            <w:noWrap/>
            <w:vAlign w:val="center"/>
          </w:tcPr>
          <w:p w14:paraId="4AFC9640" w14:textId="77777777" w:rsidR="00A612E2" w:rsidRPr="003B127D" w:rsidRDefault="00A612E2" w:rsidP="00742B81">
            <w:pPr>
              <w:jc w:val="center"/>
              <w:rPr>
                <w:noProof/>
                <w:color w:val="006100"/>
                <w:sz w:val="20"/>
                <w:szCs w:val="20"/>
              </w:rPr>
            </w:pPr>
            <w:r>
              <w:rPr>
                <w:noProof/>
                <w:color w:val="006100"/>
                <w:sz w:val="20"/>
              </w:rPr>
              <w:t>Kaitseministeerium – institutsiooniliste veebiportaalide ja intranetiportaalide haldamine</w:t>
            </w:r>
          </w:p>
        </w:tc>
      </w:tr>
      <w:tr w:rsidR="00A612E2" w:rsidRPr="00246CC4" w14:paraId="233824F9"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EF87568" w14:textId="77777777" w:rsidR="00A612E2" w:rsidRPr="00246CC4" w:rsidRDefault="00A612E2" w:rsidP="00742B81">
            <w:pPr>
              <w:jc w:val="center"/>
              <w:rPr>
                <w:noProof/>
                <w:color w:val="006100"/>
                <w:sz w:val="20"/>
                <w:szCs w:val="20"/>
              </w:rPr>
            </w:pPr>
            <w:r>
              <w:rPr>
                <w:noProof/>
                <w:color w:val="006100"/>
                <w:sz w:val="20"/>
              </w:rPr>
              <w:t>M1C1-138</w:t>
            </w:r>
          </w:p>
        </w:tc>
        <w:tc>
          <w:tcPr>
            <w:tcW w:w="3195" w:type="dxa"/>
            <w:tcBorders>
              <w:top w:val="nil"/>
              <w:left w:val="nil"/>
              <w:bottom w:val="single" w:sz="4" w:space="0" w:color="auto"/>
              <w:right w:val="single" w:sz="4" w:space="0" w:color="auto"/>
            </w:tcBorders>
            <w:shd w:val="clear" w:color="auto" w:fill="C6EFCE"/>
            <w:noWrap/>
            <w:vAlign w:val="center"/>
          </w:tcPr>
          <w:p w14:paraId="6CBCCC81" w14:textId="77777777" w:rsidR="00A612E2" w:rsidRPr="003B127D" w:rsidRDefault="00A612E2" w:rsidP="008B3890">
            <w:pPr>
              <w:rPr>
                <w:noProof/>
                <w:color w:val="006100"/>
                <w:sz w:val="20"/>
                <w:szCs w:val="20"/>
              </w:rPr>
            </w:pPr>
            <w:r>
              <w:rPr>
                <w:noProof/>
                <w:color w:val="006100"/>
                <w:sz w:val="20"/>
              </w:rPr>
              <w:t>Investeering 1.6.4. Kaitseministeeriumi digiteerimine</w:t>
            </w:r>
          </w:p>
        </w:tc>
        <w:tc>
          <w:tcPr>
            <w:tcW w:w="1438" w:type="dxa"/>
            <w:tcBorders>
              <w:top w:val="nil"/>
              <w:left w:val="nil"/>
              <w:bottom w:val="single" w:sz="4" w:space="0" w:color="auto"/>
              <w:right w:val="single" w:sz="4" w:space="0" w:color="auto"/>
            </w:tcBorders>
            <w:shd w:val="clear" w:color="auto" w:fill="C6EFCE"/>
            <w:noWrap/>
            <w:vAlign w:val="center"/>
          </w:tcPr>
          <w:p w14:paraId="21FE53C5" w14:textId="77777777" w:rsidR="00A612E2" w:rsidRPr="00246CC4" w:rsidRDefault="00A612E2" w:rsidP="00742B81">
            <w:pPr>
              <w:jc w:val="center"/>
              <w:rPr>
                <w:noProof/>
                <w:color w:val="006100"/>
                <w:sz w:val="20"/>
                <w:szCs w:val="20"/>
              </w:rPr>
            </w:pPr>
            <w:r>
              <w:rPr>
                <w:noProof/>
                <w:color w:val="006100"/>
                <w:sz w:val="20"/>
              </w:rPr>
              <w:t>Siht</w:t>
            </w:r>
          </w:p>
        </w:tc>
        <w:tc>
          <w:tcPr>
            <w:tcW w:w="4093" w:type="dxa"/>
            <w:tcBorders>
              <w:top w:val="nil"/>
              <w:left w:val="nil"/>
              <w:bottom w:val="single" w:sz="4" w:space="0" w:color="auto"/>
              <w:right w:val="single" w:sz="4" w:space="0" w:color="auto"/>
            </w:tcBorders>
            <w:shd w:val="clear" w:color="auto" w:fill="C6EFCE"/>
            <w:noWrap/>
            <w:vAlign w:val="center"/>
          </w:tcPr>
          <w:p w14:paraId="34E07D6A" w14:textId="77777777" w:rsidR="00A612E2" w:rsidRPr="00246CC4" w:rsidRDefault="00A612E2" w:rsidP="00742B81">
            <w:pPr>
              <w:jc w:val="center"/>
              <w:rPr>
                <w:noProof/>
                <w:color w:val="006100"/>
                <w:sz w:val="20"/>
                <w:szCs w:val="20"/>
              </w:rPr>
            </w:pPr>
            <w:r>
              <w:rPr>
                <w:noProof/>
                <w:color w:val="006100"/>
                <w:sz w:val="20"/>
              </w:rPr>
              <w:t>Kaitseministeerium – missiooniväliste elutähtsate rakenduste migratsioon infrastruktuuri avatusest tuleneva täieliku teabekaitse lahendusesse (S.C.I.P.I.O.). T1</w:t>
            </w:r>
          </w:p>
        </w:tc>
      </w:tr>
      <w:tr w:rsidR="00A612E2" w:rsidRPr="00246CC4" w14:paraId="454295D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BEF39A7" w14:textId="77777777" w:rsidR="00A612E2" w:rsidRPr="00246CC4" w:rsidRDefault="00A612E2" w:rsidP="00742B81">
            <w:pPr>
              <w:jc w:val="center"/>
              <w:rPr>
                <w:noProof/>
                <w:color w:val="006100"/>
                <w:sz w:val="20"/>
                <w:szCs w:val="20"/>
              </w:rPr>
            </w:pPr>
            <w:r>
              <w:rPr>
                <w:noProof/>
                <w:color w:val="006100"/>
                <w:sz w:val="20"/>
              </w:rPr>
              <w:t>M1C2-29</w:t>
            </w:r>
          </w:p>
        </w:tc>
        <w:tc>
          <w:tcPr>
            <w:tcW w:w="3195" w:type="dxa"/>
            <w:tcBorders>
              <w:top w:val="nil"/>
              <w:left w:val="nil"/>
              <w:bottom w:val="single" w:sz="4" w:space="0" w:color="auto"/>
              <w:right w:val="single" w:sz="4" w:space="0" w:color="auto"/>
            </w:tcBorders>
            <w:shd w:val="clear" w:color="auto" w:fill="C6EFCE"/>
            <w:noWrap/>
            <w:vAlign w:val="center"/>
          </w:tcPr>
          <w:p w14:paraId="6383834C" w14:textId="77777777" w:rsidR="00A612E2" w:rsidRPr="003B127D" w:rsidRDefault="00A612E2" w:rsidP="008B3890">
            <w:pPr>
              <w:rPr>
                <w:noProof/>
                <w:color w:val="006100"/>
                <w:sz w:val="20"/>
                <w:szCs w:val="20"/>
              </w:rPr>
            </w:pPr>
            <w:r>
              <w:rPr>
                <w:noProof/>
                <w:color w:val="006100"/>
                <w:sz w:val="20"/>
              </w:rPr>
              <w:t>Investeering 5.2. Tarneahelate konkurentsivõime ja vastupidavus.</w:t>
            </w:r>
          </w:p>
        </w:tc>
        <w:tc>
          <w:tcPr>
            <w:tcW w:w="1438" w:type="dxa"/>
            <w:tcBorders>
              <w:top w:val="nil"/>
              <w:left w:val="nil"/>
              <w:bottom w:val="single" w:sz="4" w:space="0" w:color="auto"/>
              <w:right w:val="single" w:sz="4" w:space="0" w:color="auto"/>
            </w:tcBorders>
            <w:shd w:val="clear" w:color="auto" w:fill="C6EFCE"/>
            <w:noWrap/>
            <w:vAlign w:val="center"/>
          </w:tcPr>
          <w:p w14:paraId="4750ED53" w14:textId="77777777" w:rsidR="00A612E2" w:rsidRPr="00246CC4" w:rsidRDefault="00A612E2" w:rsidP="00742B81">
            <w:pPr>
              <w:jc w:val="center"/>
              <w:rPr>
                <w:noProof/>
                <w:color w:val="006100"/>
                <w:sz w:val="20"/>
                <w:szCs w:val="20"/>
              </w:rPr>
            </w:pPr>
            <w:r>
              <w:rPr>
                <w:noProof/>
                <w:color w:val="006100"/>
                <w:sz w:val="20"/>
              </w:rPr>
              <w:t>Siht</w:t>
            </w:r>
          </w:p>
        </w:tc>
        <w:tc>
          <w:tcPr>
            <w:tcW w:w="4093" w:type="dxa"/>
            <w:tcBorders>
              <w:top w:val="nil"/>
              <w:left w:val="nil"/>
              <w:bottom w:val="single" w:sz="4" w:space="0" w:color="auto"/>
              <w:right w:val="single" w:sz="4" w:space="0" w:color="auto"/>
            </w:tcBorders>
            <w:shd w:val="clear" w:color="auto" w:fill="C6EFCE"/>
            <w:noWrap/>
            <w:vAlign w:val="center"/>
          </w:tcPr>
          <w:p w14:paraId="06AD6684" w14:textId="77777777" w:rsidR="00A612E2" w:rsidRPr="00246CC4" w:rsidRDefault="00A612E2" w:rsidP="00742B81">
            <w:pPr>
              <w:jc w:val="center"/>
              <w:rPr>
                <w:noProof/>
                <w:color w:val="006100"/>
                <w:sz w:val="20"/>
                <w:szCs w:val="20"/>
              </w:rPr>
            </w:pPr>
            <w:r>
              <w:rPr>
                <w:noProof/>
                <w:color w:val="006100"/>
                <w:sz w:val="20"/>
              </w:rPr>
              <w:t>Arenduslepingud on heaks kiidetud</w:t>
            </w:r>
          </w:p>
        </w:tc>
      </w:tr>
      <w:tr w:rsidR="00A612E2" w:rsidRPr="00D90835" w14:paraId="21F55A5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67C3D2B" w14:textId="77777777" w:rsidR="00A612E2" w:rsidRPr="00246CC4" w:rsidRDefault="00A612E2" w:rsidP="00742B81">
            <w:pPr>
              <w:jc w:val="center"/>
              <w:rPr>
                <w:noProof/>
                <w:color w:val="006100"/>
                <w:sz w:val="20"/>
                <w:szCs w:val="20"/>
              </w:rPr>
            </w:pPr>
            <w:r>
              <w:rPr>
                <w:noProof/>
                <w:color w:val="006100"/>
                <w:sz w:val="20"/>
              </w:rPr>
              <w:t>M2C1-15bis</w:t>
            </w:r>
          </w:p>
        </w:tc>
        <w:tc>
          <w:tcPr>
            <w:tcW w:w="3195" w:type="dxa"/>
            <w:tcBorders>
              <w:top w:val="nil"/>
              <w:left w:val="nil"/>
              <w:bottom w:val="single" w:sz="4" w:space="0" w:color="auto"/>
              <w:right w:val="single" w:sz="4" w:space="0" w:color="auto"/>
            </w:tcBorders>
            <w:shd w:val="clear" w:color="auto" w:fill="C6EFCE"/>
            <w:noWrap/>
            <w:vAlign w:val="center"/>
          </w:tcPr>
          <w:p w14:paraId="07435418" w14:textId="6D138E8D" w:rsidR="00A612E2" w:rsidRPr="003B127D" w:rsidRDefault="00A612E2" w:rsidP="008B3890">
            <w:pPr>
              <w:rPr>
                <w:noProof/>
                <w:color w:val="006100"/>
                <w:sz w:val="20"/>
                <w:szCs w:val="20"/>
              </w:rPr>
            </w:pPr>
            <w:r>
              <w:rPr>
                <w:noProof/>
                <w:color w:val="006100"/>
                <w:sz w:val="20"/>
              </w:rPr>
              <w:t>Reform 1.2. Riiklik jäätmekäitlusprogramm; Investeering 1.1. Uute jäätmekäitlusjaamade rakendamine ja olemasolevate rajatiste moderniseerimine</w:t>
            </w:r>
          </w:p>
        </w:tc>
        <w:tc>
          <w:tcPr>
            <w:tcW w:w="1438" w:type="dxa"/>
            <w:tcBorders>
              <w:top w:val="nil"/>
              <w:left w:val="nil"/>
              <w:bottom w:val="single" w:sz="4" w:space="0" w:color="auto"/>
              <w:right w:val="single" w:sz="4" w:space="0" w:color="auto"/>
            </w:tcBorders>
            <w:shd w:val="clear" w:color="auto" w:fill="C6EFCE"/>
            <w:noWrap/>
            <w:vAlign w:val="center"/>
          </w:tcPr>
          <w:p w14:paraId="3CFDDC69" w14:textId="77777777" w:rsidR="00A612E2" w:rsidRPr="00246CC4" w:rsidRDefault="00A612E2" w:rsidP="00742B81">
            <w:pPr>
              <w:jc w:val="center"/>
              <w:rPr>
                <w:noProof/>
                <w:color w:val="006100"/>
                <w:sz w:val="20"/>
                <w:szCs w:val="20"/>
              </w:rPr>
            </w:pPr>
            <w:r>
              <w:rPr>
                <w:noProof/>
                <w:color w:val="006100"/>
                <w:sz w:val="20"/>
              </w:rPr>
              <w:t>Siht</w:t>
            </w:r>
          </w:p>
        </w:tc>
        <w:tc>
          <w:tcPr>
            <w:tcW w:w="4093" w:type="dxa"/>
            <w:tcBorders>
              <w:top w:val="nil"/>
              <w:left w:val="nil"/>
              <w:bottom w:val="single" w:sz="4" w:space="0" w:color="auto"/>
              <w:right w:val="single" w:sz="4" w:space="0" w:color="auto"/>
            </w:tcBorders>
            <w:shd w:val="clear" w:color="auto" w:fill="C6EFCE"/>
            <w:noWrap/>
            <w:vAlign w:val="center"/>
          </w:tcPr>
          <w:p w14:paraId="71FD6AC1" w14:textId="77777777" w:rsidR="00A612E2" w:rsidRPr="003B127D" w:rsidRDefault="00A612E2" w:rsidP="00742B81">
            <w:pPr>
              <w:jc w:val="center"/>
              <w:rPr>
                <w:noProof/>
                <w:color w:val="006100"/>
                <w:sz w:val="20"/>
                <w:szCs w:val="20"/>
              </w:rPr>
            </w:pPr>
            <w:r>
              <w:rPr>
                <w:noProof/>
                <w:color w:val="006100"/>
                <w:sz w:val="20"/>
              </w:rPr>
              <w:t>Ebaseaduslike prügilate arvu vähendamine (T2)</w:t>
            </w:r>
          </w:p>
        </w:tc>
      </w:tr>
      <w:tr w:rsidR="00A612E2" w:rsidRPr="00246CC4" w14:paraId="13FCC9FA"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C966DA0" w14:textId="77777777" w:rsidR="00A612E2" w:rsidRPr="00246CC4" w:rsidRDefault="00A612E2" w:rsidP="00742B81">
            <w:pPr>
              <w:jc w:val="center"/>
              <w:rPr>
                <w:noProof/>
                <w:color w:val="006100"/>
                <w:sz w:val="20"/>
                <w:szCs w:val="20"/>
              </w:rPr>
            </w:pPr>
            <w:r>
              <w:rPr>
                <w:noProof/>
                <w:color w:val="006100"/>
                <w:sz w:val="20"/>
              </w:rPr>
              <w:t>M2C1-15ter</w:t>
            </w:r>
          </w:p>
        </w:tc>
        <w:tc>
          <w:tcPr>
            <w:tcW w:w="3195" w:type="dxa"/>
            <w:tcBorders>
              <w:top w:val="nil"/>
              <w:left w:val="nil"/>
              <w:bottom w:val="single" w:sz="4" w:space="0" w:color="auto"/>
              <w:right w:val="single" w:sz="4" w:space="0" w:color="auto"/>
            </w:tcBorders>
            <w:shd w:val="clear" w:color="auto" w:fill="C6EFCE"/>
            <w:noWrap/>
            <w:vAlign w:val="center"/>
          </w:tcPr>
          <w:p w14:paraId="11F886AB" w14:textId="77777777" w:rsidR="00A612E2" w:rsidRPr="003B127D" w:rsidRDefault="00A612E2" w:rsidP="008B3890">
            <w:pPr>
              <w:rPr>
                <w:noProof/>
                <w:color w:val="006100"/>
                <w:sz w:val="20"/>
                <w:szCs w:val="20"/>
              </w:rPr>
            </w:pPr>
            <w:r>
              <w:rPr>
                <w:noProof/>
                <w:color w:val="006100"/>
                <w:sz w:val="20"/>
              </w:rPr>
              <w:t>Reform 1.2. Riiklik jäätmekäitlusprogramm;  Investeering 1.1. Uute jäätmekäitlusjaamade rakendamine ja olemasolevate rajatiste moderniseerimine</w:t>
            </w:r>
          </w:p>
        </w:tc>
        <w:tc>
          <w:tcPr>
            <w:tcW w:w="1438" w:type="dxa"/>
            <w:tcBorders>
              <w:top w:val="nil"/>
              <w:left w:val="nil"/>
              <w:bottom w:val="single" w:sz="4" w:space="0" w:color="auto"/>
              <w:right w:val="single" w:sz="4" w:space="0" w:color="auto"/>
            </w:tcBorders>
            <w:shd w:val="clear" w:color="auto" w:fill="C6EFCE"/>
            <w:noWrap/>
            <w:vAlign w:val="center"/>
          </w:tcPr>
          <w:p w14:paraId="0653050C" w14:textId="77777777" w:rsidR="00A612E2" w:rsidRPr="00246CC4" w:rsidRDefault="00A612E2" w:rsidP="00742B81">
            <w:pPr>
              <w:jc w:val="center"/>
              <w:rPr>
                <w:noProof/>
                <w:color w:val="006100"/>
                <w:sz w:val="20"/>
                <w:szCs w:val="20"/>
              </w:rPr>
            </w:pPr>
            <w:r>
              <w:rPr>
                <w:noProof/>
                <w:color w:val="006100"/>
                <w:sz w:val="20"/>
              </w:rPr>
              <w:t>Siht</w:t>
            </w:r>
          </w:p>
        </w:tc>
        <w:tc>
          <w:tcPr>
            <w:tcW w:w="4093" w:type="dxa"/>
            <w:tcBorders>
              <w:top w:val="nil"/>
              <w:left w:val="nil"/>
              <w:bottom w:val="single" w:sz="4" w:space="0" w:color="auto"/>
              <w:right w:val="single" w:sz="4" w:space="0" w:color="auto"/>
            </w:tcBorders>
            <w:shd w:val="clear" w:color="auto" w:fill="C6EFCE"/>
            <w:noWrap/>
            <w:vAlign w:val="center"/>
          </w:tcPr>
          <w:p w14:paraId="39F5564E" w14:textId="77777777" w:rsidR="00A612E2" w:rsidRPr="00246CC4" w:rsidRDefault="00A612E2" w:rsidP="00742B81">
            <w:pPr>
              <w:jc w:val="center"/>
              <w:rPr>
                <w:noProof/>
                <w:color w:val="006100"/>
                <w:sz w:val="20"/>
                <w:szCs w:val="20"/>
              </w:rPr>
            </w:pPr>
            <w:r>
              <w:rPr>
                <w:noProof/>
                <w:color w:val="006100"/>
                <w:sz w:val="20"/>
              </w:rPr>
              <w:t>Piirkondlikud erinevused liigiti kogumisel</w:t>
            </w:r>
          </w:p>
        </w:tc>
      </w:tr>
      <w:tr w:rsidR="00A612E2" w:rsidRPr="00D90835" w14:paraId="468E986B"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3DD34EA" w14:textId="77777777" w:rsidR="00A612E2" w:rsidRPr="00246CC4" w:rsidRDefault="00A612E2" w:rsidP="00742B81">
            <w:pPr>
              <w:jc w:val="center"/>
              <w:rPr>
                <w:noProof/>
                <w:color w:val="006100"/>
                <w:sz w:val="20"/>
                <w:szCs w:val="20"/>
              </w:rPr>
            </w:pPr>
            <w:r>
              <w:rPr>
                <w:noProof/>
                <w:color w:val="006100"/>
                <w:sz w:val="20"/>
              </w:rPr>
              <w:t>M2C1-15 kvartal</w:t>
            </w:r>
          </w:p>
        </w:tc>
        <w:tc>
          <w:tcPr>
            <w:tcW w:w="3195" w:type="dxa"/>
            <w:tcBorders>
              <w:top w:val="nil"/>
              <w:left w:val="nil"/>
              <w:bottom w:val="single" w:sz="4" w:space="0" w:color="auto"/>
              <w:right w:val="single" w:sz="4" w:space="0" w:color="auto"/>
            </w:tcBorders>
            <w:shd w:val="clear" w:color="auto" w:fill="C6EFCE"/>
            <w:noWrap/>
            <w:vAlign w:val="center"/>
          </w:tcPr>
          <w:p w14:paraId="3843DE95" w14:textId="77777777" w:rsidR="00A612E2" w:rsidRPr="003B127D" w:rsidRDefault="00A612E2" w:rsidP="008B3890">
            <w:pPr>
              <w:rPr>
                <w:noProof/>
                <w:color w:val="006100"/>
                <w:sz w:val="20"/>
                <w:szCs w:val="20"/>
              </w:rPr>
            </w:pPr>
            <w:r>
              <w:rPr>
                <w:noProof/>
                <w:color w:val="006100"/>
                <w:sz w:val="20"/>
              </w:rPr>
              <w:t>Investeering 1.1. Uute jäätmekäitlusjaamade rakendamine ja olemasolevate rajatiste moderniseerimine</w:t>
            </w:r>
          </w:p>
        </w:tc>
        <w:tc>
          <w:tcPr>
            <w:tcW w:w="1438" w:type="dxa"/>
            <w:tcBorders>
              <w:top w:val="nil"/>
              <w:left w:val="nil"/>
              <w:bottom w:val="single" w:sz="4" w:space="0" w:color="auto"/>
              <w:right w:val="single" w:sz="4" w:space="0" w:color="auto"/>
            </w:tcBorders>
            <w:shd w:val="clear" w:color="auto" w:fill="C6EFCE"/>
            <w:noWrap/>
            <w:vAlign w:val="center"/>
          </w:tcPr>
          <w:p w14:paraId="1EBED159" w14:textId="77777777" w:rsidR="00A612E2" w:rsidRPr="00246CC4" w:rsidRDefault="00A612E2" w:rsidP="00742B81">
            <w:pPr>
              <w:jc w:val="center"/>
              <w:rPr>
                <w:noProof/>
                <w:color w:val="006100"/>
                <w:sz w:val="20"/>
                <w:szCs w:val="20"/>
              </w:rPr>
            </w:pPr>
            <w:r>
              <w:rPr>
                <w:noProof/>
                <w:color w:val="006100"/>
                <w:sz w:val="20"/>
              </w:rPr>
              <w:t>Eesmärk</w:t>
            </w:r>
          </w:p>
        </w:tc>
        <w:tc>
          <w:tcPr>
            <w:tcW w:w="4093" w:type="dxa"/>
            <w:tcBorders>
              <w:top w:val="nil"/>
              <w:left w:val="nil"/>
              <w:bottom w:val="single" w:sz="4" w:space="0" w:color="auto"/>
              <w:right w:val="single" w:sz="4" w:space="0" w:color="auto"/>
            </w:tcBorders>
            <w:shd w:val="clear" w:color="auto" w:fill="C6EFCE"/>
            <w:noWrap/>
            <w:vAlign w:val="center"/>
          </w:tcPr>
          <w:p w14:paraId="1972074B" w14:textId="77777777" w:rsidR="00A612E2" w:rsidRPr="003B127D" w:rsidRDefault="00A612E2" w:rsidP="00742B81">
            <w:pPr>
              <w:jc w:val="center"/>
              <w:rPr>
                <w:noProof/>
                <w:color w:val="006100"/>
                <w:sz w:val="20"/>
                <w:szCs w:val="20"/>
              </w:rPr>
            </w:pPr>
            <w:r>
              <w:rPr>
                <w:noProof/>
                <w:color w:val="006100"/>
                <w:sz w:val="20"/>
              </w:rPr>
              <w:t>Biojäätmete liigiti kogumise kohustuse jõustumine</w:t>
            </w:r>
          </w:p>
        </w:tc>
      </w:tr>
      <w:tr w:rsidR="00A612E2" w:rsidRPr="00D90835" w14:paraId="33DC7471"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77A2858" w14:textId="77777777" w:rsidR="00A612E2" w:rsidRDefault="00A612E2" w:rsidP="00742B81">
            <w:pPr>
              <w:jc w:val="center"/>
              <w:rPr>
                <w:noProof/>
                <w:color w:val="006100"/>
                <w:sz w:val="20"/>
                <w:szCs w:val="20"/>
              </w:rPr>
            </w:pPr>
            <w:r>
              <w:rPr>
                <w:noProof/>
                <w:color w:val="006100"/>
                <w:sz w:val="20"/>
              </w:rPr>
              <w:t>M2C2-24</w:t>
            </w:r>
          </w:p>
        </w:tc>
        <w:tc>
          <w:tcPr>
            <w:tcW w:w="3195" w:type="dxa"/>
            <w:tcBorders>
              <w:top w:val="nil"/>
              <w:left w:val="nil"/>
              <w:bottom w:val="single" w:sz="4" w:space="0" w:color="auto"/>
              <w:right w:val="single" w:sz="4" w:space="0" w:color="auto"/>
            </w:tcBorders>
            <w:shd w:val="clear" w:color="auto" w:fill="C6EFCE"/>
            <w:noWrap/>
            <w:vAlign w:val="center"/>
          </w:tcPr>
          <w:p w14:paraId="546AB240" w14:textId="77777777" w:rsidR="00A612E2" w:rsidRDefault="00A612E2" w:rsidP="008B3890">
            <w:pPr>
              <w:rPr>
                <w:noProof/>
                <w:color w:val="006100"/>
                <w:sz w:val="20"/>
                <w:szCs w:val="20"/>
              </w:rPr>
            </w:pPr>
            <w:r>
              <w:rPr>
                <w:noProof/>
                <w:color w:val="006100"/>
                <w:sz w:val="20"/>
              </w:rPr>
              <w:t xml:space="preserve">Investeering 4.2. Masstranspordi kiirsüsteemide arendamine </w:t>
            </w:r>
          </w:p>
        </w:tc>
        <w:tc>
          <w:tcPr>
            <w:tcW w:w="1438" w:type="dxa"/>
            <w:tcBorders>
              <w:top w:val="nil"/>
              <w:left w:val="nil"/>
              <w:bottom w:val="single" w:sz="4" w:space="0" w:color="auto"/>
              <w:right w:val="single" w:sz="4" w:space="0" w:color="auto"/>
            </w:tcBorders>
            <w:shd w:val="clear" w:color="auto" w:fill="C6EFCE"/>
            <w:noWrap/>
            <w:vAlign w:val="center"/>
          </w:tcPr>
          <w:p w14:paraId="1C452BE0" w14:textId="77777777" w:rsidR="00A612E2" w:rsidRDefault="00A612E2" w:rsidP="00742B81">
            <w:pPr>
              <w:rPr>
                <w:noProof/>
                <w:color w:val="006100"/>
                <w:sz w:val="20"/>
                <w:szCs w:val="20"/>
              </w:rPr>
            </w:pPr>
            <w:r>
              <w:rPr>
                <w:noProof/>
                <w:color w:val="006100"/>
                <w:sz w:val="20"/>
              </w:rPr>
              <w:t>Eesmärk</w:t>
            </w:r>
          </w:p>
        </w:tc>
        <w:tc>
          <w:tcPr>
            <w:tcW w:w="4093" w:type="dxa"/>
            <w:tcBorders>
              <w:top w:val="nil"/>
              <w:left w:val="nil"/>
              <w:bottom w:val="single" w:sz="4" w:space="0" w:color="auto"/>
              <w:right w:val="single" w:sz="4" w:space="0" w:color="auto"/>
            </w:tcBorders>
            <w:shd w:val="clear" w:color="auto" w:fill="C6EFCE"/>
            <w:noWrap/>
            <w:vAlign w:val="center"/>
          </w:tcPr>
          <w:p w14:paraId="24B0F60F" w14:textId="77777777" w:rsidR="00A612E2" w:rsidRDefault="00A612E2" w:rsidP="00742B81">
            <w:pPr>
              <w:rPr>
                <w:noProof/>
                <w:color w:val="006100"/>
                <w:sz w:val="20"/>
                <w:szCs w:val="20"/>
              </w:rPr>
            </w:pPr>
            <w:r>
              <w:rPr>
                <w:rStyle w:val="font81"/>
                <w:noProof/>
              </w:rPr>
              <w:t>Kõigi riigihankelepingute sõlmimine metroo-, trammi-, trollibussi- ja köisteealade ehitamiseks</w:t>
            </w:r>
          </w:p>
        </w:tc>
      </w:tr>
      <w:tr w:rsidR="00A612E2" w:rsidRPr="00D90835" w14:paraId="672ECE11"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B6BE878" w14:textId="77777777" w:rsidR="00A612E2" w:rsidRPr="00246CC4" w:rsidRDefault="00A612E2" w:rsidP="00742B81">
            <w:pPr>
              <w:jc w:val="center"/>
              <w:rPr>
                <w:noProof/>
                <w:color w:val="006100"/>
                <w:sz w:val="20"/>
                <w:szCs w:val="20"/>
              </w:rPr>
            </w:pPr>
            <w:r>
              <w:rPr>
                <w:noProof/>
                <w:color w:val="006100"/>
                <w:sz w:val="20"/>
              </w:rPr>
              <w:t>M2C2-32</w:t>
            </w:r>
          </w:p>
        </w:tc>
        <w:tc>
          <w:tcPr>
            <w:tcW w:w="3195" w:type="dxa"/>
            <w:tcBorders>
              <w:top w:val="nil"/>
              <w:left w:val="nil"/>
              <w:bottom w:val="single" w:sz="4" w:space="0" w:color="auto"/>
              <w:right w:val="single" w:sz="4" w:space="0" w:color="auto"/>
            </w:tcBorders>
            <w:shd w:val="clear" w:color="auto" w:fill="C6EFCE"/>
            <w:noWrap/>
            <w:vAlign w:val="center"/>
          </w:tcPr>
          <w:p w14:paraId="65C22021" w14:textId="77777777" w:rsidR="00A612E2" w:rsidRPr="003B127D" w:rsidRDefault="00A612E2" w:rsidP="008B3890">
            <w:pPr>
              <w:rPr>
                <w:noProof/>
                <w:color w:val="006100"/>
                <w:sz w:val="20"/>
                <w:szCs w:val="20"/>
              </w:rPr>
            </w:pPr>
            <w:r>
              <w:rPr>
                <w:noProof/>
                <w:color w:val="006100"/>
                <w:sz w:val="20"/>
              </w:rPr>
              <w:t>Investeering 4.4.1. Heiteta vähese põrandaga bussidega piirkondliku ühistranspordi bussipargi tugevdamine</w:t>
            </w:r>
          </w:p>
        </w:tc>
        <w:tc>
          <w:tcPr>
            <w:tcW w:w="1438" w:type="dxa"/>
            <w:tcBorders>
              <w:top w:val="nil"/>
              <w:left w:val="nil"/>
              <w:bottom w:val="single" w:sz="4" w:space="0" w:color="auto"/>
              <w:right w:val="single" w:sz="4" w:space="0" w:color="auto"/>
            </w:tcBorders>
            <w:shd w:val="clear" w:color="auto" w:fill="C6EFCE"/>
            <w:noWrap/>
            <w:vAlign w:val="center"/>
          </w:tcPr>
          <w:p w14:paraId="63577857" w14:textId="77777777" w:rsidR="00A612E2" w:rsidRPr="00246CC4" w:rsidRDefault="00A612E2" w:rsidP="00742B81">
            <w:pPr>
              <w:jc w:val="center"/>
              <w:rPr>
                <w:noProof/>
                <w:color w:val="006100"/>
                <w:sz w:val="20"/>
                <w:szCs w:val="20"/>
              </w:rPr>
            </w:pPr>
            <w:r>
              <w:rPr>
                <w:noProof/>
                <w:color w:val="006100"/>
                <w:sz w:val="20"/>
              </w:rPr>
              <w:t>Eesmärk</w:t>
            </w:r>
          </w:p>
        </w:tc>
        <w:tc>
          <w:tcPr>
            <w:tcW w:w="4093" w:type="dxa"/>
            <w:tcBorders>
              <w:top w:val="nil"/>
              <w:left w:val="nil"/>
              <w:bottom w:val="single" w:sz="4" w:space="0" w:color="auto"/>
              <w:right w:val="single" w:sz="4" w:space="0" w:color="auto"/>
            </w:tcBorders>
            <w:shd w:val="clear" w:color="auto" w:fill="C6EFCE"/>
            <w:noWrap/>
            <w:vAlign w:val="center"/>
          </w:tcPr>
          <w:p w14:paraId="2DB08017" w14:textId="77777777" w:rsidR="00A612E2" w:rsidRPr="003B127D" w:rsidRDefault="00A612E2" w:rsidP="00742B81">
            <w:pPr>
              <w:jc w:val="center"/>
              <w:rPr>
                <w:noProof/>
                <w:color w:val="006100"/>
                <w:sz w:val="20"/>
                <w:szCs w:val="20"/>
              </w:rPr>
            </w:pPr>
            <w:r>
              <w:rPr>
                <w:noProof/>
                <w:color w:val="006100"/>
                <w:sz w:val="20"/>
              </w:rPr>
              <w:t>Kõigi riigihankelepingute sõlmimine piirkondliku ühistranspordi bussipargi tugevdamiseks heiteta madala põrandaga bussidega</w:t>
            </w:r>
          </w:p>
        </w:tc>
      </w:tr>
      <w:tr w:rsidR="00A612E2" w:rsidRPr="00D90835" w14:paraId="4F9F1FD3"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9A4489B" w14:textId="77777777" w:rsidR="00A612E2" w:rsidRPr="00246CC4" w:rsidRDefault="00A612E2" w:rsidP="00742B81">
            <w:pPr>
              <w:jc w:val="center"/>
              <w:rPr>
                <w:noProof/>
                <w:color w:val="006100"/>
                <w:sz w:val="20"/>
                <w:szCs w:val="20"/>
              </w:rPr>
            </w:pPr>
            <w:r>
              <w:rPr>
                <w:noProof/>
                <w:color w:val="006100"/>
                <w:sz w:val="20"/>
              </w:rPr>
              <w:t>M2C3-7</w:t>
            </w:r>
          </w:p>
        </w:tc>
        <w:tc>
          <w:tcPr>
            <w:tcW w:w="3195" w:type="dxa"/>
            <w:tcBorders>
              <w:top w:val="nil"/>
              <w:left w:val="nil"/>
              <w:bottom w:val="single" w:sz="4" w:space="0" w:color="auto"/>
              <w:right w:val="single" w:sz="4" w:space="0" w:color="auto"/>
            </w:tcBorders>
            <w:shd w:val="clear" w:color="auto" w:fill="C6EFCE"/>
            <w:noWrap/>
            <w:vAlign w:val="center"/>
          </w:tcPr>
          <w:p w14:paraId="7E822165" w14:textId="77777777" w:rsidR="00A612E2" w:rsidRPr="003B127D" w:rsidRDefault="00A612E2" w:rsidP="008B3890">
            <w:pPr>
              <w:rPr>
                <w:noProof/>
                <w:color w:val="006100"/>
                <w:sz w:val="20"/>
                <w:szCs w:val="20"/>
              </w:rPr>
            </w:pPr>
            <w:r>
              <w:rPr>
                <w:noProof/>
                <w:color w:val="006100"/>
                <w:sz w:val="20"/>
              </w:rPr>
              <w:t>Investeering 1.2. Hoonete ehitamine, kinnisvara ümberkvalifitseerimine ja tugevdamine õigusemõistmise eesmärgil</w:t>
            </w:r>
          </w:p>
        </w:tc>
        <w:tc>
          <w:tcPr>
            <w:tcW w:w="1438" w:type="dxa"/>
            <w:tcBorders>
              <w:top w:val="nil"/>
              <w:left w:val="nil"/>
              <w:bottom w:val="single" w:sz="4" w:space="0" w:color="auto"/>
              <w:right w:val="single" w:sz="4" w:space="0" w:color="auto"/>
            </w:tcBorders>
            <w:shd w:val="clear" w:color="auto" w:fill="C6EFCE"/>
            <w:noWrap/>
            <w:vAlign w:val="center"/>
          </w:tcPr>
          <w:p w14:paraId="61481DA5" w14:textId="77777777" w:rsidR="00A612E2" w:rsidRPr="00246CC4" w:rsidRDefault="00A612E2" w:rsidP="00742B81">
            <w:pPr>
              <w:jc w:val="center"/>
              <w:rPr>
                <w:noProof/>
                <w:color w:val="006100"/>
                <w:sz w:val="20"/>
                <w:szCs w:val="20"/>
              </w:rPr>
            </w:pPr>
            <w:r>
              <w:rPr>
                <w:noProof/>
                <w:color w:val="006100"/>
                <w:sz w:val="20"/>
              </w:rPr>
              <w:t>Eesmärk</w:t>
            </w:r>
          </w:p>
        </w:tc>
        <w:tc>
          <w:tcPr>
            <w:tcW w:w="4093" w:type="dxa"/>
            <w:tcBorders>
              <w:top w:val="nil"/>
              <w:left w:val="nil"/>
              <w:bottom w:val="single" w:sz="4" w:space="0" w:color="auto"/>
              <w:right w:val="single" w:sz="4" w:space="0" w:color="auto"/>
            </w:tcBorders>
            <w:shd w:val="clear" w:color="auto" w:fill="C6EFCE"/>
            <w:noWrap/>
            <w:vAlign w:val="center"/>
          </w:tcPr>
          <w:p w14:paraId="26A629D2" w14:textId="77777777" w:rsidR="00A612E2" w:rsidRPr="003B127D" w:rsidRDefault="00A612E2" w:rsidP="00742B81">
            <w:pPr>
              <w:jc w:val="center"/>
              <w:rPr>
                <w:noProof/>
                <w:color w:val="006100"/>
                <w:sz w:val="20"/>
                <w:szCs w:val="20"/>
              </w:rPr>
            </w:pPr>
            <w:r>
              <w:rPr>
                <w:noProof/>
                <w:color w:val="006100"/>
                <w:sz w:val="20"/>
              </w:rPr>
              <w:t>Kõigi riigihankelepingute sõlmimine uute hoonete ehitamiseks, õigusemõistmise kinnisvara ümberkvalifitseerimiseks ja tugevdamiseks allkirjastab avaliku sektori hankija avaliku pakkumismenetluse teel.</w:t>
            </w:r>
          </w:p>
        </w:tc>
      </w:tr>
      <w:tr w:rsidR="00A612E2" w:rsidRPr="00D90835" w14:paraId="6570F2A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694C6E2" w14:textId="77777777" w:rsidR="00A612E2" w:rsidRPr="00246CC4" w:rsidRDefault="00A612E2" w:rsidP="00742B81">
            <w:pPr>
              <w:jc w:val="center"/>
              <w:rPr>
                <w:noProof/>
                <w:color w:val="006100"/>
                <w:sz w:val="20"/>
                <w:szCs w:val="20"/>
              </w:rPr>
            </w:pPr>
            <w:r>
              <w:rPr>
                <w:noProof/>
                <w:color w:val="006100"/>
                <w:sz w:val="20"/>
              </w:rPr>
              <w:t>M2C4-33</w:t>
            </w:r>
          </w:p>
        </w:tc>
        <w:tc>
          <w:tcPr>
            <w:tcW w:w="3195" w:type="dxa"/>
            <w:tcBorders>
              <w:top w:val="nil"/>
              <w:left w:val="nil"/>
              <w:bottom w:val="single" w:sz="4" w:space="0" w:color="auto"/>
              <w:right w:val="single" w:sz="4" w:space="0" w:color="auto"/>
            </w:tcBorders>
            <w:shd w:val="clear" w:color="auto" w:fill="C6EFCE"/>
            <w:noWrap/>
            <w:vAlign w:val="center"/>
          </w:tcPr>
          <w:p w14:paraId="349E8ECA" w14:textId="77777777" w:rsidR="00A612E2" w:rsidRPr="003B127D" w:rsidRDefault="00A612E2" w:rsidP="008B3890">
            <w:pPr>
              <w:rPr>
                <w:noProof/>
                <w:color w:val="006100"/>
                <w:sz w:val="20"/>
                <w:szCs w:val="20"/>
              </w:rPr>
            </w:pPr>
            <w:r>
              <w:rPr>
                <w:noProof/>
                <w:color w:val="006100"/>
                <w:sz w:val="20"/>
              </w:rPr>
              <w:t>Investeering 4.3. Investeeringud niisutuspõllumajandussüsteemi vastupanuvõimesse veevarude paremaks majandamiseks</w:t>
            </w:r>
          </w:p>
        </w:tc>
        <w:tc>
          <w:tcPr>
            <w:tcW w:w="1438" w:type="dxa"/>
            <w:tcBorders>
              <w:top w:val="nil"/>
              <w:left w:val="nil"/>
              <w:bottom w:val="single" w:sz="4" w:space="0" w:color="auto"/>
              <w:right w:val="single" w:sz="4" w:space="0" w:color="auto"/>
            </w:tcBorders>
            <w:shd w:val="clear" w:color="auto" w:fill="C6EFCE"/>
            <w:noWrap/>
            <w:vAlign w:val="center"/>
          </w:tcPr>
          <w:p w14:paraId="41D8A82F" w14:textId="77777777" w:rsidR="00A612E2" w:rsidRPr="00246CC4" w:rsidRDefault="00A612E2" w:rsidP="00742B81">
            <w:pPr>
              <w:jc w:val="center"/>
              <w:rPr>
                <w:noProof/>
                <w:color w:val="006100"/>
                <w:sz w:val="20"/>
                <w:szCs w:val="20"/>
              </w:rPr>
            </w:pPr>
            <w:r>
              <w:rPr>
                <w:noProof/>
                <w:color w:val="006100"/>
                <w:sz w:val="20"/>
              </w:rPr>
              <w:t>Eesmärk</w:t>
            </w:r>
          </w:p>
        </w:tc>
        <w:tc>
          <w:tcPr>
            <w:tcW w:w="4093" w:type="dxa"/>
            <w:tcBorders>
              <w:top w:val="nil"/>
              <w:left w:val="nil"/>
              <w:bottom w:val="single" w:sz="4" w:space="0" w:color="auto"/>
              <w:right w:val="single" w:sz="4" w:space="0" w:color="auto"/>
            </w:tcBorders>
            <w:shd w:val="clear" w:color="auto" w:fill="C6EFCE"/>
            <w:noWrap/>
            <w:vAlign w:val="center"/>
          </w:tcPr>
          <w:p w14:paraId="2FB8F3E2" w14:textId="77777777" w:rsidR="00A612E2" w:rsidRPr="003B127D" w:rsidRDefault="00A612E2" w:rsidP="00742B81">
            <w:pPr>
              <w:jc w:val="center"/>
              <w:rPr>
                <w:noProof/>
                <w:color w:val="006100"/>
                <w:sz w:val="20"/>
                <w:szCs w:val="20"/>
              </w:rPr>
            </w:pPr>
            <w:r>
              <w:rPr>
                <w:noProof/>
                <w:color w:val="006100"/>
                <w:sz w:val="20"/>
              </w:rPr>
              <w:t>Rahaliste vahendite eraldamine kõigile projektidele, mille eesmärk on tagada niisutuspõllumajandussüsteemi vastupanuvõime veevarude parem majandamine</w:t>
            </w:r>
          </w:p>
        </w:tc>
      </w:tr>
      <w:tr w:rsidR="00A612E2" w:rsidRPr="00D90835" w14:paraId="597C197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919CA6F" w14:textId="77777777" w:rsidR="00A612E2" w:rsidRPr="00246CC4" w:rsidRDefault="00A612E2" w:rsidP="00742B81">
            <w:pPr>
              <w:jc w:val="center"/>
              <w:rPr>
                <w:noProof/>
                <w:color w:val="006100"/>
                <w:sz w:val="20"/>
                <w:szCs w:val="20"/>
              </w:rPr>
            </w:pPr>
            <w:r>
              <w:rPr>
                <w:noProof/>
                <w:color w:val="006100"/>
                <w:sz w:val="20"/>
              </w:rPr>
              <w:t>M2C4-36</w:t>
            </w:r>
          </w:p>
        </w:tc>
        <w:tc>
          <w:tcPr>
            <w:tcW w:w="3195" w:type="dxa"/>
            <w:tcBorders>
              <w:top w:val="nil"/>
              <w:left w:val="nil"/>
              <w:bottom w:val="single" w:sz="4" w:space="0" w:color="auto"/>
              <w:right w:val="single" w:sz="4" w:space="0" w:color="auto"/>
            </w:tcBorders>
            <w:shd w:val="clear" w:color="auto" w:fill="C6EFCE"/>
            <w:noWrap/>
            <w:vAlign w:val="center"/>
          </w:tcPr>
          <w:p w14:paraId="2D77CF07" w14:textId="77777777" w:rsidR="00A612E2" w:rsidRPr="003B127D" w:rsidRDefault="00A612E2" w:rsidP="008B3890">
            <w:pPr>
              <w:rPr>
                <w:noProof/>
                <w:color w:val="006100"/>
                <w:sz w:val="20"/>
                <w:szCs w:val="20"/>
              </w:rPr>
            </w:pPr>
            <w:r>
              <w:rPr>
                <w:noProof/>
                <w:color w:val="006100"/>
                <w:sz w:val="20"/>
              </w:rPr>
              <w:t>Investeering 4.4. Investeeringud kanalisatsiooni ja puhastusse</w:t>
            </w:r>
          </w:p>
        </w:tc>
        <w:tc>
          <w:tcPr>
            <w:tcW w:w="1438" w:type="dxa"/>
            <w:tcBorders>
              <w:top w:val="nil"/>
              <w:left w:val="nil"/>
              <w:bottom w:val="single" w:sz="4" w:space="0" w:color="auto"/>
              <w:right w:val="single" w:sz="4" w:space="0" w:color="auto"/>
            </w:tcBorders>
            <w:shd w:val="clear" w:color="auto" w:fill="C6EFCE"/>
            <w:noWrap/>
            <w:vAlign w:val="center"/>
          </w:tcPr>
          <w:p w14:paraId="684E1D0D" w14:textId="77777777" w:rsidR="00A612E2" w:rsidRPr="00246CC4" w:rsidRDefault="00A612E2" w:rsidP="00742B81">
            <w:pPr>
              <w:jc w:val="center"/>
              <w:rPr>
                <w:noProof/>
                <w:color w:val="006100"/>
                <w:sz w:val="20"/>
                <w:szCs w:val="20"/>
              </w:rPr>
            </w:pPr>
            <w:r>
              <w:rPr>
                <w:noProof/>
                <w:color w:val="006100"/>
                <w:sz w:val="20"/>
              </w:rPr>
              <w:t>Eesmärk</w:t>
            </w:r>
          </w:p>
        </w:tc>
        <w:tc>
          <w:tcPr>
            <w:tcW w:w="4093" w:type="dxa"/>
            <w:tcBorders>
              <w:top w:val="nil"/>
              <w:left w:val="nil"/>
              <w:bottom w:val="single" w:sz="4" w:space="0" w:color="auto"/>
              <w:right w:val="single" w:sz="4" w:space="0" w:color="auto"/>
            </w:tcBorders>
            <w:shd w:val="clear" w:color="auto" w:fill="C6EFCE"/>
            <w:noWrap/>
            <w:vAlign w:val="center"/>
          </w:tcPr>
          <w:p w14:paraId="17BD6FF0" w14:textId="77777777" w:rsidR="00A612E2" w:rsidRPr="003B127D" w:rsidRDefault="00A612E2" w:rsidP="00742B81">
            <w:pPr>
              <w:jc w:val="center"/>
              <w:rPr>
                <w:noProof/>
                <w:color w:val="006100"/>
                <w:sz w:val="20"/>
                <w:szCs w:val="20"/>
              </w:rPr>
            </w:pPr>
            <w:r>
              <w:rPr>
                <w:noProof/>
                <w:color w:val="006100"/>
                <w:sz w:val="20"/>
              </w:rPr>
              <w:t>Kõigi kanalisatsiooni- ja puhastustööde riigihankelepingute sõlmimine</w:t>
            </w:r>
          </w:p>
        </w:tc>
      </w:tr>
      <w:tr w:rsidR="00A612E2" w:rsidRPr="00D90835" w14:paraId="432D99AD"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8E9A474" w14:textId="77777777" w:rsidR="00A612E2" w:rsidRPr="00246CC4" w:rsidRDefault="00A612E2" w:rsidP="00742B81">
            <w:pPr>
              <w:jc w:val="center"/>
              <w:rPr>
                <w:noProof/>
                <w:color w:val="006100"/>
                <w:sz w:val="20"/>
                <w:szCs w:val="20"/>
              </w:rPr>
            </w:pPr>
            <w:r>
              <w:rPr>
                <w:noProof/>
                <w:color w:val="006100"/>
                <w:sz w:val="20"/>
              </w:rPr>
              <w:t>M3C1-4</w:t>
            </w:r>
          </w:p>
        </w:tc>
        <w:tc>
          <w:tcPr>
            <w:tcW w:w="3195" w:type="dxa"/>
            <w:tcBorders>
              <w:top w:val="nil"/>
              <w:left w:val="nil"/>
              <w:bottom w:val="single" w:sz="4" w:space="0" w:color="auto"/>
              <w:right w:val="single" w:sz="4" w:space="0" w:color="auto"/>
            </w:tcBorders>
            <w:shd w:val="clear" w:color="auto" w:fill="C6EFCE"/>
            <w:noWrap/>
            <w:vAlign w:val="center"/>
          </w:tcPr>
          <w:p w14:paraId="0656AECA" w14:textId="77777777" w:rsidR="00A612E2" w:rsidRPr="003B127D" w:rsidRDefault="00A612E2" w:rsidP="008B3890">
            <w:pPr>
              <w:rPr>
                <w:noProof/>
                <w:color w:val="006100"/>
                <w:sz w:val="20"/>
                <w:szCs w:val="20"/>
              </w:rPr>
            </w:pPr>
            <w:r>
              <w:rPr>
                <w:noProof/>
                <w:color w:val="006100"/>
                <w:sz w:val="20"/>
              </w:rPr>
              <w:t>Investeering 1.1. Reisijate ja kauba kiirrongiühendus lõunasse</w:t>
            </w:r>
          </w:p>
        </w:tc>
        <w:tc>
          <w:tcPr>
            <w:tcW w:w="1438" w:type="dxa"/>
            <w:tcBorders>
              <w:top w:val="nil"/>
              <w:left w:val="nil"/>
              <w:bottom w:val="single" w:sz="4" w:space="0" w:color="auto"/>
              <w:right w:val="single" w:sz="4" w:space="0" w:color="auto"/>
            </w:tcBorders>
            <w:shd w:val="clear" w:color="auto" w:fill="C6EFCE"/>
            <w:noWrap/>
            <w:vAlign w:val="center"/>
          </w:tcPr>
          <w:p w14:paraId="467C3B26" w14:textId="77777777" w:rsidR="00A612E2" w:rsidRPr="00246CC4" w:rsidRDefault="00A612E2" w:rsidP="00742B81">
            <w:pPr>
              <w:jc w:val="center"/>
              <w:rPr>
                <w:noProof/>
                <w:color w:val="006100"/>
                <w:sz w:val="20"/>
                <w:szCs w:val="20"/>
              </w:rPr>
            </w:pPr>
            <w:r>
              <w:rPr>
                <w:noProof/>
                <w:color w:val="006100"/>
                <w:sz w:val="20"/>
              </w:rPr>
              <w:t>Eesmärk</w:t>
            </w:r>
          </w:p>
        </w:tc>
        <w:tc>
          <w:tcPr>
            <w:tcW w:w="4093" w:type="dxa"/>
            <w:tcBorders>
              <w:top w:val="nil"/>
              <w:left w:val="nil"/>
              <w:bottom w:val="single" w:sz="4" w:space="0" w:color="auto"/>
              <w:right w:val="single" w:sz="4" w:space="0" w:color="auto"/>
            </w:tcBorders>
            <w:shd w:val="clear" w:color="auto" w:fill="C6EFCE"/>
            <w:noWrap/>
            <w:vAlign w:val="center"/>
          </w:tcPr>
          <w:p w14:paraId="26F5EA63" w14:textId="77777777" w:rsidR="00A612E2" w:rsidRPr="003B127D" w:rsidRDefault="00A612E2" w:rsidP="00742B81">
            <w:pPr>
              <w:jc w:val="center"/>
              <w:rPr>
                <w:noProof/>
                <w:color w:val="006100"/>
                <w:sz w:val="20"/>
                <w:szCs w:val="20"/>
              </w:rPr>
            </w:pPr>
            <w:r>
              <w:rPr>
                <w:noProof/>
                <w:color w:val="006100"/>
                <w:sz w:val="20"/>
              </w:rPr>
              <w:t>Lepingu sõlmimine kiirraudtee ehitamiseks Salerno Reggio Calabria liinidel</w:t>
            </w:r>
          </w:p>
        </w:tc>
      </w:tr>
      <w:tr w:rsidR="00A612E2" w:rsidRPr="00D90835" w14:paraId="34A0B0D8"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76D6727" w14:textId="77777777" w:rsidR="00A612E2" w:rsidRPr="00246CC4" w:rsidRDefault="00A612E2" w:rsidP="00742B81">
            <w:pPr>
              <w:jc w:val="center"/>
              <w:rPr>
                <w:noProof/>
                <w:color w:val="006100"/>
                <w:sz w:val="20"/>
                <w:szCs w:val="20"/>
              </w:rPr>
            </w:pPr>
            <w:r>
              <w:rPr>
                <w:noProof/>
                <w:color w:val="006100"/>
                <w:sz w:val="20"/>
              </w:rPr>
              <w:t>M3C1-17</w:t>
            </w:r>
          </w:p>
        </w:tc>
        <w:tc>
          <w:tcPr>
            <w:tcW w:w="3195" w:type="dxa"/>
            <w:tcBorders>
              <w:top w:val="nil"/>
              <w:left w:val="nil"/>
              <w:bottom w:val="single" w:sz="4" w:space="0" w:color="auto"/>
              <w:right w:val="single" w:sz="4" w:space="0" w:color="auto"/>
            </w:tcBorders>
            <w:shd w:val="clear" w:color="auto" w:fill="C6EFCE"/>
            <w:noWrap/>
            <w:vAlign w:val="center"/>
          </w:tcPr>
          <w:p w14:paraId="4B1B0CD2" w14:textId="77777777" w:rsidR="00A612E2" w:rsidRPr="003B127D" w:rsidRDefault="00A612E2" w:rsidP="008B3890">
            <w:pPr>
              <w:rPr>
                <w:noProof/>
                <w:color w:val="006100"/>
                <w:sz w:val="20"/>
                <w:szCs w:val="20"/>
              </w:rPr>
            </w:pPr>
            <w:r>
              <w:rPr>
                <w:noProof/>
                <w:color w:val="006100"/>
                <w:sz w:val="20"/>
              </w:rPr>
              <w:t>Investeering 1.7. Lõuna-Euroopa raudteede ajakohastamine, elektrifitseerimine ja vastupidavus</w:t>
            </w:r>
          </w:p>
        </w:tc>
        <w:tc>
          <w:tcPr>
            <w:tcW w:w="1438" w:type="dxa"/>
            <w:tcBorders>
              <w:top w:val="nil"/>
              <w:left w:val="nil"/>
              <w:bottom w:val="single" w:sz="4" w:space="0" w:color="auto"/>
              <w:right w:val="single" w:sz="4" w:space="0" w:color="auto"/>
            </w:tcBorders>
            <w:shd w:val="clear" w:color="auto" w:fill="C6EFCE"/>
            <w:noWrap/>
            <w:vAlign w:val="center"/>
          </w:tcPr>
          <w:p w14:paraId="67C7C355" w14:textId="77777777" w:rsidR="00A612E2" w:rsidRPr="00246CC4" w:rsidRDefault="00A612E2" w:rsidP="00742B81">
            <w:pPr>
              <w:jc w:val="center"/>
              <w:rPr>
                <w:noProof/>
                <w:color w:val="006100"/>
                <w:sz w:val="20"/>
                <w:szCs w:val="20"/>
              </w:rPr>
            </w:pPr>
            <w:r>
              <w:rPr>
                <w:noProof/>
                <w:color w:val="006100"/>
                <w:sz w:val="20"/>
              </w:rPr>
              <w:t xml:space="preserve">Siht </w:t>
            </w:r>
          </w:p>
        </w:tc>
        <w:tc>
          <w:tcPr>
            <w:tcW w:w="4093" w:type="dxa"/>
            <w:tcBorders>
              <w:top w:val="nil"/>
              <w:left w:val="nil"/>
              <w:bottom w:val="single" w:sz="4" w:space="0" w:color="auto"/>
              <w:right w:val="single" w:sz="4" w:space="0" w:color="auto"/>
            </w:tcBorders>
            <w:shd w:val="clear" w:color="auto" w:fill="C6EFCE"/>
            <w:noWrap/>
            <w:vAlign w:val="center"/>
          </w:tcPr>
          <w:p w14:paraId="759D750F" w14:textId="77777777" w:rsidR="00A612E2" w:rsidRPr="003B127D" w:rsidRDefault="00A612E2" w:rsidP="00742B81">
            <w:pPr>
              <w:jc w:val="center"/>
              <w:rPr>
                <w:noProof/>
                <w:color w:val="006100"/>
                <w:sz w:val="20"/>
                <w:szCs w:val="20"/>
              </w:rPr>
            </w:pPr>
            <w:r>
              <w:rPr>
                <w:noProof/>
                <w:color w:val="006100"/>
                <w:sz w:val="20"/>
              </w:rPr>
              <w:t>Lõpule on viidud 150 km lõunapoolsete raudteede ajakohastamise, elektrifitseerimise ja vastupidavusega seotud tööd, mis on valmis loa andmise ja käitamise etapiks.</w:t>
            </w:r>
          </w:p>
        </w:tc>
      </w:tr>
      <w:tr w:rsidR="00A612E2" w:rsidRPr="00D90835" w14:paraId="4FE4AE39"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3AD13A1" w14:textId="77777777" w:rsidR="00A612E2" w:rsidRPr="00246CC4" w:rsidRDefault="00A612E2" w:rsidP="00742B81">
            <w:pPr>
              <w:jc w:val="center"/>
              <w:rPr>
                <w:noProof/>
                <w:color w:val="006100"/>
                <w:sz w:val="20"/>
                <w:szCs w:val="20"/>
              </w:rPr>
            </w:pPr>
            <w:r>
              <w:rPr>
                <w:noProof/>
                <w:color w:val="006100"/>
                <w:sz w:val="20"/>
              </w:rPr>
              <w:t xml:space="preserve">M4C2-5 </w:t>
            </w:r>
          </w:p>
        </w:tc>
        <w:tc>
          <w:tcPr>
            <w:tcW w:w="3195" w:type="dxa"/>
            <w:tcBorders>
              <w:top w:val="nil"/>
              <w:left w:val="nil"/>
              <w:bottom w:val="single" w:sz="4" w:space="0" w:color="auto"/>
              <w:right w:val="single" w:sz="4" w:space="0" w:color="auto"/>
            </w:tcBorders>
            <w:shd w:val="clear" w:color="auto" w:fill="C6EFCE"/>
            <w:noWrap/>
            <w:vAlign w:val="center"/>
          </w:tcPr>
          <w:p w14:paraId="71D6D410" w14:textId="77777777" w:rsidR="00A612E2" w:rsidRPr="003B127D" w:rsidRDefault="00A612E2" w:rsidP="008B3890">
            <w:pPr>
              <w:rPr>
                <w:noProof/>
                <w:color w:val="006100"/>
                <w:sz w:val="20"/>
                <w:szCs w:val="20"/>
              </w:rPr>
            </w:pPr>
            <w:r>
              <w:rPr>
                <w:noProof/>
                <w:color w:val="006100"/>
                <w:sz w:val="20"/>
              </w:rPr>
              <w:t xml:space="preserve">Investeering 1.1. Olulist riiklikku huvi pakkuvad uurimisprojektid (PRIN) </w:t>
            </w:r>
          </w:p>
        </w:tc>
        <w:tc>
          <w:tcPr>
            <w:tcW w:w="1438" w:type="dxa"/>
            <w:tcBorders>
              <w:top w:val="nil"/>
              <w:left w:val="nil"/>
              <w:bottom w:val="single" w:sz="4" w:space="0" w:color="auto"/>
              <w:right w:val="single" w:sz="4" w:space="0" w:color="auto"/>
            </w:tcBorders>
            <w:shd w:val="clear" w:color="auto" w:fill="C6EFCE"/>
            <w:noWrap/>
            <w:vAlign w:val="center"/>
          </w:tcPr>
          <w:p w14:paraId="59925C14" w14:textId="77777777" w:rsidR="00A612E2" w:rsidRPr="00246CC4" w:rsidRDefault="00A612E2" w:rsidP="00742B81">
            <w:pPr>
              <w:jc w:val="center"/>
              <w:rPr>
                <w:noProof/>
                <w:color w:val="006100"/>
                <w:sz w:val="20"/>
                <w:szCs w:val="20"/>
              </w:rPr>
            </w:pPr>
            <w:r>
              <w:rPr>
                <w:noProof/>
                <w:color w:val="006100"/>
                <w:sz w:val="20"/>
              </w:rPr>
              <w:t>Siht</w:t>
            </w:r>
          </w:p>
        </w:tc>
        <w:tc>
          <w:tcPr>
            <w:tcW w:w="4093" w:type="dxa"/>
            <w:tcBorders>
              <w:top w:val="nil"/>
              <w:left w:val="nil"/>
              <w:bottom w:val="single" w:sz="4" w:space="0" w:color="auto"/>
              <w:right w:val="single" w:sz="4" w:space="0" w:color="auto"/>
            </w:tcBorders>
            <w:shd w:val="clear" w:color="auto" w:fill="C6EFCE"/>
            <w:noWrap/>
            <w:vAlign w:val="center"/>
          </w:tcPr>
          <w:p w14:paraId="5EE34541" w14:textId="77777777" w:rsidR="00A612E2" w:rsidRPr="003B127D" w:rsidRDefault="00A612E2" w:rsidP="00742B81">
            <w:pPr>
              <w:jc w:val="center"/>
              <w:rPr>
                <w:noProof/>
                <w:color w:val="006100"/>
                <w:sz w:val="20"/>
                <w:szCs w:val="20"/>
              </w:rPr>
            </w:pPr>
            <w:r>
              <w:rPr>
                <w:noProof/>
                <w:color w:val="006100"/>
                <w:sz w:val="20"/>
              </w:rPr>
              <w:t xml:space="preserve">Eraldatud teadusprojektide arv </w:t>
            </w:r>
          </w:p>
        </w:tc>
      </w:tr>
      <w:tr w:rsidR="00A612E2" w:rsidRPr="00D90835" w14:paraId="795E180F"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2FC91DC" w14:textId="77777777" w:rsidR="00A612E2" w:rsidRPr="00246CC4" w:rsidRDefault="00A612E2" w:rsidP="00742B81">
            <w:pPr>
              <w:jc w:val="center"/>
              <w:rPr>
                <w:noProof/>
                <w:color w:val="006100"/>
                <w:sz w:val="20"/>
                <w:szCs w:val="20"/>
              </w:rPr>
            </w:pPr>
            <w:r>
              <w:rPr>
                <w:noProof/>
                <w:color w:val="006100"/>
                <w:sz w:val="20"/>
              </w:rPr>
              <w:t>M6C1-8</w:t>
            </w:r>
          </w:p>
        </w:tc>
        <w:tc>
          <w:tcPr>
            <w:tcW w:w="3195" w:type="dxa"/>
            <w:tcBorders>
              <w:top w:val="nil"/>
              <w:left w:val="nil"/>
              <w:bottom w:val="single" w:sz="4" w:space="0" w:color="auto"/>
              <w:right w:val="single" w:sz="4" w:space="0" w:color="auto"/>
            </w:tcBorders>
            <w:shd w:val="clear" w:color="auto" w:fill="C6EFCE"/>
            <w:noWrap/>
            <w:vAlign w:val="center"/>
          </w:tcPr>
          <w:p w14:paraId="7E744D88" w14:textId="77777777" w:rsidR="00A612E2" w:rsidRPr="003B127D" w:rsidRDefault="00A612E2" w:rsidP="008B3890">
            <w:pPr>
              <w:rPr>
                <w:noProof/>
                <w:color w:val="006100"/>
                <w:sz w:val="20"/>
                <w:szCs w:val="20"/>
              </w:rPr>
            </w:pPr>
            <w:r>
              <w:rPr>
                <w:noProof/>
                <w:color w:val="006100"/>
                <w:sz w:val="20"/>
              </w:rPr>
              <w:t>Investeering 1.2. Kodu kui esimene ravi- ja telemeditsiinikoht</w:t>
            </w:r>
          </w:p>
        </w:tc>
        <w:tc>
          <w:tcPr>
            <w:tcW w:w="1438" w:type="dxa"/>
            <w:tcBorders>
              <w:top w:val="nil"/>
              <w:left w:val="nil"/>
              <w:bottom w:val="single" w:sz="4" w:space="0" w:color="auto"/>
              <w:right w:val="single" w:sz="4" w:space="0" w:color="auto"/>
            </w:tcBorders>
            <w:shd w:val="clear" w:color="auto" w:fill="C6EFCE"/>
            <w:noWrap/>
            <w:vAlign w:val="center"/>
          </w:tcPr>
          <w:p w14:paraId="4ECF457A" w14:textId="77777777" w:rsidR="00A612E2" w:rsidRPr="00246CC4" w:rsidRDefault="00A612E2" w:rsidP="00742B81">
            <w:pPr>
              <w:jc w:val="center"/>
              <w:rPr>
                <w:noProof/>
                <w:color w:val="006100"/>
                <w:sz w:val="20"/>
                <w:szCs w:val="20"/>
              </w:rPr>
            </w:pPr>
            <w:r>
              <w:rPr>
                <w:noProof/>
                <w:color w:val="006100"/>
                <w:sz w:val="20"/>
              </w:rPr>
              <w:t>Siht</w:t>
            </w:r>
          </w:p>
        </w:tc>
        <w:tc>
          <w:tcPr>
            <w:tcW w:w="4093" w:type="dxa"/>
            <w:tcBorders>
              <w:top w:val="nil"/>
              <w:left w:val="nil"/>
              <w:bottom w:val="single" w:sz="4" w:space="0" w:color="auto"/>
              <w:right w:val="single" w:sz="4" w:space="0" w:color="auto"/>
            </w:tcBorders>
            <w:shd w:val="clear" w:color="auto" w:fill="C6EFCE"/>
            <w:noWrap/>
            <w:vAlign w:val="center"/>
          </w:tcPr>
          <w:p w14:paraId="00A948E5" w14:textId="77777777" w:rsidR="00A612E2" w:rsidRPr="003B127D" w:rsidRDefault="00A612E2" w:rsidP="00742B81">
            <w:pPr>
              <w:jc w:val="center"/>
              <w:rPr>
                <w:noProof/>
                <w:color w:val="006100"/>
                <w:sz w:val="20"/>
                <w:szCs w:val="20"/>
              </w:rPr>
            </w:pPr>
            <w:r>
              <w:rPr>
                <w:noProof/>
                <w:color w:val="006100"/>
                <w:sz w:val="20"/>
              </w:rPr>
              <w:t>Vähemalt üks telemeditsiini projekt, mis on määratud igale piirkonnale (võttes arvesse nii konkreetses piirkonnas rakendatavaid projekte kui ka neid, mida võidakse arendada piirkondadevaheliste konsortsiumide osana)</w:t>
            </w:r>
          </w:p>
        </w:tc>
      </w:tr>
      <w:tr w:rsidR="00A612E2" w:rsidRPr="00246CC4" w14:paraId="62ED9378" w14:textId="77777777" w:rsidTr="00742B81">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29CDF15C" w14:textId="77777777" w:rsidR="00A612E2" w:rsidRPr="00F33804" w:rsidRDefault="00A612E2" w:rsidP="00742B81">
            <w:pPr>
              <w:jc w:val="center"/>
              <w:rPr>
                <w:noProof/>
                <w:color w:val="006100"/>
                <w:sz w:val="20"/>
                <w:szCs w:val="20"/>
              </w:rPr>
            </w:pPr>
          </w:p>
        </w:tc>
        <w:tc>
          <w:tcPr>
            <w:tcW w:w="3195" w:type="dxa"/>
            <w:tcBorders>
              <w:top w:val="single" w:sz="4" w:space="0" w:color="auto"/>
              <w:left w:val="nil"/>
              <w:bottom w:val="single" w:sz="4" w:space="0" w:color="auto"/>
              <w:right w:val="single" w:sz="4" w:space="0" w:color="auto"/>
            </w:tcBorders>
            <w:shd w:val="clear" w:color="auto" w:fill="C6EFCE"/>
            <w:noWrap/>
            <w:vAlign w:val="bottom"/>
          </w:tcPr>
          <w:p w14:paraId="5CB129D1" w14:textId="77777777" w:rsidR="00A612E2" w:rsidRPr="00F33804" w:rsidRDefault="00A612E2" w:rsidP="008B3890">
            <w:pPr>
              <w:rPr>
                <w:noProof/>
                <w:color w:val="006100"/>
                <w:sz w:val="20"/>
                <w:szCs w:val="20"/>
              </w:rPr>
            </w:pPr>
          </w:p>
        </w:tc>
        <w:tc>
          <w:tcPr>
            <w:tcW w:w="1438" w:type="dxa"/>
            <w:tcBorders>
              <w:top w:val="single" w:sz="4" w:space="0" w:color="auto"/>
              <w:left w:val="nil"/>
              <w:bottom w:val="single" w:sz="4" w:space="0" w:color="auto"/>
              <w:right w:val="single" w:sz="4" w:space="0" w:color="auto"/>
            </w:tcBorders>
            <w:shd w:val="clear" w:color="auto" w:fill="C6EFCE"/>
            <w:noWrap/>
            <w:vAlign w:val="bottom"/>
          </w:tcPr>
          <w:p w14:paraId="139E1723" w14:textId="77777777" w:rsidR="00A612E2" w:rsidRPr="00246CC4" w:rsidRDefault="00A612E2" w:rsidP="00742B81">
            <w:pPr>
              <w:rPr>
                <w:noProof/>
                <w:color w:val="006100"/>
                <w:sz w:val="20"/>
                <w:szCs w:val="20"/>
              </w:rPr>
            </w:pPr>
            <w:r>
              <w:rPr>
                <w:noProof/>
                <w:color w:val="006100"/>
                <w:sz w:val="20"/>
              </w:rPr>
              <w:t>Osamakse summa</w:t>
            </w:r>
          </w:p>
        </w:tc>
        <w:tc>
          <w:tcPr>
            <w:tcW w:w="4093" w:type="dxa"/>
            <w:tcBorders>
              <w:top w:val="single" w:sz="4" w:space="0" w:color="auto"/>
              <w:left w:val="nil"/>
              <w:bottom w:val="single" w:sz="4" w:space="0" w:color="auto"/>
              <w:right w:val="single" w:sz="4" w:space="0" w:color="auto"/>
            </w:tcBorders>
            <w:shd w:val="clear" w:color="auto" w:fill="C6EFCE"/>
            <w:noWrap/>
            <w:vAlign w:val="bottom"/>
          </w:tcPr>
          <w:p w14:paraId="32EA55E2" w14:textId="77777777" w:rsidR="00A612E2" w:rsidRPr="00246CC4" w:rsidRDefault="00A612E2" w:rsidP="00742B81">
            <w:pPr>
              <w:rPr>
                <w:noProof/>
                <w:color w:val="006100"/>
                <w:sz w:val="20"/>
                <w:szCs w:val="20"/>
              </w:rPr>
            </w:pPr>
            <w:r>
              <w:rPr>
                <w:noProof/>
                <w:color w:val="006100"/>
                <w:sz w:val="20"/>
              </w:rPr>
              <w:t>9 030 593 086 eurot</w:t>
            </w:r>
          </w:p>
        </w:tc>
      </w:tr>
    </w:tbl>
    <w:p w14:paraId="4E2DA181" w14:textId="77777777" w:rsidR="00A612E2" w:rsidRPr="00246CC4" w:rsidRDefault="00A612E2" w:rsidP="00A612E2">
      <w:pPr>
        <w:numPr>
          <w:ilvl w:val="1"/>
          <w:numId w:val="6"/>
        </w:numPr>
        <w:spacing w:before="120" w:after="120"/>
        <w:jc w:val="both"/>
        <w:rPr>
          <w:rFonts w:eastAsia="Calibri"/>
          <w:noProof/>
        </w:rPr>
      </w:pPr>
      <w:r>
        <w:rPr>
          <w:noProof/>
        </w:rPr>
        <w:t>Kuues osamakse (laenutoetus):</w:t>
      </w:r>
    </w:p>
    <w:tbl>
      <w:tblPr>
        <w:tblW w:w="10139" w:type="dxa"/>
        <w:tblInd w:w="113" w:type="dxa"/>
        <w:tblLook w:val="04A0" w:firstRow="1" w:lastRow="0" w:firstColumn="1" w:lastColumn="0" w:noHBand="0" w:noVBand="1"/>
      </w:tblPr>
      <w:tblGrid>
        <w:gridCol w:w="1827"/>
        <w:gridCol w:w="3195"/>
        <w:gridCol w:w="1425"/>
        <w:gridCol w:w="4106"/>
      </w:tblGrid>
      <w:tr w:rsidR="00A612E2" w:rsidRPr="00246CC4" w14:paraId="06CEC4C1" w14:textId="77777777" w:rsidTr="00D8527D">
        <w:trPr>
          <w:trHeight w:val="906"/>
        </w:trPr>
        <w:tc>
          <w:tcPr>
            <w:tcW w:w="14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799B884" w14:textId="77777777" w:rsidR="00A612E2" w:rsidRPr="00246CC4" w:rsidRDefault="00A612E2" w:rsidP="00742B81">
            <w:pPr>
              <w:jc w:val="center"/>
              <w:rPr>
                <w:b/>
                <w:bCs/>
                <w:noProof/>
                <w:sz w:val="20"/>
                <w:szCs w:val="20"/>
              </w:rPr>
            </w:pPr>
            <w:r>
              <w:rPr>
                <w:b/>
                <w:noProof/>
                <w:sz w:val="20"/>
              </w:rPr>
              <w:t>Järjekorranumber</w:t>
            </w:r>
          </w:p>
        </w:tc>
        <w:tc>
          <w:tcPr>
            <w:tcW w:w="319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F4873F2" w14:textId="77777777" w:rsidR="00A612E2" w:rsidRPr="003B127D" w:rsidRDefault="00A612E2" w:rsidP="008B3890">
            <w:pPr>
              <w:jc w:val="center"/>
              <w:rPr>
                <w:b/>
                <w:bCs/>
                <w:noProof/>
                <w:sz w:val="20"/>
                <w:szCs w:val="20"/>
              </w:rPr>
            </w:pPr>
            <w:r>
              <w:rPr>
                <w:b/>
                <w:noProof/>
                <w:sz w:val="20"/>
              </w:rPr>
              <w:t>Seotud meede (reform või investeering)</w:t>
            </w:r>
          </w:p>
        </w:tc>
        <w:tc>
          <w:tcPr>
            <w:tcW w:w="142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994FC81" w14:textId="77777777" w:rsidR="00A612E2" w:rsidRPr="00246CC4" w:rsidRDefault="00A612E2" w:rsidP="00742B81">
            <w:pPr>
              <w:jc w:val="center"/>
              <w:rPr>
                <w:b/>
                <w:bCs/>
                <w:noProof/>
                <w:sz w:val="20"/>
                <w:szCs w:val="20"/>
              </w:rPr>
            </w:pPr>
            <w:r>
              <w:rPr>
                <w:b/>
                <w:noProof/>
                <w:sz w:val="20"/>
              </w:rPr>
              <w:t>Eesmärk / siht</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3A7C8C9" w14:textId="77777777" w:rsidR="00A612E2" w:rsidRPr="00246CC4" w:rsidRDefault="00A612E2" w:rsidP="00742B81">
            <w:pPr>
              <w:jc w:val="center"/>
              <w:rPr>
                <w:b/>
                <w:bCs/>
                <w:noProof/>
                <w:sz w:val="20"/>
                <w:szCs w:val="20"/>
              </w:rPr>
            </w:pPr>
            <w:r>
              <w:rPr>
                <w:b/>
                <w:noProof/>
                <w:sz w:val="20"/>
              </w:rPr>
              <w:t>Nimi</w:t>
            </w:r>
          </w:p>
        </w:tc>
      </w:tr>
      <w:tr w:rsidR="00A612E2" w:rsidRPr="00246CC4" w14:paraId="1EE94F9A" w14:textId="77777777" w:rsidTr="00D8527D">
        <w:trPr>
          <w:trHeight w:val="517"/>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55ECBCC" w14:textId="77777777" w:rsidR="00A612E2" w:rsidRPr="00246CC4" w:rsidRDefault="00A612E2" w:rsidP="00742B81">
            <w:pPr>
              <w:rPr>
                <w:b/>
                <w:bCs/>
                <w:noProof/>
              </w:rPr>
            </w:pPr>
          </w:p>
        </w:tc>
        <w:tc>
          <w:tcPr>
            <w:tcW w:w="3195" w:type="dxa"/>
            <w:vMerge/>
            <w:tcBorders>
              <w:top w:val="single" w:sz="4" w:space="0" w:color="auto"/>
              <w:left w:val="single" w:sz="4" w:space="0" w:color="auto"/>
              <w:bottom w:val="single" w:sz="4" w:space="0" w:color="auto"/>
              <w:right w:val="single" w:sz="4" w:space="0" w:color="auto"/>
            </w:tcBorders>
            <w:vAlign w:val="center"/>
            <w:hideMark/>
          </w:tcPr>
          <w:p w14:paraId="60BD26FA" w14:textId="77777777" w:rsidR="00A612E2" w:rsidRPr="00246CC4" w:rsidRDefault="00A612E2" w:rsidP="008B3890">
            <w:pPr>
              <w:rPr>
                <w:b/>
                <w:bCs/>
                <w:noProof/>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14:paraId="538D24CD" w14:textId="77777777" w:rsidR="00A612E2" w:rsidRPr="00246CC4" w:rsidRDefault="00A612E2" w:rsidP="00742B81">
            <w:pPr>
              <w:rPr>
                <w:b/>
                <w:bCs/>
                <w:noProof/>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68C9C076" w14:textId="77777777" w:rsidR="00A612E2" w:rsidRPr="00246CC4" w:rsidRDefault="00A612E2" w:rsidP="00742B81">
            <w:pPr>
              <w:rPr>
                <w:b/>
                <w:bCs/>
                <w:noProof/>
              </w:rPr>
            </w:pPr>
          </w:p>
        </w:tc>
      </w:tr>
      <w:tr w:rsidR="00A612E2" w:rsidRPr="00D90835" w14:paraId="1FC5A5DB" w14:textId="77777777" w:rsidTr="00D8527D">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79F8D86" w14:textId="77777777" w:rsidR="00A612E2" w:rsidRPr="00246CC4" w:rsidRDefault="00A612E2" w:rsidP="00742B81">
            <w:pPr>
              <w:jc w:val="center"/>
              <w:rPr>
                <w:noProof/>
                <w:color w:val="006100"/>
                <w:sz w:val="20"/>
                <w:szCs w:val="20"/>
              </w:rPr>
            </w:pPr>
            <w:r>
              <w:rPr>
                <w:noProof/>
                <w:color w:val="006100"/>
                <w:sz w:val="20"/>
              </w:rPr>
              <w:t>M3C1-10</w:t>
            </w:r>
          </w:p>
        </w:tc>
        <w:tc>
          <w:tcPr>
            <w:tcW w:w="3195" w:type="dxa"/>
            <w:tcBorders>
              <w:top w:val="single" w:sz="4" w:space="0" w:color="auto"/>
              <w:left w:val="nil"/>
              <w:bottom w:val="single" w:sz="4" w:space="0" w:color="auto"/>
              <w:right w:val="single" w:sz="4" w:space="0" w:color="auto"/>
            </w:tcBorders>
            <w:shd w:val="clear" w:color="auto" w:fill="C6EFCE"/>
            <w:noWrap/>
            <w:vAlign w:val="center"/>
          </w:tcPr>
          <w:p w14:paraId="3F0551EE" w14:textId="77777777" w:rsidR="00A612E2" w:rsidRPr="00246CC4" w:rsidRDefault="00A612E2" w:rsidP="008B3890">
            <w:pPr>
              <w:rPr>
                <w:noProof/>
                <w:color w:val="006100"/>
                <w:sz w:val="20"/>
                <w:szCs w:val="20"/>
              </w:rPr>
            </w:pPr>
            <w:r>
              <w:rPr>
                <w:noProof/>
                <w:color w:val="006100"/>
                <w:sz w:val="20"/>
              </w:rPr>
              <w:t>Investeering 1.3. Diagonaalühendused</w:t>
            </w:r>
          </w:p>
        </w:tc>
        <w:tc>
          <w:tcPr>
            <w:tcW w:w="1425" w:type="dxa"/>
            <w:tcBorders>
              <w:top w:val="single" w:sz="4" w:space="0" w:color="auto"/>
              <w:left w:val="nil"/>
              <w:bottom w:val="single" w:sz="4" w:space="0" w:color="auto"/>
              <w:right w:val="single" w:sz="4" w:space="0" w:color="auto"/>
            </w:tcBorders>
            <w:shd w:val="clear" w:color="auto" w:fill="C6EFCE"/>
            <w:noWrap/>
            <w:vAlign w:val="center"/>
          </w:tcPr>
          <w:p w14:paraId="4A24E1DD" w14:textId="77777777" w:rsidR="00A612E2" w:rsidRPr="00246CC4" w:rsidRDefault="00A612E2" w:rsidP="00742B81">
            <w:pPr>
              <w:jc w:val="center"/>
              <w:rPr>
                <w:noProof/>
                <w:color w:val="006100"/>
                <w:sz w:val="20"/>
                <w:szCs w:val="20"/>
              </w:rPr>
            </w:pPr>
            <w:r>
              <w:rPr>
                <w:noProof/>
                <w:color w:val="006100"/>
                <w:sz w:val="20"/>
              </w:rPr>
              <w:t>Eesmärk</w:t>
            </w:r>
          </w:p>
        </w:tc>
        <w:tc>
          <w:tcPr>
            <w:tcW w:w="4106" w:type="dxa"/>
            <w:tcBorders>
              <w:top w:val="single" w:sz="4" w:space="0" w:color="auto"/>
              <w:left w:val="nil"/>
              <w:bottom w:val="single" w:sz="4" w:space="0" w:color="auto"/>
              <w:right w:val="single" w:sz="4" w:space="0" w:color="auto"/>
            </w:tcBorders>
            <w:shd w:val="clear" w:color="auto" w:fill="C6EFCE"/>
            <w:noWrap/>
            <w:vAlign w:val="center"/>
          </w:tcPr>
          <w:p w14:paraId="03F9C34A" w14:textId="77777777" w:rsidR="00A612E2" w:rsidRPr="003B127D" w:rsidRDefault="00A612E2" w:rsidP="00742B81">
            <w:pPr>
              <w:jc w:val="center"/>
              <w:rPr>
                <w:noProof/>
                <w:color w:val="006100"/>
                <w:sz w:val="20"/>
                <w:szCs w:val="20"/>
              </w:rPr>
            </w:pPr>
            <w:r>
              <w:rPr>
                <w:noProof/>
                <w:color w:val="006100"/>
                <w:sz w:val="20"/>
              </w:rPr>
              <w:t>Lepingu(te) sõlmimine ühenduste ehitamiseks Orte-Falconara ja Taranto-Metaponto-Potenza-Battipaglia liinil</w:t>
            </w:r>
          </w:p>
        </w:tc>
      </w:tr>
      <w:tr w:rsidR="00A612E2" w:rsidRPr="00D90835" w14:paraId="5897FF74"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C789055" w14:textId="77777777" w:rsidR="00A612E2" w:rsidRPr="00246CC4" w:rsidRDefault="00A612E2" w:rsidP="00742B81">
            <w:pPr>
              <w:jc w:val="center"/>
              <w:rPr>
                <w:noProof/>
                <w:color w:val="006100"/>
                <w:sz w:val="20"/>
                <w:szCs w:val="20"/>
              </w:rPr>
            </w:pPr>
            <w:r>
              <w:rPr>
                <w:noProof/>
                <w:color w:val="006100"/>
                <w:sz w:val="20"/>
              </w:rPr>
              <w:t>M7-35</w:t>
            </w:r>
          </w:p>
        </w:tc>
        <w:tc>
          <w:tcPr>
            <w:tcW w:w="3195" w:type="dxa"/>
            <w:tcBorders>
              <w:top w:val="nil"/>
              <w:left w:val="nil"/>
              <w:bottom w:val="single" w:sz="4" w:space="0" w:color="auto"/>
              <w:right w:val="single" w:sz="4" w:space="0" w:color="auto"/>
            </w:tcBorders>
            <w:shd w:val="clear" w:color="auto" w:fill="C6EFCE"/>
            <w:noWrap/>
            <w:vAlign w:val="center"/>
          </w:tcPr>
          <w:p w14:paraId="3845FB8C" w14:textId="77777777" w:rsidR="00A612E2" w:rsidRPr="003B127D" w:rsidRDefault="00A612E2" w:rsidP="008B3890">
            <w:pPr>
              <w:rPr>
                <w:noProof/>
                <w:color w:val="006100"/>
                <w:sz w:val="20"/>
                <w:szCs w:val="20"/>
              </w:rPr>
            </w:pPr>
            <w:r>
              <w:rPr>
                <w:noProof/>
                <w:color w:val="006100"/>
                <w:sz w:val="20"/>
              </w:rPr>
              <w:t>Investeering 13. Aadria mere liini 1. etapp (Sulmona kompressorjaam ja Sestino-Minerbio gaasijuhe)</w:t>
            </w:r>
          </w:p>
        </w:tc>
        <w:tc>
          <w:tcPr>
            <w:tcW w:w="1425" w:type="dxa"/>
            <w:tcBorders>
              <w:top w:val="nil"/>
              <w:left w:val="nil"/>
              <w:bottom w:val="single" w:sz="4" w:space="0" w:color="auto"/>
              <w:right w:val="single" w:sz="4" w:space="0" w:color="auto"/>
            </w:tcBorders>
            <w:shd w:val="clear" w:color="auto" w:fill="C6EFCE"/>
            <w:noWrap/>
            <w:vAlign w:val="center"/>
          </w:tcPr>
          <w:p w14:paraId="6FD00EA3" w14:textId="77777777" w:rsidR="00A612E2" w:rsidRPr="00246CC4" w:rsidRDefault="00A612E2" w:rsidP="00742B81">
            <w:pPr>
              <w:jc w:val="center"/>
              <w:rPr>
                <w:noProof/>
                <w:color w:val="006100"/>
                <w:sz w:val="20"/>
                <w:szCs w:val="20"/>
              </w:rPr>
            </w:pPr>
            <w:r>
              <w:rPr>
                <w:noProof/>
                <w:color w:val="006100"/>
                <w:sz w:val="20"/>
              </w:rPr>
              <w:t>Eesmärk</w:t>
            </w:r>
          </w:p>
        </w:tc>
        <w:tc>
          <w:tcPr>
            <w:tcW w:w="4106" w:type="dxa"/>
            <w:tcBorders>
              <w:top w:val="nil"/>
              <w:left w:val="nil"/>
              <w:bottom w:val="single" w:sz="4" w:space="0" w:color="auto"/>
              <w:right w:val="single" w:sz="4" w:space="0" w:color="auto"/>
            </w:tcBorders>
            <w:shd w:val="clear" w:color="auto" w:fill="C6EFCE"/>
            <w:noWrap/>
            <w:vAlign w:val="center"/>
          </w:tcPr>
          <w:p w14:paraId="1BCE68D2" w14:textId="77777777" w:rsidR="00A612E2" w:rsidRPr="003B127D" w:rsidRDefault="00A612E2" w:rsidP="00742B81">
            <w:pPr>
              <w:jc w:val="center"/>
              <w:rPr>
                <w:noProof/>
                <w:color w:val="006100"/>
                <w:sz w:val="20"/>
                <w:szCs w:val="20"/>
              </w:rPr>
            </w:pPr>
            <w:r>
              <w:rPr>
                <w:noProof/>
                <w:color w:val="006100"/>
                <w:sz w:val="20"/>
              </w:rPr>
              <w:t>Asjakohaste keskkonnamõju hindamiste vastuvõtmine ja ajakohastamine (VIncA)</w:t>
            </w:r>
          </w:p>
        </w:tc>
      </w:tr>
      <w:tr w:rsidR="00A612E2" w:rsidRPr="00D90835" w14:paraId="0A9556D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A2FE3B3" w14:textId="77777777" w:rsidR="00A612E2" w:rsidRPr="00246CC4" w:rsidRDefault="00A612E2" w:rsidP="00742B81">
            <w:pPr>
              <w:jc w:val="center"/>
              <w:rPr>
                <w:noProof/>
                <w:color w:val="006100"/>
                <w:sz w:val="20"/>
                <w:szCs w:val="20"/>
              </w:rPr>
            </w:pPr>
            <w:r>
              <w:rPr>
                <w:noProof/>
                <w:color w:val="006100"/>
                <w:sz w:val="20"/>
              </w:rPr>
              <w:t>M7-40</w:t>
            </w:r>
          </w:p>
        </w:tc>
        <w:tc>
          <w:tcPr>
            <w:tcW w:w="3195" w:type="dxa"/>
            <w:tcBorders>
              <w:top w:val="nil"/>
              <w:left w:val="nil"/>
              <w:bottom w:val="single" w:sz="4" w:space="0" w:color="auto"/>
              <w:right w:val="single" w:sz="4" w:space="0" w:color="auto"/>
            </w:tcBorders>
            <w:shd w:val="clear" w:color="auto" w:fill="C6EFCE"/>
            <w:noWrap/>
            <w:vAlign w:val="center"/>
          </w:tcPr>
          <w:p w14:paraId="7A3F2CB4" w14:textId="77777777" w:rsidR="00A612E2" w:rsidRPr="00246CC4" w:rsidRDefault="00A612E2" w:rsidP="008B3890">
            <w:pPr>
              <w:rPr>
                <w:noProof/>
                <w:color w:val="006100"/>
                <w:sz w:val="20"/>
                <w:szCs w:val="20"/>
              </w:rPr>
            </w:pPr>
            <w:r>
              <w:rPr>
                <w:noProof/>
                <w:color w:val="006100"/>
                <w:sz w:val="20"/>
              </w:rPr>
              <w:t>Investeering 15. Transizione 5.0 Roheline</w:t>
            </w:r>
          </w:p>
        </w:tc>
        <w:tc>
          <w:tcPr>
            <w:tcW w:w="1425" w:type="dxa"/>
            <w:tcBorders>
              <w:top w:val="nil"/>
              <w:left w:val="nil"/>
              <w:bottom w:val="single" w:sz="4" w:space="0" w:color="auto"/>
              <w:right w:val="single" w:sz="4" w:space="0" w:color="auto"/>
            </w:tcBorders>
            <w:shd w:val="clear" w:color="auto" w:fill="C6EFCE"/>
            <w:noWrap/>
            <w:vAlign w:val="center"/>
          </w:tcPr>
          <w:p w14:paraId="64A2FE0F" w14:textId="77777777" w:rsidR="00A612E2" w:rsidRPr="00246CC4" w:rsidRDefault="00A612E2" w:rsidP="00742B81">
            <w:pPr>
              <w:jc w:val="center"/>
              <w:rPr>
                <w:noProof/>
                <w:color w:val="006100"/>
                <w:sz w:val="20"/>
                <w:szCs w:val="20"/>
              </w:rPr>
            </w:pPr>
            <w:r>
              <w:rPr>
                <w:noProof/>
                <w:color w:val="006100"/>
                <w:sz w:val="20"/>
              </w:rPr>
              <w:t>Eesmärk</w:t>
            </w:r>
          </w:p>
        </w:tc>
        <w:tc>
          <w:tcPr>
            <w:tcW w:w="4106" w:type="dxa"/>
            <w:tcBorders>
              <w:top w:val="nil"/>
              <w:left w:val="nil"/>
              <w:bottom w:val="single" w:sz="4" w:space="0" w:color="auto"/>
              <w:right w:val="single" w:sz="4" w:space="0" w:color="auto"/>
            </w:tcBorders>
            <w:shd w:val="clear" w:color="auto" w:fill="C6EFCE"/>
            <w:noWrap/>
            <w:vAlign w:val="center"/>
          </w:tcPr>
          <w:p w14:paraId="5BF96B46" w14:textId="77777777" w:rsidR="00A612E2" w:rsidRPr="003B127D" w:rsidRDefault="00A612E2" w:rsidP="00742B81">
            <w:pPr>
              <w:jc w:val="center"/>
              <w:rPr>
                <w:noProof/>
                <w:color w:val="006100"/>
                <w:sz w:val="20"/>
                <w:szCs w:val="20"/>
              </w:rPr>
            </w:pPr>
            <w:r>
              <w:rPr>
                <w:noProof/>
                <w:color w:val="006100"/>
                <w:sz w:val="20"/>
              </w:rPr>
              <w:t>Sellise õigusakti jõustumine, millega kehtestatakse rahastamiskõlblike sekkumiste kriteeriumid</w:t>
            </w:r>
          </w:p>
        </w:tc>
      </w:tr>
      <w:tr w:rsidR="00A612E2" w:rsidRPr="00D90835" w14:paraId="2B038F3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E322E7C" w14:textId="77777777" w:rsidR="00A612E2" w:rsidRPr="00246CC4" w:rsidRDefault="00A612E2" w:rsidP="00742B81">
            <w:pPr>
              <w:jc w:val="center"/>
              <w:rPr>
                <w:noProof/>
                <w:color w:val="006100"/>
                <w:sz w:val="20"/>
                <w:szCs w:val="20"/>
              </w:rPr>
            </w:pPr>
            <w:r>
              <w:rPr>
                <w:noProof/>
                <w:color w:val="006100"/>
                <w:sz w:val="20"/>
              </w:rPr>
              <w:t>M2C1-15</w:t>
            </w:r>
          </w:p>
        </w:tc>
        <w:tc>
          <w:tcPr>
            <w:tcW w:w="3195" w:type="dxa"/>
            <w:tcBorders>
              <w:top w:val="nil"/>
              <w:left w:val="nil"/>
              <w:bottom w:val="single" w:sz="4" w:space="0" w:color="auto"/>
              <w:right w:val="single" w:sz="4" w:space="0" w:color="auto"/>
            </w:tcBorders>
            <w:shd w:val="clear" w:color="auto" w:fill="C6EFCE"/>
            <w:noWrap/>
            <w:vAlign w:val="center"/>
          </w:tcPr>
          <w:p w14:paraId="062E087E" w14:textId="08FF175F" w:rsidR="00A612E2" w:rsidRPr="003B127D" w:rsidRDefault="00A612E2" w:rsidP="008B3890">
            <w:pPr>
              <w:rPr>
                <w:noProof/>
                <w:color w:val="006100"/>
                <w:sz w:val="20"/>
                <w:szCs w:val="20"/>
              </w:rPr>
            </w:pPr>
            <w:r>
              <w:rPr>
                <w:noProof/>
                <w:color w:val="006100"/>
                <w:sz w:val="20"/>
              </w:rPr>
              <w:t>Reform 1.2. Riiklik jäätmekäitlusprogramm Investeering 1.1. Uute jäätmekäitlusjaamade rakendamine ja olemasolevate rajatiste moderniseerimine</w:t>
            </w:r>
          </w:p>
        </w:tc>
        <w:tc>
          <w:tcPr>
            <w:tcW w:w="1425" w:type="dxa"/>
            <w:tcBorders>
              <w:top w:val="nil"/>
              <w:left w:val="nil"/>
              <w:bottom w:val="single" w:sz="4" w:space="0" w:color="auto"/>
              <w:right w:val="single" w:sz="4" w:space="0" w:color="auto"/>
            </w:tcBorders>
            <w:shd w:val="clear" w:color="auto" w:fill="C6EFCE"/>
            <w:noWrap/>
            <w:vAlign w:val="center"/>
          </w:tcPr>
          <w:p w14:paraId="2F087B27" w14:textId="77777777" w:rsidR="00A612E2" w:rsidRPr="00246CC4" w:rsidRDefault="00A612E2" w:rsidP="00742B81">
            <w:pPr>
              <w:jc w:val="center"/>
              <w:rPr>
                <w:noProof/>
                <w:color w:val="006100"/>
                <w:sz w:val="20"/>
                <w:szCs w:val="20"/>
              </w:rPr>
            </w:pPr>
            <w:r>
              <w:rPr>
                <w:noProof/>
                <w:color w:val="006100"/>
                <w:sz w:val="20"/>
              </w:rPr>
              <w:t>Siht</w:t>
            </w:r>
          </w:p>
        </w:tc>
        <w:tc>
          <w:tcPr>
            <w:tcW w:w="4106" w:type="dxa"/>
            <w:tcBorders>
              <w:top w:val="nil"/>
              <w:left w:val="nil"/>
              <w:bottom w:val="single" w:sz="4" w:space="0" w:color="auto"/>
              <w:right w:val="single" w:sz="4" w:space="0" w:color="auto"/>
            </w:tcBorders>
            <w:shd w:val="clear" w:color="auto" w:fill="C6EFCE"/>
            <w:noWrap/>
            <w:vAlign w:val="center"/>
          </w:tcPr>
          <w:p w14:paraId="7369558A" w14:textId="77777777" w:rsidR="00A612E2" w:rsidRPr="003B127D" w:rsidRDefault="00A612E2" w:rsidP="00742B81">
            <w:pPr>
              <w:jc w:val="center"/>
              <w:rPr>
                <w:noProof/>
                <w:color w:val="006100"/>
                <w:sz w:val="20"/>
                <w:szCs w:val="20"/>
              </w:rPr>
            </w:pPr>
            <w:r>
              <w:rPr>
                <w:noProof/>
                <w:color w:val="006100"/>
                <w:sz w:val="20"/>
              </w:rPr>
              <w:t xml:space="preserve">Ebaseaduslike prügilate arvu vähendamine (T1)  </w:t>
            </w:r>
          </w:p>
        </w:tc>
      </w:tr>
      <w:tr w:rsidR="00A612E2" w:rsidRPr="00246CC4" w14:paraId="0536010D"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298E83F" w14:textId="77777777" w:rsidR="00A612E2" w:rsidRPr="00246CC4" w:rsidRDefault="00A612E2" w:rsidP="00742B81">
            <w:pPr>
              <w:jc w:val="center"/>
              <w:rPr>
                <w:noProof/>
                <w:color w:val="006100"/>
                <w:sz w:val="20"/>
                <w:szCs w:val="20"/>
              </w:rPr>
            </w:pPr>
            <w:r>
              <w:rPr>
                <w:noProof/>
                <w:color w:val="006100"/>
                <w:sz w:val="20"/>
              </w:rPr>
              <w:t>M2C1-22</w:t>
            </w:r>
          </w:p>
        </w:tc>
        <w:tc>
          <w:tcPr>
            <w:tcW w:w="3195" w:type="dxa"/>
            <w:tcBorders>
              <w:top w:val="nil"/>
              <w:left w:val="nil"/>
              <w:bottom w:val="single" w:sz="4" w:space="0" w:color="auto"/>
              <w:right w:val="single" w:sz="4" w:space="0" w:color="auto"/>
            </w:tcBorders>
            <w:shd w:val="clear" w:color="auto" w:fill="C6EFCE"/>
            <w:noWrap/>
            <w:vAlign w:val="center"/>
          </w:tcPr>
          <w:p w14:paraId="7F12A17C" w14:textId="77777777" w:rsidR="00A612E2" w:rsidRPr="003B127D" w:rsidRDefault="00A612E2" w:rsidP="008B3890">
            <w:pPr>
              <w:rPr>
                <w:noProof/>
                <w:color w:val="006100"/>
                <w:sz w:val="20"/>
                <w:szCs w:val="20"/>
              </w:rPr>
            </w:pPr>
            <w:r>
              <w:rPr>
                <w:noProof/>
                <w:color w:val="006100"/>
                <w:sz w:val="20"/>
              </w:rPr>
              <w:t>Investeering 3.4. Fondo Contratti di Filiera (FCF), et toetada tarneahelalepinguid põllumajandusliku toidutööstuse, kalanduse ja vesiviljeluse, metsanduse, lillekasvatuse ja taimekoolide sektoris</w:t>
            </w:r>
          </w:p>
        </w:tc>
        <w:tc>
          <w:tcPr>
            <w:tcW w:w="1425" w:type="dxa"/>
            <w:tcBorders>
              <w:top w:val="nil"/>
              <w:left w:val="nil"/>
              <w:bottom w:val="single" w:sz="4" w:space="0" w:color="auto"/>
              <w:right w:val="single" w:sz="4" w:space="0" w:color="auto"/>
            </w:tcBorders>
            <w:shd w:val="clear" w:color="auto" w:fill="C6EFCE"/>
            <w:noWrap/>
            <w:vAlign w:val="center"/>
          </w:tcPr>
          <w:p w14:paraId="08CA01C5" w14:textId="77777777" w:rsidR="00A612E2" w:rsidRPr="00246CC4" w:rsidRDefault="00A612E2" w:rsidP="00742B81">
            <w:pPr>
              <w:jc w:val="center"/>
              <w:rPr>
                <w:noProof/>
                <w:color w:val="006100"/>
                <w:sz w:val="20"/>
                <w:szCs w:val="20"/>
              </w:rPr>
            </w:pPr>
            <w:r>
              <w:rPr>
                <w:noProof/>
                <w:color w:val="006100"/>
                <w:sz w:val="20"/>
              </w:rPr>
              <w:t>Eesmärk</w:t>
            </w:r>
          </w:p>
        </w:tc>
        <w:tc>
          <w:tcPr>
            <w:tcW w:w="4106" w:type="dxa"/>
            <w:tcBorders>
              <w:top w:val="nil"/>
              <w:left w:val="nil"/>
              <w:bottom w:val="single" w:sz="4" w:space="0" w:color="auto"/>
              <w:right w:val="single" w:sz="4" w:space="0" w:color="auto"/>
            </w:tcBorders>
            <w:shd w:val="clear" w:color="auto" w:fill="C6EFCE"/>
            <w:noWrap/>
            <w:vAlign w:val="center"/>
          </w:tcPr>
          <w:p w14:paraId="48B28F73" w14:textId="77777777" w:rsidR="00A612E2" w:rsidRPr="00246CC4" w:rsidRDefault="00A612E2" w:rsidP="00742B81">
            <w:pPr>
              <w:jc w:val="center"/>
              <w:rPr>
                <w:noProof/>
                <w:color w:val="006100"/>
                <w:sz w:val="20"/>
                <w:szCs w:val="20"/>
              </w:rPr>
            </w:pPr>
            <w:r>
              <w:rPr>
                <w:noProof/>
                <w:color w:val="006100"/>
                <w:sz w:val="20"/>
              </w:rPr>
              <w:t>Rakendusleping</w:t>
            </w:r>
          </w:p>
        </w:tc>
      </w:tr>
      <w:tr w:rsidR="00A612E2" w:rsidRPr="00D90835" w14:paraId="47C191BA"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3D31423" w14:textId="77777777" w:rsidR="00A612E2" w:rsidRPr="00246CC4" w:rsidRDefault="00A612E2" w:rsidP="00742B81">
            <w:pPr>
              <w:jc w:val="center"/>
              <w:rPr>
                <w:noProof/>
                <w:color w:val="006100"/>
                <w:sz w:val="20"/>
                <w:szCs w:val="20"/>
              </w:rPr>
            </w:pPr>
            <w:r>
              <w:rPr>
                <w:noProof/>
                <w:color w:val="006100"/>
                <w:sz w:val="20"/>
              </w:rPr>
              <w:t>M2C2-31</w:t>
            </w:r>
          </w:p>
        </w:tc>
        <w:tc>
          <w:tcPr>
            <w:tcW w:w="3195" w:type="dxa"/>
            <w:tcBorders>
              <w:top w:val="nil"/>
              <w:left w:val="nil"/>
              <w:bottom w:val="single" w:sz="4" w:space="0" w:color="auto"/>
              <w:right w:val="single" w:sz="4" w:space="0" w:color="auto"/>
            </w:tcBorders>
            <w:shd w:val="clear" w:color="auto" w:fill="C6EFCE"/>
            <w:noWrap/>
            <w:vAlign w:val="center"/>
          </w:tcPr>
          <w:p w14:paraId="53B82FF8" w14:textId="3D305328" w:rsidR="00A612E2" w:rsidRPr="003B127D" w:rsidRDefault="00A612E2" w:rsidP="008B3890">
            <w:pPr>
              <w:rPr>
                <w:noProof/>
                <w:color w:val="006100"/>
                <w:sz w:val="20"/>
                <w:szCs w:val="20"/>
              </w:rPr>
            </w:pPr>
            <w:r>
              <w:rPr>
                <w:noProof/>
                <w:color w:val="006100"/>
                <w:sz w:val="20"/>
              </w:rPr>
              <w:t>Investeering 4.4.3</w:t>
            </w:r>
            <w:r w:rsidR="00956361">
              <w:rPr>
                <w:noProof/>
                <w:color w:val="006100"/>
                <w:sz w:val="20"/>
              </w:rPr>
              <w:t>.</w:t>
            </w:r>
            <w:r>
              <w:rPr>
                <w:noProof/>
                <w:color w:val="006100"/>
                <w:sz w:val="20"/>
              </w:rPr>
              <w:t xml:space="preserve"> Riikliku tuletõrjebrigaadide staabi uuendamine</w:t>
            </w:r>
          </w:p>
        </w:tc>
        <w:tc>
          <w:tcPr>
            <w:tcW w:w="1425" w:type="dxa"/>
            <w:tcBorders>
              <w:top w:val="nil"/>
              <w:left w:val="nil"/>
              <w:bottom w:val="single" w:sz="4" w:space="0" w:color="auto"/>
              <w:right w:val="single" w:sz="4" w:space="0" w:color="auto"/>
            </w:tcBorders>
            <w:shd w:val="clear" w:color="auto" w:fill="C6EFCE"/>
            <w:noWrap/>
            <w:vAlign w:val="center"/>
          </w:tcPr>
          <w:p w14:paraId="5C153235" w14:textId="77777777" w:rsidR="00A612E2" w:rsidRPr="00246CC4" w:rsidRDefault="00A612E2" w:rsidP="00742B81">
            <w:pPr>
              <w:jc w:val="center"/>
              <w:rPr>
                <w:noProof/>
                <w:color w:val="006100"/>
                <w:sz w:val="20"/>
                <w:szCs w:val="20"/>
              </w:rPr>
            </w:pPr>
            <w:r>
              <w:rPr>
                <w:noProof/>
                <w:color w:val="006100"/>
                <w:sz w:val="20"/>
              </w:rPr>
              <w:t>Eesmärk</w:t>
            </w:r>
          </w:p>
        </w:tc>
        <w:tc>
          <w:tcPr>
            <w:tcW w:w="4106" w:type="dxa"/>
            <w:tcBorders>
              <w:top w:val="nil"/>
              <w:left w:val="nil"/>
              <w:bottom w:val="single" w:sz="4" w:space="0" w:color="auto"/>
              <w:right w:val="single" w:sz="4" w:space="0" w:color="auto"/>
            </w:tcBorders>
            <w:shd w:val="clear" w:color="auto" w:fill="C6EFCE"/>
            <w:noWrap/>
            <w:vAlign w:val="center"/>
          </w:tcPr>
          <w:p w14:paraId="3433F16C" w14:textId="77777777" w:rsidR="00A612E2" w:rsidRPr="003B127D" w:rsidRDefault="00A612E2" w:rsidP="00742B81">
            <w:pPr>
              <w:jc w:val="center"/>
              <w:rPr>
                <w:noProof/>
                <w:color w:val="006100"/>
                <w:sz w:val="20"/>
                <w:szCs w:val="20"/>
              </w:rPr>
            </w:pPr>
            <w:r>
              <w:rPr>
                <w:noProof/>
                <w:color w:val="006100"/>
                <w:sz w:val="20"/>
              </w:rPr>
              <w:t>Riikliku tuletõrjebrigaadide staabi uuendamiseks kõigi riigihankelepingute sõlmimine</w:t>
            </w:r>
          </w:p>
        </w:tc>
      </w:tr>
      <w:tr w:rsidR="00A612E2" w:rsidRPr="00D90835" w14:paraId="628E6FC3"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8007013" w14:textId="77777777" w:rsidR="00A612E2" w:rsidRPr="00246CC4" w:rsidRDefault="00A612E2" w:rsidP="00742B81">
            <w:pPr>
              <w:jc w:val="center"/>
              <w:rPr>
                <w:noProof/>
                <w:color w:val="006100"/>
                <w:sz w:val="20"/>
                <w:szCs w:val="20"/>
              </w:rPr>
            </w:pPr>
            <w:r>
              <w:rPr>
                <w:noProof/>
                <w:color w:val="006100"/>
                <w:sz w:val="20"/>
              </w:rPr>
              <w:t>M2C4-6</w:t>
            </w:r>
          </w:p>
        </w:tc>
        <w:tc>
          <w:tcPr>
            <w:tcW w:w="3195" w:type="dxa"/>
            <w:tcBorders>
              <w:top w:val="nil"/>
              <w:left w:val="nil"/>
              <w:bottom w:val="single" w:sz="4" w:space="0" w:color="auto"/>
              <w:right w:val="single" w:sz="4" w:space="0" w:color="auto"/>
            </w:tcBorders>
            <w:shd w:val="clear" w:color="auto" w:fill="C6EFCE"/>
            <w:noWrap/>
            <w:vAlign w:val="center"/>
          </w:tcPr>
          <w:p w14:paraId="73D86B21" w14:textId="77777777" w:rsidR="00A612E2" w:rsidRPr="003B127D" w:rsidRDefault="00A612E2" w:rsidP="008B3890">
            <w:pPr>
              <w:rPr>
                <w:noProof/>
                <w:color w:val="006100"/>
                <w:sz w:val="20"/>
                <w:szCs w:val="20"/>
              </w:rPr>
            </w:pPr>
            <w:r>
              <w:rPr>
                <w:noProof/>
                <w:color w:val="006100"/>
                <w:sz w:val="20"/>
              </w:rPr>
              <w:t>Investeering 3.2. Rahvusparkide digiteerimine</w:t>
            </w:r>
          </w:p>
        </w:tc>
        <w:tc>
          <w:tcPr>
            <w:tcW w:w="1425" w:type="dxa"/>
            <w:tcBorders>
              <w:top w:val="nil"/>
              <w:left w:val="nil"/>
              <w:bottom w:val="single" w:sz="4" w:space="0" w:color="auto"/>
              <w:right w:val="single" w:sz="4" w:space="0" w:color="auto"/>
            </w:tcBorders>
            <w:shd w:val="clear" w:color="auto" w:fill="C6EFCE"/>
            <w:noWrap/>
            <w:vAlign w:val="center"/>
          </w:tcPr>
          <w:p w14:paraId="5092D636" w14:textId="77777777" w:rsidR="00A612E2" w:rsidRPr="00246CC4" w:rsidRDefault="00A612E2" w:rsidP="00742B81">
            <w:pPr>
              <w:jc w:val="center"/>
              <w:rPr>
                <w:noProof/>
                <w:color w:val="006100"/>
                <w:sz w:val="20"/>
                <w:szCs w:val="20"/>
              </w:rPr>
            </w:pPr>
            <w:r>
              <w:rPr>
                <w:noProof/>
                <w:color w:val="006100"/>
                <w:sz w:val="20"/>
              </w:rPr>
              <w:t>Siht</w:t>
            </w:r>
          </w:p>
        </w:tc>
        <w:tc>
          <w:tcPr>
            <w:tcW w:w="4106" w:type="dxa"/>
            <w:tcBorders>
              <w:top w:val="nil"/>
              <w:left w:val="nil"/>
              <w:bottom w:val="single" w:sz="4" w:space="0" w:color="auto"/>
              <w:right w:val="single" w:sz="4" w:space="0" w:color="auto"/>
            </w:tcBorders>
            <w:shd w:val="clear" w:color="auto" w:fill="C6EFCE"/>
            <w:noWrap/>
            <w:vAlign w:val="center"/>
          </w:tcPr>
          <w:p w14:paraId="2C30ADF6" w14:textId="77777777" w:rsidR="00A612E2" w:rsidRPr="003B127D" w:rsidRDefault="00A612E2" w:rsidP="00742B81">
            <w:pPr>
              <w:jc w:val="center"/>
              <w:rPr>
                <w:noProof/>
                <w:color w:val="006100"/>
                <w:sz w:val="20"/>
                <w:szCs w:val="20"/>
              </w:rPr>
            </w:pPr>
            <w:r>
              <w:rPr>
                <w:noProof/>
                <w:color w:val="006100"/>
                <w:sz w:val="20"/>
              </w:rPr>
              <w:t xml:space="preserve">Rahvusparkide ja merekaitsealade külastajatele pakutavate digitaalsete teenuste haldamise lihtsustamine ja arendamine </w:t>
            </w:r>
          </w:p>
        </w:tc>
      </w:tr>
      <w:tr w:rsidR="00A612E2" w:rsidRPr="00246CC4" w14:paraId="509D33EA"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A5A2A8B" w14:textId="77777777" w:rsidR="00A612E2" w:rsidRPr="00246CC4" w:rsidRDefault="00A612E2" w:rsidP="00742B81">
            <w:pPr>
              <w:jc w:val="center"/>
              <w:rPr>
                <w:noProof/>
                <w:color w:val="006100"/>
                <w:sz w:val="20"/>
                <w:szCs w:val="20"/>
              </w:rPr>
            </w:pPr>
            <w:r>
              <w:rPr>
                <w:noProof/>
                <w:color w:val="006100"/>
                <w:sz w:val="20"/>
              </w:rPr>
              <w:t>M3C2-10</w:t>
            </w:r>
          </w:p>
        </w:tc>
        <w:tc>
          <w:tcPr>
            <w:tcW w:w="3195" w:type="dxa"/>
            <w:tcBorders>
              <w:top w:val="nil"/>
              <w:left w:val="nil"/>
              <w:bottom w:val="single" w:sz="4" w:space="0" w:color="auto"/>
              <w:right w:val="single" w:sz="4" w:space="0" w:color="auto"/>
            </w:tcBorders>
            <w:shd w:val="clear" w:color="auto" w:fill="C6EFCE"/>
            <w:noWrap/>
            <w:vAlign w:val="center"/>
          </w:tcPr>
          <w:p w14:paraId="101EE10E" w14:textId="77777777" w:rsidR="00A612E2" w:rsidRPr="003B127D" w:rsidRDefault="00A612E2" w:rsidP="008B3890">
            <w:pPr>
              <w:rPr>
                <w:noProof/>
                <w:color w:val="006100"/>
                <w:sz w:val="20"/>
                <w:szCs w:val="20"/>
              </w:rPr>
            </w:pPr>
            <w:r>
              <w:rPr>
                <w:noProof/>
                <w:color w:val="006100"/>
                <w:sz w:val="20"/>
              </w:rPr>
              <w:t>Reform 2.2. Riikliku digilogistikaplatvormi loomine, et võtta kasutusele kaubaveo- ja/või reisijateveoteenuste digiteerimine</w:t>
            </w:r>
          </w:p>
        </w:tc>
        <w:tc>
          <w:tcPr>
            <w:tcW w:w="1425" w:type="dxa"/>
            <w:tcBorders>
              <w:top w:val="nil"/>
              <w:left w:val="nil"/>
              <w:bottom w:val="single" w:sz="4" w:space="0" w:color="auto"/>
              <w:right w:val="single" w:sz="4" w:space="0" w:color="auto"/>
            </w:tcBorders>
            <w:shd w:val="clear" w:color="auto" w:fill="C6EFCE"/>
            <w:noWrap/>
            <w:vAlign w:val="center"/>
          </w:tcPr>
          <w:p w14:paraId="0BAC7F4D" w14:textId="77777777" w:rsidR="00A612E2" w:rsidRPr="00246CC4" w:rsidRDefault="00A612E2" w:rsidP="00742B81">
            <w:pPr>
              <w:jc w:val="center"/>
              <w:rPr>
                <w:noProof/>
                <w:color w:val="006100"/>
                <w:sz w:val="20"/>
                <w:szCs w:val="20"/>
              </w:rPr>
            </w:pPr>
            <w:r>
              <w:rPr>
                <w:noProof/>
                <w:color w:val="006100"/>
                <w:sz w:val="20"/>
              </w:rPr>
              <w:t>Eesmärk</w:t>
            </w:r>
          </w:p>
        </w:tc>
        <w:tc>
          <w:tcPr>
            <w:tcW w:w="4106" w:type="dxa"/>
            <w:tcBorders>
              <w:top w:val="nil"/>
              <w:left w:val="nil"/>
              <w:bottom w:val="single" w:sz="4" w:space="0" w:color="auto"/>
              <w:right w:val="single" w:sz="4" w:space="0" w:color="auto"/>
            </w:tcBorders>
            <w:shd w:val="clear" w:color="auto" w:fill="C6EFCE"/>
            <w:noWrap/>
            <w:vAlign w:val="center"/>
          </w:tcPr>
          <w:p w14:paraId="739C5CB3" w14:textId="77777777" w:rsidR="00A612E2" w:rsidRPr="00246CC4" w:rsidRDefault="00A612E2" w:rsidP="00742B81">
            <w:pPr>
              <w:jc w:val="center"/>
              <w:rPr>
                <w:noProof/>
                <w:color w:val="006100"/>
                <w:sz w:val="20"/>
                <w:szCs w:val="20"/>
              </w:rPr>
            </w:pPr>
            <w:r>
              <w:rPr>
                <w:noProof/>
                <w:color w:val="006100"/>
                <w:sz w:val="20"/>
              </w:rPr>
              <w:t xml:space="preserve">Riiklik digilogistikaplatvorm </w:t>
            </w:r>
          </w:p>
        </w:tc>
      </w:tr>
      <w:tr w:rsidR="00A612E2" w:rsidRPr="00D90835" w14:paraId="3A276741"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9DD7FA2" w14:textId="77777777" w:rsidR="00A612E2" w:rsidRPr="00246CC4" w:rsidRDefault="00A612E2" w:rsidP="00742B81">
            <w:pPr>
              <w:jc w:val="center"/>
              <w:rPr>
                <w:noProof/>
                <w:color w:val="006100"/>
                <w:sz w:val="20"/>
                <w:szCs w:val="20"/>
              </w:rPr>
            </w:pPr>
            <w:r>
              <w:rPr>
                <w:noProof/>
                <w:color w:val="006100"/>
                <w:sz w:val="20"/>
              </w:rPr>
              <w:t>M5C3-12</w:t>
            </w:r>
          </w:p>
        </w:tc>
        <w:tc>
          <w:tcPr>
            <w:tcW w:w="3195" w:type="dxa"/>
            <w:tcBorders>
              <w:top w:val="nil"/>
              <w:left w:val="nil"/>
              <w:bottom w:val="single" w:sz="4" w:space="0" w:color="auto"/>
              <w:right w:val="single" w:sz="4" w:space="0" w:color="auto"/>
            </w:tcBorders>
            <w:shd w:val="clear" w:color="auto" w:fill="C6EFCE"/>
            <w:noWrap/>
            <w:vAlign w:val="center"/>
          </w:tcPr>
          <w:p w14:paraId="01764BB6" w14:textId="77777777" w:rsidR="00A612E2" w:rsidRPr="003B127D" w:rsidRDefault="00A612E2" w:rsidP="008B3890">
            <w:pPr>
              <w:rPr>
                <w:noProof/>
                <w:color w:val="006100"/>
                <w:sz w:val="20"/>
                <w:szCs w:val="20"/>
              </w:rPr>
            </w:pPr>
            <w:r>
              <w:rPr>
                <w:noProof/>
                <w:color w:val="006100"/>
                <w:sz w:val="20"/>
              </w:rPr>
              <w:t>Investeering 1.4. Taristuinvesteeringud erimajandustsoonides</w:t>
            </w:r>
          </w:p>
        </w:tc>
        <w:tc>
          <w:tcPr>
            <w:tcW w:w="1425" w:type="dxa"/>
            <w:tcBorders>
              <w:top w:val="nil"/>
              <w:left w:val="nil"/>
              <w:bottom w:val="single" w:sz="4" w:space="0" w:color="auto"/>
              <w:right w:val="single" w:sz="4" w:space="0" w:color="auto"/>
            </w:tcBorders>
            <w:shd w:val="clear" w:color="auto" w:fill="C6EFCE"/>
            <w:noWrap/>
            <w:vAlign w:val="center"/>
          </w:tcPr>
          <w:p w14:paraId="32434123" w14:textId="77777777" w:rsidR="00A612E2" w:rsidRPr="00246CC4" w:rsidRDefault="00A612E2" w:rsidP="00742B81">
            <w:pPr>
              <w:jc w:val="center"/>
              <w:rPr>
                <w:noProof/>
                <w:color w:val="006100"/>
                <w:sz w:val="20"/>
                <w:szCs w:val="20"/>
              </w:rPr>
            </w:pPr>
            <w:r>
              <w:rPr>
                <w:noProof/>
                <w:color w:val="006100"/>
                <w:sz w:val="20"/>
              </w:rPr>
              <w:t>Siht</w:t>
            </w:r>
          </w:p>
        </w:tc>
        <w:tc>
          <w:tcPr>
            <w:tcW w:w="4106" w:type="dxa"/>
            <w:tcBorders>
              <w:top w:val="nil"/>
              <w:left w:val="nil"/>
              <w:bottom w:val="single" w:sz="4" w:space="0" w:color="auto"/>
              <w:right w:val="single" w:sz="4" w:space="0" w:color="auto"/>
            </w:tcBorders>
            <w:shd w:val="clear" w:color="auto" w:fill="C6EFCE"/>
            <w:noWrap/>
            <w:vAlign w:val="center"/>
          </w:tcPr>
          <w:p w14:paraId="5926A226" w14:textId="77777777" w:rsidR="00A612E2" w:rsidRPr="003B127D" w:rsidRDefault="00A612E2" w:rsidP="00742B81">
            <w:pPr>
              <w:jc w:val="center"/>
              <w:rPr>
                <w:noProof/>
                <w:color w:val="006100"/>
                <w:sz w:val="20"/>
                <w:szCs w:val="20"/>
              </w:rPr>
            </w:pPr>
            <w:r>
              <w:rPr>
                <w:noProof/>
                <w:color w:val="006100"/>
                <w:sz w:val="20"/>
              </w:rPr>
              <w:t>Infrastruktuuri sekkumiste alustamine erimajandustsoonides</w:t>
            </w:r>
          </w:p>
        </w:tc>
      </w:tr>
      <w:tr w:rsidR="00A612E2" w:rsidRPr="00D90835" w14:paraId="358744EF"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4B109E0" w14:textId="77777777" w:rsidR="00A612E2" w:rsidRPr="00246CC4" w:rsidRDefault="00A612E2" w:rsidP="00742B81">
            <w:pPr>
              <w:jc w:val="center"/>
              <w:rPr>
                <w:noProof/>
                <w:color w:val="006100"/>
                <w:sz w:val="20"/>
                <w:szCs w:val="20"/>
              </w:rPr>
            </w:pPr>
            <w:r>
              <w:rPr>
                <w:noProof/>
                <w:color w:val="006100"/>
                <w:sz w:val="20"/>
              </w:rPr>
              <w:t>M6C2-15</w:t>
            </w:r>
          </w:p>
        </w:tc>
        <w:tc>
          <w:tcPr>
            <w:tcW w:w="3195" w:type="dxa"/>
            <w:tcBorders>
              <w:top w:val="nil"/>
              <w:left w:val="nil"/>
              <w:bottom w:val="single" w:sz="4" w:space="0" w:color="auto"/>
              <w:right w:val="single" w:sz="4" w:space="0" w:color="auto"/>
            </w:tcBorders>
            <w:shd w:val="clear" w:color="auto" w:fill="C6EFCE"/>
            <w:noWrap/>
            <w:vAlign w:val="center"/>
          </w:tcPr>
          <w:p w14:paraId="66D48102" w14:textId="77777777" w:rsidR="00A612E2" w:rsidRPr="003B127D" w:rsidRDefault="00A612E2" w:rsidP="008B3890">
            <w:pPr>
              <w:rPr>
                <w:noProof/>
                <w:color w:val="006600"/>
                <w:sz w:val="20"/>
                <w:szCs w:val="20"/>
              </w:rPr>
            </w:pPr>
            <w:r>
              <w:rPr>
                <w:noProof/>
                <w:color w:val="006600"/>
                <w:sz w:val="20"/>
              </w:rPr>
              <w:t>Investeering 2.2. Tervishoiusüsteemi spetsialistide tehniliste, kutsealaste, digitaalsete ja juhtimisoskuste arendamine.</w:t>
            </w:r>
          </w:p>
        </w:tc>
        <w:tc>
          <w:tcPr>
            <w:tcW w:w="1425" w:type="dxa"/>
            <w:tcBorders>
              <w:top w:val="nil"/>
              <w:left w:val="nil"/>
              <w:bottom w:val="single" w:sz="4" w:space="0" w:color="auto"/>
              <w:right w:val="single" w:sz="4" w:space="0" w:color="auto"/>
            </w:tcBorders>
            <w:shd w:val="clear" w:color="auto" w:fill="C6EFCE"/>
            <w:noWrap/>
            <w:vAlign w:val="center"/>
          </w:tcPr>
          <w:p w14:paraId="01661122" w14:textId="77777777" w:rsidR="00A612E2" w:rsidRPr="00246CC4" w:rsidRDefault="00A612E2" w:rsidP="00742B81">
            <w:pPr>
              <w:jc w:val="center"/>
              <w:rPr>
                <w:noProof/>
                <w:color w:val="006600"/>
                <w:sz w:val="20"/>
                <w:szCs w:val="20"/>
              </w:rPr>
            </w:pPr>
            <w:r>
              <w:rPr>
                <w:noProof/>
                <w:color w:val="006600"/>
                <w:sz w:val="20"/>
              </w:rPr>
              <w:t>Siht</w:t>
            </w:r>
          </w:p>
        </w:tc>
        <w:tc>
          <w:tcPr>
            <w:tcW w:w="4106" w:type="dxa"/>
            <w:tcBorders>
              <w:top w:val="nil"/>
              <w:left w:val="nil"/>
              <w:bottom w:val="single" w:sz="4" w:space="0" w:color="auto"/>
              <w:right w:val="single" w:sz="4" w:space="0" w:color="auto"/>
            </w:tcBorders>
            <w:shd w:val="clear" w:color="auto" w:fill="C6EFCE"/>
            <w:noWrap/>
            <w:vAlign w:val="center"/>
          </w:tcPr>
          <w:p w14:paraId="43ABEBF1" w14:textId="74266C9E" w:rsidR="00A612E2" w:rsidRPr="003B127D" w:rsidRDefault="00A612E2" w:rsidP="00742B81">
            <w:pPr>
              <w:jc w:val="center"/>
              <w:rPr>
                <w:noProof/>
                <w:color w:val="006600"/>
                <w:sz w:val="20"/>
                <w:szCs w:val="20"/>
              </w:rPr>
            </w:pPr>
            <w:r>
              <w:rPr>
                <w:noProof/>
                <w:color w:val="006600"/>
                <w:sz w:val="20"/>
              </w:rPr>
              <w:t>Üldarsti erikoolituseks antakse lisastipendiume.</w:t>
            </w:r>
          </w:p>
        </w:tc>
      </w:tr>
      <w:tr w:rsidR="00A612E2" w:rsidRPr="00246CC4" w14:paraId="7C1E31D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16C5599" w14:textId="77777777" w:rsidR="00A612E2" w:rsidRPr="00246CC4" w:rsidRDefault="00A612E2" w:rsidP="00742B81">
            <w:pPr>
              <w:jc w:val="center"/>
              <w:rPr>
                <w:noProof/>
                <w:color w:val="006100"/>
                <w:sz w:val="20"/>
                <w:szCs w:val="20"/>
              </w:rPr>
            </w:pPr>
            <w:r>
              <w:rPr>
                <w:noProof/>
                <w:color w:val="006100"/>
                <w:sz w:val="20"/>
              </w:rPr>
              <w:t>M7-36</w:t>
            </w:r>
          </w:p>
        </w:tc>
        <w:tc>
          <w:tcPr>
            <w:tcW w:w="3195" w:type="dxa"/>
            <w:tcBorders>
              <w:top w:val="nil"/>
              <w:left w:val="nil"/>
              <w:bottom w:val="single" w:sz="4" w:space="0" w:color="auto"/>
              <w:right w:val="single" w:sz="4" w:space="0" w:color="auto"/>
            </w:tcBorders>
            <w:shd w:val="clear" w:color="auto" w:fill="C6EFCE"/>
            <w:noWrap/>
            <w:vAlign w:val="center"/>
          </w:tcPr>
          <w:p w14:paraId="541CA114" w14:textId="77777777" w:rsidR="00A612E2" w:rsidRPr="003B127D" w:rsidRDefault="00A612E2" w:rsidP="008B3890">
            <w:pPr>
              <w:rPr>
                <w:noProof/>
                <w:color w:val="006100"/>
                <w:sz w:val="20"/>
                <w:szCs w:val="20"/>
              </w:rPr>
            </w:pPr>
            <w:r>
              <w:rPr>
                <w:noProof/>
                <w:color w:val="006100"/>
                <w:sz w:val="20"/>
              </w:rPr>
              <w:t>Investeering 13. Aadria mere liini 1. etapp (Sulmona kompressorjaam ja Sestino-Minerbio gaasijuhe)</w:t>
            </w:r>
          </w:p>
        </w:tc>
        <w:tc>
          <w:tcPr>
            <w:tcW w:w="1425" w:type="dxa"/>
            <w:tcBorders>
              <w:top w:val="nil"/>
              <w:left w:val="nil"/>
              <w:bottom w:val="single" w:sz="4" w:space="0" w:color="auto"/>
              <w:right w:val="single" w:sz="4" w:space="0" w:color="auto"/>
            </w:tcBorders>
            <w:shd w:val="clear" w:color="auto" w:fill="C6EFCE"/>
            <w:noWrap/>
            <w:vAlign w:val="center"/>
          </w:tcPr>
          <w:p w14:paraId="695C5594" w14:textId="77777777" w:rsidR="00A612E2" w:rsidRPr="00246CC4" w:rsidRDefault="00A612E2" w:rsidP="00742B81">
            <w:pPr>
              <w:jc w:val="center"/>
              <w:rPr>
                <w:noProof/>
                <w:color w:val="006100"/>
                <w:sz w:val="20"/>
                <w:szCs w:val="20"/>
              </w:rPr>
            </w:pPr>
            <w:r>
              <w:rPr>
                <w:noProof/>
                <w:color w:val="006100"/>
                <w:sz w:val="20"/>
              </w:rPr>
              <w:t>Eesmärk</w:t>
            </w:r>
          </w:p>
        </w:tc>
        <w:tc>
          <w:tcPr>
            <w:tcW w:w="4106" w:type="dxa"/>
            <w:tcBorders>
              <w:top w:val="nil"/>
              <w:left w:val="nil"/>
              <w:bottom w:val="single" w:sz="4" w:space="0" w:color="auto"/>
              <w:right w:val="single" w:sz="4" w:space="0" w:color="auto"/>
            </w:tcBorders>
            <w:shd w:val="clear" w:color="auto" w:fill="C6EFCE"/>
            <w:noWrap/>
            <w:vAlign w:val="center"/>
          </w:tcPr>
          <w:p w14:paraId="164BFC63" w14:textId="77777777" w:rsidR="00A612E2" w:rsidRPr="00246CC4" w:rsidRDefault="00A612E2" w:rsidP="00742B81">
            <w:pPr>
              <w:jc w:val="center"/>
              <w:rPr>
                <w:noProof/>
                <w:color w:val="006100"/>
                <w:sz w:val="20"/>
                <w:szCs w:val="20"/>
              </w:rPr>
            </w:pPr>
            <w:r>
              <w:rPr>
                <w:noProof/>
                <w:color w:val="006100"/>
                <w:sz w:val="20"/>
              </w:rPr>
              <w:t>Hankemenetlus</w:t>
            </w:r>
          </w:p>
        </w:tc>
      </w:tr>
      <w:tr w:rsidR="00A612E2" w:rsidRPr="00246CC4" w14:paraId="5374285C"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D6AD0B6" w14:textId="77777777" w:rsidR="00A612E2" w:rsidRPr="00246CC4" w:rsidRDefault="00A612E2" w:rsidP="00742B81">
            <w:pPr>
              <w:jc w:val="center"/>
              <w:rPr>
                <w:noProof/>
                <w:color w:val="006100"/>
                <w:sz w:val="20"/>
                <w:szCs w:val="20"/>
              </w:rPr>
            </w:pPr>
            <w:r>
              <w:rPr>
                <w:noProof/>
                <w:color w:val="006100"/>
                <w:sz w:val="20"/>
              </w:rPr>
              <w:t>M7-38</w:t>
            </w:r>
          </w:p>
        </w:tc>
        <w:tc>
          <w:tcPr>
            <w:tcW w:w="3195" w:type="dxa"/>
            <w:tcBorders>
              <w:top w:val="nil"/>
              <w:left w:val="nil"/>
              <w:bottom w:val="single" w:sz="4" w:space="0" w:color="auto"/>
              <w:right w:val="single" w:sz="4" w:space="0" w:color="auto"/>
            </w:tcBorders>
            <w:shd w:val="clear" w:color="auto" w:fill="C6EFCE"/>
            <w:noWrap/>
            <w:vAlign w:val="center"/>
          </w:tcPr>
          <w:p w14:paraId="75D5943B" w14:textId="77777777" w:rsidR="00A612E2" w:rsidRPr="00246CC4" w:rsidRDefault="00A612E2" w:rsidP="008B3890">
            <w:pPr>
              <w:rPr>
                <w:noProof/>
                <w:color w:val="006100"/>
                <w:sz w:val="20"/>
                <w:szCs w:val="20"/>
              </w:rPr>
            </w:pPr>
            <w:r>
              <w:rPr>
                <w:noProof/>
                <w:color w:val="006100"/>
                <w:sz w:val="20"/>
              </w:rPr>
              <w:t>Investeering 14. Piiriülene gaasiekspordi infrastruktuur</w:t>
            </w:r>
          </w:p>
        </w:tc>
        <w:tc>
          <w:tcPr>
            <w:tcW w:w="1425" w:type="dxa"/>
            <w:tcBorders>
              <w:top w:val="nil"/>
              <w:left w:val="nil"/>
              <w:bottom w:val="single" w:sz="4" w:space="0" w:color="auto"/>
              <w:right w:val="single" w:sz="4" w:space="0" w:color="auto"/>
            </w:tcBorders>
            <w:shd w:val="clear" w:color="auto" w:fill="C6EFCE"/>
            <w:noWrap/>
            <w:vAlign w:val="center"/>
          </w:tcPr>
          <w:p w14:paraId="1DA48B87" w14:textId="77777777" w:rsidR="00A612E2" w:rsidRPr="00246CC4" w:rsidRDefault="00A612E2" w:rsidP="00742B81">
            <w:pPr>
              <w:jc w:val="center"/>
              <w:rPr>
                <w:noProof/>
                <w:color w:val="006100"/>
                <w:sz w:val="20"/>
                <w:szCs w:val="20"/>
              </w:rPr>
            </w:pPr>
            <w:r>
              <w:rPr>
                <w:noProof/>
                <w:color w:val="006100"/>
                <w:sz w:val="20"/>
              </w:rPr>
              <w:t>Eesmärk</w:t>
            </w:r>
          </w:p>
        </w:tc>
        <w:tc>
          <w:tcPr>
            <w:tcW w:w="4106" w:type="dxa"/>
            <w:tcBorders>
              <w:top w:val="nil"/>
              <w:left w:val="nil"/>
              <w:bottom w:val="single" w:sz="4" w:space="0" w:color="auto"/>
              <w:right w:val="single" w:sz="4" w:space="0" w:color="auto"/>
            </w:tcBorders>
            <w:shd w:val="clear" w:color="auto" w:fill="C6EFCE"/>
            <w:noWrap/>
            <w:vAlign w:val="center"/>
          </w:tcPr>
          <w:p w14:paraId="4C8989B1" w14:textId="77777777" w:rsidR="00A612E2" w:rsidRPr="00246CC4" w:rsidRDefault="00A612E2" w:rsidP="00742B81">
            <w:pPr>
              <w:jc w:val="center"/>
              <w:rPr>
                <w:noProof/>
                <w:color w:val="006100"/>
                <w:sz w:val="20"/>
                <w:szCs w:val="20"/>
              </w:rPr>
            </w:pPr>
            <w:r>
              <w:rPr>
                <w:noProof/>
                <w:color w:val="006100"/>
                <w:sz w:val="20"/>
              </w:rPr>
              <w:t>Hankemenetlus</w:t>
            </w:r>
          </w:p>
        </w:tc>
      </w:tr>
      <w:tr w:rsidR="00A612E2" w:rsidRPr="00246CC4" w14:paraId="76CE044F" w14:textId="77777777" w:rsidTr="00742B81">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2A3D4231" w14:textId="77777777" w:rsidR="00A612E2" w:rsidRPr="00246CC4" w:rsidRDefault="00A612E2" w:rsidP="00742B81">
            <w:pPr>
              <w:jc w:val="center"/>
              <w:rPr>
                <w:noProof/>
                <w:color w:val="006100"/>
                <w:sz w:val="20"/>
                <w:szCs w:val="20"/>
              </w:rPr>
            </w:pPr>
          </w:p>
        </w:tc>
        <w:tc>
          <w:tcPr>
            <w:tcW w:w="3195" w:type="dxa"/>
            <w:tcBorders>
              <w:top w:val="single" w:sz="4" w:space="0" w:color="auto"/>
              <w:left w:val="nil"/>
              <w:bottom w:val="single" w:sz="4" w:space="0" w:color="auto"/>
              <w:right w:val="single" w:sz="4" w:space="0" w:color="auto"/>
            </w:tcBorders>
            <w:shd w:val="clear" w:color="auto" w:fill="C6EFCE"/>
            <w:noWrap/>
            <w:vAlign w:val="bottom"/>
          </w:tcPr>
          <w:p w14:paraId="0B211371" w14:textId="77777777" w:rsidR="00A612E2" w:rsidRPr="00246CC4" w:rsidRDefault="00A612E2" w:rsidP="008B3890">
            <w:pPr>
              <w:rPr>
                <w:noProof/>
                <w:color w:val="006100"/>
                <w:sz w:val="20"/>
                <w:szCs w:val="20"/>
              </w:rPr>
            </w:pPr>
          </w:p>
        </w:tc>
        <w:tc>
          <w:tcPr>
            <w:tcW w:w="1425" w:type="dxa"/>
            <w:tcBorders>
              <w:top w:val="single" w:sz="4" w:space="0" w:color="auto"/>
              <w:left w:val="nil"/>
              <w:bottom w:val="single" w:sz="4" w:space="0" w:color="auto"/>
              <w:right w:val="single" w:sz="4" w:space="0" w:color="auto"/>
            </w:tcBorders>
            <w:shd w:val="clear" w:color="auto" w:fill="C6EFCE"/>
            <w:noWrap/>
            <w:vAlign w:val="bottom"/>
          </w:tcPr>
          <w:p w14:paraId="0EF38E07" w14:textId="77777777" w:rsidR="00A612E2" w:rsidRPr="00246CC4" w:rsidRDefault="00A612E2" w:rsidP="00742B81">
            <w:pPr>
              <w:rPr>
                <w:noProof/>
                <w:color w:val="006100"/>
                <w:sz w:val="20"/>
                <w:szCs w:val="20"/>
              </w:rPr>
            </w:pPr>
            <w:r>
              <w:rPr>
                <w:noProof/>
                <w:color w:val="006100"/>
                <w:sz w:val="20"/>
              </w:rPr>
              <w:t>Osamakse summa</w:t>
            </w:r>
          </w:p>
        </w:tc>
        <w:tc>
          <w:tcPr>
            <w:tcW w:w="4106" w:type="dxa"/>
            <w:tcBorders>
              <w:top w:val="single" w:sz="4" w:space="0" w:color="auto"/>
              <w:left w:val="nil"/>
              <w:bottom w:val="single" w:sz="4" w:space="0" w:color="auto"/>
              <w:right w:val="single" w:sz="4" w:space="0" w:color="auto"/>
            </w:tcBorders>
            <w:shd w:val="clear" w:color="auto" w:fill="C6EFCE"/>
            <w:noWrap/>
            <w:vAlign w:val="bottom"/>
          </w:tcPr>
          <w:p w14:paraId="309C49F5" w14:textId="77777777" w:rsidR="00A612E2" w:rsidRPr="00246CC4" w:rsidRDefault="00A612E2" w:rsidP="00742B81">
            <w:pPr>
              <w:rPr>
                <w:noProof/>
                <w:color w:val="006100"/>
                <w:sz w:val="20"/>
                <w:szCs w:val="20"/>
              </w:rPr>
            </w:pPr>
            <w:r>
              <w:rPr>
                <w:noProof/>
                <w:color w:val="006100"/>
                <w:sz w:val="20"/>
              </w:rPr>
              <w:t>7 908 481 227 eurot</w:t>
            </w:r>
          </w:p>
        </w:tc>
      </w:tr>
    </w:tbl>
    <w:p w14:paraId="468B195F" w14:textId="77777777" w:rsidR="00A612E2" w:rsidRPr="00246CC4" w:rsidRDefault="00A612E2" w:rsidP="00A612E2">
      <w:pPr>
        <w:numPr>
          <w:ilvl w:val="1"/>
          <w:numId w:val="6"/>
        </w:numPr>
        <w:spacing w:before="120" w:after="120"/>
        <w:jc w:val="both"/>
        <w:rPr>
          <w:rFonts w:eastAsia="Calibri"/>
          <w:noProof/>
        </w:rPr>
      </w:pPr>
      <w:r>
        <w:rPr>
          <w:noProof/>
        </w:rPr>
        <w:t>Seitsmes osamakse (laenutoetus):</w:t>
      </w:r>
    </w:p>
    <w:tbl>
      <w:tblPr>
        <w:tblW w:w="10152" w:type="dxa"/>
        <w:tblInd w:w="113" w:type="dxa"/>
        <w:tblLook w:val="04A0" w:firstRow="1" w:lastRow="0" w:firstColumn="1" w:lastColumn="0" w:noHBand="0" w:noVBand="1"/>
      </w:tblPr>
      <w:tblGrid>
        <w:gridCol w:w="1827"/>
        <w:gridCol w:w="3195"/>
        <w:gridCol w:w="1378"/>
        <w:gridCol w:w="4166"/>
      </w:tblGrid>
      <w:tr w:rsidR="00A612E2" w:rsidRPr="00246CC4" w14:paraId="10846351" w14:textId="77777777" w:rsidTr="00C5735F">
        <w:trPr>
          <w:trHeight w:val="906"/>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1592FD8" w14:textId="77777777" w:rsidR="00A612E2" w:rsidRPr="00246CC4" w:rsidRDefault="00A612E2" w:rsidP="00742B81">
            <w:pPr>
              <w:jc w:val="center"/>
              <w:rPr>
                <w:b/>
                <w:bCs/>
                <w:noProof/>
                <w:sz w:val="20"/>
                <w:szCs w:val="20"/>
              </w:rPr>
            </w:pPr>
            <w:r>
              <w:rPr>
                <w:b/>
                <w:noProof/>
                <w:sz w:val="20"/>
              </w:rPr>
              <w:t>Järjekorranumber</w:t>
            </w:r>
          </w:p>
        </w:tc>
        <w:tc>
          <w:tcPr>
            <w:tcW w:w="319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58D659C" w14:textId="77777777" w:rsidR="00A612E2" w:rsidRPr="003B127D" w:rsidRDefault="00A612E2" w:rsidP="008B3890">
            <w:pPr>
              <w:jc w:val="center"/>
              <w:rPr>
                <w:b/>
                <w:bCs/>
                <w:noProof/>
                <w:sz w:val="20"/>
                <w:szCs w:val="20"/>
              </w:rPr>
            </w:pPr>
            <w:r>
              <w:rPr>
                <w:b/>
                <w:noProof/>
                <w:sz w:val="20"/>
              </w:rPr>
              <w:t>Seotud meede (reform või investeering)</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C7FD9FB" w14:textId="77777777" w:rsidR="00A612E2" w:rsidRPr="00246CC4" w:rsidRDefault="00A612E2" w:rsidP="00742B81">
            <w:pPr>
              <w:jc w:val="center"/>
              <w:rPr>
                <w:b/>
                <w:bCs/>
                <w:noProof/>
                <w:sz w:val="20"/>
                <w:szCs w:val="20"/>
              </w:rPr>
            </w:pPr>
            <w:r>
              <w:rPr>
                <w:b/>
                <w:noProof/>
                <w:sz w:val="20"/>
              </w:rPr>
              <w:t>Eesmärk / siht</w:t>
            </w:r>
          </w:p>
        </w:tc>
        <w:tc>
          <w:tcPr>
            <w:tcW w:w="416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FDA3087" w14:textId="77777777" w:rsidR="00A612E2" w:rsidRPr="00246CC4" w:rsidRDefault="00A612E2" w:rsidP="00742B81">
            <w:pPr>
              <w:jc w:val="center"/>
              <w:rPr>
                <w:b/>
                <w:bCs/>
                <w:noProof/>
                <w:sz w:val="20"/>
                <w:szCs w:val="20"/>
              </w:rPr>
            </w:pPr>
            <w:r>
              <w:rPr>
                <w:b/>
                <w:noProof/>
                <w:sz w:val="20"/>
              </w:rPr>
              <w:t>Nimi</w:t>
            </w:r>
          </w:p>
        </w:tc>
      </w:tr>
      <w:tr w:rsidR="00A612E2" w:rsidRPr="00246CC4" w14:paraId="7A47DC24" w14:textId="77777777" w:rsidTr="00C5735F">
        <w:trPr>
          <w:trHeight w:val="517"/>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1E2DDB6" w14:textId="77777777" w:rsidR="00A612E2" w:rsidRPr="00246CC4" w:rsidRDefault="00A612E2" w:rsidP="00742B81">
            <w:pPr>
              <w:rPr>
                <w:b/>
                <w:bCs/>
                <w:noProof/>
              </w:rPr>
            </w:pPr>
          </w:p>
        </w:tc>
        <w:tc>
          <w:tcPr>
            <w:tcW w:w="3195" w:type="dxa"/>
            <w:vMerge/>
            <w:tcBorders>
              <w:top w:val="single" w:sz="4" w:space="0" w:color="auto"/>
              <w:left w:val="single" w:sz="4" w:space="0" w:color="auto"/>
              <w:bottom w:val="single" w:sz="4" w:space="0" w:color="auto"/>
              <w:right w:val="single" w:sz="4" w:space="0" w:color="auto"/>
            </w:tcBorders>
            <w:vAlign w:val="center"/>
            <w:hideMark/>
          </w:tcPr>
          <w:p w14:paraId="37606D4E" w14:textId="77777777" w:rsidR="00A612E2" w:rsidRPr="00246CC4" w:rsidRDefault="00A612E2" w:rsidP="008B3890">
            <w:pPr>
              <w:rPr>
                <w:b/>
                <w:bCs/>
                <w:noProof/>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094E092E" w14:textId="77777777" w:rsidR="00A612E2" w:rsidRPr="00246CC4" w:rsidRDefault="00A612E2" w:rsidP="00742B81">
            <w:pPr>
              <w:rPr>
                <w:b/>
                <w:bCs/>
                <w:noProof/>
              </w:rPr>
            </w:pPr>
          </w:p>
        </w:tc>
        <w:tc>
          <w:tcPr>
            <w:tcW w:w="4166" w:type="dxa"/>
            <w:vMerge/>
            <w:tcBorders>
              <w:top w:val="single" w:sz="4" w:space="0" w:color="auto"/>
              <w:left w:val="single" w:sz="4" w:space="0" w:color="auto"/>
              <w:bottom w:val="single" w:sz="4" w:space="0" w:color="auto"/>
              <w:right w:val="single" w:sz="4" w:space="0" w:color="auto"/>
            </w:tcBorders>
            <w:vAlign w:val="center"/>
            <w:hideMark/>
          </w:tcPr>
          <w:p w14:paraId="11C2D3E6" w14:textId="77777777" w:rsidR="00A612E2" w:rsidRPr="00246CC4" w:rsidRDefault="00A612E2" w:rsidP="00742B81">
            <w:pPr>
              <w:rPr>
                <w:b/>
                <w:bCs/>
                <w:noProof/>
              </w:rPr>
            </w:pPr>
          </w:p>
        </w:tc>
      </w:tr>
      <w:tr w:rsidR="00A612E2" w:rsidRPr="00246CC4" w14:paraId="4AC0DEFC" w14:textId="77777777" w:rsidTr="00C5735F">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1D55D1F" w14:textId="77777777" w:rsidR="00A612E2" w:rsidRPr="00246CC4" w:rsidRDefault="00A612E2" w:rsidP="00742B81">
            <w:pPr>
              <w:jc w:val="center"/>
              <w:rPr>
                <w:noProof/>
                <w:color w:val="006100"/>
                <w:sz w:val="20"/>
                <w:szCs w:val="20"/>
              </w:rPr>
            </w:pPr>
            <w:r>
              <w:rPr>
                <w:noProof/>
                <w:color w:val="006100"/>
                <w:sz w:val="20"/>
              </w:rPr>
              <w:t>M1C1-139</w:t>
            </w:r>
          </w:p>
        </w:tc>
        <w:tc>
          <w:tcPr>
            <w:tcW w:w="3195" w:type="dxa"/>
            <w:tcBorders>
              <w:top w:val="single" w:sz="4" w:space="0" w:color="auto"/>
              <w:left w:val="nil"/>
              <w:bottom w:val="single" w:sz="4" w:space="0" w:color="auto"/>
              <w:right w:val="single" w:sz="4" w:space="0" w:color="auto"/>
            </w:tcBorders>
            <w:shd w:val="clear" w:color="auto" w:fill="C6EFCE"/>
            <w:noWrap/>
            <w:vAlign w:val="center"/>
          </w:tcPr>
          <w:p w14:paraId="61623478" w14:textId="77777777" w:rsidR="00A612E2" w:rsidRPr="003B127D" w:rsidRDefault="00A612E2" w:rsidP="008B3890">
            <w:pPr>
              <w:rPr>
                <w:noProof/>
                <w:color w:val="006100"/>
                <w:sz w:val="20"/>
                <w:szCs w:val="20"/>
              </w:rPr>
            </w:pPr>
            <w:r>
              <w:rPr>
                <w:noProof/>
                <w:color w:val="006100"/>
                <w:sz w:val="20"/>
              </w:rPr>
              <w:t>Investeering 1.2. Pilvandmetöötlus kohalikule makseasutusele</w:t>
            </w:r>
          </w:p>
        </w:tc>
        <w:tc>
          <w:tcPr>
            <w:tcW w:w="1378" w:type="dxa"/>
            <w:tcBorders>
              <w:top w:val="single" w:sz="4" w:space="0" w:color="auto"/>
              <w:left w:val="nil"/>
              <w:bottom w:val="single" w:sz="4" w:space="0" w:color="auto"/>
              <w:right w:val="single" w:sz="4" w:space="0" w:color="auto"/>
            </w:tcBorders>
            <w:shd w:val="clear" w:color="auto" w:fill="C6EFCE"/>
            <w:noWrap/>
            <w:vAlign w:val="center"/>
          </w:tcPr>
          <w:p w14:paraId="0F83C101" w14:textId="77777777" w:rsidR="00A612E2" w:rsidRPr="00246CC4" w:rsidRDefault="00A612E2" w:rsidP="00742B81">
            <w:pPr>
              <w:jc w:val="center"/>
              <w:rPr>
                <w:noProof/>
                <w:color w:val="006100"/>
                <w:sz w:val="20"/>
                <w:szCs w:val="20"/>
              </w:rPr>
            </w:pPr>
            <w:r>
              <w:rPr>
                <w:noProof/>
                <w:color w:val="006100"/>
                <w:sz w:val="20"/>
              </w:rPr>
              <w:t>Siht</w:t>
            </w:r>
          </w:p>
        </w:tc>
        <w:tc>
          <w:tcPr>
            <w:tcW w:w="4166" w:type="dxa"/>
            <w:tcBorders>
              <w:top w:val="single" w:sz="4" w:space="0" w:color="auto"/>
              <w:left w:val="nil"/>
              <w:bottom w:val="single" w:sz="4" w:space="0" w:color="auto"/>
              <w:right w:val="single" w:sz="4" w:space="0" w:color="auto"/>
            </w:tcBorders>
            <w:shd w:val="clear" w:color="auto" w:fill="C6EFCE"/>
            <w:noWrap/>
            <w:vAlign w:val="center"/>
          </w:tcPr>
          <w:p w14:paraId="4C8FFBEF" w14:textId="77777777" w:rsidR="00A612E2" w:rsidRPr="00246CC4" w:rsidRDefault="00A612E2" w:rsidP="00742B81">
            <w:pPr>
              <w:jc w:val="center"/>
              <w:rPr>
                <w:noProof/>
                <w:color w:val="006100"/>
                <w:sz w:val="20"/>
                <w:szCs w:val="20"/>
              </w:rPr>
            </w:pPr>
            <w:r>
              <w:rPr>
                <w:noProof/>
                <w:color w:val="006100"/>
                <w:sz w:val="20"/>
              </w:rPr>
              <w:t>Pilvandmetöötlus kohalikule avalikule haldusele T1</w:t>
            </w:r>
          </w:p>
        </w:tc>
      </w:tr>
      <w:tr w:rsidR="00A612E2" w:rsidRPr="00D90835" w14:paraId="61A6DDB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437373F" w14:textId="77777777" w:rsidR="00A612E2" w:rsidRPr="00246CC4" w:rsidRDefault="00A612E2" w:rsidP="00742B81">
            <w:pPr>
              <w:jc w:val="center"/>
              <w:rPr>
                <w:noProof/>
                <w:color w:val="006100"/>
                <w:sz w:val="20"/>
                <w:szCs w:val="20"/>
              </w:rPr>
            </w:pPr>
            <w:r>
              <w:rPr>
                <w:noProof/>
                <w:color w:val="006100"/>
                <w:sz w:val="20"/>
              </w:rPr>
              <w:t>M2C2-25</w:t>
            </w:r>
          </w:p>
        </w:tc>
        <w:tc>
          <w:tcPr>
            <w:tcW w:w="3195" w:type="dxa"/>
            <w:tcBorders>
              <w:top w:val="nil"/>
              <w:left w:val="nil"/>
              <w:bottom w:val="single" w:sz="4" w:space="0" w:color="auto"/>
              <w:right w:val="single" w:sz="4" w:space="0" w:color="auto"/>
            </w:tcBorders>
            <w:shd w:val="clear" w:color="auto" w:fill="C6EFCE"/>
            <w:noWrap/>
            <w:vAlign w:val="center"/>
          </w:tcPr>
          <w:p w14:paraId="354F5397" w14:textId="77777777" w:rsidR="00A612E2" w:rsidRPr="003B127D" w:rsidRDefault="00A612E2" w:rsidP="008B3890">
            <w:pPr>
              <w:rPr>
                <w:noProof/>
                <w:color w:val="006100"/>
                <w:sz w:val="20"/>
                <w:szCs w:val="20"/>
              </w:rPr>
            </w:pPr>
            <w:r>
              <w:rPr>
                <w:noProof/>
                <w:color w:val="006100"/>
                <w:sz w:val="20"/>
              </w:rPr>
              <w:t xml:space="preserve">Investeering 4.2. Masstranspordi kiirsüsteemide arendamine </w:t>
            </w:r>
          </w:p>
        </w:tc>
        <w:tc>
          <w:tcPr>
            <w:tcW w:w="1378" w:type="dxa"/>
            <w:tcBorders>
              <w:top w:val="nil"/>
              <w:left w:val="nil"/>
              <w:bottom w:val="single" w:sz="4" w:space="0" w:color="auto"/>
              <w:right w:val="single" w:sz="4" w:space="0" w:color="auto"/>
            </w:tcBorders>
            <w:shd w:val="clear" w:color="auto" w:fill="C6EFCE"/>
            <w:noWrap/>
            <w:vAlign w:val="center"/>
          </w:tcPr>
          <w:p w14:paraId="3F468A51" w14:textId="77777777" w:rsidR="00A612E2" w:rsidRPr="00246CC4" w:rsidRDefault="00A612E2" w:rsidP="00742B81">
            <w:pPr>
              <w:jc w:val="center"/>
              <w:rPr>
                <w:noProof/>
                <w:color w:val="006100"/>
                <w:sz w:val="20"/>
                <w:szCs w:val="20"/>
              </w:rPr>
            </w:pPr>
            <w:r>
              <w:rPr>
                <w:noProof/>
                <w:color w:val="006100"/>
                <w:sz w:val="20"/>
              </w:rPr>
              <w:t>Eesmärk</w:t>
            </w:r>
          </w:p>
        </w:tc>
        <w:tc>
          <w:tcPr>
            <w:tcW w:w="4166" w:type="dxa"/>
            <w:tcBorders>
              <w:top w:val="nil"/>
              <w:left w:val="nil"/>
              <w:bottom w:val="single" w:sz="4" w:space="0" w:color="auto"/>
              <w:right w:val="single" w:sz="4" w:space="0" w:color="auto"/>
            </w:tcBorders>
            <w:shd w:val="clear" w:color="auto" w:fill="C6EFCE"/>
            <w:noWrap/>
            <w:vAlign w:val="center"/>
          </w:tcPr>
          <w:p w14:paraId="103523B0" w14:textId="77777777" w:rsidR="00A612E2" w:rsidRPr="003B127D" w:rsidRDefault="00A612E2" w:rsidP="00742B81">
            <w:pPr>
              <w:jc w:val="center"/>
              <w:rPr>
                <w:noProof/>
                <w:color w:val="006100"/>
                <w:sz w:val="20"/>
                <w:szCs w:val="20"/>
              </w:rPr>
            </w:pPr>
            <w:r>
              <w:rPr>
                <w:noProof/>
                <w:color w:val="006100"/>
                <w:sz w:val="20"/>
              </w:rPr>
              <w:t>Kõigi riigihankelepingute sõlmimine heitevaba veeremi ostmiseks ja meetmed kiirete masstranspordisüsteemide taristu ajakohastamiseks</w:t>
            </w:r>
          </w:p>
        </w:tc>
      </w:tr>
      <w:tr w:rsidR="00A612E2" w:rsidRPr="00D90835" w14:paraId="36869F0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995B4D0" w14:textId="77777777" w:rsidR="00A612E2" w:rsidRPr="00246CC4" w:rsidRDefault="00A612E2" w:rsidP="00742B81">
            <w:pPr>
              <w:jc w:val="center"/>
              <w:rPr>
                <w:noProof/>
                <w:color w:val="006100"/>
                <w:sz w:val="20"/>
                <w:szCs w:val="20"/>
              </w:rPr>
            </w:pPr>
            <w:r>
              <w:rPr>
                <w:noProof/>
                <w:color w:val="006100"/>
                <w:sz w:val="20"/>
              </w:rPr>
              <w:t>M2C4-11</w:t>
            </w:r>
          </w:p>
        </w:tc>
        <w:tc>
          <w:tcPr>
            <w:tcW w:w="3195" w:type="dxa"/>
            <w:tcBorders>
              <w:top w:val="nil"/>
              <w:left w:val="nil"/>
              <w:bottom w:val="single" w:sz="4" w:space="0" w:color="auto"/>
              <w:right w:val="single" w:sz="4" w:space="0" w:color="auto"/>
            </w:tcBorders>
            <w:shd w:val="clear" w:color="auto" w:fill="C6EFCE"/>
            <w:noWrap/>
            <w:vAlign w:val="center"/>
          </w:tcPr>
          <w:p w14:paraId="5F4673E4" w14:textId="77777777" w:rsidR="00A612E2" w:rsidRPr="003B127D" w:rsidRDefault="00A612E2" w:rsidP="008B3890">
            <w:pPr>
              <w:rPr>
                <w:noProof/>
                <w:color w:val="006100"/>
                <w:sz w:val="20"/>
                <w:szCs w:val="20"/>
              </w:rPr>
            </w:pPr>
            <w:r>
              <w:rPr>
                <w:noProof/>
                <w:color w:val="006100"/>
                <w:sz w:val="20"/>
              </w:rPr>
              <w:t>Investeering 2.1.a. Üleujutus- ja hüdrogeoloogilise ohu vähendamise meetmed – sekkumised Emilia Romagnas, Toscanas ja Marches</w:t>
            </w:r>
          </w:p>
        </w:tc>
        <w:tc>
          <w:tcPr>
            <w:tcW w:w="1378" w:type="dxa"/>
            <w:tcBorders>
              <w:top w:val="nil"/>
              <w:left w:val="nil"/>
              <w:bottom w:val="single" w:sz="4" w:space="0" w:color="auto"/>
              <w:right w:val="single" w:sz="4" w:space="0" w:color="auto"/>
            </w:tcBorders>
            <w:shd w:val="clear" w:color="auto" w:fill="C6EFCE"/>
            <w:noWrap/>
            <w:vAlign w:val="center"/>
          </w:tcPr>
          <w:p w14:paraId="2CD8D3FC" w14:textId="77777777" w:rsidR="00A612E2" w:rsidRPr="00246CC4" w:rsidRDefault="00A612E2" w:rsidP="00742B81">
            <w:pPr>
              <w:jc w:val="center"/>
              <w:rPr>
                <w:noProof/>
                <w:color w:val="006100"/>
                <w:sz w:val="20"/>
                <w:szCs w:val="20"/>
              </w:rPr>
            </w:pPr>
            <w:r>
              <w:rPr>
                <w:noProof/>
                <w:color w:val="006100"/>
                <w:sz w:val="20"/>
              </w:rPr>
              <w:t>Eesmärk</w:t>
            </w:r>
          </w:p>
        </w:tc>
        <w:tc>
          <w:tcPr>
            <w:tcW w:w="4166" w:type="dxa"/>
            <w:tcBorders>
              <w:top w:val="nil"/>
              <w:left w:val="nil"/>
              <w:bottom w:val="single" w:sz="4" w:space="0" w:color="auto"/>
              <w:right w:val="single" w:sz="4" w:space="0" w:color="auto"/>
            </w:tcBorders>
            <w:shd w:val="clear" w:color="auto" w:fill="C6EFCE"/>
            <w:noWrap/>
            <w:vAlign w:val="center"/>
          </w:tcPr>
          <w:p w14:paraId="15494271" w14:textId="77777777" w:rsidR="00A612E2" w:rsidRPr="003B127D" w:rsidRDefault="00A612E2" w:rsidP="00742B81">
            <w:pPr>
              <w:jc w:val="center"/>
              <w:rPr>
                <w:noProof/>
                <w:color w:val="006100"/>
                <w:sz w:val="20"/>
                <w:szCs w:val="20"/>
              </w:rPr>
            </w:pPr>
            <w:r>
              <w:rPr>
                <w:noProof/>
                <w:color w:val="006100"/>
                <w:sz w:val="20"/>
              </w:rPr>
              <w:t>Sekkumise kindlaksmääramine hädaolukorra voliniku määruse(te)ga</w:t>
            </w:r>
          </w:p>
        </w:tc>
      </w:tr>
      <w:tr w:rsidR="00A612E2" w:rsidRPr="00D90835" w14:paraId="32DEA1E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58E9472" w14:textId="77777777" w:rsidR="00A612E2" w:rsidRPr="00246CC4" w:rsidRDefault="00A612E2" w:rsidP="00742B81">
            <w:pPr>
              <w:jc w:val="center"/>
              <w:rPr>
                <w:noProof/>
                <w:color w:val="006100"/>
                <w:sz w:val="20"/>
                <w:szCs w:val="20"/>
              </w:rPr>
            </w:pPr>
            <w:r>
              <w:rPr>
                <w:noProof/>
                <w:color w:val="006100"/>
                <w:sz w:val="20"/>
              </w:rPr>
              <w:t>M7-46</w:t>
            </w:r>
          </w:p>
        </w:tc>
        <w:tc>
          <w:tcPr>
            <w:tcW w:w="3195" w:type="dxa"/>
            <w:tcBorders>
              <w:top w:val="nil"/>
              <w:left w:val="nil"/>
              <w:bottom w:val="single" w:sz="4" w:space="0" w:color="auto"/>
              <w:right w:val="single" w:sz="4" w:space="0" w:color="auto"/>
            </w:tcBorders>
            <w:shd w:val="clear" w:color="auto" w:fill="C6EFCE"/>
            <w:noWrap/>
            <w:vAlign w:val="center"/>
          </w:tcPr>
          <w:p w14:paraId="29E1C443" w14:textId="77777777" w:rsidR="00A612E2" w:rsidRPr="003B127D" w:rsidRDefault="00A612E2" w:rsidP="008B3890">
            <w:pPr>
              <w:rPr>
                <w:noProof/>
                <w:color w:val="006100"/>
                <w:sz w:val="20"/>
                <w:szCs w:val="20"/>
              </w:rPr>
            </w:pPr>
            <w:r>
              <w:rPr>
                <w:noProof/>
                <w:color w:val="006100"/>
                <w:sz w:val="20"/>
              </w:rPr>
              <w:t>Investeering 17. Avaliku sektori ja sotsiaaleluruumide energiatõhusaks renoveerimise rahastamisvahend</w:t>
            </w:r>
          </w:p>
        </w:tc>
        <w:tc>
          <w:tcPr>
            <w:tcW w:w="1378" w:type="dxa"/>
            <w:tcBorders>
              <w:top w:val="nil"/>
              <w:left w:val="nil"/>
              <w:bottom w:val="single" w:sz="4" w:space="0" w:color="auto"/>
              <w:right w:val="single" w:sz="4" w:space="0" w:color="auto"/>
            </w:tcBorders>
            <w:shd w:val="clear" w:color="auto" w:fill="C6EFCE"/>
            <w:noWrap/>
            <w:vAlign w:val="center"/>
          </w:tcPr>
          <w:p w14:paraId="553318ED" w14:textId="77777777" w:rsidR="00A612E2" w:rsidRPr="00246CC4" w:rsidRDefault="00A612E2" w:rsidP="00742B81">
            <w:pPr>
              <w:jc w:val="center"/>
              <w:rPr>
                <w:noProof/>
                <w:color w:val="006100"/>
                <w:sz w:val="20"/>
                <w:szCs w:val="20"/>
              </w:rPr>
            </w:pPr>
            <w:r>
              <w:rPr>
                <w:noProof/>
                <w:color w:val="006100"/>
                <w:sz w:val="20"/>
              </w:rPr>
              <w:t>Eesmärk</w:t>
            </w:r>
          </w:p>
        </w:tc>
        <w:tc>
          <w:tcPr>
            <w:tcW w:w="4166" w:type="dxa"/>
            <w:tcBorders>
              <w:top w:val="nil"/>
              <w:left w:val="nil"/>
              <w:bottom w:val="single" w:sz="4" w:space="0" w:color="auto"/>
              <w:right w:val="single" w:sz="4" w:space="0" w:color="auto"/>
            </w:tcBorders>
            <w:shd w:val="clear" w:color="auto" w:fill="C6EFCE"/>
            <w:noWrap/>
            <w:vAlign w:val="center"/>
          </w:tcPr>
          <w:p w14:paraId="24502D17" w14:textId="77777777" w:rsidR="00A612E2" w:rsidRPr="003B127D" w:rsidRDefault="00A612E2" w:rsidP="00742B81">
            <w:pPr>
              <w:jc w:val="center"/>
              <w:rPr>
                <w:noProof/>
                <w:color w:val="006100"/>
                <w:sz w:val="20"/>
                <w:szCs w:val="20"/>
              </w:rPr>
            </w:pPr>
            <w:r>
              <w:rPr>
                <w:noProof/>
                <w:color w:val="006100"/>
                <w:sz w:val="20"/>
              </w:rPr>
              <w:t>Volituste eesmärgi määratlemine</w:t>
            </w:r>
          </w:p>
        </w:tc>
      </w:tr>
      <w:tr w:rsidR="00A612E2" w:rsidRPr="00D90835" w14:paraId="7F341C68"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1F5C687" w14:textId="77777777" w:rsidR="00A612E2" w:rsidRPr="00246CC4" w:rsidRDefault="00A612E2" w:rsidP="00742B81">
            <w:pPr>
              <w:jc w:val="center"/>
              <w:rPr>
                <w:noProof/>
                <w:color w:val="006100"/>
                <w:sz w:val="20"/>
                <w:szCs w:val="20"/>
              </w:rPr>
            </w:pPr>
            <w:r>
              <w:rPr>
                <w:noProof/>
                <w:color w:val="006100"/>
                <w:sz w:val="20"/>
              </w:rPr>
              <w:t>M1C1-140</w:t>
            </w:r>
          </w:p>
        </w:tc>
        <w:tc>
          <w:tcPr>
            <w:tcW w:w="3195" w:type="dxa"/>
            <w:tcBorders>
              <w:top w:val="nil"/>
              <w:left w:val="nil"/>
              <w:bottom w:val="single" w:sz="4" w:space="0" w:color="auto"/>
              <w:right w:val="single" w:sz="4" w:space="0" w:color="auto"/>
            </w:tcBorders>
            <w:shd w:val="clear" w:color="auto" w:fill="C6EFCE"/>
            <w:noWrap/>
            <w:vAlign w:val="center"/>
          </w:tcPr>
          <w:p w14:paraId="6CCDF7F1" w14:textId="77777777" w:rsidR="00A612E2" w:rsidRPr="003B127D" w:rsidRDefault="00A612E2" w:rsidP="008B3890">
            <w:pPr>
              <w:rPr>
                <w:noProof/>
                <w:color w:val="006100"/>
                <w:sz w:val="20"/>
                <w:szCs w:val="20"/>
              </w:rPr>
            </w:pPr>
            <w:r>
              <w:rPr>
                <w:noProof/>
                <w:color w:val="006100"/>
                <w:sz w:val="20"/>
              </w:rPr>
              <w:t>Investeering 1.4.1. Kodaniku kogemused – digitaalsete avalike teenuste kvaliteedi ja kasutatavuse parandamine</w:t>
            </w:r>
          </w:p>
        </w:tc>
        <w:tc>
          <w:tcPr>
            <w:tcW w:w="1378" w:type="dxa"/>
            <w:tcBorders>
              <w:top w:val="nil"/>
              <w:left w:val="nil"/>
              <w:bottom w:val="single" w:sz="4" w:space="0" w:color="auto"/>
              <w:right w:val="single" w:sz="4" w:space="0" w:color="auto"/>
            </w:tcBorders>
            <w:shd w:val="clear" w:color="auto" w:fill="C6EFCE"/>
            <w:noWrap/>
            <w:vAlign w:val="center"/>
          </w:tcPr>
          <w:p w14:paraId="34ADBCA8" w14:textId="77777777" w:rsidR="00A612E2" w:rsidRPr="00246CC4" w:rsidRDefault="00A612E2" w:rsidP="00742B81">
            <w:pPr>
              <w:jc w:val="center"/>
              <w:rPr>
                <w:noProof/>
                <w:color w:val="006100"/>
                <w:sz w:val="20"/>
                <w:szCs w:val="20"/>
              </w:rPr>
            </w:pPr>
            <w:r>
              <w:rPr>
                <w:noProof/>
                <w:color w:val="006100"/>
                <w:sz w:val="20"/>
              </w:rPr>
              <w:t>Siht</w:t>
            </w:r>
          </w:p>
        </w:tc>
        <w:tc>
          <w:tcPr>
            <w:tcW w:w="4166" w:type="dxa"/>
            <w:tcBorders>
              <w:top w:val="nil"/>
              <w:left w:val="nil"/>
              <w:bottom w:val="single" w:sz="4" w:space="0" w:color="auto"/>
              <w:right w:val="single" w:sz="4" w:space="0" w:color="auto"/>
            </w:tcBorders>
            <w:shd w:val="clear" w:color="auto" w:fill="C6EFCE"/>
            <w:noWrap/>
            <w:vAlign w:val="center"/>
          </w:tcPr>
          <w:p w14:paraId="082B4649" w14:textId="77777777" w:rsidR="00A612E2" w:rsidRPr="003B127D" w:rsidRDefault="00A612E2" w:rsidP="00742B81">
            <w:pPr>
              <w:jc w:val="center"/>
              <w:rPr>
                <w:noProof/>
                <w:color w:val="006100"/>
                <w:sz w:val="20"/>
                <w:szCs w:val="20"/>
              </w:rPr>
            </w:pPr>
            <w:r>
              <w:rPr>
                <w:noProof/>
                <w:color w:val="006100"/>
                <w:sz w:val="20"/>
              </w:rPr>
              <w:t>Digitaalsete avalike teenuste T1 kvaliteedi ja kasutatavuse parandamine</w:t>
            </w:r>
          </w:p>
        </w:tc>
      </w:tr>
      <w:tr w:rsidR="00A612E2" w:rsidRPr="00D90835" w14:paraId="2AEC8647"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D32C356" w14:textId="77777777" w:rsidR="00A612E2" w:rsidRPr="00246CC4" w:rsidRDefault="00A612E2" w:rsidP="00742B81">
            <w:pPr>
              <w:jc w:val="center"/>
              <w:rPr>
                <w:noProof/>
                <w:color w:val="006100"/>
                <w:sz w:val="20"/>
                <w:szCs w:val="20"/>
              </w:rPr>
            </w:pPr>
            <w:r>
              <w:rPr>
                <w:noProof/>
                <w:color w:val="006100"/>
                <w:sz w:val="20"/>
              </w:rPr>
              <w:t>M1C1-141</w:t>
            </w:r>
          </w:p>
        </w:tc>
        <w:tc>
          <w:tcPr>
            <w:tcW w:w="3195" w:type="dxa"/>
            <w:tcBorders>
              <w:top w:val="nil"/>
              <w:left w:val="nil"/>
              <w:bottom w:val="single" w:sz="4" w:space="0" w:color="auto"/>
              <w:right w:val="single" w:sz="4" w:space="0" w:color="auto"/>
            </w:tcBorders>
            <w:shd w:val="clear" w:color="auto" w:fill="C6EFCE"/>
            <w:noWrap/>
            <w:vAlign w:val="center"/>
          </w:tcPr>
          <w:p w14:paraId="6F7C6FF7" w14:textId="77777777" w:rsidR="00A612E2" w:rsidRPr="003B127D" w:rsidRDefault="00A612E2" w:rsidP="008B3890">
            <w:pPr>
              <w:rPr>
                <w:noProof/>
                <w:color w:val="006100"/>
                <w:sz w:val="20"/>
                <w:szCs w:val="20"/>
              </w:rPr>
            </w:pPr>
            <w:r>
              <w:rPr>
                <w:noProof/>
                <w:color w:val="006100"/>
                <w:sz w:val="20"/>
              </w:rPr>
              <w:t>Investeering 1.6.4. Kaitseministeeriumi digiteerimine</w:t>
            </w:r>
          </w:p>
        </w:tc>
        <w:tc>
          <w:tcPr>
            <w:tcW w:w="1378" w:type="dxa"/>
            <w:tcBorders>
              <w:top w:val="nil"/>
              <w:left w:val="nil"/>
              <w:bottom w:val="single" w:sz="4" w:space="0" w:color="auto"/>
              <w:right w:val="single" w:sz="4" w:space="0" w:color="auto"/>
            </w:tcBorders>
            <w:shd w:val="clear" w:color="auto" w:fill="C6EFCE"/>
            <w:noWrap/>
            <w:vAlign w:val="center"/>
          </w:tcPr>
          <w:p w14:paraId="13E039A4" w14:textId="77777777" w:rsidR="00A612E2" w:rsidRPr="00246CC4" w:rsidRDefault="00A612E2" w:rsidP="00742B81">
            <w:pPr>
              <w:jc w:val="center"/>
              <w:rPr>
                <w:noProof/>
                <w:color w:val="006100"/>
                <w:sz w:val="20"/>
                <w:szCs w:val="20"/>
              </w:rPr>
            </w:pPr>
            <w:r>
              <w:rPr>
                <w:noProof/>
                <w:color w:val="006100"/>
                <w:sz w:val="20"/>
              </w:rPr>
              <w:t>Siht</w:t>
            </w:r>
          </w:p>
        </w:tc>
        <w:tc>
          <w:tcPr>
            <w:tcW w:w="4166" w:type="dxa"/>
            <w:tcBorders>
              <w:top w:val="nil"/>
              <w:left w:val="nil"/>
              <w:bottom w:val="single" w:sz="4" w:space="0" w:color="auto"/>
              <w:right w:val="single" w:sz="4" w:space="0" w:color="auto"/>
            </w:tcBorders>
            <w:shd w:val="clear" w:color="auto" w:fill="C6EFCE"/>
            <w:noWrap/>
            <w:vAlign w:val="center"/>
          </w:tcPr>
          <w:p w14:paraId="1C0FF311" w14:textId="77777777" w:rsidR="00A612E2" w:rsidRPr="003B127D" w:rsidRDefault="00A612E2" w:rsidP="00742B81">
            <w:pPr>
              <w:jc w:val="center"/>
              <w:rPr>
                <w:noProof/>
                <w:color w:val="006100"/>
                <w:sz w:val="20"/>
                <w:szCs w:val="20"/>
              </w:rPr>
            </w:pPr>
            <w:r>
              <w:rPr>
                <w:noProof/>
                <w:color w:val="006100"/>
                <w:sz w:val="20"/>
              </w:rPr>
              <w:t>Kaitseministeeriumi menetluste digiteerimine T2</w:t>
            </w:r>
          </w:p>
        </w:tc>
      </w:tr>
      <w:tr w:rsidR="00A612E2" w:rsidRPr="00D90835" w14:paraId="4FB9F314"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EE826FC" w14:textId="77777777" w:rsidR="00A612E2" w:rsidRPr="00246CC4" w:rsidRDefault="00A612E2" w:rsidP="00742B81">
            <w:pPr>
              <w:jc w:val="center"/>
              <w:rPr>
                <w:noProof/>
                <w:color w:val="006100"/>
                <w:sz w:val="20"/>
                <w:szCs w:val="20"/>
              </w:rPr>
            </w:pPr>
            <w:r>
              <w:rPr>
                <w:noProof/>
                <w:color w:val="006100"/>
                <w:sz w:val="20"/>
              </w:rPr>
              <w:t>M1C1-142</w:t>
            </w:r>
          </w:p>
        </w:tc>
        <w:tc>
          <w:tcPr>
            <w:tcW w:w="3195" w:type="dxa"/>
            <w:tcBorders>
              <w:top w:val="nil"/>
              <w:left w:val="nil"/>
              <w:bottom w:val="single" w:sz="4" w:space="0" w:color="auto"/>
              <w:right w:val="single" w:sz="4" w:space="0" w:color="auto"/>
            </w:tcBorders>
            <w:shd w:val="clear" w:color="auto" w:fill="C6EFCE"/>
            <w:noWrap/>
            <w:vAlign w:val="center"/>
          </w:tcPr>
          <w:p w14:paraId="3B2C7F8B" w14:textId="77777777" w:rsidR="00A612E2" w:rsidRPr="003B127D" w:rsidRDefault="00A612E2" w:rsidP="008B3890">
            <w:pPr>
              <w:rPr>
                <w:noProof/>
                <w:color w:val="006100"/>
                <w:sz w:val="20"/>
                <w:szCs w:val="20"/>
              </w:rPr>
            </w:pPr>
            <w:r>
              <w:rPr>
                <w:noProof/>
                <w:color w:val="006100"/>
                <w:sz w:val="20"/>
              </w:rPr>
              <w:t>Investeering 1.6.4. Kaitseministeeriumi digiteerimine</w:t>
            </w:r>
          </w:p>
        </w:tc>
        <w:tc>
          <w:tcPr>
            <w:tcW w:w="1378" w:type="dxa"/>
            <w:tcBorders>
              <w:top w:val="nil"/>
              <w:left w:val="nil"/>
              <w:bottom w:val="single" w:sz="4" w:space="0" w:color="auto"/>
              <w:right w:val="single" w:sz="4" w:space="0" w:color="auto"/>
            </w:tcBorders>
            <w:shd w:val="clear" w:color="auto" w:fill="C6EFCE"/>
            <w:noWrap/>
            <w:vAlign w:val="center"/>
          </w:tcPr>
          <w:p w14:paraId="3525C3D9" w14:textId="77777777" w:rsidR="00A612E2" w:rsidRPr="00246CC4" w:rsidRDefault="00A612E2" w:rsidP="00742B81">
            <w:pPr>
              <w:jc w:val="center"/>
              <w:rPr>
                <w:noProof/>
                <w:color w:val="006100"/>
                <w:sz w:val="20"/>
                <w:szCs w:val="20"/>
              </w:rPr>
            </w:pPr>
            <w:r>
              <w:rPr>
                <w:noProof/>
                <w:color w:val="006100"/>
                <w:sz w:val="20"/>
              </w:rPr>
              <w:t>Siht</w:t>
            </w:r>
          </w:p>
        </w:tc>
        <w:tc>
          <w:tcPr>
            <w:tcW w:w="4166" w:type="dxa"/>
            <w:tcBorders>
              <w:top w:val="nil"/>
              <w:left w:val="nil"/>
              <w:bottom w:val="single" w:sz="4" w:space="0" w:color="auto"/>
              <w:right w:val="single" w:sz="4" w:space="0" w:color="auto"/>
            </w:tcBorders>
            <w:shd w:val="clear" w:color="auto" w:fill="C6EFCE"/>
            <w:noWrap/>
            <w:vAlign w:val="center"/>
          </w:tcPr>
          <w:p w14:paraId="04D73932" w14:textId="77777777" w:rsidR="00A612E2" w:rsidRPr="003B127D" w:rsidRDefault="00A612E2" w:rsidP="00742B81">
            <w:pPr>
              <w:jc w:val="center"/>
              <w:rPr>
                <w:noProof/>
                <w:color w:val="006100"/>
                <w:sz w:val="20"/>
                <w:szCs w:val="20"/>
              </w:rPr>
            </w:pPr>
            <w:r>
              <w:rPr>
                <w:noProof/>
                <w:color w:val="006100"/>
                <w:sz w:val="20"/>
              </w:rPr>
              <w:t>Kaitseministeeriumi tunnistuste T2 digiteerimine</w:t>
            </w:r>
          </w:p>
        </w:tc>
      </w:tr>
      <w:tr w:rsidR="00A612E2" w:rsidRPr="00246CC4" w14:paraId="0BA40D0C"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BAF1DC9" w14:textId="77777777" w:rsidR="00A612E2" w:rsidRPr="00246CC4" w:rsidRDefault="00A612E2" w:rsidP="00742B81">
            <w:pPr>
              <w:jc w:val="center"/>
              <w:rPr>
                <w:noProof/>
                <w:color w:val="006100"/>
                <w:sz w:val="20"/>
                <w:szCs w:val="20"/>
              </w:rPr>
            </w:pPr>
            <w:r>
              <w:rPr>
                <w:noProof/>
                <w:color w:val="006100"/>
                <w:sz w:val="20"/>
              </w:rPr>
              <w:t>M1C1-143</w:t>
            </w:r>
          </w:p>
        </w:tc>
        <w:tc>
          <w:tcPr>
            <w:tcW w:w="3195" w:type="dxa"/>
            <w:tcBorders>
              <w:top w:val="nil"/>
              <w:left w:val="nil"/>
              <w:bottom w:val="single" w:sz="4" w:space="0" w:color="auto"/>
              <w:right w:val="single" w:sz="4" w:space="0" w:color="auto"/>
            </w:tcBorders>
            <w:shd w:val="clear" w:color="auto" w:fill="C6EFCE"/>
            <w:noWrap/>
            <w:vAlign w:val="center"/>
          </w:tcPr>
          <w:p w14:paraId="7816617D" w14:textId="77777777" w:rsidR="00A612E2" w:rsidRPr="003B127D" w:rsidRDefault="00A612E2" w:rsidP="008B3890">
            <w:pPr>
              <w:rPr>
                <w:noProof/>
                <w:color w:val="006100"/>
                <w:sz w:val="20"/>
                <w:szCs w:val="20"/>
              </w:rPr>
            </w:pPr>
            <w:r>
              <w:rPr>
                <w:noProof/>
                <w:color w:val="006100"/>
                <w:sz w:val="20"/>
              </w:rPr>
              <w:t>Investeering 1.6.4. Kaitseministeeriumi digiteerimine</w:t>
            </w:r>
          </w:p>
        </w:tc>
        <w:tc>
          <w:tcPr>
            <w:tcW w:w="1378" w:type="dxa"/>
            <w:tcBorders>
              <w:top w:val="nil"/>
              <w:left w:val="nil"/>
              <w:bottom w:val="single" w:sz="4" w:space="0" w:color="auto"/>
              <w:right w:val="single" w:sz="4" w:space="0" w:color="auto"/>
            </w:tcBorders>
            <w:shd w:val="clear" w:color="auto" w:fill="C6EFCE"/>
            <w:noWrap/>
            <w:vAlign w:val="center"/>
          </w:tcPr>
          <w:p w14:paraId="0DA6DE77" w14:textId="77777777" w:rsidR="00A612E2" w:rsidRPr="00246CC4" w:rsidRDefault="00A612E2" w:rsidP="00742B81">
            <w:pPr>
              <w:jc w:val="center"/>
              <w:rPr>
                <w:noProof/>
                <w:color w:val="006100"/>
                <w:sz w:val="20"/>
                <w:szCs w:val="20"/>
              </w:rPr>
            </w:pPr>
            <w:r>
              <w:rPr>
                <w:noProof/>
                <w:color w:val="006100"/>
                <w:sz w:val="20"/>
              </w:rPr>
              <w:t>Siht</w:t>
            </w:r>
          </w:p>
        </w:tc>
        <w:tc>
          <w:tcPr>
            <w:tcW w:w="4166" w:type="dxa"/>
            <w:tcBorders>
              <w:top w:val="nil"/>
              <w:left w:val="nil"/>
              <w:bottom w:val="single" w:sz="4" w:space="0" w:color="auto"/>
              <w:right w:val="single" w:sz="4" w:space="0" w:color="auto"/>
            </w:tcBorders>
            <w:shd w:val="clear" w:color="auto" w:fill="C6EFCE"/>
            <w:noWrap/>
            <w:vAlign w:val="center"/>
          </w:tcPr>
          <w:p w14:paraId="55B13DFE" w14:textId="77777777" w:rsidR="00A612E2" w:rsidRPr="00246CC4" w:rsidRDefault="00A612E2" w:rsidP="00742B81">
            <w:pPr>
              <w:jc w:val="center"/>
              <w:rPr>
                <w:noProof/>
                <w:color w:val="006100"/>
                <w:sz w:val="20"/>
                <w:szCs w:val="20"/>
              </w:rPr>
            </w:pPr>
            <w:r>
              <w:rPr>
                <w:noProof/>
                <w:color w:val="006100"/>
                <w:sz w:val="20"/>
              </w:rPr>
              <w:t>Kaitseministeerium – missiooniväliste elutähtsate rakenduste migratsioon infrastruktuuri avatusest tuleneva täieliku teabekaitse lahendusesse (S.C.I.P.I.O.). T2</w:t>
            </w:r>
          </w:p>
        </w:tc>
      </w:tr>
      <w:tr w:rsidR="00A612E2" w:rsidRPr="00D90835" w14:paraId="14A5C76F"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F953BAF" w14:textId="77777777" w:rsidR="00A612E2" w:rsidRPr="00246CC4" w:rsidRDefault="00A612E2" w:rsidP="00742B81">
            <w:pPr>
              <w:jc w:val="center"/>
              <w:rPr>
                <w:noProof/>
                <w:color w:val="006100"/>
                <w:sz w:val="20"/>
                <w:szCs w:val="20"/>
              </w:rPr>
            </w:pPr>
            <w:r>
              <w:rPr>
                <w:noProof/>
                <w:color w:val="006100"/>
                <w:sz w:val="20"/>
              </w:rPr>
              <w:t>M1C2-19</w:t>
            </w:r>
          </w:p>
        </w:tc>
        <w:tc>
          <w:tcPr>
            <w:tcW w:w="3195" w:type="dxa"/>
            <w:tcBorders>
              <w:top w:val="nil"/>
              <w:left w:val="nil"/>
              <w:bottom w:val="single" w:sz="4" w:space="0" w:color="auto"/>
              <w:right w:val="single" w:sz="4" w:space="0" w:color="auto"/>
            </w:tcBorders>
            <w:shd w:val="clear" w:color="auto" w:fill="C6EFCE"/>
            <w:noWrap/>
            <w:vAlign w:val="center"/>
          </w:tcPr>
          <w:p w14:paraId="0B1F7681" w14:textId="77777777" w:rsidR="00A612E2" w:rsidRPr="003B127D" w:rsidRDefault="00A612E2" w:rsidP="008B3890">
            <w:pPr>
              <w:rPr>
                <w:noProof/>
                <w:color w:val="006100"/>
                <w:sz w:val="20"/>
                <w:szCs w:val="20"/>
              </w:rPr>
            </w:pPr>
            <w:r>
              <w:rPr>
                <w:noProof/>
                <w:color w:val="006100"/>
                <w:sz w:val="20"/>
              </w:rPr>
              <w:t>Investeering 3. Kiire internetiühendus (Ultra lairibaühendus ja 5G)</w:t>
            </w:r>
          </w:p>
        </w:tc>
        <w:tc>
          <w:tcPr>
            <w:tcW w:w="1378" w:type="dxa"/>
            <w:tcBorders>
              <w:top w:val="nil"/>
              <w:left w:val="nil"/>
              <w:bottom w:val="single" w:sz="4" w:space="0" w:color="auto"/>
              <w:right w:val="single" w:sz="4" w:space="0" w:color="auto"/>
            </w:tcBorders>
            <w:shd w:val="clear" w:color="auto" w:fill="C6EFCE"/>
            <w:noWrap/>
            <w:vAlign w:val="center"/>
          </w:tcPr>
          <w:p w14:paraId="5111E2BE" w14:textId="77777777" w:rsidR="00A612E2" w:rsidRPr="00246CC4" w:rsidRDefault="00A612E2" w:rsidP="00742B81">
            <w:pPr>
              <w:jc w:val="center"/>
              <w:rPr>
                <w:noProof/>
                <w:color w:val="006100"/>
                <w:sz w:val="20"/>
                <w:szCs w:val="20"/>
              </w:rPr>
            </w:pPr>
            <w:r>
              <w:rPr>
                <w:noProof/>
                <w:color w:val="006100"/>
                <w:sz w:val="20"/>
              </w:rPr>
              <w:t>Siht</w:t>
            </w:r>
          </w:p>
        </w:tc>
        <w:tc>
          <w:tcPr>
            <w:tcW w:w="4166" w:type="dxa"/>
            <w:tcBorders>
              <w:top w:val="nil"/>
              <w:left w:val="nil"/>
              <w:bottom w:val="single" w:sz="4" w:space="0" w:color="auto"/>
              <w:right w:val="single" w:sz="4" w:space="0" w:color="auto"/>
            </w:tcBorders>
            <w:shd w:val="clear" w:color="auto" w:fill="C6EFCE"/>
            <w:noWrap/>
            <w:vAlign w:val="center"/>
          </w:tcPr>
          <w:p w14:paraId="36346F7C" w14:textId="77777777" w:rsidR="00A612E2" w:rsidRPr="003B127D" w:rsidRDefault="00A612E2" w:rsidP="00742B81">
            <w:pPr>
              <w:jc w:val="center"/>
              <w:rPr>
                <w:noProof/>
                <w:color w:val="006100"/>
                <w:sz w:val="20"/>
                <w:szCs w:val="20"/>
              </w:rPr>
            </w:pPr>
            <w:r>
              <w:rPr>
                <w:noProof/>
                <w:color w:val="006100"/>
                <w:sz w:val="20"/>
              </w:rPr>
              <w:t>Saartel on ülilairibaühendus.</w:t>
            </w:r>
          </w:p>
        </w:tc>
      </w:tr>
      <w:tr w:rsidR="00A612E2" w:rsidRPr="00246CC4" w14:paraId="0E0C7F3D"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6E0A991" w14:textId="77777777" w:rsidR="00A612E2" w:rsidRPr="00246CC4" w:rsidRDefault="00A612E2" w:rsidP="00742B81">
            <w:pPr>
              <w:jc w:val="center"/>
              <w:rPr>
                <w:noProof/>
                <w:color w:val="006100"/>
                <w:sz w:val="20"/>
                <w:szCs w:val="20"/>
              </w:rPr>
            </w:pPr>
            <w:r>
              <w:rPr>
                <w:noProof/>
                <w:color w:val="006100"/>
                <w:sz w:val="20"/>
              </w:rPr>
              <w:t>M1C2-30</w:t>
            </w:r>
          </w:p>
        </w:tc>
        <w:tc>
          <w:tcPr>
            <w:tcW w:w="3195" w:type="dxa"/>
            <w:tcBorders>
              <w:top w:val="nil"/>
              <w:left w:val="nil"/>
              <w:bottom w:val="single" w:sz="4" w:space="0" w:color="auto"/>
              <w:right w:val="single" w:sz="4" w:space="0" w:color="auto"/>
            </w:tcBorders>
            <w:shd w:val="clear" w:color="auto" w:fill="C6EFCE"/>
            <w:noWrap/>
            <w:vAlign w:val="center"/>
          </w:tcPr>
          <w:p w14:paraId="63D5FB03" w14:textId="77777777" w:rsidR="00A612E2" w:rsidRPr="003B127D" w:rsidRDefault="00A612E2" w:rsidP="008B3890">
            <w:pPr>
              <w:rPr>
                <w:noProof/>
                <w:color w:val="006100"/>
                <w:sz w:val="20"/>
                <w:szCs w:val="20"/>
              </w:rPr>
            </w:pPr>
            <w:r>
              <w:rPr>
                <w:noProof/>
                <w:color w:val="006100"/>
                <w:sz w:val="20"/>
              </w:rPr>
              <w:t>Investeering 7. Ökoloogilise ülemineku tootmissüsteemi, nullnetotehnoloogia ning strateegiliste tarneahelate konkurentsivõime ja vastupanuvõime toetamine</w:t>
            </w:r>
          </w:p>
        </w:tc>
        <w:tc>
          <w:tcPr>
            <w:tcW w:w="1378" w:type="dxa"/>
            <w:tcBorders>
              <w:top w:val="nil"/>
              <w:left w:val="nil"/>
              <w:bottom w:val="single" w:sz="4" w:space="0" w:color="auto"/>
              <w:right w:val="single" w:sz="4" w:space="0" w:color="auto"/>
            </w:tcBorders>
            <w:shd w:val="clear" w:color="auto" w:fill="C6EFCE"/>
            <w:noWrap/>
            <w:vAlign w:val="center"/>
          </w:tcPr>
          <w:p w14:paraId="230B8C0A" w14:textId="77777777" w:rsidR="00A612E2" w:rsidRPr="00246CC4" w:rsidRDefault="00A612E2" w:rsidP="00742B81">
            <w:pPr>
              <w:rPr>
                <w:noProof/>
                <w:color w:val="006100"/>
                <w:sz w:val="20"/>
                <w:szCs w:val="20"/>
              </w:rPr>
            </w:pPr>
            <w:r>
              <w:rPr>
                <w:noProof/>
                <w:color w:val="006100"/>
                <w:sz w:val="20"/>
              </w:rPr>
              <w:t>Eesmärk</w:t>
            </w:r>
          </w:p>
        </w:tc>
        <w:tc>
          <w:tcPr>
            <w:tcW w:w="4166" w:type="dxa"/>
            <w:tcBorders>
              <w:top w:val="nil"/>
              <w:left w:val="nil"/>
              <w:bottom w:val="single" w:sz="4" w:space="0" w:color="auto"/>
              <w:right w:val="single" w:sz="4" w:space="0" w:color="auto"/>
            </w:tcBorders>
            <w:shd w:val="clear" w:color="auto" w:fill="C6EFCE"/>
            <w:noWrap/>
            <w:vAlign w:val="center"/>
          </w:tcPr>
          <w:p w14:paraId="0D082F55" w14:textId="77777777" w:rsidR="00A612E2" w:rsidRPr="00246CC4" w:rsidRDefault="00A612E2" w:rsidP="00742B81">
            <w:pPr>
              <w:rPr>
                <w:noProof/>
                <w:color w:val="006100"/>
                <w:sz w:val="20"/>
                <w:szCs w:val="20"/>
              </w:rPr>
            </w:pPr>
            <w:r>
              <w:rPr>
                <w:noProof/>
                <w:color w:val="006100"/>
                <w:sz w:val="20"/>
              </w:rPr>
              <w:t>Rakendusleping</w:t>
            </w:r>
          </w:p>
        </w:tc>
      </w:tr>
      <w:tr w:rsidR="00A612E2" w:rsidRPr="00D90835" w14:paraId="644A0465"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079F2D9" w14:textId="77777777" w:rsidR="00A612E2" w:rsidRPr="00246CC4" w:rsidRDefault="00A612E2" w:rsidP="00742B81">
            <w:pPr>
              <w:jc w:val="center"/>
              <w:rPr>
                <w:noProof/>
                <w:color w:val="006100"/>
                <w:sz w:val="20"/>
                <w:szCs w:val="20"/>
              </w:rPr>
            </w:pPr>
            <w:r>
              <w:rPr>
                <w:noProof/>
                <w:color w:val="006100"/>
                <w:sz w:val="20"/>
              </w:rPr>
              <w:t>M1C2-31</w:t>
            </w:r>
          </w:p>
        </w:tc>
        <w:tc>
          <w:tcPr>
            <w:tcW w:w="3195" w:type="dxa"/>
            <w:tcBorders>
              <w:top w:val="nil"/>
              <w:left w:val="nil"/>
              <w:bottom w:val="single" w:sz="4" w:space="0" w:color="auto"/>
              <w:right w:val="single" w:sz="4" w:space="0" w:color="auto"/>
            </w:tcBorders>
            <w:shd w:val="clear" w:color="auto" w:fill="C6EFCE"/>
            <w:noWrap/>
            <w:vAlign w:val="center"/>
          </w:tcPr>
          <w:p w14:paraId="31661E56" w14:textId="77777777" w:rsidR="00A612E2" w:rsidRPr="003B127D" w:rsidRDefault="00A612E2" w:rsidP="008B3890">
            <w:pPr>
              <w:rPr>
                <w:noProof/>
                <w:color w:val="006100"/>
                <w:sz w:val="20"/>
                <w:szCs w:val="20"/>
              </w:rPr>
            </w:pPr>
            <w:r>
              <w:rPr>
                <w:noProof/>
                <w:color w:val="006100"/>
                <w:sz w:val="20"/>
              </w:rPr>
              <w:t>Investeering 7. Toetus ökoloogilise ülemineku tootmissüsteemile, nullnetotehnoloogiale ning strateegiliste tarneahelate konkurentsivõimele ja vastupanuvõimele</w:t>
            </w:r>
          </w:p>
        </w:tc>
        <w:tc>
          <w:tcPr>
            <w:tcW w:w="1378" w:type="dxa"/>
            <w:tcBorders>
              <w:top w:val="nil"/>
              <w:left w:val="nil"/>
              <w:bottom w:val="single" w:sz="4" w:space="0" w:color="auto"/>
              <w:right w:val="single" w:sz="4" w:space="0" w:color="auto"/>
            </w:tcBorders>
            <w:shd w:val="clear" w:color="auto" w:fill="C6EFCE"/>
            <w:noWrap/>
            <w:vAlign w:val="center"/>
          </w:tcPr>
          <w:p w14:paraId="35A6A93A" w14:textId="77777777" w:rsidR="00A612E2" w:rsidRPr="00246CC4" w:rsidRDefault="00A612E2" w:rsidP="00742B81">
            <w:pPr>
              <w:rPr>
                <w:noProof/>
                <w:color w:val="006100"/>
                <w:sz w:val="20"/>
                <w:szCs w:val="20"/>
              </w:rPr>
            </w:pPr>
            <w:r>
              <w:rPr>
                <w:noProof/>
                <w:color w:val="006100"/>
                <w:sz w:val="20"/>
              </w:rPr>
              <w:t>Eesmärk</w:t>
            </w:r>
          </w:p>
        </w:tc>
        <w:tc>
          <w:tcPr>
            <w:tcW w:w="4166" w:type="dxa"/>
            <w:tcBorders>
              <w:top w:val="nil"/>
              <w:left w:val="nil"/>
              <w:bottom w:val="single" w:sz="4" w:space="0" w:color="auto"/>
              <w:right w:val="single" w:sz="4" w:space="0" w:color="auto"/>
            </w:tcBorders>
            <w:shd w:val="clear" w:color="auto" w:fill="C6EFCE"/>
            <w:noWrap/>
            <w:vAlign w:val="center"/>
          </w:tcPr>
          <w:p w14:paraId="55B6E3B2" w14:textId="77777777" w:rsidR="00A612E2" w:rsidRPr="003B127D" w:rsidRDefault="00A612E2" w:rsidP="00742B81">
            <w:pPr>
              <w:rPr>
                <w:noProof/>
                <w:color w:val="006100"/>
                <w:sz w:val="20"/>
                <w:szCs w:val="20"/>
              </w:rPr>
            </w:pPr>
            <w:r>
              <w:rPr>
                <w:noProof/>
                <w:color w:val="006100"/>
                <w:sz w:val="20"/>
              </w:rPr>
              <w:t>Itaalia Ettevõtlus- ja Made’i ministeerium on investeeringu lõpule viinud</w:t>
            </w:r>
          </w:p>
        </w:tc>
      </w:tr>
      <w:tr w:rsidR="00A612E2" w:rsidRPr="00D90835" w14:paraId="1F746CD3"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69783A4" w14:textId="77777777" w:rsidR="00A612E2" w:rsidRPr="00246CC4" w:rsidRDefault="00A612E2" w:rsidP="00742B81">
            <w:pPr>
              <w:jc w:val="center"/>
              <w:rPr>
                <w:noProof/>
                <w:color w:val="006100"/>
                <w:sz w:val="20"/>
                <w:szCs w:val="20"/>
              </w:rPr>
            </w:pPr>
            <w:r>
              <w:rPr>
                <w:noProof/>
                <w:color w:val="006100"/>
                <w:sz w:val="20"/>
              </w:rPr>
              <w:t>M1C3-27</w:t>
            </w:r>
          </w:p>
        </w:tc>
        <w:tc>
          <w:tcPr>
            <w:tcW w:w="3195" w:type="dxa"/>
            <w:tcBorders>
              <w:top w:val="nil"/>
              <w:left w:val="nil"/>
              <w:bottom w:val="single" w:sz="4" w:space="0" w:color="auto"/>
              <w:right w:val="single" w:sz="4" w:space="0" w:color="auto"/>
            </w:tcBorders>
            <w:shd w:val="clear" w:color="auto" w:fill="C6EFCE"/>
            <w:noWrap/>
            <w:vAlign w:val="center"/>
          </w:tcPr>
          <w:p w14:paraId="7DA1E219" w14:textId="77777777" w:rsidR="00A612E2" w:rsidRPr="003B127D" w:rsidRDefault="00A612E2" w:rsidP="008B3890">
            <w:pPr>
              <w:rPr>
                <w:noProof/>
                <w:color w:val="006100"/>
                <w:sz w:val="20"/>
                <w:szCs w:val="20"/>
              </w:rPr>
            </w:pPr>
            <w:r>
              <w:rPr>
                <w:noProof/>
                <w:color w:val="006100"/>
                <w:sz w:val="20"/>
              </w:rPr>
              <w:t>Investeering 4.3. Caput Mundi Next Generation EU turismialastele suurüritustele</w:t>
            </w:r>
          </w:p>
        </w:tc>
        <w:tc>
          <w:tcPr>
            <w:tcW w:w="1378" w:type="dxa"/>
            <w:tcBorders>
              <w:top w:val="nil"/>
              <w:left w:val="nil"/>
              <w:bottom w:val="single" w:sz="4" w:space="0" w:color="auto"/>
              <w:right w:val="single" w:sz="4" w:space="0" w:color="auto"/>
            </w:tcBorders>
            <w:shd w:val="clear" w:color="auto" w:fill="C6EFCE"/>
            <w:noWrap/>
            <w:vAlign w:val="center"/>
          </w:tcPr>
          <w:p w14:paraId="466BC9C6" w14:textId="77777777" w:rsidR="00A612E2" w:rsidRPr="00246CC4" w:rsidRDefault="00A612E2" w:rsidP="00742B81">
            <w:pPr>
              <w:jc w:val="center"/>
              <w:rPr>
                <w:noProof/>
                <w:color w:val="006100"/>
                <w:sz w:val="20"/>
                <w:szCs w:val="20"/>
              </w:rPr>
            </w:pPr>
            <w:r>
              <w:rPr>
                <w:noProof/>
                <w:color w:val="006100"/>
                <w:sz w:val="20"/>
              </w:rPr>
              <w:t>Siht</w:t>
            </w:r>
          </w:p>
        </w:tc>
        <w:tc>
          <w:tcPr>
            <w:tcW w:w="4166" w:type="dxa"/>
            <w:tcBorders>
              <w:top w:val="nil"/>
              <w:left w:val="nil"/>
              <w:bottom w:val="single" w:sz="4" w:space="0" w:color="auto"/>
              <w:right w:val="single" w:sz="4" w:space="0" w:color="auto"/>
            </w:tcBorders>
            <w:shd w:val="clear" w:color="auto" w:fill="C6EFCE"/>
            <w:noWrap/>
            <w:vAlign w:val="center"/>
          </w:tcPr>
          <w:p w14:paraId="302891F7" w14:textId="77777777" w:rsidR="00A612E2" w:rsidRPr="003B127D" w:rsidRDefault="00A612E2" w:rsidP="00742B81">
            <w:pPr>
              <w:jc w:val="center"/>
              <w:rPr>
                <w:noProof/>
                <w:color w:val="006100"/>
                <w:sz w:val="20"/>
                <w:szCs w:val="20"/>
              </w:rPr>
            </w:pPr>
            <w:r>
              <w:rPr>
                <w:noProof/>
                <w:color w:val="006100"/>
                <w:sz w:val="20"/>
              </w:rPr>
              <w:t xml:space="preserve">Kultuuri- ja turismiobjektid, mille ümberkvalifitseerumine jõudis keskmiselt 50 %ni Stato Avanzamento Lavori (SAL) (esimene partii) </w:t>
            </w:r>
          </w:p>
        </w:tc>
      </w:tr>
      <w:tr w:rsidR="00A612E2" w:rsidRPr="00246CC4" w14:paraId="0CA9B477"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07FA80D" w14:textId="77777777" w:rsidR="00A612E2" w:rsidRPr="00246CC4" w:rsidRDefault="00A612E2" w:rsidP="00742B81">
            <w:pPr>
              <w:jc w:val="center"/>
              <w:rPr>
                <w:noProof/>
                <w:color w:val="006100"/>
                <w:sz w:val="20"/>
                <w:szCs w:val="20"/>
              </w:rPr>
            </w:pPr>
            <w:r>
              <w:rPr>
                <w:noProof/>
                <w:color w:val="006100"/>
                <w:sz w:val="20"/>
              </w:rPr>
              <w:t>M2C1-16bis</w:t>
            </w:r>
          </w:p>
        </w:tc>
        <w:tc>
          <w:tcPr>
            <w:tcW w:w="3195" w:type="dxa"/>
            <w:tcBorders>
              <w:top w:val="nil"/>
              <w:left w:val="nil"/>
              <w:bottom w:val="single" w:sz="4" w:space="0" w:color="auto"/>
              <w:right w:val="single" w:sz="4" w:space="0" w:color="auto"/>
            </w:tcBorders>
            <w:shd w:val="clear" w:color="auto" w:fill="C6EFCE"/>
            <w:noWrap/>
            <w:vAlign w:val="center"/>
          </w:tcPr>
          <w:p w14:paraId="4C5EECEA" w14:textId="77777777" w:rsidR="00A612E2" w:rsidRPr="003B127D" w:rsidRDefault="00A612E2" w:rsidP="008B3890">
            <w:pPr>
              <w:rPr>
                <w:noProof/>
                <w:color w:val="006100"/>
                <w:sz w:val="20"/>
                <w:szCs w:val="20"/>
              </w:rPr>
            </w:pPr>
            <w:r>
              <w:rPr>
                <w:noProof/>
                <w:color w:val="006100"/>
                <w:sz w:val="20"/>
              </w:rPr>
              <w:t>Investeering 1.1. Uute jäätmekäitlusjaamade rakendamine ja olemasolevate rajatiste moderniseerimine</w:t>
            </w:r>
          </w:p>
        </w:tc>
        <w:tc>
          <w:tcPr>
            <w:tcW w:w="1378" w:type="dxa"/>
            <w:tcBorders>
              <w:top w:val="nil"/>
              <w:left w:val="nil"/>
              <w:bottom w:val="single" w:sz="4" w:space="0" w:color="auto"/>
              <w:right w:val="single" w:sz="4" w:space="0" w:color="auto"/>
            </w:tcBorders>
            <w:shd w:val="clear" w:color="auto" w:fill="C6EFCE"/>
            <w:noWrap/>
            <w:vAlign w:val="center"/>
          </w:tcPr>
          <w:p w14:paraId="70B39FF3" w14:textId="77777777" w:rsidR="00A612E2" w:rsidRPr="00246CC4" w:rsidRDefault="00A612E2" w:rsidP="00742B81">
            <w:pPr>
              <w:jc w:val="center"/>
              <w:rPr>
                <w:noProof/>
                <w:color w:val="006100"/>
                <w:sz w:val="20"/>
                <w:szCs w:val="20"/>
              </w:rPr>
            </w:pPr>
            <w:r>
              <w:rPr>
                <w:noProof/>
                <w:color w:val="006100"/>
                <w:sz w:val="20"/>
              </w:rPr>
              <w:t>Siht</w:t>
            </w:r>
          </w:p>
        </w:tc>
        <w:tc>
          <w:tcPr>
            <w:tcW w:w="4166" w:type="dxa"/>
            <w:tcBorders>
              <w:top w:val="nil"/>
              <w:left w:val="nil"/>
              <w:bottom w:val="single" w:sz="4" w:space="0" w:color="auto"/>
              <w:right w:val="single" w:sz="4" w:space="0" w:color="auto"/>
            </w:tcBorders>
            <w:shd w:val="clear" w:color="auto" w:fill="C6EFCE"/>
            <w:noWrap/>
            <w:vAlign w:val="center"/>
          </w:tcPr>
          <w:p w14:paraId="360C3067" w14:textId="77777777" w:rsidR="00A612E2" w:rsidRPr="00246CC4" w:rsidRDefault="00A612E2" w:rsidP="00742B81">
            <w:pPr>
              <w:jc w:val="center"/>
              <w:rPr>
                <w:noProof/>
                <w:color w:val="006100"/>
                <w:sz w:val="20"/>
                <w:szCs w:val="20"/>
              </w:rPr>
            </w:pPr>
            <w:r>
              <w:rPr>
                <w:noProof/>
                <w:color w:val="006100"/>
                <w:sz w:val="20"/>
              </w:rPr>
              <w:t>Ebaseaduslikud prügilad</w:t>
            </w:r>
          </w:p>
        </w:tc>
      </w:tr>
      <w:tr w:rsidR="00A612E2" w:rsidRPr="00D90835" w14:paraId="4DD43518"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57CF2EC" w14:textId="77777777" w:rsidR="00A612E2" w:rsidRPr="00246CC4" w:rsidRDefault="00A612E2" w:rsidP="00742B81">
            <w:pPr>
              <w:jc w:val="center"/>
              <w:rPr>
                <w:noProof/>
                <w:color w:val="006100"/>
                <w:sz w:val="20"/>
                <w:szCs w:val="20"/>
              </w:rPr>
            </w:pPr>
            <w:r>
              <w:rPr>
                <w:noProof/>
                <w:color w:val="006100"/>
                <w:sz w:val="20"/>
              </w:rPr>
              <w:t>M2C1-16ter</w:t>
            </w:r>
          </w:p>
        </w:tc>
        <w:tc>
          <w:tcPr>
            <w:tcW w:w="3195" w:type="dxa"/>
            <w:tcBorders>
              <w:top w:val="nil"/>
              <w:left w:val="nil"/>
              <w:bottom w:val="single" w:sz="4" w:space="0" w:color="auto"/>
              <w:right w:val="single" w:sz="4" w:space="0" w:color="auto"/>
            </w:tcBorders>
            <w:shd w:val="clear" w:color="auto" w:fill="C6EFCE"/>
            <w:noWrap/>
            <w:vAlign w:val="center"/>
          </w:tcPr>
          <w:p w14:paraId="058042B2" w14:textId="77777777" w:rsidR="00A612E2" w:rsidRPr="003B127D" w:rsidRDefault="00A612E2" w:rsidP="008B3890">
            <w:pPr>
              <w:rPr>
                <w:noProof/>
                <w:color w:val="006100"/>
                <w:sz w:val="20"/>
                <w:szCs w:val="20"/>
              </w:rPr>
            </w:pPr>
            <w:r>
              <w:rPr>
                <w:noProof/>
                <w:color w:val="006100"/>
                <w:sz w:val="20"/>
              </w:rPr>
              <w:t>Reform 1.2. Riiklik jäätmekäitluse programm 1.1 – Uute jäätmekäitlusjaamade rakendamine ja olemasolevate jaamade moderniseerimine</w:t>
            </w:r>
          </w:p>
        </w:tc>
        <w:tc>
          <w:tcPr>
            <w:tcW w:w="1378" w:type="dxa"/>
            <w:tcBorders>
              <w:top w:val="nil"/>
              <w:left w:val="nil"/>
              <w:bottom w:val="single" w:sz="4" w:space="0" w:color="auto"/>
              <w:right w:val="single" w:sz="4" w:space="0" w:color="auto"/>
            </w:tcBorders>
            <w:shd w:val="clear" w:color="auto" w:fill="C6EFCE"/>
            <w:noWrap/>
            <w:vAlign w:val="center"/>
          </w:tcPr>
          <w:p w14:paraId="248B5CEA" w14:textId="77777777" w:rsidR="00A612E2" w:rsidRPr="00246CC4" w:rsidRDefault="00A612E2" w:rsidP="00742B81">
            <w:pPr>
              <w:jc w:val="center"/>
              <w:rPr>
                <w:noProof/>
                <w:color w:val="006100"/>
                <w:sz w:val="20"/>
                <w:szCs w:val="20"/>
              </w:rPr>
            </w:pPr>
            <w:r>
              <w:rPr>
                <w:noProof/>
                <w:color w:val="006100"/>
                <w:sz w:val="20"/>
              </w:rPr>
              <w:t>Siht</w:t>
            </w:r>
          </w:p>
        </w:tc>
        <w:tc>
          <w:tcPr>
            <w:tcW w:w="4166" w:type="dxa"/>
            <w:tcBorders>
              <w:top w:val="nil"/>
              <w:left w:val="nil"/>
              <w:bottom w:val="single" w:sz="4" w:space="0" w:color="auto"/>
              <w:right w:val="single" w:sz="4" w:space="0" w:color="auto"/>
            </w:tcBorders>
            <w:shd w:val="clear" w:color="auto" w:fill="C6EFCE"/>
            <w:noWrap/>
            <w:vAlign w:val="center"/>
          </w:tcPr>
          <w:p w14:paraId="117843F8" w14:textId="77777777" w:rsidR="00A612E2" w:rsidRPr="003B127D" w:rsidRDefault="00A612E2" w:rsidP="00742B81">
            <w:pPr>
              <w:jc w:val="center"/>
              <w:rPr>
                <w:noProof/>
                <w:color w:val="006100"/>
                <w:sz w:val="20"/>
                <w:szCs w:val="20"/>
              </w:rPr>
            </w:pPr>
            <w:r>
              <w:rPr>
                <w:noProof/>
                <w:color w:val="006100"/>
                <w:sz w:val="20"/>
              </w:rPr>
              <w:t>Piirkondlikud erinevused liigiti kogumise määrades</w:t>
            </w:r>
          </w:p>
        </w:tc>
      </w:tr>
      <w:tr w:rsidR="00A612E2" w:rsidRPr="00D90835" w14:paraId="0973AC84"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105B5CE" w14:textId="77777777" w:rsidR="00A612E2" w:rsidRPr="00246CC4" w:rsidRDefault="00A612E2" w:rsidP="00742B81">
            <w:pPr>
              <w:jc w:val="center"/>
              <w:rPr>
                <w:noProof/>
                <w:color w:val="006100"/>
                <w:sz w:val="20"/>
                <w:szCs w:val="20"/>
              </w:rPr>
            </w:pPr>
            <w:r>
              <w:rPr>
                <w:noProof/>
                <w:color w:val="006100"/>
                <w:sz w:val="20"/>
              </w:rPr>
              <w:t>M2C1-25</w:t>
            </w:r>
          </w:p>
        </w:tc>
        <w:tc>
          <w:tcPr>
            <w:tcW w:w="3195" w:type="dxa"/>
            <w:tcBorders>
              <w:top w:val="nil"/>
              <w:left w:val="nil"/>
              <w:bottom w:val="single" w:sz="4" w:space="0" w:color="auto"/>
              <w:right w:val="single" w:sz="4" w:space="0" w:color="auto"/>
            </w:tcBorders>
            <w:shd w:val="clear" w:color="auto" w:fill="C6EFCE"/>
            <w:noWrap/>
            <w:vAlign w:val="center"/>
          </w:tcPr>
          <w:p w14:paraId="331C82BE" w14:textId="77777777" w:rsidR="00A612E2" w:rsidRPr="003B127D" w:rsidRDefault="00A612E2" w:rsidP="008B3890">
            <w:pPr>
              <w:rPr>
                <w:noProof/>
                <w:color w:val="006100"/>
                <w:sz w:val="20"/>
                <w:szCs w:val="20"/>
              </w:rPr>
            </w:pPr>
            <w:r>
              <w:rPr>
                <w:noProof/>
                <w:color w:val="006100"/>
                <w:sz w:val="20"/>
              </w:rPr>
              <w:t>Investeering 3.4. Fondo Contratti di Filiera (FCF), et toetada tarneahelalepinguid põllumajandusliku toidutööstuse, kalanduse ja vesiviljeluse, metsanduse, lillekasvatuse ja taimekoolide sektoris</w:t>
            </w:r>
          </w:p>
        </w:tc>
        <w:tc>
          <w:tcPr>
            <w:tcW w:w="1378" w:type="dxa"/>
            <w:tcBorders>
              <w:top w:val="nil"/>
              <w:left w:val="nil"/>
              <w:bottom w:val="single" w:sz="4" w:space="0" w:color="auto"/>
              <w:right w:val="single" w:sz="4" w:space="0" w:color="auto"/>
            </w:tcBorders>
            <w:shd w:val="clear" w:color="auto" w:fill="C6EFCE"/>
            <w:noWrap/>
            <w:vAlign w:val="center"/>
          </w:tcPr>
          <w:p w14:paraId="67D083DE" w14:textId="77777777" w:rsidR="00A612E2" w:rsidRPr="00246CC4" w:rsidRDefault="00A612E2" w:rsidP="00742B81">
            <w:pPr>
              <w:jc w:val="center"/>
              <w:rPr>
                <w:noProof/>
                <w:color w:val="006100"/>
                <w:sz w:val="20"/>
                <w:szCs w:val="20"/>
              </w:rPr>
            </w:pPr>
            <w:r>
              <w:rPr>
                <w:noProof/>
                <w:color w:val="006100"/>
                <w:sz w:val="20"/>
              </w:rPr>
              <w:t>Eesmärk</w:t>
            </w:r>
          </w:p>
        </w:tc>
        <w:tc>
          <w:tcPr>
            <w:tcW w:w="4166" w:type="dxa"/>
            <w:tcBorders>
              <w:top w:val="nil"/>
              <w:left w:val="nil"/>
              <w:bottom w:val="single" w:sz="4" w:space="0" w:color="auto"/>
              <w:right w:val="single" w:sz="4" w:space="0" w:color="auto"/>
            </w:tcBorders>
            <w:shd w:val="clear" w:color="auto" w:fill="C6EFCE"/>
            <w:noWrap/>
            <w:vAlign w:val="center"/>
          </w:tcPr>
          <w:p w14:paraId="455FDB7A" w14:textId="77777777" w:rsidR="00A612E2" w:rsidRPr="003B127D" w:rsidRDefault="00A612E2" w:rsidP="00742B81">
            <w:pPr>
              <w:jc w:val="center"/>
              <w:rPr>
                <w:noProof/>
                <w:color w:val="006100"/>
                <w:sz w:val="20"/>
                <w:szCs w:val="20"/>
              </w:rPr>
            </w:pPr>
            <w:r>
              <w:rPr>
                <w:noProof/>
                <w:color w:val="006100"/>
                <w:sz w:val="20"/>
              </w:rPr>
              <w:t>Ministeerium on vahendite kogusumma ümber paigutanud</w:t>
            </w:r>
          </w:p>
        </w:tc>
      </w:tr>
      <w:tr w:rsidR="00A612E2" w:rsidRPr="00D90835" w14:paraId="5DB09F81"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5AE0B96" w14:textId="77777777" w:rsidR="00A612E2" w:rsidRPr="00246CC4" w:rsidRDefault="00A612E2" w:rsidP="00742B81">
            <w:pPr>
              <w:jc w:val="center"/>
              <w:rPr>
                <w:noProof/>
                <w:color w:val="006100"/>
                <w:sz w:val="20"/>
                <w:szCs w:val="20"/>
              </w:rPr>
            </w:pPr>
            <w:r>
              <w:rPr>
                <w:noProof/>
                <w:color w:val="006100"/>
                <w:sz w:val="20"/>
              </w:rPr>
              <w:t>M2C2-9</w:t>
            </w:r>
          </w:p>
        </w:tc>
        <w:tc>
          <w:tcPr>
            <w:tcW w:w="3195" w:type="dxa"/>
            <w:tcBorders>
              <w:top w:val="nil"/>
              <w:left w:val="nil"/>
              <w:bottom w:val="single" w:sz="4" w:space="0" w:color="auto"/>
              <w:right w:val="single" w:sz="4" w:space="0" w:color="auto"/>
            </w:tcBorders>
            <w:shd w:val="clear" w:color="auto" w:fill="C6EFCE"/>
            <w:noWrap/>
            <w:vAlign w:val="center"/>
          </w:tcPr>
          <w:p w14:paraId="70FF45D7" w14:textId="77777777" w:rsidR="00A612E2" w:rsidRPr="00246CC4" w:rsidRDefault="00A612E2" w:rsidP="008B3890">
            <w:pPr>
              <w:rPr>
                <w:noProof/>
                <w:color w:val="006100"/>
                <w:sz w:val="20"/>
                <w:szCs w:val="20"/>
              </w:rPr>
            </w:pPr>
            <w:r>
              <w:rPr>
                <w:noProof/>
                <w:color w:val="006100"/>
                <w:sz w:val="20"/>
              </w:rPr>
              <w:t>Investeering 2.1. Arukate võrkude tugevdamine</w:t>
            </w:r>
          </w:p>
        </w:tc>
        <w:tc>
          <w:tcPr>
            <w:tcW w:w="1378" w:type="dxa"/>
            <w:tcBorders>
              <w:top w:val="nil"/>
              <w:left w:val="nil"/>
              <w:bottom w:val="single" w:sz="4" w:space="0" w:color="auto"/>
              <w:right w:val="single" w:sz="4" w:space="0" w:color="auto"/>
            </w:tcBorders>
            <w:shd w:val="clear" w:color="auto" w:fill="C6EFCE"/>
            <w:noWrap/>
            <w:vAlign w:val="center"/>
          </w:tcPr>
          <w:p w14:paraId="0C274CD5" w14:textId="77777777" w:rsidR="00A612E2" w:rsidRPr="00246CC4" w:rsidRDefault="00A612E2" w:rsidP="00742B81">
            <w:pPr>
              <w:jc w:val="center"/>
              <w:rPr>
                <w:noProof/>
                <w:color w:val="006100"/>
                <w:sz w:val="20"/>
                <w:szCs w:val="20"/>
              </w:rPr>
            </w:pPr>
            <w:r>
              <w:rPr>
                <w:noProof/>
                <w:color w:val="006100"/>
                <w:sz w:val="20"/>
              </w:rPr>
              <w:t>Siht</w:t>
            </w:r>
          </w:p>
        </w:tc>
        <w:tc>
          <w:tcPr>
            <w:tcW w:w="4166" w:type="dxa"/>
            <w:tcBorders>
              <w:top w:val="nil"/>
              <w:left w:val="nil"/>
              <w:bottom w:val="single" w:sz="4" w:space="0" w:color="auto"/>
              <w:right w:val="single" w:sz="4" w:space="0" w:color="auto"/>
            </w:tcBorders>
            <w:shd w:val="clear" w:color="auto" w:fill="C6EFCE"/>
            <w:noWrap/>
            <w:vAlign w:val="center"/>
          </w:tcPr>
          <w:p w14:paraId="5ABB4771" w14:textId="77777777" w:rsidR="00A612E2" w:rsidRPr="003B127D" w:rsidRDefault="00A612E2" w:rsidP="00742B81">
            <w:pPr>
              <w:jc w:val="center"/>
              <w:rPr>
                <w:noProof/>
                <w:color w:val="006100"/>
                <w:sz w:val="20"/>
                <w:szCs w:val="20"/>
              </w:rPr>
            </w:pPr>
            <w:r>
              <w:rPr>
                <w:noProof/>
                <w:color w:val="006100"/>
                <w:sz w:val="20"/>
              </w:rPr>
              <w:t>Arukad võrgud – suurendada võrguvõimsust taastuvenergia jaotamiseks</w:t>
            </w:r>
          </w:p>
        </w:tc>
      </w:tr>
      <w:tr w:rsidR="00A612E2" w:rsidRPr="00D90835" w14:paraId="0552D19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BE3EF74" w14:textId="77777777" w:rsidR="00A612E2" w:rsidRPr="00246CC4" w:rsidRDefault="00A612E2" w:rsidP="00742B81">
            <w:pPr>
              <w:jc w:val="center"/>
              <w:rPr>
                <w:noProof/>
                <w:color w:val="006100"/>
                <w:sz w:val="20"/>
                <w:szCs w:val="20"/>
              </w:rPr>
            </w:pPr>
            <w:r>
              <w:rPr>
                <w:noProof/>
                <w:color w:val="006100"/>
                <w:sz w:val="20"/>
              </w:rPr>
              <w:t>M2C2-34</w:t>
            </w:r>
          </w:p>
        </w:tc>
        <w:tc>
          <w:tcPr>
            <w:tcW w:w="3195" w:type="dxa"/>
            <w:tcBorders>
              <w:top w:val="nil"/>
              <w:left w:val="nil"/>
              <w:bottom w:val="single" w:sz="4" w:space="0" w:color="auto"/>
              <w:right w:val="single" w:sz="4" w:space="0" w:color="auto"/>
            </w:tcBorders>
            <w:shd w:val="clear" w:color="auto" w:fill="C6EFCE"/>
            <w:noWrap/>
            <w:vAlign w:val="center"/>
          </w:tcPr>
          <w:p w14:paraId="52661BF1" w14:textId="77777777" w:rsidR="00A612E2" w:rsidRPr="003B127D" w:rsidRDefault="00A612E2" w:rsidP="008B3890">
            <w:pPr>
              <w:rPr>
                <w:noProof/>
                <w:color w:val="006100"/>
                <w:sz w:val="20"/>
                <w:szCs w:val="20"/>
              </w:rPr>
            </w:pPr>
            <w:r>
              <w:rPr>
                <w:noProof/>
                <w:color w:val="006100"/>
                <w:sz w:val="20"/>
              </w:rPr>
              <w:t>Investeering 4.4.1. Heiteta vähese põrandaga bussidega piirkondliku ühistranspordi bussipargi tugevdamine</w:t>
            </w:r>
          </w:p>
        </w:tc>
        <w:tc>
          <w:tcPr>
            <w:tcW w:w="1378" w:type="dxa"/>
            <w:tcBorders>
              <w:top w:val="nil"/>
              <w:left w:val="nil"/>
              <w:bottom w:val="single" w:sz="4" w:space="0" w:color="auto"/>
              <w:right w:val="single" w:sz="4" w:space="0" w:color="auto"/>
            </w:tcBorders>
            <w:shd w:val="clear" w:color="auto" w:fill="C6EFCE"/>
            <w:noWrap/>
            <w:vAlign w:val="center"/>
          </w:tcPr>
          <w:p w14:paraId="324ACE7C" w14:textId="77777777" w:rsidR="00A612E2" w:rsidRPr="00246CC4" w:rsidRDefault="00A612E2" w:rsidP="00742B81">
            <w:pPr>
              <w:jc w:val="center"/>
              <w:rPr>
                <w:noProof/>
                <w:color w:val="006100"/>
                <w:sz w:val="20"/>
                <w:szCs w:val="20"/>
              </w:rPr>
            </w:pPr>
            <w:r>
              <w:rPr>
                <w:noProof/>
                <w:color w:val="006100"/>
                <w:sz w:val="20"/>
              </w:rPr>
              <w:t>Siht</w:t>
            </w:r>
          </w:p>
        </w:tc>
        <w:tc>
          <w:tcPr>
            <w:tcW w:w="4166" w:type="dxa"/>
            <w:tcBorders>
              <w:top w:val="nil"/>
              <w:left w:val="nil"/>
              <w:bottom w:val="single" w:sz="4" w:space="0" w:color="auto"/>
              <w:right w:val="single" w:sz="4" w:space="0" w:color="auto"/>
            </w:tcBorders>
            <w:shd w:val="clear" w:color="auto" w:fill="C6EFCE"/>
            <w:noWrap/>
            <w:vAlign w:val="center"/>
          </w:tcPr>
          <w:p w14:paraId="7AE02E08" w14:textId="77777777" w:rsidR="00A612E2" w:rsidRPr="003B127D" w:rsidRDefault="00A612E2" w:rsidP="00742B81">
            <w:pPr>
              <w:jc w:val="center"/>
              <w:rPr>
                <w:noProof/>
                <w:color w:val="006100"/>
                <w:sz w:val="20"/>
                <w:szCs w:val="20"/>
              </w:rPr>
            </w:pPr>
            <w:r>
              <w:rPr>
                <w:noProof/>
                <w:color w:val="006100"/>
                <w:sz w:val="20"/>
              </w:rPr>
              <w:t>Ostetud heiteta vähese põrandaga busside arv T1</w:t>
            </w:r>
          </w:p>
        </w:tc>
      </w:tr>
      <w:tr w:rsidR="00A612E2" w:rsidRPr="00D90835" w14:paraId="748BFA8A"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53F1187" w14:textId="77777777" w:rsidR="00A612E2" w:rsidRPr="00246CC4" w:rsidRDefault="00A612E2" w:rsidP="00742B81">
            <w:pPr>
              <w:jc w:val="center"/>
              <w:rPr>
                <w:noProof/>
                <w:color w:val="006100"/>
                <w:sz w:val="20"/>
                <w:szCs w:val="20"/>
              </w:rPr>
            </w:pPr>
            <w:r>
              <w:rPr>
                <w:noProof/>
                <w:color w:val="006100"/>
                <w:sz w:val="20"/>
              </w:rPr>
              <w:t>M2C2–34 Bis</w:t>
            </w:r>
          </w:p>
        </w:tc>
        <w:tc>
          <w:tcPr>
            <w:tcW w:w="3195" w:type="dxa"/>
            <w:tcBorders>
              <w:top w:val="nil"/>
              <w:left w:val="nil"/>
              <w:bottom w:val="single" w:sz="4" w:space="0" w:color="auto"/>
              <w:right w:val="single" w:sz="4" w:space="0" w:color="auto"/>
            </w:tcBorders>
            <w:shd w:val="clear" w:color="auto" w:fill="C6EFCE"/>
            <w:noWrap/>
            <w:vAlign w:val="center"/>
          </w:tcPr>
          <w:p w14:paraId="6F903E0F" w14:textId="63049E55" w:rsidR="00A612E2" w:rsidRPr="003B127D" w:rsidRDefault="00A612E2" w:rsidP="008B3890">
            <w:pPr>
              <w:rPr>
                <w:noProof/>
                <w:color w:val="006100"/>
                <w:sz w:val="20"/>
                <w:szCs w:val="20"/>
              </w:rPr>
            </w:pPr>
            <w:r>
              <w:rPr>
                <w:noProof/>
                <w:color w:val="006100"/>
                <w:sz w:val="20"/>
              </w:rPr>
              <w:t>Investeering 4.4.2. Heitevabade rongide ja universaalteenusega piirkondliku ühistranspordi raudteepargi tugevdamine</w:t>
            </w:r>
          </w:p>
        </w:tc>
        <w:tc>
          <w:tcPr>
            <w:tcW w:w="1378" w:type="dxa"/>
            <w:tcBorders>
              <w:top w:val="nil"/>
              <w:left w:val="nil"/>
              <w:bottom w:val="single" w:sz="4" w:space="0" w:color="auto"/>
              <w:right w:val="single" w:sz="4" w:space="0" w:color="auto"/>
            </w:tcBorders>
            <w:shd w:val="clear" w:color="auto" w:fill="C6EFCE"/>
            <w:noWrap/>
            <w:vAlign w:val="center"/>
          </w:tcPr>
          <w:p w14:paraId="0BA9B35F" w14:textId="77777777" w:rsidR="00A612E2" w:rsidRPr="00246CC4" w:rsidRDefault="00A612E2" w:rsidP="00742B81">
            <w:pPr>
              <w:jc w:val="center"/>
              <w:rPr>
                <w:noProof/>
                <w:color w:val="006100"/>
                <w:sz w:val="20"/>
                <w:szCs w:val="20"/>
              </w:rPr>
            </w:pPr>
            <w:r>
              <w:rPr>
                <w:noProof/>
                <w:color w:val="006100"/>
                <w:sz w:val="20"/>
              </w:rPr>
              <w:t>Siht</w:t>
            </w:r>
          </w:p>
        </w:tc>
        <w:tc>
          <w:tcPr>
            <w:tcW w:w="4166" w:type="dxa"/>
            <w:tcBorders>
              <w:top w:val="nil"/>
              <w:left w:val="nil"/>
              <w:bottom w:val="single" w:sz="4" w:space="0" w:color="auto"/>
              <w:right w:val="single" w:sz="4" w:space="0" w:color="auto"/>
            </w:tcBorders>
            <w:shd w:val="clear" w:color="auto" w:fill="C6EFCE"/>
            <w:noWrap/>
            <w:vAlign w:val="center"/>
          </w:tcPr>
          <w:p w14:paraId="085308F9" w14:textId="77777777" w:rsidR="00A612E2" w:rsidRPr="003B127D" w:rsidRDefault="00A612E2" w:rsidP="00742B81">
            <w:pPr>
              <w:jc w:val="center"/>
              <w:rPr>
                <w:noProof/>
                <w:color w:val="006100"/>
                <w:sz w:val="20"/>
                <w:szCs w:val="20"/>
              </w:rPr>
            </w:pPr>
            <w:r>
              <w:rPr>
                <w:noProof/>
                <w:color w:val="006100"/>
                <w:sz w:val="20"/>
              </w:rPr>
              <w:t>Heiteta rongide arv T1</w:t>
            </w:r>
          </w:p>
        </w:tc>
      </w:tr>
      <w:tr w:rsidR="00A612E2" w:rsidRPr="00246CC4" w14:paraId="38CC2C3A"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9178847" w14:textId="77777777" w:rsidR="00A612E2" w:rsidRPr="00246CC4" w:rsidRDefault="00A612E2" w:rsidP="00742B81">
            <w:pPr>
              <w:jc w:val="center"/>
              <w:rPr>
                <w:noProof/>
                <w:color w:val="006100"/>
                <w:sz w:val="20"/>
                <w:szCs w:val="20"/>
              </w:rPr>
            </w:pPr>
            <w:r>
              <w:rPr>
                <w:noProof/>
                <w:color w:val="006100"/>
                <w:sz w:val="20"/>
              </w:rPr>
              <w:t>M2C2-38bis</w:t>
            </w:r>
          </w:p>
        </w:tc>
        <w:tc>
          <w:tcPr>
            <w:tcW w:w="3195" w:type="dxa"/>
            <w:tcBorders>
              <w:top w:val="nil"/>
              <w:left w:val="nil"/>
              <w:bottom w:val="single" w:sz="4" w:space="0" w:color="auto"/>
              <w:right w:val="single" w:sz="4" w:space="0" w:color="auto"/>
            </w:tcBorders>
            <w:shd w:val="clear" w:color="auto" w:fill="C6EFCE"/>
            <w:noWrap/>
            <w:vAlign w:val="center"/>
          </w:tcPr>
          <w:p w14:paraId="56D3E748" w14:textId="77777777" w:rsidR="00A612E2" w:rsidRPr="00246CC4" w:rsidRDefault="00A612E2" w:rsidP="008B3890">
            <w:pPr>
              <w:rPr>
                <w:noProof/>
                <w:color w:val="006100"/>
                <w:sz w:val="20"/>
                <w:szCs w:val="20"/>
              </w:rPr>
            </w:pPr>
            <w:r>
              <w:rPr>
                <w:noProof/>
                <w:color w:val="006100"/>
                <w:sz w:val="20"/>
              </w:rPr>
              <w:t>Investeering 5.1. Taastuvenergia ja akud</w:t>
            </w:r>
          </w:p>
        </w:tc>
        <w:tc>
          <w:tcPr>
            <w:tcW w:w="1378" w:type="dxa"/>
            <w:tcBorders>
              <w:top w:val="nil"/>
              <w:left w:val="nil"/>
              <w:bottom w:val="single" w:sz="4" w:space="0" w:color="auto"/>
              <w:right w:val="single" w:sz="4" w:space="0" w:color="auto"/>
            </w:tcBorders>
            <w:shd w:val="clear" w:color="auto" w:fill="C6EFCE"/>
            <w:noWrap/>
            <w:vAlign w:val="center"/>
          </w:tcPr>
          <w:p w14:paraId="1A5C86AE" w14:textId="77777777" w:rsidR="00A612E2" w:rsidRPr="00246CC4" w:rsidRDefault="00A612E2" w:rsidP="00742B81">
            <w:pPr>
              <w:jc w:val="center"/>
              <w:rPr>
                <w:noProof/>
                <w:color w:val="006100"/>
                <w:sz w:val="20"/>
                <w:szCs w:val="20"/>
              </w:rPr>
            </w:pPr>
            <w:r>
              <w:rPr>
                <w:noProof/>
                <w:color w:val="006100"/>
                <w:sz w:val="20"/>
              </w:rPr>
              <w:t>Eesmärk</w:t>
            </w:r>
          </w:p>
        </w:tc>
        <w:tc>
          <w:tcPr>
            <w:tcW w:w="4166" w:type="dxa"/>
            <w:tcBorders>
              <w:top w:val="nil"/>
              <w:left w:val="nil"/>
              <w:bottom w:val="single" w:sz="4" w:space="0" w:color="auto"/>
              <w:right w:val="single" w:sz="4" w:space="0" w:color="auto"/>
            </w:tcBorders>
            <w:shd w:val="clear" w:color="auto" w:fill="C6EFCE"/>
            <w:noWrap/>
            <w:vAlign w:val="center"/>
          </w:tcPr>
          <w:p w14:paraId="6AA78CA9" w14:textId="77777777" w:rsidR="00A612E2" w:rsidRPr="00246CC4" w:rsidRDefault="00A612E2" w:rsidP="00742B81">
            <w:pPr>
              <w:jc w:val="center"/>
              <w:rPr>
                <w:noProof/>
                <w:color w:val="006100"/>
                <w:sz w:val="20"/>
                <w:szCs w:val="20"/>
              </w:rPr>
            </w:pPr>
            <w:r>
              <w:rPr>
                <w:noProof/>
                <w:color w:val="006100"/>
                <w:sz w:val="20"/>
              </w:rPr>
              <w:t>Rakendusleping</w:t>
            </w:r>
          </w:p>
        </w:tc>
      </w:tr>
      <w:tr w:rsidR="00A612E2" w:rsidRPr="00D90835" w14:paraId="5E5C9EDC"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BC97814" w14:textId="77777777" w:rsidR="00A612E2" w:rsidRPr="00246CC4" w:rsidRDefault="00A612E2" w:rsidP="00742B81">
            <w:pPr>
              <w:jc w:val="center"/>
              <w:rPr>
                <w:noProof/>
                <w:color w:val="006100"/>
                <w:sz w:val="20"/>
                <w:szCs w:val="20"/>
              </w:rPr>
            </w:pPr>
            <w:r>
              <w:rPr>
                <w:noProof/>
                <w:color w:val="006100"/>
                <w:sz w:val="20"/>
              </w:rPr>
              <w:t>M2C2-39</w:t>
            </w:r>
          </w:p>
        </w:tc>
        <w:tc>
          <w:tcPr>
            <w:tcW w:w="3195" w:type="dxa"/>
            <w:tcBorders>
              <w:top w:val="nil"/>
              <w:left w:val="nil"/>
              <w:bottom w:val="single" w:sz="4" w:space="0" w:color="auto"/>
              <w:right w:val="single" w:sz="4" w:space="0" w:color="auto"/>
            </w:tcBorders>
            <w:shd w:val="clear" w:color="auto" w:fill="C6EFCE"/>
            <w:noWrap/>
            <w:vAlign w:val="center"/>
          </w:tcPr>
          <w:p w14:paraId="4B1043EC" w14:textId="77777777" w:rsidR="00A612E2" w:rsidRPr="00246CC4" w:rsidRDefault="00A612E2" w:rsidP="008B3890">
            <w:pPr>
              <w:rPr>
                <w:noProof/>
                <w:color w:val="006100"/>
                <w:sz w:val="20"/>
                <w:szCs w:val="20"/>
              </w:rPr>
            </w:pPr>
            <w:r>
              <w:rPr>
                <w:noProof/>
                <w:color w:val="006100"/>
                <w:sz w:val="20"/>
              </w:rPr>
              <w:t>Investeering 5.1.Taastuvad energiaallikad ja akud</w:t>
            </w:r>
          </w:p>
        </w:tc>
        <w:tc>
          <w:tcPr>
            <w:tcW w:w="1378" w:type="dxa"/>
            <w:tcBorders>
              <w:top w:val="nil"/>
              <w:left w:val="nil"/>
              <w:bottom w:val="single" w:sz="4" w:space="0" w:color="auto"/>
              <w:right w:val="single" w:sz="4" w:space="0" w:color="auto"/>
            </w:tcBorders>
            <w:shd w:val="clear" w:color="auto" w:fill="C6EFCE"/>
            <w:noWrap/>
            <w:vAlign w:val="center"/>
          </w:tcPr>
          <w:p w14:paraId="4A0A9877" w14:textId="77777777" w:rsidR="00A612E2" w:rsidRPr="00246CC4" w:rsidRDefault="00A612E2" w:rsidP="00742B81">
            <w:pPr>
              <w:jc w:val="center"/>
              <w:rPr>
                <w:noProof/>
                <w:color w:val="006100"/>
                <w:sz w:val="20"/>
                <w:szCs w:val="20"/>
              </w:rPr>
            </w:pPr>
            <w:r>
              <w:rPr>
                <w:noProof/>
                <w:color w:val="006100"/>
                <w:sz w:val="20"/>
              </w:rPr>
              <w:t>Eesmärk</w:t>
            </w:r>
          </w:p>
        </w:tc>
        <w:tc>
          <w:tcPr>
            <w:tcW w:w="4166" w:type="dxa"/>
            <w:tcBorders>
              <w:top w:val="nil"/>
              <w:left w:val="nil"/>
              <w:bottom w:val="single" w:sz="4" w:space="0" w:color="auto"/>
              <w:right w:val="single" w:sz="4" w:space="0" w:color="auto"/>
            </w:tcBorders>
            <w:shd w:val="clear" w:color="auto" w:fill="C6EFCE"/>
            <w:noWrap/>
            <w:vAlign w:val="center"/>
          </w:tcPr>
          <w:p w14:paraId="1387DE02" w14:textId="77777777" w:rsidR="00A612E2" w:rsidRPr="003B127D" w:rsidRDefault="00A612E2" w:rsidP="00742B81">
            <w:pPr>
              <w:jc w:val="center"/>
              <w:rPr>
                <w:noProof/>
                <w:color w:val="006100"/>
                <w:sz w:val="20"/>
                <w:szCs w:val="20"/>
              </w:rPr>
            </w:pPr>
            <w:r>
              <w:rPr>
                <w:noProof/>
                <w:color w:val="006100"/>
                <w:sz w:val="20"/>
              </w:rPr>
              <w:t>Itaalia Ettevõtlus- ja Made’i ministeerium on viinud lõpule rahaliste vahendite ülekandmise Invitalia S.p.A-le</w:t>
            </w:r>
          </w:p>
        </w:tc>
      </w:tr>
      <w:tr w:rsidR="00A612E2" w:rsidRPr="00D90835" w14:paraId="37626651"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247373D" w14:textId="77777777" w:rsidR="00A612E2" w:rsidRPr="00246CC4" w:rsidRDefault="00A612E2" w:rsidP="00742B81">
            <w:pPr>
              <w:jc w:val="center"/>
              <w:rPr>
                <w:noProof/>
                <w:color w:val="006100"/>
                <w:sz w:val="20"/>
                <w:szCs w:val="20"/>
              </w:rPr>
            </w:pPr>
            <w:r>
              <w:rPr>
                <w:noProof/>
                <w:color w:val="006100"/>
                <w:sz w:val="20"/>
              </w:rPr>
              <w:t xml:space="preserve">M2C2–42A </w:t>
            </w:r>
          </w:p>
        </w:tc>
        <w:tc>
          <w:tcPr>
            <w:tcW w:w="3195" w:type="dxa"/>
            <w:tcBorders>
              <w:top w:val="nil"/>
              <w:left w:val="nil"/>
              <w:bottom w:val="single" w:sz="4" w:space="0" w:color="auto"/>
              <w:right w:val="single" w:sz="4" w:space="0" w:color="auto"/>
            </w:tcBorders>
            <w:shd w:val="clear" w:color="auto" w:fill="C6EFCE"/>
            <w:noWrap/>
            <w:vAlign w:val="center"/>
          </w:tcPr>
          <w:p w14:paraId="211EE66B" w14:textId="77777777" w:rsidR="00A612E2" w:rsidRPr="003B127D" w:rsidRDefault="00A612E2" w:rsidP="008B3890">
            <w:pPr>
              <w:rPr>
                <w:noProof/>
                <w:color w:val="006100"/>
                <w:sz w:val="20"/>
                <w:szCs w:val="20"/>
              </w:rPr>
            </w:pPr>
            <w:r>
              <w:rPr>
                <w:noProof/>
                <w:color w:val="006100"/>
                <w:sz w:val="20"/>
              </w:rPr>
              <w:t xml:space="preserve">Investeering 5.4. Tegevusalustavate ettevõtete ja riskikapitali toetamine ökoloogilise ülemineku valdkonnas  </w:t>
            </w:r>
          </w:p>
        </w:tc>
        <w:tc>
          <w:tcPr>
            <w:tcW w:w="1378" w:type="dxa"/>
            <w:tcBorders>
              <w:top w:val="nil"/>
              <w:left w:val="nil"/>
              <w:bottom w:val="single" w:sz="4" w:space="0" w:color="auto"/>
              <w:right w:val="single" w:sz="4" w:space="0" w:color="auto"/>
            </w:tcBorders>
            <w:shd w:val="clear" w:color="auto" w:fill="C6EFCE"/>
            <w:noWrap/>
            <w:vAlign w:val="center"/>
          </w:tcPr>
          <w:p w14:paraId="397A66BF" w14:textId="77777777" w:rsidR="00A612E2" w:rsidRPr="00246CC4" w:rsidRDefault="00A612E2" w:rsidP="00742B81">
            <w:pPr>
              <w:jc w:val="center"/>
              <w:rPr>
                <w:noProof/>
                <w:color w:val="006100"/>
                <w:sz w:val="20"/>
                <w:szCs w:val="20"/>
              </w:rPr>
            </w:pPr>
            <w:r>
              <w:rPr>
                <w:noProof/>
                <w:color w:val="006100"/>
                <w:sz w:val="20"/>
              </w:rPr>
              <w:t xml:space="preserve">Eesmärk </w:t>
            </w:r>
          </w:p>
        </w:tc>
        <w:tc>
          <w:tcPr>
            <w:tcW w:w="4166" w:type="dxa"/>
            <w:tcBorders>
              <w:top w:val="nil"/>
              <w:left w:val="nil"/>
              <w:bottom w:val="single" w:sz="4" w:space="0" w:color="auto"/>
              <w:right w:val="single" w:sz="4" w:space="0" w:color="auto"/>
            </w:tcBorders>
            <w:shd w:val="clear" w:color="auto" w:fill="C6EFCE"/>
            <w:noWrap/>
            <w:vAlign w:val="center"/>
          </w:tcPr>
          <w:p w14:paraId="27C478FE" w14:textId="77777777" w:rsidR="00A612E2" w:rsidRPr="003B127D" w:rsidRDefault="00A612E2" w:rsidP="00742B81">
            <w:pPr>
              <w:jc w:val="center"/>
              <w:rPr>
                <w:noProof/>
                <w:color w:val="006100"/>
                <w:sz w:val="20"/>
                <w:szCs w:val="20"/>
              </w:rPr>
            </w:pPr>
            <w:r>
              <w:rPr>
                <w:noProof/>
                <w:color w:val="006100"/>
                <w:sz w:val="20"/>
              </w:rPr>
              <w:t xml:space="preserve">Ministeerium on viinud lõpule vahendite ülekandmise CDP riskikapitali SGRile </w:t>
            </w:r>
          </w:p>
        </w:tc>
      </w:tr>
      <w:tr w:rsidR="00A612E2" w:rsidRPr="00D90835" w14:paraId="5B9EBF9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4FBF430" w14:textId="77777777" w:rsidR="00A612E2" w:rsidRPr="00246CC4" w:rsidRDefault="00A612E2" w:rsidP="00742B81">
            <w:pPr>
              <w:jc w:val="center"/>
              <w:rPr>
                <w:noProof/>
                <w:color w:val="006100"/>
                <w:sz w:val="20"/>
                <w:szCs w:val="20"/>
              </w:rPr>
            </w:pPr>
            <w:r>
              <w:rPr>
                <w:noProof/>
                <w:color w:val="006100"/>
                <w:sz w:val="20"/>
              </w:rPr>
              <w:t>M2C2-44</w:t>
            </w:r>
          </w:p>
        </w:tc>
        <w:tc>
          <w:tcPr>
            <w:tcW w:w="3195" w:type="dxa"/>
            <w:tcBorders>
              <w:top w:val="nil"/>
              <w:left w:val="nil"/>
              <w:bottom w:val="single" w:sz="4" w:space="0" w:color="auto"/>
              <w:right w:val="single" w:sz="4" w:space="0" w:color="auto"/>
            </w:tcBorders>
            <w:shd w:val="clear" w:color="auto" w:fill="C6EFCE"/>
            <w:noWrap/>
            <w:vAlign w:val="center"/>
          </w:tcPr>
          <w:p w14:paraId="60D3A935" w14:textId="77777777" w:rsidR="00A612E2" w:rsidRPr="003B127D" w:rsidRDefault="00A612E2" w:rsidP="008B3890">
            <w:pPr>
              <w:rPr>
                <w:noProof/>
                <w:color w:val="006100"/>
                <w:sz w:val="20"/>
                <w:szCs w:val="20"/>
              </w:rPr>
            </w:pPr>
            <w:r>
              <w:rPr>
                <w:noProof/>
                <w:color w:val="006100"/>
                <w:sz w:val="20"/>
              </w:rPr>
              <w:t>Investeering 1.1. Põllumajanduslike vulkaaniliste süsteemide arendamine</w:t>
            </w:r>
          </w:p>
        </w:tc>
        <w:tc>
          <w:tcPr>
            <w:tcW w:w="1378" w:type="dxa"/>
            <w:tcBorders>
              <w:top w:val="nil"/>
              <w:left w:val="nil"/>
              <w:bottom w:val="single" w:sz="4" w:space="0" w:color="auto"/>
              <w:right w:val="single" w:sz="4" w:space="0" w:color="auto"/>
            </w:tcBorders>
            <w:shd w:val="clear" w:color="auto" w:fill="C6EFCE"/>
            <w:noWrap/>
            <w:vAlign w:val="center"/>
          </w:tcPr>
          <w:p w14:paraId="330F32F1" w14:textId="77777777" w:rsidR="00A612E2" w:rsidRPr="00246CC4" w:rsidRDefault="00A612E2" w:rsidP="00742B81">
            <w:pPr>
              <w:jc w:val="center"/>
              <w:rPr>
                <w:noProof/>
                <w:color w:val="006100"/>
                <w:sz w:val="20"/>
                <w:szCs w:val="20"/>
              </w:rPr>
            </w:pPr>
            <w:r>
              <w:rPr>
                <w:noProof/>
                <w:color w:val="006100"/>
                <w:sz w:val="20"/>
              </w:rPr>
              <w:t>Eesmärk</w:t>
            </w:r>
          </w:p>
        </w:tc>
        <w:tc>
          <w:tcPr>
            <w:tcW w:w="4166" w:type="dxa"/>
            <w:tcBorders>
              <w:top w:val="nil"/>
              <w:left w:val="nil"/>
              <w:bottom w:val="single" w:sz="4" w:space="0" w:color="auto"/>
              <w:right w:val="single" w:sz="4" w:space="0" w:color="auto"/>
            </w:tcBorders>
            <w:shd w:val="clear" w:color="auto" w:fill="C6EFCE"/>
            <w:noWrap/>
            <w:vAlign w:val="center"/>
          </w:tcPr>
          <w:p w14:paraId="69221579" w14:textId="77777777" w:rsidR="00A612E2" w:rsidRPr="003B127D" w:rsidRDefault="00A612E2" w:rsidP="00742B81">
            <w:pPr>
              <w:jc w:val="center"/>
              <w:rPr>
                <w:noProof/>
                <w:color w:val="006100"/>
                <w:sz w:val="20"/>
                <w:szCs w:val="20"/>
              </w:rPr>
            </w:pPr>
            <w:r>
              <w:rPr>
                <w:noProof/>
                <w:color w:val="006100"/>
                <w:sz w:val="20"/>
              </w:rPr>
              <w:t>Kõigi riigihankelepingute sõlmimine päikesepaneelide paigaldamiseks põllumajanduslikesse vulkaanilistesse süsteemidesse</w:t>
            </w:r>
          </w:p>
        </w:tc>
      </w:tr>
      <w:tr w:rsidR="00A612E2" w:rsidRPr="00D90835" w14:paraId="30A09C58"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427D3C5" w14:textId="77777777" w:rsidR="00A612E2" w:rsidRPr="00246CC4" w:rsidRDefault="00A612E2" w:rsidP="00742B81">
            <w:pPr>
              <w:jc w:val="center"/>
              <w:rPr>
                <w:noProof/>
                <w:color w:val="006100"/>
                <w:sz w:val="20"/>
                <w:szCs w:val="20"/>
              </w:rPr>
            </w:pPr>
            <w:r>
              <w:rPr>
                <w:noProof/>
                <w:color w:val="006100"/>
                <w:sz w:val="20"/>
              </w:rPr>
              <w:t>M2C4-22</w:t>
            </w:r>
          </w:p>
        </w:tc>
        <w:tc>
          <w:tcPr>
            <w:tcW w:w="3195" w:type="dxa"/>
            <w:tcBorders>
              <w:top w:val="nil"/>
              <w:left w:val="nil"/>
              <w:bottom w:val="single" w:sz="4" w:space="0" w:color="auto"/>
              <w:right w:val="single" w:sz="4" w:space="0" w:color="auto"/>
            </w:tcBorders>
            <w:shd w:val="clear" w:color="auto" w:fill="C6EFCE"/>
            <w:noWrap/>
            <w:vAlign w:val="center"/>
          </w:tcPr>
          <w:p w14:paraId="36F43250" w14:textId="77777777" w:rsidR="00A612E2" w:rsidRPr="003B127D" w:rsidRDefault="00A612E2" w:rsidP="008B3890">
            <w:pPr>
              <w:rPr>
                <w:noProof/>
                <w:color w:val="006100"/>
                <w:sz w:val="20"/>
                <w:szCs w:val="20"/>
              </w:rPr>
            </w:pPr>
            <w:r>
              <w:rPr>
                <w:noProof/>
                <w:color w:val="006100"/>
                <w:sz w:val="20"/>
              </w:rPr>
              <w:t>Investeering 3.3. Po piirkonnas looduskeskkonna taastamine</w:t>
            </w:r>
          </w:p>
        </w:tc>
        <w:tc>
          <w:tcPr>
            <w:tcW w:w="1378" w:type="dxa"/>
            <w:tcBorders>
              <w:top w:val="nil"/>
              <w:left w:val="nil"/>
              <w:bottom w:val="single" w:sz="4" w:space="0" w:color="auto"/>
              <w:right w:val="single" w:sz="4" w:space="0" w:color="auto"/>
            </w:tcBorders>
            <w:shd w:val="clear" w:color="auto" w:fill="C6EFCE"/>
            <w:noWrap/>
            <w:vAlign w:val="center"/>
          </w:tcPr>
          <w:p w14:paraId="513B09BE" w14:textId="77777777" w:rsidR="00A612E2" w:rsidRPr="00246CC4" w:rsidRDefault="00A612E2" w:rsidP="00742B81">
            <w:pPr>
              <w:jc w:val="center"/>
              <w:rPr>
                <w:noProof/>
                <w:color w:val="006100"/>
                <w:sz w:val="20"/>
                <w:szCs w:val="20"/>
              </w:rPr>
            </w:pPr>
            <w:r>
              <w:rPr>
                <w:noProof/>
                <w:color w:val="006100"/>
                <w:sz w:val="20"/>
              </w:rPr>
              <w:t>Siht</w:t>
            </w:r>
          </w:p>
        </w:tc>
        <w:tc>
          <w:tcPr>
            <w:tcW w:w="4166" w:type="dxa"/>
            <w:tcBorders>
              <w:top w:val="nil"/>
              <w:left w:val="nil"/>
              <w:bottom w:val="single" w:sz="4" w:space="0" w:color="auto"/>
              <w:right w:val="single" w:sz="4" w:space="0" w:color="auto"/>
            </w:tcBorders>
            <w:shd w:val="clear" w:color="auto" w:fill="C6EFCE"/>
            <w:noWrap/>
            <w:vAlign w:val="center"/>
          </w:tcPr>
          <w:p w14:paraId="60F1A054" w14:textId="77777777" w:rsidR="00A612E2" w:rsidRPr="003B127D" w:rsidRDefault="00A612E2" w:rsidP="00742B81">
            <w:pPr>
              <w:jc w:val="center"/>
              <w:rPr>
                <w:noProof/>
                <w:color w:val="006100"/>
                <w:sz w:val="20"/>
                <w:szCs w:val="20"/>
              </w:rPr>
            </w:pPr>
            <w:r>
              <w:rPr>
                <w:noProof/>
                <w:color w:val="006100"/>
                <w:sz w:val="20"/>
              </w:rPr>
              <w:t xml:space="preserve">Jõesängi kunstlikkuse vähendamine Po piirkonna T1 ümberkülvamiseks </w:t>
            </w:r>
          </w:p>
        </w:tc>
      </w:tr>
      <w:tr w:rsidR="00A612E2" w:rsidRPr="00D90835" w14:paraId="7AA4824A"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10A29D8" w14:textId="77777777" w:rsidR="00A612E2" w:rsidRPr="00246CC4" w:rsidRDefault="00A612E2" w:rsidP="00742B81">
            <w:pPr>
              <w:jc w:val="center"/>
              <w:rPr>
                <w:noProof/>
                <w:color w:val="006100"/>
                <w:sz w:val="20"/>
                <w:szCs w:val="20"/>
              </w:rPr>
            </w:pPr>
            <w:r>
              <w:rPr>
                <w:noProof/>
                <w:color w:val="006100"/>
                <w:sz w:val="20"/>
              </w:rPr>
              <w:t>M2C4-31</w:t>
            </w:r>
          </w:p>
        </w:tc>
        <w:tc>
          <w:tcPr>
            <w:tcW w:w="3195" w:type="dxa"/>
            <w:tcBorders>
              <w:top w:val="nil"/>
              <w:left w:val="nil"/>
              <w:bottom w:val="single" w:sz="4" w:space="0" w:color="auto"/>
              <w:right w:val="single" w:sz="4" w:space="0" w:color="auto"/>
            </w:tcBorders>
            <w:shd w:val="clear" w:color="auto" w:fill="C6EFCE"/>
            <w:noWrap/>
            <w:vAlign w:val="center"/>
          </w:tcPr>
          <w:p w14:paraId="0DF42D92" w14:textId="77777777" w:rsidR="00A612E2" w:rsidRPr="003B127D" w:rsidRDefault="00A612E2" w:rsidP="008B3890">
            <w:pPr>
              <w:rPr>
                <w:noProof/>
                <w:color w:val="006100"/>
                <w:sz w:val="20"/>
                <w:szCs w:val="20"/>
              </w:rPr>
            </w:pPr>
            <w:r>
              <w:rPr>
                <w:noProof/>
                <w:color w:val="006100"/>
                <w:sz w:val="20"/>
              </w:rPr>
              <w:t>Investeering 4.2. Veejaotusvõrkude kadude vähendamine, sealhulgas võrkude digiteerimine ja seire</w:t>
            </w:r>
          </w:p>
        </w:tc>
        <w:tc>
          <w:tcPr>
            <w:tcW w:w="1378" w:type="dxa"/>
            <w:tcBorders>
              <w:top w:val="nil"/>
              <w:left w:val="nil"/>
              <w:bottom w:val="single" w:sz="4" w:space="0" w:color="auto"/>
              <w:right w:val="single" w:sz="4" w:space="0" w:color="auto"/>
            </w:tcBorders>
            <w:shd w:val="clear" w:color="auto" w:fill="C6EFCE"/>
            <w:noWrap/>
            <w:vAlign w:val="center"/>
          </w:tcPr>
          <w:p w14:paraId="6B84F54E" w14:textId="77777777" w:rsidR="00A612E2" w:rsidRPr="00246CC4" w:rsidRDefault="00A612E2" w:rsidP="00742B81">
            <w:pPr>
              <w:jc w:val="center"/>
              <w:rPr>
                <w:noProof/>
                <w:color w:val="006100"/>
                <w:sz w:val="20"/>
                <w:szCs w:val="20"/>
              </w:rPr>
            </w:pPr>
            <w:r>
              <w:rPr>
                <w:noProof/>
                <w:color w:val="006100"/>
                <w:sz w:val="20"/>
              </w:rPr>
              <w:t>Siht</w:t>
            </w:r>
          </w:p>
        </w:tc>
        <w:tc>
          <w:tcPr>
            <w:tcW w:w="4166" w:type="dxa"/>
            <w:tcBorders>
              <w:top w:val="nil"/>
              <w:left w:val="nil"/>
              <w:bottom w:val="single" w:sz="4" w:space="0" w:color="auto"/>
              <w:right w:val="single" w:sz="4" w:space="0" w:color="auto"/>
            </w:tcBorders>
            <w:shd w:val="clear" w:color="auto" w:fill="C6EFCE"/>
            <w:noWrap/>
            <w:vAlign w:val="center"/>
          </w:tcPr>
          <w:p w14:paraId="66C3A52C" w14:textId="77777777" w:rsidR="00A612E2" w:rsidRPr="003B127D" w:rsidRDefault="00A612E2" w:rsidP="00742B81">
            <w:pPr>
              <w:jc w:val="center"/>
              <w:rPr>
                <w:noProof/>
                <w:color w:val="006100"/>
                <w:sz w:val="20"/>
                <w:szCs w:val="20"/>
              </w:rPr>
            </w:pPr>
            <w:r>
              <w:rPr>
                <w:noProof/>
                <w:color w:val="006100"/>
                <w:sz w:val="20"/>
              </w:rPr>
              <w:t>Sekkumine veejaotusvõrkudesse, sealhulgas võrkude T1 digiteerimine ja seire</w:t>
            </w:r>
          </w:p>
        </w:tc>
      </w:tr>
      <w:tr w:rsidR="00A612E2" w:rsidRPr="00D90835" w14:paraId="2CE6CB75"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4275403" w14:textId="77777777" w:rsidR="00A612E2" w:rsidRPr="00246CC4" w:rsidRDefault="00A612E2" w:rsidP="00742B81">
            <w:pPr>
              <w:jc w:val="center"/>
              <w:rPr>
                <w:noProof/>
                <w:color w:val="006100"/>
                <w:sz w:val="20"/>
                <w:szCs w:val="20"/>
              </w:rPr>
            </w:pPr>
            <w:r>
              <w:rPr>
                <w:noProof/>
                <w:color w:val="006100"/>
                <w:sz w:val="20"/>
              </w:rPr>
              <w:t>M2C4-34</w:t>
            </w:r>
          </w:p>
        </w:tc>
        <w:tc>
          <w:tcPr>
            <w:tcW w:w="3195" w:type="dxa"/>
            <w:tcBorders>
              <w:top w:val="nil"/>
              <w:left w:val="nil"/>
              <w:bottom w:val="single" w:sz="4" w:space="0" w:color="auto"/>
              <w:right w:val="single" w:sz="4" w:space="0" w:color="auto"/>
            </w:tcBorders>
            <w:shd w:val="clear" w:color="auto" w:fill="C6EFCE"/>
            <w:noWrap/>
            <w:vAlign w:val="center"/>
          </w:tcPr>
          <w:p w14:paraId="43CEA5C5" w14:textId="77777777" w:rsidR="00A612E2" w:rsidRPr="003B127D" w:rsidRDefault="00A612E2" w:rsidP="008B3890">
            <w:pPr>
              <w:rPr>
                <w:noProof/>
                <w:color w:val="006100"/>
                <w:sz w:val="20"/>
                <w:szCs w:val="20"/>
              </w:rPr>
            </w:pPr>
            <w:r>
              <w:rPr>
                <w:noProof/>
                <w:color w:val="006100"/>
                <w:sz w:val="20"/>
              </w:rPr>
              <w:t>Investeering 4.3. Investeeringud niisutuspõllumajandussüsteemi vastupanuvõimesse veevarude paremaks majandamiseks</w:t>
            </w:r>
          </w:p>
        </w:tc>
        <w:tc>
          <w:tcPr>
            <w:tcW w:w="1378" w:type="dxa"/>
            <w:tcBorders>
              <w:top w:val="nil"/>
              <w:left w:val="nil"/>
              <w:bottom w:val="single" w:sz="4" w:space="0" w:color="auto"/>
              <w:right w:val="single" w:sz="4" w:space="0" w:color="auto"/>
            </w:tcBorders>
            <w:shd w:val="clear" w:color="auto" w:fill="C6EFCE"/>
            <w:noWrap/>
            <w:vAlign w:val="center"/>
          </w:tcPr>
          <w:p w14:paraId="69BA569F" w14:textId="77777777" w:rsidR="00A612E2" w:rsidRPr="00246CC4" w:rsidRDefault="00A612E2" w:rsidP="00742B81">
            <w:pPr>
              <w:jc w:val="center"/>
              <w:rPr>
                <w:noProof/>
                <w:color w:val="006100"/>
                <w:sz w:val="20"/>
                <w:szCs w:val="20"/>
              </w:rPr>
            </w:pPr>
            <w:r>
              <w:rPr>
                <w:noProof/>
                <w:color w:val="006100"/>
                <w:sz w:val="20"/>
              </w:rPr>
              <w:t>Siht</w:t>
            </w:r>
          </w:p>
        </w:tc>
        <w:tc>
          <w:tcPr>
            <w:tcW w:w="4166" w:type="dxa"/>
            <w:tcBorders>
              <w:top w:val="nil"/>
              <w:left w:val="nil"/>
              <w:bottom w:val="single" w:sz="4" w:space="0" w:color="auto"/>
              <w:right w:val="single" w:sz="4" w:space="0" w:color="auto"/>
            </w:tcBorders>
            <w:shd w:val="clear" w:color="auto" w:fill="C6EFCE"/>
            <w:noWrap/>
            <w:vAlign w:val="center"/>
          </w:tcPr>
          <w:p w14:paraId="2C9A0CB8" w14:textId="77777777" w:rsidR="00A612E2" w:rsidRPr="003B127D" w:rsidRDefault="00A612E2" w:rsidP="00742B81">
            <w:pPr>
              <w:jc w:val="center"/>
              <w:rPr>
                <w:noProof/>
                <w:color w:val="006100"/>
                <w:sz w:val="20"/>
                <w:szCs w:val="20"/>
              </w:rPr>
            </w:pPr>
            <w:r>
              <w:rPr>
                <w:noProof/>
                <w:color w:val="006100"/>
                <w:sz w:val="20"/>
              </w:rPr>
              <w:t>Sekkumised niisutuspõllumajandussüsteemi vastupanuvõime tagamiseks veevarude paremaks majandamiseks T1</w:t>
            </w:r>
          </w:p>
        </w:tc>
      </w:tr>
      <w:tr w:rsidR="00A612E2" w:rsidRPr="00D90835" w14:paraId="371DEE8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D180E76" w14:textId="77777777" w:rsidR="00A612E2" w:rsidRPr="00246CC4" w:rsidRDefault="00A612E2" w:rsidP="00742B81">
            <w:pPr>
              <w:jc w:val="center"/>
              <w:rPr>
                <w:noProof/>
                <w:color w:val="006100"/>
                <w:sz w:val="20"/>
                <w:szCs w:val="20"/>
              </w:rPr>
            </w:pPr>
            <w:r>
              <w:rPr>
                <w:noProof/>
                <w:color w:val="006100"/>
                <w:sz w:val="20"/>
              </w:rPr>
              <w:t>M2C4-35</w:t>
            </w:r>
          </w:p>
        </w:tc>
        <w:tc>
          <w:tcPr>
            <w:tcW w:w="3195" w:type="dxa"/>
            <w:tcBorders>
              <w:top w:val="nil"/>
              <w:left w:val="nil"/>
              <w:bottom w:val="single" w:sz="4" w:space="0" w:color="auto"/>
              <w:right w:val="single" w:sz="4" w:space="0" w:color="auto"/>
            </w:tcBorders>
            <w:shd w:val="clear" w:color="auto" w:fill="C6EFCE"/>
            <w:noWrap/>
            <w:vAlign w:val="center"/>
          </w:tcPr>
          <w:p w14:paraId="0EEF9F3C" w14:textId="77777777" w:rsidR="00A612E2" w:rsidRPr="003B127D" w:rsidRDefault="00A612E2" w:rsidP="008B3890">
            <w:pPr>
              <w:rPr>
                <w:noProof/>
                <w:color w:val="006100"/>
                <w:sz w:val="20"/>
                <w:szCs w:val="20"/>
              </w:rPr>
            </w:pPr>
            <w:r>
              <w:rPr>
                <w:noProof/>
                <w:color w:val="006100"/>
                <w:sz w:val="20"/>
              </w:rPr>
              <w:t>Investeering 4.3. Investeeringud niisutuspõllumajandussüsteemi vastupanuvõimesse veevarude paremaks majandamiseks</w:t>
            </w:r>
          </w:p>
        </w:tc>
        <w:tc>
          <w:tcPr>
            <w:tcW w:w="1378" w:type="dxa"/>
            <w:tcBorders>
              <w:top w:val="nil"/>
              <w:left w:val="nil"/>
              <w:bottom w:val="single" w:sz="4" w:space="0" w:color="auto"/>
              <w:right w:val="single" w:sz="4" w:space="0" w:color="auto"/>
            </w:tcBorders>
            <w:shd w:val="clear" w:color="auto" w:fill="C6EFCE"/>
            <w:noWrap/>
            <w:vAlign w:val="center"/>
          </w:tcPr>
          <w:p w14:paraId="19BC7686" w14:textId="77777777" w:rsidR="00A612E2" w:rsidRPr="00246CC4" w:rsidRDefault="00A612E2" w:rsidP="00742B81">
            <w:pPr>
              <w:jc w:val="center"/>
              <w:rPr>
                <w:noProof/>
                <w:color w:val="006100"/>
                <w:sz w:val="20"/>
                <w:szCs w:val="20"/>
              </w:rPr>
            </w:pPr>
            <w:r>
              <w:rPr>
                <w:noProof/>
                <w:color w:val="006100"/>
                <w:sz w:val="20"/>
              </w:rPr>
              <w:t>Siht</w:t>
            </w:r>
          </w:p>
        </w:tc>
        <w:tc>
          <w:tcPr>
            <w:tcW w:w="4166" w:type="dxa"/>
            <w:tcBorders>
              <w:top w:val="nil"/>
              <w:left w:val="nil"/>
              <w:bottom w:val="single" w:sz="4" w:space="0" w:color="auto"/>
              <w:right w:val="single" w:sz="4" w:space="0" w:color="auto"/>
            </w:tcBorders>
            <w:shd w:val="clear" w:color="auto" w:fill="C6EFCE"/>
            <w:noWrap/>
            <w:vAlign w:val="center"/>
          </w:tcPr>
          <w:p w14:paraId="6E1BAF38" w14:textId="77777777" w:rsidR="00A612E2" w:rsidRPr="003B127D" w:rsidRDefault="00A612E2" w:rsidP="00742B81">
            <w:pPr>
              <w:jc w:val="center"/>
              <w:rPr>
                <w:noProof/>
                <w:color w:val="006100"/>
                <w:sz w:val="20"/>
                <w:szCs w:val="20"/>
              </w:rPr>
            </w:pPr>
            <w:r>
              <w:rPr>
                <w:noProof/>
                <w:color w:val="006100"/>
                <w:sz w:val="20"/>
              </w:rPr>
              <w:t>Sekkumised niisutuspõllumajandussüsteemi vastupanuvõime tagamiseks veevarude paremaks majandamiseks T1</w:t>
            </w:r>
          </w:p>
        </w:tc>
      </w:tr>
      <w:tr w:rsidR="00A612E2" w:rsidRPr="00D90835" w14:paraId="37E68B27"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7908F2F" w14:textId="77777777" w:rsidR="00A612E2" w:rsidRPr="00246CC4" w:rsidRDefault="00A612E2" w:rsidP="00742B81">
            <w:pPr>
              <w:jc w:val="center"/>
              <w:rPr>
                <w:noProof/>
                <w:color w:val="006100"/>
                <w:sz w:val="20"/>
                <w:szCs w:val="20"/>
              </w:rPr>
            </w:pPr>
            <w:r>
              <w:rPr>
                <w:noProof/>
                <w:color w:val="006100"/>
                <w:sz w:val="20"/>
              </w:rPr>
              <w:t>M3C1-15</w:t>
            </w:r>
          </w:p>
        </w:tc>
        <w:tc>
          <w:tcPr>
            <w:tcW w:w="3195" w:type="dxa"/>
            <w:tcBorders>
              <w:top w:val="nil"/>
              <w:left w:val="nil"/>
              <w:bottom w:val="single" w:sz="4" w:space="0" w:color="auto"/>
              <w:right w:val="single" w:sz="4" w:space="0" w:color="auto"/>
            </w:tcBorders>
            <w:shd w:val="clear" w:color="auto" w:fill="C6EFCE"/>
            <w:noWrap/>
            <w:vAlign w:val="center"/>
          </w:tcPr>
          <w:p w14:paraId="1FD1B17A" w14:textId="77777777" w:rsidR="00A612E2" w:rsidRPr="003B127D" w:rsidRDefault="00A612E2" w:rsidP="008B3890">
            <w:pPr>
              <w:rPr>
                <w:noProof/>
                <w:color w:val="006100"/>
                <w:sz w:val="20"/>
                <w:szCs w:val="20"/>
              </w:rPr>
            </w:pPr>
            <w:r>
              <w:rPr>
                <w:noProof/>
                <w:color w:val="006100"/>
                <w:sz w:val="20"/>
              </w:rPr>
              <w:t>Investeering 1.5. Suurlinnasõlmede tugevdamine ja peamised riiklikud sidemed</w:t>
            </w:r>
          </w:p>
        </w:tc>
        <w:tc>
          <w:tcPr>
            <w:tcW w:w="1378" w:type="dxa"/>
            <w:tcBorders>
              <w:top w:val="nil"/>
              <w:left w:val="nil"/>
              <w:bottom w:val="single" w:sz="4" w:space="0" w:color="auto"/>
              <w:right w:val="single" w:sz="4" w:space="0" w:color="auto"/>
            </w:tcBorders>
            <w:shd w:val="clear" w:color="auto" w:fill="C6EFCE"/>
            <w:noWrap/>
            <w:vAlign w:val="center"/>
          </w:tcPr>
          <w:p w14:paraId="4A926006" w14:textId="77777777" w:rsidR="00A612E2" w:rsidRPr="00246CC4" w:rsidRDefault="00A612E2" w:rsidP="00742B81">
            <w:pPr>
              <w:jc w:val="center"/>
              <w:rPr>
                <w:noProof/>
                <w:color w:val="006100"/>
                <w:sz w:val="20"/>
                <w:szCs w:val="20"/>
              </w:rPr>
            </w:pPr>
            <w:r>
              <w:rPr>
                <w:noProof/>
                <w:color w:val="006100"/>
                <w:sz w:val="20"/>
              </w:rPr>
              <w:t>Siht</w:t>
            </w:r>
          </w:p>
        </w:tc>
        <w:tc>
          <w:tcPr>
            <w:tcW w:w="4166" w:type="dxa"/>
            <w:tcBorders>
              <w:top w:val="nil"/>
              <w:left w:val="nil"/>
              <w:bottom w:val="single" w:sz="4" w:space="0" w:color="auto"/>
              <w:right w:val="single" w:sz="4" w:space="0" w:color="auto"/>
            </w:tcBorders>
            <w:shd w:val="clear" w:color="auto" w:fill="C6EFCE"/>
            <w:noWrap/>
            <w:vAlign w:val="center"/>
          </w:tcPr>
          <w:p w14:paraId="6C7AA3B0" w14:textId="77777777" w:rsidR="00A612E2" w:rsidRPr="003B127D" w:rsidRDefault="00A612E2" w:rsidP="00742B81">
            <w:pPr>
              <w:jc w:val="center"/>
              <w:rPr>
                <w:noProof/>
                <w:color w:val="006100"/>
                <w:sz w:val="20"/>
                <w:szCs w:val="20"/>
              </w:rPr>
            </w:pPr>
            <w:r>
              <w:rPr>
                <w:noProof/>
                <w:color w:val="006100"/>
                <w:sz w:val="20"/>
              </w:rPr>
              <w:t>700 km kõrgendatud liinilõike, mis on ehitatud suurlinnatranspordisõlmedele ja peamistele riiklikele ühendusteele</w:t>
            </w:r>
          </w:p>
        </w:tc>
      </w:tr>
      <w:tr w:rsidR="00A612E2" w:rsidRPr="00D90835" w14:paraId="1A036EAD"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2752685" w14:textId="77777777" w:rsidR="00A612E2" w:rsidRPr="00246CC4" w:rsidRDefault="00A612E2" w:rsidP="00742B81">
            <w:pPr>
              <w:jc w:val="center"/>
              <w:rPr>
                <w:noProof/>
                <w:color w:val="006100"/>
                <w:sz w:val="20"/>
                <w:szCs w:val="20"/>
              </w:rPr>
            </w:pPr>
            <w:r>
              <w:rPr>
                <w:noProof/>
                <w:color w:val="006100"/>
                <w:sz w:val="20"/>
              </w:rPr>
              <w:t>M3C1-19</w:t>
            </w:r>
          </w:p>
        </w:tc>
        <w:tc>
          <w:tcPr>
            <w:tcW w:w="3195" w:type="dxa"/>
            <w:tcBorders>
              <w:top w:val="nil"/>
              <w:left w:val="nil"/>
              <w:bottom w:val="single" w:sz="4" w:space="0" w:color="auto"/>
              <w:right w:val="single" w:sz="4" w:space="0" w:color="auto"/>
            </w:tcBorders>
            <w:shd w:val="clear" w:color="auto" w:fill="C6EFCE"/>
            <w:noWrap/>
            <w:vAlign w:val="center"/>
          </w:tcPr>
          <w:p w14:paraId="03537D82" w14:textId="77777777" w:rsidR="00A612E2" w:rsidRPr="003B127D" w:rsidRDefault="00A612E2" w:rsidP="008B3890">
            <w:pPr>
              <w:rPr>
                <w:noProof/>
                <w:color w:val="006100"/>
                <w:sz w:val="20"/>
                <w:szCs w:val="20"/>
              </w:rPr>
            </w:pPr>
            <w:r>
              <w:rPr>
                <w:noProof/>
                <w:color w:val="006100"/>
                <w:sz w:val="20"/>
              </w:rPr>
              <w:t>Investeering 1.8. Raudteejaamade ajakohastamine (RFI haldamine; lõunas)</w:t>
            </w:r>
          </w:p>
        </w:tc>
        <w:tc>
          <w:tcPr>
            <w:tcW w:w="1378" w:type="dxa"/>
            <w:tcBorders>
              <w:top w:val="nil"/>
              <w:left w:val="nil"/>
              <w:bottom w:val="single" w:sz="4" w:space="0" w:color="auto"/>
              <w:right w:val="single" w:sz="4" w:space="0" w:color="auto"/>
            </w:tcBorders>
            <w:shd w:val="clear" w:color="auto" w:fill="C6EFCE"/>
            <w:noWrap/>
            <w:vAlign w:val="center"/>
          </w:tcPr>
          <w:p w14:paraId="350298C1" w14:textId="77777777" w:rsidR="00A612E2" w:rsidRPr="00246CC4" w:rsidRDefault="00A612E2" w:rsidP="00742B81">
            <w:pPr>
              <w:jc w:val="center"/>
              <w:rPr>
                <w:noProof/>
                <w:color w:val="006100"/>
                <w:sz w:val="20"/>
                <w:szCs w:val="20"/>
              </w:rPr>
            </w:pPr>
            <w:r>
              <w:rPr>
                <w:noProof/>
                <w:color w:val="006100"/>
                <w:sz w:val="20"/>
              </w:rPr>
              <w:t>Siht</w:t>
            </w:r>
          </w:p>
        </w:tc>
        <w:tc>
          <w:tcPr>
            <w:tcW w:w="4166" w:type="dxa"/>
            <w:tcBorders>
              <w:top w:val="nil"/>
              <w:left w:val="nil"/>
              <w:bottom w:val="single" w:sz="4" w:space="0" w:color="auto"/>
              <w:right w:val="single" w:sz="4" w:space="0" w:color="auto"/>
            </w:tcBorders>
            <w:shd w:val="clear" w:color="auto" w:fill="C6EFCE"/>
            <w:noWrap/>
            <w:vAlign w:val="center"/>
          </w:tcPr>
          <w:p w14:paraId="3FAAE441" w14:textId="77777777" w:rsidR="00A612E2" w:rsidRPr="003B127D" w:rsidRDefault="00A612E2" w:rsidP="00742B81">
            <w:pPr>
              <w:jc w:val="center"/>
              <w:rPr>
                <w:noProof/>
                <w:color w:val="006100"/>
                <w:sz w:val="20"/>
                <w:szCs w:val="20"/>
              </w:rPr>
            </w:pPr>
            <w:r>
              <w:rPr>
                <w:noProof/>
                <w:color w:val="006100"/>
                <w:sz w:val="20"/>
              </w:rPr>
              <w:t>Ajakohastatud ja juurdepääsetavad raudteejaamad</w:t>
            </w:r>
          </w:p>
        </w:tc>
      </w:tr>
      <w:tr w:rsidR="00A612E2" w:rsidRPr="00D90835" w14:paraId="1B74DC6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0B9AD41" w14:textId="77777777" w:rsidR="00A612E2" w:rsidRPr="00246CC4" w:rsidRDefault="00A612E2" w:rsidP="00742B81">
            <w:pPr>
              <w:jc w:val="center"/>
              <w:rPr>
                <w:noProof/>
                <w:color w:val="006100"/>
                <w:sz w:val="20"/>
                <w:szCs w:val="20"/>
              </w:rPr>
            </w:pPr>
            <w:r>
              <w:rPr>
                <w:noProof/>
                <w:color w:val="006100"/>
                <w:sz w:val="20"/>
              </w:rPr>
              <w:t>M4C2–21bis</w:t>
            </w:r>
          </w:p>
        </w:tc>
        <w:tc>
          <w:tcPr>
            <w:tcW w:w="3195" w:type="dxa"/>
            <w:tcBorders>
              <w:top w:val="nil"/>
              <w:left w:val="nil"/>
              <w:bottom w:val="single" w:sz="4" w:space="0" w:color="auto"/>
              <w:right w:val="single" w:sz="4" w:space="0" w:color="auto"/>
            </w:tcBorders>
            <w:shd w:val="clear" w:color="auto" w:fill="C6EFCE"/>
            <w:noWrap/>
            <w:vAlign w:val="center"/>
          </w:tcPr>
          <w:p w14:paraId="3E385840" w14:textId="77777777" w:rsidR="00A612E2" w:rsidRPr="00246CC4" w:rsidRDefault="00A612E2" w:rsidP="008B3890">
            <w:pPr>
              <w:rPr>
                <w:noProof/>
                <w:color w:val="006100"/>
                <w:sz w:val="20"/>
                <w:szCs w:val="20"/>
              </w:rPr>
            </w:pPr>
            <w:r>
              <w:rPr>
                <w:noProof/>
                <w:color w:val="006100"/>
                <w:sz w:val="20"/>
              </w:rPr>
              <w:t xml:space="preserve">Investeering 3.2. Idufirmade rahastamine </w:t>
            </w:r>
          </w:p>
        </w:tc>
        <w:tc>
          <w:tcPr>
            <w:tcW w:w="1378" w:type="dxa"/>
            <w:tcBorders>
              <w:top w:val="nil"/>
              <w:left w:val="nil"/>
              <w:bottom w:val="single" w:sz="4" w:space="0" w:color="auto"/>
              <w:right w:val="single" w:sz="4" w:space="0" w:color="auto"/>
            </w:tcBorders>
            <w:shd w:val="clear" w:color="auto" w:fill="C6EFCE"/>
            <w:noWrap/>
            <w:vAlign w:val="center"/>
          </w:tcPr>
          <w:p w14:paraId="129E6D96" w14:textId="77777777" w:rsidR="00A612E2" w:rsidRPr="00246CC4" w:rsidRDefault="00A612E2" w:rsidP="00742B81">
            <w:pPr>
              <w:jc w:val="center"/>
              <w:rPr>
                <w:noProof/>
                <w:color w:val="006100"/>
                <w:sz w:val="20"/>
                <w:szCs w:val="20"/>
              </w:rPr>
            </w:pPr>
            <w:r>
              <w:rPr>
                <w:noProof/>
                <w:color w:val="006100"/>
                <w:sz w:val="20"/>
              </w:rPr>
              <w:t>Eesmärk</w:t>
            </w:r>
          </w:p>
        </w:tc>
        <w:tc>
          <w:tcPr>
            <w:tcW w:w="4166" w:type="dxa"/>
            <w:tcBorders>
              <w:top w:val="nil"/>
              <w:left w:val="nil"/>
              <w:bottom w:val="single" w:sz="4" w:space="0" w:color="auto"/>
              <w:right w:val="single" w:sz="4" w:space="0" w:color="auto"/>
            </w:tcBorders>
            <w:shd w:val="clear" w:color="auto" w:fill="C6EFCE"/>
            <w:noWrap/>
            <w:vAlign w:val="center"/>
          </w:tcPr>
          <w:p w14:paraId="62DEE144" w14:textId="77777777" w:rsidR="00A612E2" w:rsidRPr="003B127D" w:rsidRDefault="00A612E2" w:rsidP="00742B81">
            <w:pPr>
              <w:jc w:val="center"/>
              <w:rPr>
                <w:noProof/>
                <w:color w:val="006100"/>
                <w:sz w:val="20"/>
                <w:szCs w:val="20"/>
              </w:rPr>
            </w:pPr>
            <w:r>
              <w:rPr>
                <w:noProof/>
                <w:color w:val="006100"/>
                <w:sz w:val="20"/>
              </w:rPr>
              <w:t>Ministeerium on viinud lõpule vahendite ülekandmise CDP riskikapitali SGRile</w:t>
            </w:r>
          </w:p>
        </w:tc>
      </w:tr>
      <w:tr w:rsidR="00A612E2" w:rsidRPr="00D90835" w14:paraId="03D2B672"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D370D37" w14:textId="77777777" w:rsidR="00A612E2" w:rsidRPr="00246CC4" w:rsidRDefault="00A612E2" w:rsidP="00742B81">
            <w:pPr>
              <w:jc w:val="center"/>
              <w:rPr>
                <w:noProof/>
                <w:color w:val="006100"/>
                <w:sz w:val="20"/>
                <w:szCs w:val="20"/>
              </w:rPr>
            </w:pPr>
            <w:r>
              <w:rPr>
                <w:noProof/>
                <w:color w:val="006100"/>
                <w:sz w:val="20"/>
              </w:rPr>
              <w:t>M6C1-7</w:t>
            </w:r>
          </w:p>
        </w:tc>
        <w:tc>
          <w:tcPr>
            <w:tcW w:w="3195" w:type="dxa"/>
            <w:tcBorders>
              <w:top w:val="nil"/>
              <w:left w:val="nil"/>
              <w:bottom w:val="single" w:sz="4" w:space="0" w:color="auto"/>
              <w:right w:val="single" w:sz="4" w:space="0" w:color="auto"/>
            </w:tcBorders>
            <w:shd w:val="clear" w:color="auto" w:fill="C6EFCE"/>
            <w:noWrap/>
            <w:vAlign w:val="center"/>
          </w:tcPr>
          <w:p w14:paraId="7402D59D" w14:textId="77777777" w:rsidR="00A612E2" w:rsidRPr="003B127D" w:rsidRDefault="00A612E2" w:rsidP="008B3890">
            <w:pPr>
              <w:rPr>
                <w:noProof/>
                <w:color w:val="006100"/>
                <w:sz w:val="20"/>
                <w:szCs w:val="20"/>
              </w:rPr>
            </w:pPr>
            <w:r>
              <w:rPr>
                <w:noProof/>
                <w:color w:val="006100"/>
                <w:sz w:val="20"/>
              </w:rPr>
              <w:t>Investeering 1.2. Kodu kui esimene ravi- ja telemeditsiinikoht</w:t>
            </w:r>
          </w:p>
        </w:tc>
        <w:tc>
          <w:tcPr>
            <w:tcW w:w="1378" w:type="dxa"/>
            <w:tcBorders>
              <w:top w:val="nil"/>
              <w:left w:val="nil"/>
              <w:bottom w:val="single" w:sz="4" w:space="0" w:color="auto"/>
              <w:right w:val="single" w:sz="4" w:space="0" w:color="auto"/>
            </w:tcBorders>
            <w:shd w:val="clear" w:color="auto" w:fill="C6EFCE"/>
            <w:noWrap/>
            <w:vAlign w:val="center"/>
          </w:tcPr>
          <w:p w14:paraId="2BC9D1C3" w14:textId="77777777" w:rsidR="00A612E2" w:rsidRPr="00246CC4" w:rsidRDefault="00A612E2" w:rsidP="00742B81">
            <w:pPr>
              <w:jc w:val="center"/>
              <w:rPr>
                <w:noProof/>
                <w:color w:val="006100"/>
                <w:sz w:val="20"/>
                <w:szCs w:val="20"/>
              </w:rPr>
            </w:pPr>
            <w:r>
              <w:rPr>
                <w:noProof/>
                <w:color w:val="006100"/>
                <w:sz w:val="20"/>
              </w:rPr>
              <w:t>Siht</w:t>
            </w:r>
          </w:p>
        </w:tc>
        <w:tc>
          <w:tcPr>
            <w:tcW w:w="4166" w:type="dxa"/>
            <w:tcBorders>
              <w:top w:val="nil"/>
              <w:left w:val="nil"/>
              <w:bottom w:val="single" w:sz="4" w:space="0" w:color="auto"/>
              <w:right w:val="single" w:sz="4" w:space="0" w:color="auto"/>
            </w:tcBorders>
            <w:shd w:val="clear" w:color="auto" w:fill="C6EFCE"/>
            <w:noWrap/>
            <w:vAlign w:val="center"/>
          </w:tcPr>
          <w:p w14:paraId="7880E4B4" w14:textId="77777777" w:rsidR="00A612E2" w:rsidRPr="003B127D" w:rsidRDefault="00A612E2" w:rsidP="00742B81">
            <w:pPr>
              <w:jc w:val="center"/>
              <w:rPr>
                <w:noProof/>
                <w:color w:val="006100"/>
                <w:sz w:val="20"/>
                <w:szCs w:val="20"/>
              </w:rPr>
            </w:pPr>
            <w:r>
              <w:rPr>
                <w:noProof/>
                <w:color w:val="006100"/>
                <w:sz w:val="20"/>
              </w:rPr>
              <w:t>Täielikult toimivad koordineerimiskeskused (teine osa)</w:t>
            </w:r>
          </w:p>
        </w:tc>
      </w:tr>
      <w:tr w:rsidR="00A612E2" w:rsidRPr="00246CC4" w14:paraId="35A2D75F"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5ADDA01" w14:textId="77777777" w:rsidR="00A612E2" w:rsidRPr="00246CC4" w:rsidRDefault="00A612E2" w:rsidP="00742B81">
            <w:pPr>
              <w:jc w:val="center"/>
              <w:rPr>
                <w:noProof/>
                <w:color w:val="006100"/>
                <w:sz w:val="20"/>
                <w:szCs w:val="20"/>
              </w:rPr>
            </w:pPr>
            <w:r>
              <w:rPr>
                <w:noProof/>
                <w:color w:val="006100"/>
                <w:sz w:val="20"/>
              </w:rPr>
              <w:t>M7-43</w:t>
            </w:r>
          </w:p>
        </w:tc>
        <w:tc>
          <w:tcPr>
            <w:tcW w:w="3195" w:type="dxa"/>
            <w:tcBorders>
              <w:top w:val="nil"/>
              <w:left w:val="nil"/>
              <w:bottom w:val="single" w:sz="4" w:space="0" w:color="auto"/>
              <w:right w:val="single" w:sz="4" w:space="0" w:color="auto"/>
            </w:tcBorders>
            <w:shd w:val="clear" w:color="auto" w:fill="C6EFCE"/>
            <w:noWrap/>
            <w:vAlign w:val="center"/>
          </w:tcPr>
          <w:p w14:paraId="399120BF" w14:textId="77777777" w:rsidR="00A612E2" w:rsidRPr="003B127D" w:rsidRDefault="00A612E2" w:rsidP="008B3890">
            <w:pPr>
              <w:rPr>
                <w:noProof/>
                <w:color w:val="006100"/>
                <w:sz w:val="20"/>
                <w:szCs w:val="20"/>
              </w:rPr>
            </w:pPr>
            <w:r>
              <w:rPr>
                <w:noProof/>
                <w:color w:val="006100"/>
                <w:sz w:val="20"/>
              </w:rPr>
              <w:t>Investeering 16. Toetus VKEdele taastuvatest energiaallikatest isetootmiseks</w:t>
            </w:r>
          </w:p>
        </w:tc>
        <w:tc>
          <w:tcPr>
            <w:tcW w:w="1378" w:type="dxa"/>
            <w:tcBorders>
              <w:top w:val="nil"/>
              <w:left w:val="nil"/>
              <w:bottom w:val="single" w:sz="4" w:space="0" w:color="auto"/>
              <w:right w:val="single" w:sz="4" w:space="0" w:color="auto"/>
            </w:tcBorders>
            <w:shd w:val="clear" w:color="auto" w:fill="C6EFCE"/>
            <w:noWrap/>
            <w:vAlign w:val="center"/>
          </w:tcPr>
          <w:p w14:paraId="0FA204B3" w14:textId="77777777" w:rsidR="00A612E2" w:rsidRPr="00246CC4" w:rsidRDefault="00A612E2" w:rsidP="00742B81">
            <w:pPr>
              <w:jc w:val="center"/>
              <w:rPr>
                <w:noProof/>
                <w:color w:val="006100"/>
                <w:sz w:val="20"/>
                <w:szCs w:val="20"/>
              </w:rPr>
            </w:pPr>
            <w:r>
              <w:rPr>
                <w:noProof/>
                <w:color w:val="006100"/>
                <w:sz w:val="20"/>
              </w:rPr>
              <w:t>Eesmärk</w:t>
            </w:r>
          </w:p>
        </w:tc>
        <w:tc>
          <w:tcPr>
            <w:tcW w:w="4166" w:type="dxa"/>
            <w:tcBorders>
              <w:top w:val="nil"/>
              <w:left w:val="nil"/>
              <w:bottom w:val="single" w:sz="4" w:space="0" w:color="auto"/>
              <w:right w:val="single" w:sz="4" w:space="0" w:color="auto"/>
            </w:tcBorders>
            <w:shd w:val="clear" w:color="auto" w:fill="C6EFCE"/>
            <w:noWrap/>
            <w:vAlign w:val="center"/>
          </w:tcPr>
          <w:p w14:paraId="559AFB2D" w14:textId="77777777" w:rsidR="00A612E2" w:rsidRPr="00246CC4" w:rsidRDefault="00A612E2" w:rsidP="00742B81">
            <w:pPr>
              <w:jc w:val="center"/>
              <w:rPr>
                <w:noProof/>
                <w:color w:val="006100"/>
                <w:sz w:val="20"/>
                <w:szCs w:val="20"/>
              </w:rPr>
            </w:pPr>
            <w:r>
              <w:rPr>
                <w:noProof/>
                <w:color w:val="006100"/>
                <w:sz w:val="20"/>
              </w:rPr>
              <w:t>Rakendusleping</w:t>
            </w:r>
          </w:p>
        </w:tc>
      </w:tr>
      <w:tr w:rsidR="00A612E2" w:rsidRPr="00D90835" w14:paraId="383E103C"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32D322D" w14:textId="77777777" w:rsidR="00A612E2" w:rsidRPr="00246CC4" w:rsidRDefault="00A612E2" w:rsidP="00742B81">
            <w:pPr>
              <w:jc w:val="center"/>
              <w:rPr>
                <w:noProof/>
                <w:color w:val="006100"/>
                <w:sz w:val="20"/>
                <w:szCs w:val="20"/>
              </w:rPr>
            </w:pPr>
            <w:r>
              <w:rPr>
                <w:noProof/>
                <w:color w:val="006100"/>
                <w:sz w:val="20"/>
              </w:rPr>
              <w:t>M7-44</w:t>
            </w:r>
          </w:p>
        </w:tc>
        <w:tc>
          <w:tcPr>
            <w:tcW w:w="3195" w:type="dxa"/>
            <w:tcBorders>
              <w:top w:val="nil"/>
              <w:left w:val="nil"/>
              <w:bottom w:val="single" w:sz="4" w:space="0" w:color="auto"/>
              <w:right w:val="single" w:sz="4" w:space="0" w:color="auto"/>
            </w:tcBorders>
            <w:shd w:val="clear" w:color="auto" w:fill="C6EFCE"/>
            <w:noWrap/>
            <w:vAlign w:val="center"/>
          </w:tcPr>
          <w:p w14:paraId="37EAB9F2" w14:textId="77777777" w:rsidR="00A612E2" w:rsidRPr="003B127D" w:rsidRDefault="00A612E2" w:rsidP="008B3890">
            <w:pPr>
              <w:rPr>
                <w:noProof/>
                <w:color w:val="006100"/>
                <w:sz w:val="20"/>
                <w:szCs w:val="20"/>
              </w:rPr>
            </w:pPr>
            <w:r>
              <w:rPr>
                <w:noProof/>
                <w:color w:val="006100"/>
                <w:sz w:val="20"/>
              </w:rPr>
              <w:t>Investeering 16. Toetus VKEdele taastuvatest energiaallikatest isetootmiseks</w:t>
            </w:r>
          </w:p>
        </w:tc>
        <w:tc>
          <w:tcPr>
            <w:tcW w:w="1378" w:type="dxa"/>
            <w:tcBorders>
              <w:top w:val="nil"/>
              <w:left w:val="nil"/>
              <w:bottom w:val="single" w:sz="4" w:space="0" w:color="auto"/>
              <w:right w:val="single" w:sz="4" w:space="0" w:color="auto"/>
            </w:tcBorders>
            <w:shd w:val="clear" w:color="auto" w:fill="C6EFCE"/>
            <w:noWrap/>
            <w:vAlign w:val="center"/>
          </w:tcPr>
          <w:p w14:paraId="42EC4B56" w14:textId="77777777" w:rsidR="00A612E2" w:rsidRPr="00246CC4" w:rsidRDefault="00A612E2" w:rsidP="00742B81">
            <w:pPr>
              <w:jc w:val="center"/>
              <w:rPr>
                <w:noProof/>
                <w:color w:val="006100"/>
                <w:sz w:val="20"/>
                <w:szCs w:val="20"/>
              </w:rPr>
            </w:pPr>
            <w:r>
              <w:rPr>
                <w:noProof/>
                <w:color w:val="006100"/>
                <w:sz w:val="20"/>
              </w:rPr>
              <w:t>Eesmärk</w:t>
            </w:r>
          </w:p>
        </w:tc>
        <w:tc>
          <w:tcPr>
            <w:tcW w:w="4166" w:type="dxa"/>
            <w:tcBorders>
              <w:top w:val="nil"/>
              <w:left w:val="nil"/>
              <w:bottom w:val="single" w:sz="4" w:space="0" w:color="auto"/>
              <w:right w:val="single" w:sz="4" w:space="0" w:color="auto"/>
            </w:tcBorders>
            <w:shd w:val="clear" w:color="auto" w:fill="C6EFCE"/>
            <w:noWrap/>
            <w:vAlign w:val="center"/>
          </w:tcPr>
          <w:p w14:paraId="7E12F496" w14:textId="77777777" w:rsidR="00A612E2" w:rsidRPr="003B127D" w:rsidRDefault="00A612E2" w:rsidP="00742B81">
            <w:pPr>
              <w:jc w:val="center"/>
              <w:rPr>
                <w:noProof/>
                <w:color w:val="006100"/>
                <w:sz w:val="20"/>
                <w:szCs w:val="20"/>
              </w:rPr>
            </w:pPr>
            <w:r>
              <w:rPr>
                <w:noProof/>
                <w:color w:val="006100"/>
                <w:sz w:val="20"/>
              </w:rPr>
              <w:t>Itaalia Ettevõtlus- ja Made’i ministeerium on viinud lõpule rahaliste vahendite ülekandmise Invitaliale</w:t>
            </w:r>
          </w:p>
        </w:tc>
      </w:tr>
      <w:tr w:rsidR="00A612E2" w:rsidRPr="00D90835" w14:paraId="1D932DFB"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3764FB5" w14:textId="77777777" w:rsidR="00A612E2" w:rsidRDefault="00A612E2" w:rsidP="00742B81">
            <w:pPr>
              <w:jc w:val="center"/>
              <w:rPr>
                <w:noProof/>
                <w:color w:val="006100"/>
                <w:sz w:val="20"/>
                <w:szCs w:val="20"/>
              </w:rPr>
            </w:pPr>
            <w:r>
              <w:rPr>
                <w:noProof/>
                <w:color w:val="006100"/>
                <w:sz w:val="20"/>
              </w:rPr>
              <w:t>M2C4-20</w:t>
            </w:r>
          </w:p>
        </w:tc>
        <w:tc>
          <w:tcPr>
            <w:tcW w:w="3195" w:type="dxa"/>
            <w:tcBorders>
              <w:top w:val="nil"/>
              <w:left w:val="nil"/>
              <w:bottom w:val="single" w:sz="4" w:space="0" w:color="auto"/>
              <w:right w:val="single" w:sz="4" w:space="0" w:color="auto"/>
            </w:tcBorders>
            <w:shd w:val="clear" w:color="auto" w:fill="C6EFCE"/>
            <w:noWrap/>
            <w:vAlign w:val="center"/>
          </w:tcPr>
          <w:p w14:paraId="5CDCA207" w14:textId="77777777" w:rsidR="00A612E2" w:rsidRDefault="00A612E2" w:rsidP="008B3890">
            <w:pPr>
              <w:rPr>
                <w:noProof/>
                <w:color w:val="006100"/>
                <w:sz w:val="20"/>
                <w:szCs w:val="20"/>
              </w:rPr>
            </w:pPr>
            <w:r>
              <w:rPr>
                <w:noProof/>
                <w:color w:val="006100"/>
                <w:sz w:val="20"/>
              </w:rPr>
              <w:t>Investeering. 3.1. Linna- ja linnalähedaste metsade kaitse ja edendamine</w:t>
            </w:r>
          </w:p>
        </w:tc>
        <w:tc>
          <w:tcPr>
            <w:tcW w:w="1378" w:type="dxa"/>
            <w:tcBorders>
              <w:top w:val="nil"/>
              <w:left w:val="nil"/>
              <w:bottom w:val="single" w:sz="4" w:space="0" w:color="auto"/>
              <w:right w:val="single" w:sz="4" w:space="0" w:color="auto"/>
            </w:tcBorders>
            <w:shd w:val="clear" w:color="auto" w:fill="C6EFCE"/>
            <w:noWrap/>
            <w:vAlign w:val="center"/>
          </w:tcPr>
          <w:p w14:paraId="1740C721" w14:textId="77777777" w:rsidR="00A612E2" w:rsidRDefault="00A612E2" w:rsidP="00742B81">
            <w:pPr>
              <w:jc w:val="center"/>
              <w:rPr>
                <w:noProof/>
                <w:color w:val="006100"/>
                <w:sz w:val="20"/>
                <w:szCs w:val="20"/>
              </w:rPr>
            </w:pPr>
            <w:r>
              <w:rPr>
                <w:noProof/>
                <w:color w:val="006100"/>
                <w:sz w:val="20"/>
              </w:rPr>
              <w:t>Siht</w:t>
            </w:r>
          </w:p>
        </w:tc>
        <w:tc>
          <w:tcPr>
            <w:tcW w:w="4166" w:type="dxa"/>
            <w:tcBorders>
              <w:top w:val="nil"/>
              <w:left w:val="nil"/>
              <w:bottom w:val="single" w:sz="4" w:space="0" w:color="auto"/>
              <w:right w:val="single" w:sz="4" w:space="0" w:color="auto"/>
            </w:tcBorders>
            <w:shd w:val="clear" w:color="auto" w:fill="C6EFCE"/>
            <w:noWrap/>
            <w:vAlign w:val="center"/>
          </w:tcPr>
          <w:p w14:paraId="2B23F5A3" w14:textId="77777777" w:rsidR="00A612E2" w:rsidRDefault="00A612E2" w:rsidP="00742B81">
            <w:pPr>
              <w:jc w:val="center"/>
              <w:rPr>
                <w:noProof/>
                <w:color w:val="006100"/>
                <w:sz w:val="20"/>
                <w:szCs w:val="20"/>
              </w:rPr>
            </w:pPr>
            <w:r>
              <w:rPr>
                <w:noProof/>
                <w:color w:val="006100"/>
                <w:sz w:val="20"/>
              </w:rPr>
              <w:t xml:space="preserve">Taimepuud linna- ja linnalähedaste rohealade kaitseks ja väärtustamiseks T2 </w:t>
            </w:r>
          </w:p>
        </w:tc>
      </w:tr>
      <w:tr w:rsidR="00A612E2" w:rsidRPr="00246CC4" w14:paraId="0420FE87" w14:textId="77777777" w:rsidTr="00742B81">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3257BFC4" w14:textId="77777777" w:rsidR="00A612E2" w:rsidRPr="00F33804" w:rsidRDefault="00A612E2" w:rsidP="00742B81">
            <w:pPr>
              <w:jc w:val="center"/>
              <w:rPr>
                <w:noProof/>
                <w:color w:val="006100"/>
                <w:sz w:val="20"/>
                <w:szCs w:val="20"/>
              </w:rPr>
            </w:pPr>
          </w:p>
        </w:tc>
        <w:tc>
          <w:tcPr>
            <w:tcW w:w="3195" w:type="dxa"/>
            <w:tcBorders>
              <w:top w:val="single" w:sz="4" w:space="0" w:color="auto"/>
              <w:left w:val="nil"/>
              <w:bottom w:val="single" w:sz="4" w:space="0" w:color="auto"/>
              <w:right w:val="single" w:sz="4" w:space="0" w:color="auto"/>
            </w:tcBorders>
            <w:shd w:val="clear" w:color="auto" w:fill="C6EFCE"/>
            <w:noWrap/>
            <w:vAlign w:val="bottom"/>
          </w:tcPr>
          <w:p w14:paraId="6B6483EA" w14:textId="77777777" w:rsidR="00A612E2" w:rsidRPr="00F33804" w:rsidRDefault="00A612E2" w:rsidP="008B3890">
            <w:pPr>
              <w:rPr>
                <w:noProof/>
                <w:color w:val="006100"/>
                <w:sz w:val="20"/>
                <w:szCs w:val="20"/>
              </w:rPr>
            </w:pPr>
          </w:p>
        </w:tc>
        <w:tc>
          <w:tcPr>
            <w:tcW w:w="1378" w:type="dxa"/>
            <w:tcBorders>
              <w:top w:val="single" w:sz="4" w:space="0" w:color="auto"/>
              <w:left w:val="nil"/>
              <w:bottom w:val="single" w:sz="4" w:space="0" w:color="auto"/>
              <w:right w:val="single" w:sz="4" w:space="0" w:color="auto"/>
            </w:tcBorders>
            <w:shd w:val="clear" w:color="auto" w:fill="C6EFCE"/>
            <w:noWrap/>
            <w:vAlign w:val="bottom"/>
          </w:tcPr>
          <w:p w14:paraId="0A258D51" w14:textId="77777777" w:rsidR="00A612E2" w:rsidRPr="00246CC4" w:rsidRDefault="00A612E2" w:rsidP="00742B81">
            <w:pPr>
              <w:rPr>
                <w:noProof/>
                <w:color w:val="006100"/>
                <w:sz w:val="20"/>
                <w:szCs w:val="20"/>
              </w:rPr>
            </w:pPr>
            <w:r>
              <w:rPr>
                <w:noProof/>
                <w:color w:val="006100"/>
                <w:sz w:val="20"/>
              </w:rPr>
              <w:t>Osamakse summa</w:t>
            </w:r>
          </w:p>
        </w:tc>
        <w:tc>
          <w:tcPr>
            <w:tcW w:w="4166" w:type="dxa"/>
            <w:tcBorders>
              <w:top w:val="single" w:sz="4" w:space="0" w:color="auto"/>
              <w:left w:val="nil"/>
              <w:bottom w:val="single" w:sz="4" w:space="0" w:color="auto"/>
              <w:right w:val="single" w:sz="4" w:space="0" w:color="auto"/>
            </w:tcBorders>
            <w:shd w:val="clear" w:color="auto" w:fill="C6EFCE"/>
            <w:noWrap/>
            <w:vAlign w:val="bottom"/>
          </w:tcPr>
          <w:p w14:paraId="5DAAFFB7" w14:textId="77777777" w:rsidR="00A612E2" w:rsidRPr="00246CC4" w:rsidRDefault="00A612E2" w:rsidP="00742B81">
            <w:pPr>
              <w:rPr>
                <w:noProof/>
                <w:color w:val="006100"/>
                <w:sz w:val="20"/>
                <w:szCs w:val="20"/>
              </w:rPr>
            </w:pPr>
            <w:r>
              <w:rPr>
                <w:noProof/>
                <w:color w:val="006100"/>
                <w:sz w:val="20"/>
              </w:rPr>
              <w:t>15 715 972 025 eurot</w:t>
            </w:r>
          </w:p>
        </w:tc>
      </w:tr>
    </w:tbl>
    <w:p w14:paraId="00D13BDE" w14:textId="77777777" w:rsidR="00A612E2" w:rsidRPr="00246CC4" w:rsidRDefault="00A612E2" w:rsidP="00A612E2">
      <w:pPr>
        <w:numPr>
          <w:ilvl w:val="1"/>
          <w:numId w:val="6"/>
        </w:numPr>
        <w:spacing w:before="120" w:after="120"/>
        <w:jc w:val="both"/>
        <w:rPr>
          <w:rFonts w:eastAsia="Calibri"/>
          <w:noProof/>
        </w:rPr>
      </w:pPr>
      <w:r>
        <w:rPr>
          <w:noProof/>
        </w:rPr>
        <w:t>Kaheksas osamakse (laenutoetus):</w:t>
      </w:r>
    </w:p>
    <w:tbl>
      <w:tblPr>
        <w:tblW w:w="10015" w:type="dxa"/>
        <w:tblInd w:w="113" w:type="dxa"/>
        <w:tblLook w:val="04A0" w:firstRow="1" w:lastRow="0" w:firstColumn="1" w:lastColumn="0" w:noHBand="0" w:noVBand="1"/>
      </w:tblPr>
      <w:tblGrid>
        <w:gridCol w:w="1827"/>
        <w:gridCol w:w="3105"/>
        <w:gridCol w:w="1423"/>
        <w:gridCol w:w="4074"/>
      </w:tblGrid>
      <w:tr w:rsidR="00A612E2" w:rsidRPr="00246CC4" w14:paraId="34CBD9E4" w14:textId="77777777" w:rsidTr="00B40E1A">
        <w:trPr>
          <w:trHeight w:val="906"/>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5F25750" w14:textId="77777777" w:rsidR="00A612E2" w:rsidRPr="00246CC4" w:rsidRDefault="00A612E2" w:rsidP="00742B81">
            <w:pPr>
              <w:jc w:val="center"/>
              <w:rPr>
                <w:b/>
                <w:bCs/>
                <w:noProof/>
                <w:sz w:val="20"/>
                <w:szCs w:val="20"/>
              </w:rPr>
            </w:pPr>
            <w:r>
              <w:rPr>
                <w:b/>
                <w:noProof/>
                <w:sz w:val="20"/>
              </w:rPr>
              <w:t>Järjekorranumber</w:t>
            </w:r>
          </w:p>
        </w:tc>
        <w:tc>
          <w:tcPr>
            <w:tcW w:w="310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D0C8395" w14:textId="77777777" w:rsidR="00A612E2" w:rsidRPr="003B127D" w:rsidRDefault="00A612E2" w:rsidP="008B3890">
            <w:pPr>
              <w:jc w:val="center"/>
              <w:rPr>
                <w:b/>
                <w:bCs/>
                <w:noProof/>
                <w:sz w:val="20"/>
                <w:szCs w:val="20"/>
              </w:rPr>
            </w:pPr>
            <w:r>
              <w:rPr>
                <w:b/>
                <w:noProof/>
                <w:sz w:val="20"/>
              </w:rPr>
              <w:t>Seotud meede (reform või investeering)</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420E9B0" w14:textId="77777777" w:rsidR="00A612E2" w:rsidRPr="00246CC4" w:rsidRDefault="00A612E2" w:rsidP="00742B81">
            <w:pPr>
              <w:jc w:val="center"/>
              <w:rPr>
                <w:b/>
                <w:bCs/>
                <w:noProof/>
                <w:sz w:val="20"/>
                <w:szCs w:val="20"/>
              </w:rPr>
            </w:pPr>
            <w:r>
              <w:rPr>
                <w:b/>
                <w:noProof/>
                <w:sz w:val="20"/>
              </w:rPr>
              <w:t>Eesmärk / siht</w:t>
            </w:r>
          </w:p>
        </w:tc>
        <w:tc>
          <w:tcPr>
            <w:tcW w:w="407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DB1B078" w14:textId="77777777" w:rsidR="00A612E2" w:rsidRPr="00246CC4" w:rsidRDefault="00A612E2" w:rsidP="00742B81">
            <w:pPr>
              <w:jc w:val="center"/>
              <w:rPr>
                <w:b/>
                <w:bCs/>
                <w:noProof/>
                <w:sz w:val="20"/>
                <w:szCs w:val="20"/>
              </w:rPr>
            </w:pPr>
            <w:r>
              <w:rPr>
                <w:b/>
                <w:noProof/>
                <w:sz w:val="20"/>
              </w:rPr>
              <w:t>Nimi</w:t>
            </w:r>
          </w:p>
        </w:tc>
      </w:tr>
      <w:tr w:rsidR="00A612E2" w:rsidRPr="00246CC4" w14:paraId="787E9A39" w14:textId="77777777" w:rsidTr="00B40E1A">
        <w:trPr>
          <w:trHeight w:val="517"/>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B72C1B2" w14:textId="77777777" w:rsidR="00A612E2" w:rsidRPr="00246CC4" w:rsidRDefault="00A612E2" w:rsidP="00742B81">
            <w:pPr>
              <w:rPr>
                <w:b/>
                <w:bCs/>
                <w:noProof/>
              </w:rPr>
            </w:pPr>
          </w:p>
        </w:tc>
        <w:tc>
          <w:tcPr>
            <w:tcW w:w="3105" w:type="dxa"/>
            <w:vMerge/>
            <w:tcBorders>
              <w:top w:val="single" w:sz="4" w:space="0" w:color="auto"/>
              <w:left w:val="single" w:sz="4" w:space="0" w:color="auto"/>
              <w:bottom w:val="single" w:sz="4" w:space="0" w:color="auto"/>
              <w:right w:val="single" w:sz="4" w:space="0" w:color="auto"/>
            </w:tcBorders>
            <w:vAlign w:val="center"/>
            <w:hideMark/>
          </w:tcPr>
          <w:p w14:paraId="4C7D702D" w14:textId="77777777" w:rsidR="00A612E2" w:rsidRPr="00246CC4" w:rsidRDefault="00A612E2" w:rsidP="008B3890">
            <w:pPr>
              <w:rPr>
                <w:b/>
                <w:bCs/>
                <w:noProof/>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03455621" w14:textId="77777777" w:rsidR="00A612E2" w:rsidRPr="00246CC4" w:rsidRDefault="00A612E2" w:rsidP="00742B81">
            <w:pPr>
              <w:rPr>
                <w:b/>
                <w:bCs/>
                <w:noProof/>
              </w:rPr>
            </w:pPr>
          </w:p>
        </w:tc>
        <w:tc>
          <w:tcPr>
            <w:tcW w:w="4074" w:type="dxa"/>
            <w:vMerge/>
            <w:tcBorders>
              <w:top w:val="single" w:sz="4" w:space="0" w:color="auto"/>
              <w:left w:val="single" w:sz="4" w:space="0" w:color="auto"/>
              <w:bottom w:val="single" w:sz="4" w:space="0" w:color="auto"/>
              <w:right w:val="single" w:sz="4" w:space="0" w:color="auto"/>
            </w:tcBorders>
            <w:vAlign w:val="center"/>
            <w:hideMark/>
          </w:tcPr>
          <w:p w14:paraId="1605D30F" w14:textId="77777777" w:rsidR="00A612E2" w:rsidRPr="00246CC4" w:rsidRDefault="00A612E2" w:rsidP="00742B81">
            <w:pPr>
              <w:rPr>
                <w:b/>
                <w:bCs/>
                <w:noProof/>
              </w:rPr>
            </w:pPr>
          </w:p>
        </w:tc>
      </w:tr>
      <w:tr w:rsidR="00A612E2" w:rsidRPr="00D90835" w14:paraId="47782386" w14:textId="77777777" w:rsidTr="00B40E1A">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BEF8142" w14:textId="77777777" w:rsidR="00A612E2" w:rsidRPr="00246CC4" w:rsidRDefault="00A612E2" w:rsidP="00742B81">
            <w:pPr>
              <w:jc w:val="center"/>
              <w:rPr>
                <w:noProof/>
                <w:color w:val="006100"/>
                <w:sz w:val="20"/>
                <w:szCs w:val="20"/>
              </w:rPr>
            </w:pPr>
            <w:r>
              <w:rPr>
                <w:noProof/>
                <w:color w:val="006100"/>
                <w:sz w:val="20"/>
              </w:rPr>
              <w:t>M5C2-16</w:t>
            </w:r>
          </w:p>
        </w:tc>
        <w:tc>
          <w:tcPr>
            <w:tcW w:w="3105" w:type="dxa"/>
            <w:tcBorders>
              <w:top w:val="single" w:sz="4" w:space="0" w:color="auto"/>
              <w:left w:val="nil"/>
              <w:bottom w:val="single" w:sz="4" w:space="0" w:color="auto"/>
              <w:right w:val="single" w:sz="4" w:space="0" w:color="auto"/>
            </w:tcBorders>
            <w:shd w:val="clear" w:color="auto" w:fill="C6EFCE"/>
            <w:noWrap/>
            <w:vAlign w:val="center"/>
          </w:tcPr>
          <w:p w14:paraId="1E3E80E5" w14:textId="77777777" w:rsidR="00A612E2" w:rsidRPr="003B127D" w:rsidRDefault="00A612E2" w:rsidP="008B3890">
            <w:pPr>
              <w:rPr>
                <w:noProof/>
                <w:color w:val="006100"/>
                <w:sz w:val="20"/>
                <w:szCs w:val="20"/>
              </w:rPr>
            </w:pPr>
            <w:r>
              <w:rPr>
                <w:noProof/>
                <w:color w:val="006100"/>
                <w:sz w:val="20"/>
              </w:rPr>
              <w:t>Investeering 5. Linnade integratsioonikavad (ebaseaduslike asulate ületamine, et võidelda tööjõu ekspluateerimise vastu põllumajanduses)</w:t>
            </w:r>
          </w:p>
        </w:tc>
        <w:tc>
          <w:tcPr>
            <w:tcW w:w="1423" w:type="dxa"/>
            <w:tcBorders>
              <w:top w:val="single" w:sz="4" w:space="0" w:color="auto"/>
              <w:left w:val="nil"/>
              <w:bottom w:val="single" w:sz="4" w:space="0" w:color="auto"/>
              <w:right w:val="single" w:sz="4" w:space="0" w:color="auto"/>
            </w:tcBorders>
            <w:shd w:val="clear" w:color="auto" w:fill="C6EFCE"/>
            <w:noWrap/>
            <w:vAlign w:val="center"/>
          </w:tcPr>
          <w:p w14:paraId="5EE38258" w14:textId="77777777" w:rsidR="00A612E2" w:rsidRPr="00246CC4" w:rsidRDefault="00A612E2" w:rsidP="00742B81">
            <w:pPr>
              <w:jc w:val="center"/>
              <w:rPr>
                <w:noProof/>
                <w:color w:val="006100"/>
                <w:sz w:val="20"/>
                <w:szCs w:val="20"/>
              </w:rPr>
            </w:pPr>
            <w:r>
              <w:rPr>
                <w:noProof/>
                <w:color w:val="006100"/>
                <w:sz w:val="20"/>
              </w:rPr>
              <w:t>Siht</w:t>
            </w:r>
          </w:p>
        </w:tc>
        <w:tc>
          <w:tcPr>
            <w:tcW w:w="4074" w:type="dxa"/>
            <w:tcBorders>
              <w:top w:val="single" w:sz="4" w:space="0" w:color="auto"/>
              <w:left w:val="nil"/>
              <w:bottom w:val="single" w:sz="4" w:space="0" w:color="auto"/>
              <w:right w:val="single" w:sz="4" w:space="0" w:color="auto"/>
            </w:tcBorders>
            <w:shd w:val="clear" w:color="auto" w:fill="C6EFCE"/>
            <w:noWrap/>
            <w:vAlign w:val="center"/>
          </w:tcPr>
          <w:p w14:paraId="590C49CD" w14:textId="77777777" w:rsidR="00A612E2" w:rsidRPr="003B127D" w:rsidRDefault="00A612E2" w:rsidP="00742B81">
            <w:pPr>
              <w:jc w:val="center"/>
              <w:rPr>
                <w:noProof/>
                <w:color w:val="006100"/>
                <w:sz w:val="20"/>
                <w:szCs w:val="20"/>
              </w:rPr>
            </w:pPr>
            <w:r>
              <w:rPr>
                <w:noProof/>
                <w:color w:val="006100"/>
                <w:sz w:val="20"/>
              </w:rPr>
              <w:t>Projektidega seotud tegevused viiakse lõpule piirkondades, mis on kohalike kavade kohaselt ebaseaduslikud asulad.</w:t>
            </w:r>
          </w:p>
        </w:tc>
      </w:tr>
      <w:tr w:rsidR="00A612E2" w:rsidRPr="00246CC4" w14:paraId="7A24E3D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6F7B4A7" w14:textId="77777777" w:rsidR="00A612E2" w:rsidRPr="00246CC4" w:rsidRDefault="00A612E2" w:rsidP="00742B81">
            <w:pPr>
              <w:jc w:val="center"/>
              <w:rPr>
                <w:noProof/>
                <w:color w:val="006100"/>
                <w:sz w:val="20"/>
                <w:szCs w:val="20"/>
              </w:rPr>
            </w:pPr>
            <w:r>
              <w:rPr>
                <w:noProof/>
                <w:color w:val="006100"/>
                <w:sz w:val="20"/>
              </w:rPr>
              <w:t>M7-47</w:t>
            </w:r>
          </w:p>
        </w:tc>
        <w:tc>
          <w:tcPr>
            <w:tcW w:w="3105" w:type="dxa"/>
            <w:tcBorders>
              <w:top w:val="nil"/>
              <w:left w:val="nil"/>
              <w:bottom w:val="single" w:sz="4" w:space="0" w:color="auto"/>
              <w:right w:val="single" w:sz="4" w:space="0" w:color="auto"/>
            </w:tcBorders>
            <w:shd w:val="clear" w:color="auto" w:fill="C6EFCE"/>
            <w:noWrap/>
            <w:vAlign w:val="center"/>
          </w:tcPr>
          <w:p w14:paraId="47DA56DD" w14:textId="77777777" w:rsidR="00A612E2" w:rsidRPr="003B127D" w:rsidRDefault="00A612E2" w:rsidP="008B3890">
            <w:pPr>
              <w:rPr>
                <w:noProof/>
                <w:color w:val="006100"/>
                <w:sz w:val="20"/>
                <w:szCs w:val="20"/>
              </w:rPr>
            </w:pPr>
            <w:r>
              <w:rPr>
                <w:noProof/>
                <w:color w:val="006100"/>
                <w:sz w:val="20"/>
              </w:rPr>
              <w:t>Investeering 17. Avaliku sektori ja sotsiaaleluruumide energiatõhusaks renoveerimise rahastamisvahend</w:t>
            </w:r>
          </w:p>
        </w:tc>
        <w:tc>
          <w:tcPr>
            <w:tcW w:w="1423" w:type="dxa"/>
            <w:tcBorders>
              <w:top w:val="nil"/>
              <w:left w:val="nil"/>
              <w:bottom w:val="single" w:sz="4" w:space="0" w:color="auto"/>
              <w:right w:val="single" w:sz="4" w:space="0" w:color="auto"/>
            </w:tcBorders>
            <w:shd w:val="clear" w:color="auto" w:fill="C6EFCE"/>
            <w:noWrap/>
            <w:vAlign w:val="center"/>
          </w:tcPr>
          <w:p w14:paraId="1E434137" w14:textId="77777777" w:rsidR="00A612E2" w:rsidRPr="00246CC4" w:rsidRDefault="00A612E2" w:rsidP="00742B81">
            <w:pPr>
              <w:jc w:val="center"/>
              <w:rPr>
                <w:noProof/>
                <w:color w:val="006100"/>
                <w:sz w:val="20"/>
                <w:szCs w:val="20"/>
              </w:rPr>
            </w:pPr>
            <w:r>
              <w:rPr>
                <w:noProof/>
                <w:color w:val="006100"/>
                <w:sz w:val="20"/>
              </w:rPr>
              <w:t>Eesmärk</w:t>
            </w:r>
          </w:p>
        </w:tc>
        <w:tc>
          <w:tcPr>
            <w:tcW w:w="4074" w:type="dxa"/>
            <w:tcBorders>
              <w:top w:val="nil"/>
              <w:left w:val="nil"/>
              <w:bottom w:val="single" w:sz="4" w:space="0" w:color="auto"/>
              <w:right w:val="single" w:sz="4" w:space="0" w:color="auto"/>
            </w:tcBorders>
            <w:shd w:val="clear" w:color="auto" w:fill="C6EFCE"/>
            <w:noWrap/>
            <w:vAlign w:val="center"/>
          </w:tcPr>
          <w:p w14:paraId="1529A829" w14:textId="77777777" w:rsidR="00A612E2" w:rsidRPr="00246CC4" w:rsidRDefault="00A612E2" w:rsidP="00742B81">
            <w:pPr>
              <w:jc w:val="center"/>
              <w:rPr>
                <w:noProof/>
                <w:color w:val="006100"/>
                <w:sz w:val="20"/>
                <w:szCs w:val="20"/>
              </w:rPr>
            </w:pPr>
            <w:r>
              <w:rPr>
                <w:noProof/>
                <w:color w:val="006100"/>
                <w:sz w:val="20"/>
              </w:rPr>
              <w:t>Rakendusleping</w:t>
            </w:r>
          </w:p>
        </w:tc>
      </w:tr>
      <w:tr w:rsidR="00A612E2" w:rsidRPr="00D90835" w14:paraId="167DE08C"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444A83B" w14:textId="77777777" w:rsidR="00A612E2" w:rsidRDefault="00A612E2" w:rsidP="00742B81">
            <w:pPr>
              <w:jc w:val="center"/>
              <w:rPr>
                <w:noProof/>
                <w:color w:val="006100"/>
                <w:sz w:val="20"/>
                <w:szCs w:val="20"/>
              </w:rPr>
            </w:pPr>
            <w:r>
              <w:rPr>
                <w:noProof/>
                <w:color w:val="006100"/>
                <w:sz w:val="20"/>
              </w:rPr>
              <w:t>M7-48</w:t>
            </w:r>
          </w:p>
        </w:tc>
        <w:tc>
          <w:tcPr>
            <w:tcW w:w="3105" w:type="dxa"/>
            <w:tcBorders>
              <w:top w:val="nil"/>
              <w:left w:val="nil"/>
              <w:bottom w:val="single" w:sz="4" w:space="0" w:color="auto"/>
              <w:right w:val="single" w:sz="4" w:space="0" w:color="auto"/>
            </w:tcBorders>
            <w:shd w:val="clear" w:color="auto" w:fill="C6EFCE"/>
            <w:noWrap/>
            <w:vAlign w:val="center"/>
          </w:tcPr>
          <w:p w14:paraId="08F6E170" w14:textId="77777777" w:rsidR="00A612E2" w:rsidRDefault="00A612E2" w:rsidP="008B3890">
            <w:pPr>
              <w:rPr>
                <w:noProof/>
                <w:color w:val="006100"/>
                <w:sz w:val="20"/>
                <w:szCs w:val="20"/>
              </w:rPr>
            </w:pPr>
            <w:r>
              <w:rPr>
                <w:noProof/>
                <w:color w:val="006100"/>
                <w:sz w:val="20"/>
              </w:rPr>
              <w:t>Investeering 17. Avaliku sektori ja sotsiaaleluruumide energiatõhusaks renoveerimise rahastamisvahend</w:t>
            </w:r>
          </w:p>
        </w:tc>
        <w:tc>
          <w:tcPr>
            <w:tcW w:w="1423" w:type="dxa"/>
            <w:tcBorders>
              <w:top w:val="nil"/>
              <w:left w:val="nil"/>
              <w:bottom w:val="single" w:sz="4" w:space="0" w:color="auto"/>
              <w:right w:val="single" w:sz="4" w:space="0" w:color="auto"/>
            </w:tcBorders>
            <w:shd w:val="clear" w:color="auto" w:fill="C6EFCE"/>
            <w:noWrap/>
            <w:vAlign w:val="center"/>
          </w:tcPr>
          <w:p w14:paraId="02333EDD" w14:textId="77777777" w:rsidR="00A612E2" w:rsidRDefault="00A612E2" w:rsidP="00742B81">
            <w:pPr>
              <w:jc w:val="center"/>
              <w:rPr>
                <w:noProof/>
                <w:color w:val="006100"/>
                <w:sz w:val="20"/>
                <w:szCs w:val="20"/>
              </w:rPr>
            </w:pPr>
            <w:r>
              <w:rPr>
                <w:noProof/>
                <w:color w:val="006100"/>
                <w:sz w:val="20"/>
              </w:rPr>
              <w:t>Eesmärk</w:t>
            </w:r>
          </w:p>
        </w:tc>
        <w:tc>
          <w:tcPr>
            <w:tcW w:w="4074" w:type="dxa"/>
            <w:tcBorders>
              <w:top w:val="nil"/>
              <w:left w:val="nil"/>
              <w:bottom w:val="single" w:sz="4" w:space="0" w:color="auto"/>
              <w:right w:val="single" w:sz="4" w:space="0" w:color="auto"/>
            </w:tcBorders>
            <w:shd w:val="clear" w:color="auto" w:fill="C6EFCE"/>
            <w:noWrap/>
            <w:vAlign w:val="center"/>
          </w:tcPr>
          <w:p w14:paraId="02FF481B" w14:textId="77777777" w:rsidR="00A612E2" w:rsidRDefault="00A612E2" w:rsidP="00742B81">
            <w:pPr>
              <w:jc w:val="center"/>
              <w:rPr>
                <w:noProof/>
                <w:color w:val="006100"/>
                <w:sz w:val="20"/>
                <w:szCs w:val="20"/>
              </w:rPr>
            </w:pPr>
            <w:r>
              <w:rPr>
                <w:noProof/>
                <w:color w:val="006100"/>
                <w:sz w:val="20"/>
              </w:rPr>
              <w:t>Ministeerium on investeeringu lõpule viinud</w:t>
            </w:r>
          </w:p>
        </w:tc>
      </w:tr>
      <w:tr w:rsidR="00A612E2" w:rsidRPr="00D90835" w14:paraId="6BD0F742"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61C0FD3" w14:textId="77777777" w:rsidR="00A612E2" w:rsidRPr="00246CC4" w:rsidRDefault="00A612E2" w:rsidP="00742B81">
            <w:pPr>
              <w:jc w:val="center"/>
              <w:rPr>
                <w:noProof/>
                <w:color w:val="006100"/>
                <w:sz w:val="20"/>
                <w:szCs w:val="20"/>
              </w:rPr>
            </w:pPr>
            <w:r>
              <w:rPr>
                <w:noProof/>
                <w:color w:val="006100"/>
                <w:sz w:val="20"/>
              </w:rPr>
              <w:t>M1C1-144</w:t>
            </w:r>
          </w:p>
        </w:tc>
        <w:tc>
          <w:tcPr>
            <w:tcW w:w="3105" w:type="dxa"/>
            <w:tcBorders>
              <w:top w:val="nil"/>
              <w:left w:val="nil"/>
              <w:bottom w:val="single" w:sz="4" w:space="0" w:color="auto"/>
              <w:right w:val="single" w:sz="4" w:space="0" w:color="auto"/>
            </w:tcBorders>
            <w:shd w:val="clear" w:color="auto" w:fill="C6EFCE"/>
            <w:noWrap/>
            <w:vAlign w:val="center"/>
          </w:tcPr>
          <w:p w14:paraId="2D981A57" w14:textId="77777777" w:rsidR="00A612E2" w:rsidRPr="003B127D" w:rsidRDefault="00A612E2" w:rsidP="008B3890">
            <w:pPr>
              <w:rPr>
                <w:noProof/>
                <w:color w:val="006100"/>
                <w:sz w:val="20"/>
                <w:szCs w:val="20"/>
              </w:rPr>
            </w:pPr>
            <w:r>
              <w:rPr>
                <w:noProof/>
                <w:color w:val="006100"/>
                <w:sz w:val="20"/>
              </w:rPr>
              <w:t>Investeering 1.4.2. Kodaniku kaasamine – Digitaalsete avalike teenuste kättesaadavuse parandamine</w:t>
            </w:r>
          </w:p>
        </w:tc>
        <w:tc>
          <w:tcPr>
            <w:tcW w:w="1423" w:type="dxa"/>
            <w:tcBorders>
              <w:top w:val="nil"/>
              <w:left w:val="nil"/>
              <w:bottom w:val="single" w:sz="4" w:space="0" w:color="auto"/>
              <w:right w:val="single" w:sz="4" w:space="0" w:color="auto"/>
            </w:tcBorders>
            <w:shd w:val="clear" w:color="auto" w:fill="C6EFCE"/>
            <w:noWrap/>
            <w:vAlign w:val="center"/>
          </w:tcPr>
          <w:p w14:paraId="3F3759A4" w14:textId="77777777" w:rsidR="00A612E2" w:rsidRPr="00246CC4" w:rsidRDefault="00A612E2" w:rsidP="00742B81">
            <w:pPr>
              <w:jc w:val="center"/>
              <w:rPr>
                <w:noProof/>
                <w:color w:val="006100"/>
                <w:sz w:val="20"/>
                <w:szCs w:val="20"/>
              </w:rPr>
            </w:pPr>
            <w:r>
              <w:rPr>
                <w:noProof/>
                <w:color w:val="006100"/>
                <w:sz w:val="20"/>
              </w:rPr>
              <w:t>Siht</w:t>
            </w:r>
          </w:p>
        </w:tc>
        <w:tc>
          <w:tcPr>
            <w:tcW w:w="4074" w:type="dxa"/>
            <w:tcBorders>
              <w:top w:val="nil"/>
              <w:left w:val="nil"/>
              <w:bottom w:val="single" w:sz="4" w:space="0" w:color="auto"/>
              <w:right w:val="single" w:sz="4" w:space="0" w:color="auto"/>
            </w:tcBorders>
            <w:shd w:val="clear" w:color="auto" w:fill="C6EFCE"/>
            <w:noWrap/>
            <w:vAlign w:val="center"/>
          </w:tcPr>
          <w:p w14:paraId="4976C0D8" w14:textId="77777777" w:rsidR="00A612E2" w:rsidRPr="003B127D" w:rsidRDefault="00A612E2" w:rsidP="00742B81">
            <w:pPr>
              <w:jc w:val="center"/>
              <w:rPr>
                <w:noProof/>
                <w:color w:val="006100"/>
                <w:sz w:val="20"/>
                <w:szCs w:val="20"/>
              </w:rPr>
            </w:pPr>
            <w:r>
              <w:rPr>
                <w:noProof/>
                <w:color w:val="006100"/>
                <w:sz w:val="20"/>
              </w:rPr>
              <w:t>Digitaalsete avalike teenuste kättesaadavuse parandamine</w:t>
            </w:r>
          </w:p>
        </w:tc>
      </w:tr>
      <w:tr w:rsidR="00A612E2" w:rsidRPr="00D90835" w14:paraId="03463175"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AAA822E" w14:textId="77777777" w:rsidR="00A612E2" w:rsidRPr="00246CC4" w:rsidRDefault="00A612E2" w:rsidP="00742B81">
            <w:pPr>
              <w:jc w:val="center"/>
              <w:rPr>
                <w:noProof/>
                <w:color w:val="006100"/>
                <w:sz w:val="20"/>
                <w:szCs w:val="20"/>
              </w:rPr>
            </w:pPr>
            <w:r>
              <w:rPr>
                <w:noProof/>
                <w:color w:val="006100"/>
                <w:sz w:val="20"/>
              </w:rPr>
              <w:t>M1C3-16</w:t>
            </w:r>
          </w:p>
        </w:tc>
        <w:tc>
          <w:tcPr>
            <w:tcW w:w="3105" w:type="dxa"/>
            <w:tcBorders>
              <w:top w:val="nil"/>
              <w:left w:val="nil"/>
              <w:bottom w:val="single" w:sz="4" w:space="0" w:color="auto"/>
              <w:right w:val="single" w:sz="4" w:space="0" w:color="auto"/>
            </w:tcBorders>
            <w:shd w:val="clear" w:color="auto" w:fill="C6EFCE"/>
            <w:noWrap/>
            <w:vAlign w:val="center"/>
          </w:tcPr>
          <w:p w14:paraId="0A510B6F" w14:textId="77777777" w:rsidR="00A612E2" w:rsidRPr="003B127D" w:rsidRDefault="00A612E2" w:rsidP="008B3890">
            <w:pPr>
              <w:rPr>
                <w:noProof/>
                <w:color w:val="006100"/>
                <w:sz w:val="20"/>
                <w:szCs w:val="20"/>
              </w:rPr>
            </w:pPr>
            <w:r>
              <w:rPr>
                <w:noProof/>
                <w:color w:val="006100"/>
                <w:sz w:val="20"/>
              </w:rPr>
              <w:t>Investeering 2.1. Väikeste ajalooliste linnade atraktiivsus</w:t>
            </w:r>
          </w:p>
        </w:tc>
        <w:tc>
          <w:tcPr>
            <w:tcW w:w="1423" w:type="dxa"/>
            <w:tcBorders>
              <w:top w:val="nil"/>
              <w:left w:val="nil"/>
              <w:bottom w:val="single" w:sz="4" w:space="0" w:color="auto"/>
              <w:right w:val="single" w:sz="4" w:space="0" w:color="auto"/>
            </w:tcBorders>
            <w:shd w:val="clear" w:color="auto" w:fill="C6EFCE"/>
            <w:noWrap/>
            <w:vAlign w:val="center"/>
          </w:tcPr>
          <w:p w14:paraId="62306A4D" w14:textId="77777777" w:rsidR="00A612E2" w:rsidRPr="00246CC4" w:rsidRDefault="00A612E2" w:rsidP="00742B81">
            <w:pPr>
              <w:jc w:val="center"/>
              <w:rPr>
                <w:noProof/>
                <w:color w:val="006100"/>
                <w:sz w:val="20"/>
                <w:szCs w:val="20"/>
              </w:rPr>
            </w:pPr>
            <w:r>
              <w:rPr>
                <w:noProof/>
                <w:color w:val="006100"/>
                <w:sz w:val="20"/>
              </w:rPr>
              <w:t>Siht</w:t>
            </w:r>
          </w:p>
        </w:tc>
        <w:tc>
          <w:tcPr>
            <w:tcW w:w="4074" w:type="dxa"/>
            <w:tcBorders>
              <w:top w:val="nil"/>
              <w:left w:val="nil"/>
              <w:bottom w:val="single" w:sz="4" w:space="0" w:color="auto"/>
              <w:right w:val="single" w:sz="4" w:space="0" w:color="auto"/>
            </w:tcBorders>
            <w:shd w:val="clear" w:color="auto" w:fill="C6EFCE"/>
            <w:noWrap/>
            <w:vAlign w:val="center"/>
          </w:tcPr>
          <w:p w14:paraId="766B0906" w14:textId="77777777" w:rsidR="00A612E2" w:rsidRPr="003B127D" w:rsidRDefault="00A612E2" w:rsidP="00742B81">
            <w:pPr>
              <w:jc w:val="center"/>
              <w:rPr>
                <w:noProof/>
                <w:color w:val="006100"/>
                <w:sz w:val="20"/>
                <w:szCs w:val="20"/>
              </w:rPr>
            </w:pPr>
            <w:r>
              <w:rPr>
                <w:noProof/>
                <w:color w:val="006100"/>
                <w:sz w:val="20"/>
              </w:rPr>
              <w:t>KULTUURI- või turismiobjektide väärtustamiseks võetud sekkumismeetmed</w:t>
            </w:r>
          </w:p>
        </w:tc>
      </w:tr>
      <w:tr w:rsidR="00A612E2" w:rsidRPr="00D90835" w14:paraId="72963E95"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6E3F5CD" w14:textId="77777777" w:rsidR="00A612E2" w:rsidRPr="00246CC4" w:rsidRDefault="00A612E2" w:rsidP="00742B81">
            <w:pPr>
              <w:jc w:val="center"/>
              <w:rPr>
                <w:noProof/>
                <w:color w:val="006100"/>
                <w:sz w:val="20"/>
                <w:szCs w:val="20"/>
              </w:rPr>
            </w:pPr>
            <w:r>
              <w:rPr>
                <w:noProof/>
                <w:color w:val="006100"/>
                <w:sz w:val="20"/>
              </w:rPr>
              <w:t>M2C1-23</w:t>
            </w:r>
          </w:p>
        </w:tc>
        <w:tc>
          <w:tcPr>
            <w:tcW w:w="3105" w:type="dxa"/>
            <w:tcBorders>
              <w:top w:val="nil"/>
              <w:left w:val="nil"/>
              <w:bottom w:val="single" w:sz="4" w:space="0" w:color="auto"/>
              <w:right w:val="single" w:sz="4" w:space="0" w:color="auto"/>
            </w:tcBorders>
            <w:shd w:val="clear" w:color="auto" w:fill="C6EFCE"/>
            <w:noWrap/>
            <w:vAlign w:val="center"/>
          </w:tcPr>
          <w:p w14:paraId="625977F7" w14:textId="77777777" w:rsidR="00A612E2" w:rsidRPr="003B127D" w:rsidRDefault="00A612E2" w:rsidP="008B3890">
            <w:pPr>
              <w:rPr>
                <w:noProof/>
                <w:color w:val="006100"/>
                <w:sz w:val="20"/>
                <w:szCs w:val="20"/>
              </w:rPr>
            </w:pPr>
            <w:r>
              <w:rPr>
                <w:noProof/>
                <w:color w:val="006100"/>
                <w:sz w:val="20"/>
              </w:rPr>
              <w:t>Investeering 3.4. Fondo Contratti di Filiera (FCF), et toetada tarneahelalepinguid põllumajandusliku toidutööstuse, kalanduse ja vesiviljeluse, metsanduse, lillekasvatuse ja taimekoolide sektoris</w:t>
            </w:r>
          </w:p>
        </w:tc>
        <w:tc>
          <w:tcPr>
            <w:tcW w:w="1423" w:type="dxa"/>
            <w:tcBorders>
              <w:top w:val="nil"/>
              <w:left w:val="nil"/>
              <w:bottom w:val="single" w:sz="4" w:space="0" w:color="auto"/>
              <w:right w:val="single" w:sz="4" w:space="0" w:color="auto"/>
            </w:tcBorders>
            <w:shd w:val="clear" w:color="auto" w:fill="C6EFCE"/>
            <w:noWrap/>
            <w:vAlign w:val="center"/>
          </w:tcPr>
          <w:p w14:paraId="1D5C1BF2" w14:textId="77777777" w:rsidR="00A612E2" w:rsidRPr="00246CC4" w:rsidRDefault="00A612E2" w:rsidP="00742B81">
            <w:pPr>
              <w:jc w:val="center"/>
              <w:rPr>
                <w:noProof/>
                <w:color w:val="006100"/>
                <w:sz w:val="20"/>
                <w:szCs w:val="20"/>
              </w:rPr>
            </w:pPr>
            <w:r>
              <w:rPr>
                <w:noProof/>
                <w:color w:val="006100"/>
                <w:sz w:val="20"/>
              </w:rPr>
              <w:t>Siht</w:t>
            </w:r>
          </w:p>
        </w:tc>
        <w:tc>
          <w:tcPr>
            <w:tcW w:w="4074" w:type="dxa"/>
            <w:tcBorders>
              <w:top w:val="nil"/>
              <w:left w:val="nil"/>
              <w:bottom w:val="single" w:sz="4" w:space="0" w:color="auto"/>
              <w:right w:val="single" w:sz="4" w:space="0" w:color="auto"/>
            </w:tcBorders>
            <w:shd w:val="clear" w:color="auto" w:fill="C6EFCE"/>
            <w:noWrap/>
            <w:vAlign w:val="center"/>
          </w:tcPr>
          <w:p w14:paraId="71A8C4E3" w14:textId="77777777" w:rsidR="00A612E2" w:rsidRPr="003B127D" w:rsidRDefault="00A612E2" w:rsidP="00742B81">
            <w:pPr>
              <w:jc w:val="center"/>
              <w:rPr>
                <w:noProof/>
                <w:color w:val="006100"/>
                <w:sz w:val="20"/>
                <w:szCs w:val="20"/>
              </w:rPr>
            </w:pPr>
            <w:r>
              <w:rPr>
                <w:noProof/>
                <w:color w:val="006100"/>
                <w:sz w:val="20"/>
              </w:rPr>
              <w:t>Lõplike abisaajatega sõlmitud õiguslikud lepingud</w:t>
            </w:r>
          </w:p>
        </w:tc>
      </w:tr>
      <w:tr w:rsidR="00A612E2" w:rsidRPr="00246CC4" w14:paraId="1B62A3D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8EBDFBB" w14:textId="77777777" w:rsidR="00A612E2" w:rsidRPr="00246CC4" w:rsidRDefault="00A612E2" w:rsidP="00742B81">
            <w:pPr>
              <w:jc w:val="center"/>
              <w:rPr>
                <w:noProof/>
                <w:color w:val="006100"/>
                <w:sz w:val="20"/>
                <w:szCs w:val="20"/>
              </w:rPr>
            </w:pPr>
            <w:r>
              <w:rPr>
                <w:noProof/>
                <w:color w:val="006100"/>
                <w:sz w:val="20"/>
              </w:rPr>
              <w:t>M2C2-4</w:t>
            </w:r>
          </w:p>
        </w:tc>
        <w:tc>
          <w:tcPr>
            <w:tcW w:w="3105" w:type="dxa"/>
            <w:tcBorders>
              <w:top w:val="nil"/>
              <w:left w:val="nil"/>
              <w:bottom w:val="single" w:sz="4" w:space="0" w:color="auto"/>
              <w:right w:val="single" w:sz="4" w:space="0" w:color="auto"/>
            </w:tcBorders>
            <w:shd w:val="clear" w:color="auto" w:fill="C6EFCE"/>
            <w:noWrap/>
            <w:vAlign w:val="center"/>
          </w:tcPr>
          <w:p w14:paraId="5BF2B750" w14:textId="77777777" w:rsidR="00A612E2" w:rsidRPr="003B127D" w:rsidRDefault="00A612E2" w:rsidP="008B3890">
            <w:pPr>
              <w:rPr>
                <w:noProof/>
                <w:color w:val="006100"/>
                <w:sz w:val="20"/>
                <w:szCs w:val="20"/>
              </w:rPr>
            </w:pPr>
            <w:r>
              <w:rPr>
                <w:noProof/>
                <w:color w:val="006100"/>
                <w:sz w:val="20"/>
              </w:rPr>
              <w:t>Investeering 1.4. Biometaani arendamine vastavalt ringmajanduse edendamise kriteeriumidele</w:t>
            </w:r>
          </w:p>
        </w:tc>
        <w:tc>
          <w:tcPr>
            <w:tcW w:w="1423" w:type="dxa"/>
            <w:tcBorders>
              <w:top w:val="nil"/>
              <w:left w:val="nil"/>
              <w:bottom w:val="single" w:sz="4" w:space="0" w:color="auto"/>
              <w:right w:val="single" w:sz="4" w:space="0" w:color="auto"/>
            </w:tcBorders>
            <w:shd w:val="clear" w:color="auto" w:fill="C6EFCE"/>
            <w:noWrap/>
            <w:vAlign w:val="center"/>
          </w:tcPr>
          <w:p w14:paraId="096F629D" w14:textId="77777777" w:rsidR="00A612E2" w:rsidRPr="00246CC4" w:rsidRDefault="00A612E2" w:rsidP="00742B81">
            <w:pPr>
              <w:jc w:val="center"/>
              <w:rPr>
                <w:noProof/>
                <w:color w:val="006100"/>
                <w:sz w:val="20"/>
                <w:szCs w:val="20"/>
              </w:rPr>
            </w:pPr>
            <w:r>
              <w:rPr>
                <w:noProof/>
                <w:color w:val="006100"/>
                <w:sz w:val="20"/>
              </w:rPr>
              <w:t>Siht</w:t>
            </w:r>
          </w:p>
        </w:tc>
        <w:tc>
          <w:tcPr>
            <w:tcW w:w="4074" w:type="dxa"/>
            <w:tcBorders>
              <w:top w:val="nil"/>
              <w:left w:val="nil"/>
              <w:bottom w:val="single" w:sz="4" w:space="0" w:color="auto"/>
              <w:right w:val="single" w:sz="4" w:space="0" w:color="auto"/>
            </w:tcBorders>
            <w:shd w:val="clear" w:color="auto" w:fill="C6EFCE"/>
            <w:noWrap/>
            <w:vAlign w:val="center"/>
          </w:tcPr>
          <w:p w14:paraId="1126DFC1" w14:textId="77777777" w:rsidR="00A612E2" w:rsidRPr="00246CC4" w:rsidRDefault="00A612E2" w:rsidP="00742B81">
            <w:pPr>
              <w:jc w:val="center"/>
              <w:rPr>
                <w:noProof/>
                <w:color w:val="006100"/>
                <w:sz w:val="20"/>
                <w:szCs w:val="20"/>
              </w:rPr>
            </w:pPr>
            <w:r>
              <w:rPr>
                <w:noProof/>
                <w:color w:val="006100"/>
                <w:sz w:val="20"/>
              </w:rPr>
              <w:t>Täiendav biometaani tootmisvõimsus</w:t>
            </w:r>
          </w:p>
        </w:tc>
      </w:tr>
      <w:tr w:rsidR="00A612E2" w:rsidRPr="00D90835" w14:paraId="4F7FD035"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2352A54" w14:textId="77777777" w:rsidR="00A612E2" w:rsidRPr="00246CC4" w:rsidRDefault="00A612E2" w:rsidP="00742B81">
            <w:pPr>
              <w:jc w:val="center"/>
              <w:rPr>
                <w:noProof/>
                <w:color w:val="006100"/>
                <w:sz w:val="20"/>
                <w:szCs w:val="20"/>
              </w:rPr>
            </w:pPr>
            <w:r>
              <w:rPr>
                <w:noProof/>
                <w:color w:val="006100"/>
                <w:sz w:val="20"/>
              </w:rPr>
              <w:t>M2C4-9</w:t>
            </w:r>
          </w:p>
        </w:tc>
        <w:tc>
          <w:tcPr>
            <w:tcW w:w="3105" w:type="dxa"/>
            <w:tcBorders>
              <w:top w:val="nil"/>
              <w:left w:val="nil"/>
              <w:bottom w:val="single" w:sz="4" w:space="0" w:color="auto"/>
              <w:right w:val="single" w:sz="4" w:space="0" w:color="auto"/>
            </w:tcBorders>
            <w:shd w:val="clear" w:color="auto" w:fill="C6EFCE"/>
            <w:noWrap/>
            <w:vAlign w:val="center"/>
          </w:tcPr>
          <w:p w14:paraId="3CA5B893" w14:textId="77777777" w:rsidR="00A612E2" w:rsidRPr="003B127D" w:rsidRDefault="00A612E2" w:rsidP="008B3890">
            <w:pPr>
              <w:rPr>
                <w:noProof/>
                <w:color w:val="006100"/>
                <w:sz w:val="20"/>
                <w:szCs w:val="20"/>
              </w:rPr>
            </w:pPr>
            <w:r>
              <w:rPr>
                <w:noProof/>
                <w:color w:val="006100"/>
                <w:sz w:val="20"/>
              </w:rPr>
              <w:t>Investeering 1.1. Täiustatud ja integreeritud seire- ja prognoosisüsteemi rakendamine</w:t>
            </w:r>
          </w:p>
        </w:tc>
        <w:tc>
          <w:tcPr>
            <w:tcW w:w="1423" w:type="dxa"/>
            <w:tcBorders>
              <w:top w:val="nil"/>
              <w:left w:val="nil"/>
              <w:bottom w:val="single" w:sz="4" w:space="0" w:color="auto"/>
              <w:right w:val="single" w:sz="4" w:space="0" w:color="auto"/>
            </w:tcBorders>
            <w:shd w:val="clear" w:color="auto" w:fill="C6EFCE"/>
            <w:noWrap/>
            <w:vAlign w:val="center"/>
          </w:tcPr>
          <w:p w14:paraId="3CA6B3FF" w14:textId="77777777" w:rsidR="00A612E2" w:rsidRPr="00246CC4" w:rsidRDefault="00A612E2" w:rsidP="00742B81">
            <w:pPr>
              <w:jc w:val="center"/>
              <w:rPr>
                <w:noProof/>
                <w:color w:val="006100"/>
                <w:sz w:val="20"/>
                <w:szCs w:val="20"/>
              </w:rPr>
            </w:pPr>
            <w:r>
              <w:rPr>
                <w:noProof/>
                <w:color w:val="006100"/>
                <w:sz w:val="20"/>
              </w:rPr>
              <w:t>Siht</w:t>
            </w:r>
          </w:p>
        </w:tc>
        <w:tc>
          <w:tcPr>
            <w:tcW w:w="4074" w:type="dxa"/>
            <w:tcBorders>
              <w:top w:val="nil"/>
              <w:left w:val="nil"/>
              <w:bottom w:val="single" w:sz="4" w:space="0" w:color="auto"/>
              <w:right w:val="single" w:sz="4" w:space="0" w:color="auto"/>
            </w:tcBorders>
            <w:shd w:val="clear" w:color="auto" w:fill="C6EFCE"/>
            <w:noWrap/>
            <w:vAlign w:val="center"/>
          </w:tcPr>
          <w:p w14:paraId="62541A3F" w14:textId="77777777" w:rsidR="00A612E2" w:rsidRPr="003B127D" w:rsidRDefault="00A612E2" w:rsidP="00742B81">
            <w:pPr>
              <w:jc w:val="center"/>
              <w:rPr>
                <w:noProof/>
                <w:color w:val="006100"/>
                <w:sz w:val="20"/>
                <w:szCs w:val="20"/>
              </w:rPr>
            </w:pPr>
            <w:r>
              <w:rPr>
                <w:noProof/>
                <w:color w:val="006100"/>
                <w:sz w:val="20"/>
              </w:rPr>
              <w:t xml:space="preserve">Täiustatud ja integreeritud seire- ja prognoosisüsteemi kasutuselevõtt hüdroloogiliste riskide kindlakstegemiseks </w:t>
            </w:r>
          </w:p>
        </w:tc>
      </w:tr>
      <w:tr w:rsidR="00A612E2" w:rsidRPr="00D90835" w14:paraId="3BC782A3"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5635B9D" w14:textId="77777777" w:rsidR="00A612E2" w:rsidRPr="00246CC4" w:rsidRDefault="00A612E2" w:rsidP="00742B81">
            <w:pPr>
              <w:jc w:val="center"/>
              <w:rPr>
                <w:noProof/>
                <w:color w:val="006100"/>
                <w:sz w:val="20"/>
                <w:szCs w:val="20"/>
              </w:rPr>
            </w:pPr>
            <w:r>
              <w:rPr>
                <w:noProof/>
                <w:color w:val="006100"/>
                <w:sz w:val="20"/>
              </w:rPr>
              <w:t>M2C4-11bis</w:t>
            </w:r>
          </w:p>
        </w:tc>
        <w:tc>
          <w:tcPr>
            <w:tcW w:w="3105" w:type="dxa"/>
            <w:tcBorders>
              <w:top w:val="nil"/>
              <w:left w:val="nil"/>
              <w:bottom w:val="single" w:sz="4" w:space="0" w:color="auto"/>
              <w:right w:val="single" w:sz="4" w:space="0" w:color="auto"/>
            </w:tcBorders>
            <w:shd w:val="clear" w:color="auto" w:fill="C6EFCE"/>
            <w:noWrap/>
            <w:vAlign w:val="center"/>
          </w:tcPr>
          <w:p w14:paraId="7FBE987B" w14:textId="77777777" w:rsidR="00A612E2" w:rsidRPr="003B127D" w:rsidRDefault="00A612E2" w:rsidP="008B3890">
            <w:pPr>
              <w:rPr>
                <w:noProof/>
                <w:color w:val="006100"/>
                <w:sz w:val="20"/>
                <w:szCs w:val="20"/>
              </w:rPr>
            </w:pPr>
            <w:r>
              <w:rPr>
                <w:noProof/>
                <w:color w:val="006100"/>
                <w:sz w:val="20"/>
              </w:rPr>
              <w:t>Investeering 2.1.a. Üleujutus- ja hüdrogeoloogilise ohu vähendamise meetmed – sekkumised Emilia Romagnas, Toscanas ja Marches</w:t>
            </w:r>
          </w:p>
        </w:tc>
        <w:tc>
          <w:tcPr>
            <w:tcW w:w="1423" w:type="dxa"/>
            <w:tcBorders>
              <w:top w:val="nil"/>
              <w:left w:val="nil"/>
              <w:bottom w:val="single" w:sz="4" w:space="0" w:color="auto"/>
              <w:right w:val="single" w:sz="4" w:space="0" w:color="auto"/>
            </w:tcBorders>
            <w:shd w:val="clear" w:color="auto" w:fill="C6EFCE"/>
            <w:noWrap/>
            <w:vAlign w:val="center"/>
          </w:tcPr>
          <w:p w14:paraId="4DECB007" w14:textId="77777777" w:rsidR="00A612E2" w:rsidRPr="00246CC4" w:rsidRDefault="00A612E2" w:rsidP="00742B81">
            <w:pPr>
              <w:jc w:val="center"/>
              <w:rPr>
                <w:noProof/>
                <w:color w:val="006100"/>
                <w:sz w:val="20"/>
                <w:szCs w:val="20"/>
              </w:rPr>
            </w:pPr>
            <w:r>
              <w:rPr>
                <w:noProof/>
                <w:color w:val="006100"/>
                <w:sz w:val="20"/>
              </w:rPr>
              <w:t>Eesmärk</w:t>
            </w:r>
          </w:p>
        </w:tc>
        <w:tc>
          <w:tcPr>
            <w:tcW w:w="4074" w:type="dxa"/>
            <w:tcBorders>
              <w:top w:val="nil"/>
              <w:left w:val="nil"/>
              <w:bottom w:val="single" w:sz="4" w:space="0" w:color="auto"/>
              <w:right w:val="single" w:sz="4" w:space="0" w:color="auto"/>
            </w:tcBorders>
            <w:shd w:val="clear" w:color="auto" w:fill="C6EFCE"/>
            <w:noWrap/>
            <w:vAlign w:val="center"/>
          </w:tcPr>
          <w:p w14:paraId="0C29D470" w14:textId="77777777" w:rsidR="00A612E2" w:rsidRPr="003B127D" w:rsidRDefault="00A612E2" w:rsidP="00742B81">
            <w:pPr>
              <w:jc w:val="center"/>
              <w:rPr>
                <w:noProof/>
                <w:color w:val="006100"/>
                <w:sz w:val="20"/>
                <w:szCs w:val="20"/>
              </w:rPr>
            </w:pPr>
            <w:r>
              <w:rPr>
                <w:noProof/>
                <w:color w:val="006100"/>
                <w:sz w:val="20"/>
              </w:rPr>
              <w:t>Kõigi riigihankelepingute sõlmimine sekkumiseks Emilia-Romagnas, Toscanas ja Marches</w:t>
            </w:r>
          </w:p>
        </w:tc>
      </w:tr>
      <w:tr w:rsidR="00A612E2" w:rsidRPr="00D90835" w14:paraId="2F73E795"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FEB78A9" w14:textId="77777777" w:rsidR="00A612E2" w:rsidRPr="00246CC4" w:rsidRDefault="00A612E2" w:rsidP="00742B81">
            <w:pPr>
              <w:jc w:val="center"/>
              <w:rPr>
                <w:noProof/>
                <w:color w:val="006100"/>
                <w:sz w:val="20"/>
                <w:szCs w:val="20"/>
              </w:rPr>
            </w:pPr>
            <w:r>
              <w:rPr>
                <w:noProof/>
                <w:color w:val="006100"/>
                <w:sz w:val="20"/>
              </w:rPr>
              <w:t>M2C4-26</w:t>
            </w:r>
          </w:p>
        </w:tc>
        <w:tc>
          <w:tcPr>
            <w:tcW w:w="3105" w:type="dxa"/>
            <w:tcBorders>
              <w:top w:val="nil"/>
              <w:left w:val="nil"/>
              <w:bottom w:val="single" w:sz="4" w:space="0" w:color="auto"/>
              <w:right w:val="single" w:sz="4" w:space="0" w:color="auto"/>
            </w:tcBorders>
            <w:shd w:val="clear" w:color="auto" w:fill="C6EFCE"/>
            <w:noWrap/>
            <w:vAlign w:val="center"/>
          </w:tcPr>
          <w:p w14:paraId="3780D63E" w14:textId="77777777" w:rsidR="00A612E2" w:rsidRPr="003B127D" w:rsidRDefault="00A612E2" w:rsidP="008B3890">
            <w:pPr>
              <w:rPr>
                <w:noProof/>
                <w:color w:val="006100"/>
                <w:sz w:val="20"/>
                <w:szCs w:val="20"/>
              </w:rPr>
            </w:pPr>
            <w:r>
              <w:rPr>
                <w:noProof/>
                <w:color w:val="006100"/>
                <w:sz w:val="20"/>
              </w:rPr>
              <w:t>Investeering 3.5. Merepõhja ja mereelupaikade taastamine ja kaitse</w:t>
            </w:r>
          </w:p>
        </w:tc>
        <w:tc>
          <w:tcPr>
            <w:tcW w:w="1423" w:type="dxa"/>
            <w:tcBorders>
              <w:top w:val="nil"/>
              <w:left w:val="nil"/>
              <w:bottom w:val="single" w:sz="4" w:space="0" w:color="auto"/>
              <w:right w:val="single" w:sz="4" w:space="0" w:color="auto"/>
            </w:tcBorders>
            <w:shd w:val="clear" w:color="auto" w:fill="C6EFCE"/>
            <w:noWrap/>
            <w:vAlign w:val="center"/>
          </w:tcPr>
          <w:p w14:paraId="64A7E342" w14:textId="77777777" w:rsidR="00A612E2" w:rsidRPr="00246CC4" w:rsidRDefault="00A612E2" w:rsidP="00742B81">
            <w:pPr>
              <w:jc w:val="center"/>
              <w:rPr>
                <w:noProof/>
                <w:color w:val="006100"/>
                <w:sz w:val="20"/>
                <w:szCs w:val="20"/>
              </w:rPr>
            </w:pPr>
            <w:r>
              <w:rPr>
                <w:noProof/>
                <w:color w:val="006100"/>
                <w:sz w:val="20"/>
              </w:rPr>
              <w:t>Siht</w:t>
            </w:r>
          </w:p>
        </w:tc>
        <w:tc>
          <w:tcPr>
            <w:tcW w:w="4074" w:type="dxa"/>
            <w:tcBorders>
              <w:top w:val="nil"/>
              <w:left w:val="nil"/>
              <w:bottom w:val="single" w:sz="4" w:space="0" w:color="auto"/>
              <w:right w:val="single" w:sz="4" w:space="0" w:color="auto"/>
            </w:tcBorders>
            <w:shd w:val="clear" w:color="auto" w:fill="C6EFCE"/>
            <w:noWrap/>
            <w:vAlign w:val="center"/>
          </w:tcPr>
          <w:p w14:paraId="17C659E8" w14:textId="77777777" w:rsidR="00A612E2" w:rsidRPr="003B127D" w:rsidRDefault="00A612E2" w:rsidP="00742B81">
            <w:pPr>
              <w:jc w:val="center"/>
              <w:rPr>
                <w:noProof/>
                <w:color w:val="006100"/>
                <w:sz w:val="20"/>
                <w:szCs w:val="20"/>
              </w:rPr>
            </w:pPr>
            <w:r>
              <w:rPr>
                <w:noProof/>
                <w:color w:val="006100"/>
                <w:sz w:val="20"/>
              </w:rPr>
              <w:t xml:space="preserve">Merepõhja ja mereelupaikade taastamine ja kaitse </w:t>
            </w:r>
          </w:p>
        </w:tc>
      </w:tr>
      <w:tr w:rsidR="00A612E2" w:rsidRPr="00D90835" w14:paraId="02CC8D1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C8811DA" w14:textId="77777777" w:rsidR="00A612E2" w:rsidRPr="00246CC4" w:rsidRDefault="00A612E2" w:rsidP="00742B81">
            <w:pPr>
              <w:jc w:val="center"/>
              <w:rPr>
                <w:noProof/>
                <w:color w:val="006100"/>
                <w:sz w:val="20"/>
                <w:szCs w:val="20"/>
              </w:rPr>
            </w:pPr>
            <w:r>
              <w:rPr>
                <w:noProof/>
                <w:color w:val="006100"/>
                <w:sz w:val="20"/>
              </w:rPr>
              <w:t>M3C1-13</w:t>
            </w:r>
          </w:p>
        </w:tc>
        <w:tc>
          <w:tcPr>
            <w:tcW w:w="3105" w:type="dxa"/>
            <w:tcBorders>
              <w:top w:val="nil"/>
              <w:left w:val="nil"/>
              <w:bottom w:val="single" w:sz="4" w:space="0" w:color="auto"/>
              <w:right w:val="single" w:sz="4" w:space="0" w:color="auto"/>
            </w:tcBorders>
            <w:shd w:val="clear" w:color="auto" w:fill="C6EFCE"/>
            <w:noWrap/>
            <w:vAlign w:val="center"/>
          </w:tcPr>
          <w:p w14:paraId="5B21A00D" w14:textId="77777777" w:rsidR="00A612E2" w:rsidRPr="003B127D" w:rsidRDefault="00A612E2" w:rsidP="008B3890">
            <w:pPr>
              <w:rPr>
                <w:noProof/>
                <w:color w:val="006100"/>
                <w:sz w:val="20"/>
                <w:szCs w:val="20"/>
              </w:rPr>
            </w:pPr>
            <w:r>
              <w:rPr>
                <w:noProof/>
                <w:color w:val="006100"/>
                <w:sz w:val="20"/>
              </w:rPr>
              <w:t>Investeering 1.4. Euroopa raudteetranspordi juhtimissüsteemi (ERTMS) kasutuselevõtmine</w:t>
            </w:r>
          </w:p>
        </w:tc>
        <w:tc>
          <w:tcPr>
            <w:tcW w:w="1423" w:type="dxa"/>
            <w:tcBorders>
              <w:top w:val="nil"/>
              <w:left w:val="nil"/>
              <w:bottom w:val="single" w:sz="4" w:space="0" w:color="auto"/>
              <w:right w:val="single" w:sz="4" w:space="0" w:color="auto"/>
            </w:tcBorders>
            <w:shd w:val="clear" w:color="auto" w:fill="C6EFCE"/>
            <w:noWrap/>
            <w:vAlign w:val="center"/>
          </w:tcPr>
          <w:p w14:paraId="3405F3FB" w14:textId="77777777" w:rsidR="00A612E2" w:rsidRPr="00246CC4" w:rsidRDefault="00A612E2" w:rsidP="00742B81">
            <w:pPr>
              <w:jc w:val="center"/>
              <w:rPr>
                <w:noProof/>
                <w:color w:val="006100"/>
                <w:sz w:val="20"/>
                <w:szCs w:val="20"/>
              </w:rPr>
            </w:pPr>
            <w:r>
              <w:rPr>
                <w:noProof/>
                <w:color w:val="006100"/>
                <w:sz w:val="20"/>
              </w:rPr>
              <w:t>Siht</w:t>
            </w:r>
          </w:p>
        </w:tc>
        <w:tc>
          <w:tcPr>
            <w:tcW w:w="4074" w:type="dxa"/>
            <w:tcBorders>
              <w:top w:val="nil"/>
              <w:left w:val="nil"/>
              <w:bottom w:val="single" w:sz="4" w:space="0" w:color="auto"/>
              <w:right w:val="single" w:sz="4" w:space="0" w:color="auto"/>
            </w:tcBorders>
            <w:shd w:val="clear" w:color="auto" w:fill="C6EFCE"/>
            <w:noWrap/>
            <w:vAlign w:val="center"/>
          </w:tcPr>
          <w:p w14:paraId="636DB52E" w14:textId="77777777" w:rsidR="00A612E2" w:rsidRPr="003B127D" w:rsidRDefault="00A612E2" w:rsidP="00742B81">
            <w:pPr>
              <w:jc w:val="center"/>
              <w:rPr>
                <w:noProof/>
                <w:color w:val="006100"/>
                <w:sz w:val="20"/>
                <w:szCs w:val="20"/>
              </w:rPr>
            </w:pPr>
            <w:r>
              <w:rPr>
                <w:noProof/>
                <w:color w:val="006100"/>
                <w:sz w:val="20"/>
              </w:rPr>
              <w:t>1 400 km Euroopa raudteetranspordi juhtimissüsteemiga varustatud raudteeliine</w:t>
            </w:r>
          </w:p>
        </w:tc>
      </w:tr>
      <w:tr w:rsidR="00A612E2" w:rsidRPr="00D90835" w14:paraId="7E344AED"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C4E5E7C" w14:textId="77777777" w:rsidR="00A612E2" w:rsidRPr="00246CC4" w:rsidRDefault="00A612E2" w:rsidP="00742B81">
            <w:pPr>
              <w:jc w:val="center"/>
              <w:rPr>
                <w:noProof/>
                <w:color w:val="006100"/>
                <w:sz w:val="20"/>
                <w:szCs w:val="20"/>
              </w:rPr>
            </w:pPr>
            <w:r>
              <w:rPr>
                <w:noProof/>
                <w:color w:val="006100"/>
                <w:sz w:val="20"/>
              </w:rPr>
              <w:t>M4C2-6</w:t>
            </w:r>
          </w:p>
        </w:tc>
        <w:tc>
          <w:tcPr>
            <w:tcW w:w="3105" w:type="dxa"/>
            <w:tcBorders>
              <w:top w:val="nil"/>
              <w:left w:val="nil"/>
              <w:bottom w:val="single" w:sz="4" w:space="0" w:color="auto"/>
              <w:right w:val="single" w:sz="4" w:space="0" w:color="auto"/>
            </w:tcBorders>
            <w:shd w:val="clear" w:color="auto" w:fill="C6EFCE"/>
            <w:noWrap/>
            <w:vAlign w:val="center"/>
          </w:tcPr>
          <w:p w14:paraId="658BA9CB" w14:textId="77777777" w:rsidR="00A612E2" w:rsidRPr="003B127D" w:rsidRDefault="00A612E2" w:rsidP="008B3890">
            <w:pPr>
              <w:rPr>
                <w:noProof/>
                <w:color w:val="006100"/>
                <w:sz w:val="20"/>
                <w:szCs w:val="20"/>
              </w:rPr>
            </w:pPr>
            <w:r>
              <w:rPr>
                <w:noProof/>
                <w:color w:val="006100"/>
                <w:sz w:val="20"/>
              </w:rPr>
              <w:t>Investeering 1.1. Olulist riiklikku huvi pakkuvad uurimisprojektid (PRIN)</w:t>
            </w:r>
          </w:p>
        </w:tc>
        <w:tc>
          <w:tcPr>
            <w:tcW w:w="1423" w:type="dxa"/>
            <w:tcBorders>
              <w:top w:val="nil"/>
              <w:left w:val="nil"/>
              <w:bottom w:val="single" w:sz="4" w:space="0" w:color="auto"/>
              <w:right w:val="single" w:sz="4" w:space="0" w:color="auto"/>
            </w:tcBorders>
            <w:shd w:val="clear" w:color="auto" w:fill="C6EFCE"/>
            <w:noWrap/>
            <w:vAlign w:val="center"/>
          </w:tcPr>
          <w:p w14:paraId="39FDAD22" w14:textId="77777777" w:rsidR="00A612E2" w:rsidRPr="00246CC4" w:rsidRDefault="00A612E2" w:rsidP="00742B81">
            <w:pPr>
              <w:jc w:val="center"/>
              <w:rPr>
                <w:noProof/>
                <w:color w:val="006100"/>
                <w:sz w:val="20"/>
                <w:szCs w:val="20"/>
              </w:rPr>
            </w:pPr>
            <w:r>
              <w:rPr>
                <w:noProof/>
                <w:color w:val="006100"/>
                <w:sz w:val="20"/>
              </w:rPr>
              <w:t>Siht</w:t>
            </w:r>
          </w:p>
        </w:tc>
        <w:tc>
          <w:tcPr>
            <w:tcW w:w="4074" w:type="dxa"/>
            <w:tcBorders>
              <w:top w:val="nil"/>
              <w:left w:val="nil"/>
              <w:bottom w:val="single" w:sz="4" w:space="0" w:color="auto"/>
              <w:right w:val="single" w:sz="4" w:space="0" w:color="auto"/>
            </w:tcBorders>
            <w:shd w:val="clear" w:color="auto" w:fill="C6EFCE"/>
            <w:noWrap/>
            <w:vAlign w:val="center"/>
          </w:tcPr>
          <w:p w14:paraId="53E7C9C4" w14:textId="77777777" w:rsidR="00A612E2" w:rsidRPr="003B127D" w:rsidRDefault="00A612E2" w:rsidP="00742B81">
            <w:pPr>
              <w:jc w:val="center"/>
              <w:rPr>
                <w:noProof/>
                <w:color w:val="006100"/>
                <w:sz w:val="20"/>
                <w:szCs w:val="20"/>
              </w:rPr>
            </w:pPr>
            <w:r>
              <w:rPr>
                <w:noProof/>
                <w:color w:val="006100"/>
                <w:sz w:val="20"/>
              </w:rPr>
              <w:t>Eraldatud teadusprojektide arv</w:t>
            </w:r>
          </w:p>
        </w:tc>
      </w:tr>
      <w:tr w:rsidR="00A612E2" w:rsidRPr="00D90835" w14:paraId="33110D94"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72B676D" w14:textId="77777777" w:rsidR="00A612E2" w:rsidRPr="00246CC4" w:rsidRDefault="00A612E2" w:rsidP="00742B81">
            <w:pPr>
              <w:jc w:val="center"/>
              <w:rPr>
                <w:noProof/>
                <w:color w:val="006100"/>
                <w:sz w:val="20"/>
                <w:szCs w:val="20"/>
              </w:rPr>
            </w:pPr>
            <w:r>
              <w:rPr>
                <w:noProof/>
                <w:color w:val="006100"/>
                <w:sz w:val="20"/>
              </w:rPr>
              <w:t>M4C2-7</w:t>
            </w:r>
          </w:p>
        </w:tc>
        <w:tc>
          <w:tcPr>
            <w:tcW w:w="3105" w:type="dxa"/>
            <w:tcBorders>
              <w:top w:val="nil"/>
              <w:left w:val="nil"/>
              <w:bottom w:val="single" w:sz="4" w:space="0" w:color="auto"/>
              <w:right w:val="single" w:sz="4" w:space="0" w:color="auto"/>
            </w:tcBorders>
            <w:shd w:val="clear" w:color="auto" w:fill="C6EFCE"/>
            <w:noWrap/>
            <w:vAlign w:val="center"/>
          </w:tcPr>
          <w:p w14:paraId="172B87DB" w14:textId="77777777" w:rsidR="00A612E2" w:rsidRPr="003B127D" w:rsidRDefault="00A612E2" w:rsidP="008B3890">
            <w:pPr>
              <w:rPr>
                <w:noProof/>
                <w:color w:val="006100"/>
                <w:sz w:val="20"/>
                <w:szCs w:val="20"/>
              </w:rPr>
            </w:pPr>
            <w:r>
              <w:rPr>
                <w:noProof/>
                <w:color w:val="006100"/>
                <w:sz w:val="20"/>
              </w:rPr>
              <w:t>Investeering 1.1. Olulist riiklikku huvi pakkuvad uurimisprojektid (PRIN)</w:t>
            </w:r>
          </w:p>
        </w:tc>
        <w:tc>
          <w:tcPr>
            <w:tcW w:w="1423" w:type="dxa"/>
            <w:tcBorders>
              <w:top w:val="nil"/>
              <w:left w:val="nil"/>
              <w:bottom w:val="single" w:sz="4" w:space="0" w:color="auto"/>
              <w:right w:val="single" w:sz="4" w:space="0" w:color="auto"/>
            </w:tcBorders>
            <w:shd w:val="clear" w:color="auto" w:fill="C6EFCE"/>
            <w:noWrap/>
            <w:vAlign w:val="center"/>
          </w:tcPr>
          <w:p w14:paraId="7C07AC6E" w14:textId="77777777" w:rsidR="00A612E2" w:rsidRPr="00246CC4" w:rsidRDefault="00A612E2" w:rsidP="00742B81">
            <w:pPr>
              <w:jc w:val="center"/>
              <w:rPr>
                <w:noProof/>
                <w:color w:val="006100"/>
                <w:sz w:val="20"/>
                <w:szCs w:val="20"/>
              </w:rPr>
            </w:pPr>
            <w:r>
              <w:rPr>
                <w:noProof/>
                <w:color w:val="006100"/>
                <w:sz w:val="20"/>
              </w:rPr>
              <w:t>Siht</w:t>
            </w:r>
          </w:p>
        </w:tc>
        <w:tc>
          <w:tcPr>
            <w:tcW w:w="4074" w:type="dxa"/>
            <w:tcBorders>
              <w:top w:val="nil"/>
              <w:left w:val="nil"/>
              <w:bottom w:val="single" w:sz="4" w:space="0" w:color="auto"/>
              <w:right w:val="single" w:sz="4" w:space="0" w:color="auto"/>
            </w:tcBorders>
            <w:shd w:val="clear" w:color="auto" w:fill="C6EFCE"/>
            <w:noWrap/>
            <w:vAlign w:val="center"/>
          </w:tcPr>
          <w:p w14:paraId="4D6EE9ED" w14:textId="77777777" w:rsidR="00A612E2" w:rsidRPr="003B127D" w:rsidRDefault="00A612E2" w:rsidP="00742B81">
            <w:pPr>
              <w:jc w:val="center"/>
              <w:rPr>
                <w:noProof/>
                <w:color w:val="006100"/>
                <w:sz w:val="20"/>
                <w:szCs w:val="20"/>
              </w:rPr>
            </w:pPr>
            <w:r>
              <w:rPr>
                <w:noProof/>
                <w:color w:val="006100"/>
                <w:sz w:val="20"/>
              </w:rPr>
              <w:t>Tööle võetud tähtajalise lepinguga teadlaste arv</w:t>
            </w:r>
          </w:p>
        </w:tc>
      </w:tr>
      <w:tr w:rsidR="00A612E2" w:rsidRPr="00D90835" w14:paraId="3A1D09E8"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042B07F" w14:textId="77777777" w:rsidR="00A612E2" w:rsidRPr="00246CC4" w:rsidRDefault="00A612E2" w:rsidP="00742B81">
            <w:pPr>
              <w:jc w:val="center"/>
              <w:rPr>
                <w:noProof/>
                <w:color w:val="006100"/>
                <w:sz w:val="20"/>
                <w:szCs w:val="20"/>
              </w:rPr>
            </w:pPr>
            <w:r>
              <w:rPr>
                <w:noProof/>
                <w:color w:val="006100"/>
                <w:sz w:val="20"/>
              </w:rPr>
              <w:t>M4C2-8</w:t>
            </w:r>
          </w:p>
        </w:tc>
        <w:tc>
          <w:tcPr>
            <w:tcW w:w="3105" w:type="dxa"/>
            <w:tcBorders>
              <w:top w:val="nil"/>
              <w:left w:val="nil"/>
              <w:bottom w:val="single" w:sz="4" w:space="0" w:color="auto"/>
              <w:right w:val="single" w:sz="4" w:space="0" w:color="auto"/>
            </w:tcBorders>
            <w:shd w:val="clear" w:color="auto" w:fill="C6EFCE"/>
            <w:noWrap/>
            <w:vAlign w:val="center"/>
          </w:tcPr>
          <w:p w14:paraId="0979C7CA" w14:textId="77777777" w:rsidR="00A612E2" w:rsidRPr="003B127D" w:rsidRDefault="00A612E2" w:rsidP="008B3890">
            <w:pPr>
              <w:rPr>
                <w:noProof/>
                <w:color w:val="006100"/>
                <w:sz w:val="20"/>
                <w:szCs w:val="20"/>
              </w:rPr>
            </w:pPr>
            <w:r>
              <w:rPr>
                <w:noProof/>
                <w:color w:val="006100"/>
                <w:sz w:val="20"/>
              </w:rPr>
              <w:t>Investeering 1.3. Ülikoolidele, uurimiskeskustele, ettevõtetele ja alusuuringute projektide rahastamisele laiendatud partnerlused</w:t>
            </w:r>
          </w:p>
        </w:tc>
        <w:tc>
          <w:tcPr>
            <w:tcW w:w="1423" w:type="dxa"/>
            <w:tcBorders>
              <w:top w:val="nil"/>
              <w:left w:val="nil"/>
              <w:bottom w:val="single" w:sz="4" w:space="0" w:color="auto"/>
              <w:right w:val="single" w:sz="4" w:space="0" w:color="auto"/>
            </w:tcBorders>
            <w:shd w:val="clear" w:color="auto" w:fill="C6EFCE"/>
            <w:noWrap/>
            <w:vAlign w:val="center"/>
          </w:tcPr>
          <w:p w14:paraId="1FF24715" w14:textId="77777777" w:rsidR="00A612E2" w:rsidRPr="00246CC4" w:rsidRDefault="00A612E2" w:rsidP="00742B81">
            <w:pPr>
              <w:jc w:val="center"/>
              <w:rPr>
                <w:noProof/>
                <w:color w:val="006100"/>
                <w:sz w:val="20"/>
                <w:szCs w:val="20"/>
              </w:rPr>
            </w:pPr>
            <w:r>
              <w:rPr>
                <w:noProof/>
                <w:color w:val="006100"/>
                <w:sz w:val="20"/>
              </w:rPr>
              <w:t>Siht</w:t>
            </w:r>
          </w:p>
        </w:tc>
        <w:tc>
          <w:tcPr>
            <w:tcW w:w="4074" w:type="dxa"/>
            <w:tcBorders>
              <w:top w:val="nil"/>
              <w:left w:val="nil"/>
              <w:bottom w:val="single" w:sz="4" w:space="0" w:color="auto"/>
              <w:right w:val="single" w:sz="4" w:space="0" w:color="auto"/>
            </w:tcBorders>
            <w:shd w:val="clear" w:color="auto" w:fill="C6EFCE"/>
            <w:noWrap/>
            <w:vAlign w:val="center"/>
          </w:tcPr>
          <w:p w14:paraId="2C9DBB09" w14:textId="77777777" w:rsidR="00A612E2" w:rsidRPr="003B127D" w:rsidRDefault="00A612E2" w:rsidP="00742B81">
            <w:pPr>
              <w:jc w:val="center"/>
              <w:rPr>
                <w:noProof/>
                <w:color w:val="006100"/>
                <w:sz w:val="20"/>
                <w:szCs w:val="20"/>
              </w:rPr>
            </w:pPr>
            <w:r>
              <w:rPr>
                <w:noProof/>
                <w:color w:val="006100"/>
                <w:sz w:val="20"/>
              </w:rPr>
              <w:t>Uurimisinstituutide ja eraettevõtete vahel sõlmitud kavandatavate alusuuringute partnerluste jaoks tööle võetud tähtajaliste teadlaste arv</w:t>
            </w:r>
          </w:p>
        </w:tc>
      </w:tr>
      <w:tr w:rsidR="00A612E2" w:rsidRPr="00D90835" w14:paraId="0162AE2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711E79F" w14:textId="77777777" w:rsidR="00A612E2" w:rsidRPr="00246CC4" w:rsidRDefault="00A612E2" w:rsidP="00742B81">
            <w:pPr>
              <w:jc w:val="center"/>
              <w:rPr>
                <w:noProof/>
                <w:color w:val="006100"/>
                <w:sz w:val="20"/>
                <w:szCs w:val="20"/>
              </w:rPr>
            </w:pPr>
            <w:r>
              <w:rPr>
                <w:noProof/>
                <w:color w:val="006100"/>
                <w:sz w:val="20"/>
              </w:rPr>
              <w:t>M4C2-22</w:t>
            </w:r>
          </w:p>
        </w:tc>
        <w:tc>
          <w:tcPr>
            <w:tcW w:w="3105" w:type="dxa"/>
            <w:tcBorders>
              <w:top w:val="nil"/>
              <w:left w:val="nil"/>
              <w:bottom w:val="single" w:sz="4" w:space="0" w:color="auto"/>
              <w:right w:val="single" w:sz="4" w:space="0" w:color="auto"/>
            </w:tcBorders>
            <w:shd w:val="clear" w:color="auto" w:fill="C6EFCE"/>
            <w:noWrap/>
            <w:vAlign w:val="center"/>
          </w:tcPr>
          <w:p w14:paraId="54EF662C" w14:textId="77777777" w:rsidR="00A612E2" w:rsidRPr="00246CC4" w:rsidRDefault="00A612E2" w:rsidP="008B3890">
            <w:pPr>
              <w:rPr>
                <w:noProof/>
                <w:color w:val="006100"/>
                <w:sz w:val="20"/>
                <w:szCs w:val="20"/>
              </w:rPr>
            </w:pPr>
            <w:r>
              <w:rPr>
                <w:noProof/>
                <w:color w:val="006100"/>
                <w:sz w:val="20"/>
              </w:rPr>
              <w:t>Investeering 2.1. Üleeuroopalist huvi pakkuvad tähtsad projektid</w:t>
            </w:r>
          </w:p>
        </w:tc>
        <w:tc>
          <w:tcPr>
            <w:tcW w:w="1423" w:type="dxa"/>
            <w:tcBorders>
              <w:top w:val="nil"/>
              <w:left w:val="nil"/>
              <w:bottom w:val="single" w:sz="4" w:space="0" w:color="auto"/>
              <w:right w:val="single" w:sz="4" w:space="0" w:color="auto"/>
            </w:tcBorders>
            <w:shd w:val="clear" w:color="auto" w:fill="C6EFCE"/>
            <w:noWrap/>
            <w:vAlign w:val="center"/>
          </w:tcPr>
          <w:p w14:paraId="7F2F94A6" w14:textId="77777777" w:rsidR="00A612E2" w:rsidRPr="00246CC4" w:rsidRDefault="00A612E2" w:rsidP="00742B81">
            <w:pPr>
              <w:jc w:val="center"/>
              <w:rPr>
                <w:noProof/>
                <w:color w:val="006100"/>
                <w:sz w:val="20"/>
                <w:szCs w:val="20"/>
              </w:rPr>
            </w:pPr>
            <w:r>
              <w:rPr>
                <w:noProof/>
                <w:color w:val="006100"/>
                <w:sz w:val="20"/>
              </w:rPr>
              <w:t>Siht</w:t>
            </w:r>
          </w:p>
        </w:tc>
        <w:tc>
          <w:tcPr>
            <w:tcW w:w="4074" w:type="dxa"/>
            <w:tcBorders>
              <w:top w:val="nil"/>
              <w:left w:val="nil"/>
              <w:bottom w:val="single" w:sz="4" w:space="0" w:color="auto"/>
              <w:right w:val="single" w:sz="4" w:space="0" w:color="auto"/>
            </w:tcBorders>
            <w:shd w:val="clear" w:color="auto" w:fill="C6EFCE"/>
            <w:noWrap/>
            <w:vAlign w:val="center"/>
          </w:tcPr>
          <w:p w14:paraId="5F66AF5F" w14:textId="77777777" w:rsidR="00A612E2" w:rsidRPr="003B127D" w:rsidRDefault="00A612E2" w:rsidP="00742B81">
            <w:pPr>
              <w:jc w:val="center"/>
              <w:rPr>
                <w:noProof/>
                <w:color w:val="006100"/>
                <w:sz w:val="20"/>
                <w:szCs w:val="20"/>
              </w:rPr>
            </w:pPr>
            <w:r>
              <w:rPr>
                <w:noProof/>
                <w:color w:val="006100"/>
                <w:sz w:val="20"/>
              </w:rPr>
              <w:t>Toetust saanud projektide arv</w:t>
            </w:r>
          </w:p>
        </w:tc>
      </w:tr>
      <w:tr w:rsidR="00A612E2" w:rsidRPr="00D90835" w14:paraId="10E5B87C"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1BFAB17" w14:textId="77777777" w:rsidR="00A612E2" w:rsidRDefault="00A612E2" w:rsidP="00742B81">
            <w:pPr>
              <w:jc w:val="center"/>
              <w:rPr>
                <w:noProof/>
                <w:color w:val="006100"/>
                <w:sz w:val="20"/>
                <w:szCs w:val="20"/>
              </w:rPr>
            </w:pPr>
            <w:r>
              <w:rPr>
                <w:noProof/>
                <w:color w:val="006100"/>
                <w:sz w:val="20"/>
              </w:rPr>
              <w:t>M2C4-37</w:t>
            </w:r>
          </w:p>
        </w:tc>
        <w:tc>
          <w:tcPr>
            <w:tcW w:w="3105" w:type="dxa"/>
            <w:tcBorders>
              <w:top w:val="nil"/>
              <w:left w:val="nil"/>
              <w:bottom w:val="single" w:sz="4" w:space="0" w:color="auto"/>
              <w:right w:val="single" w:sz="4" w:space="0" w:color="auto"/>
            </w:tcBorders>
            <w:shd w:val="clear" w:color="auto" w:fill="C6EFCE"/>
            <w:noWrap/>
            <w:vAlign w:val="center"/>
          </w:tcPr>
          <w:p w14:paraId="71136F8A" w14:textId="77777777" w:rsidR="00A612E2" w:rsidRDefault="00A612E2" w:rsidP="008B3890">
            <w:pPr>
              <w:rPr>
                <w:noProof/>
                <w:color w:val="006100"/>
                <w:sz w:val="20"/>
                <w:szCs w:val="20"/>
              </w:rPr>
            </w:pPr>
            <w:r>
              <w:rPr>
                <w:noProof/>
                <w:color w:val="006100"/>
                <w:sz w:val="20"/>
              </w:rPr>
              <w:t>Investeering 4.4. Investeeringud kanalisatsiooni ja puhastusse</w:t>
            </w:r>
          </w:p>
        </w:tc>
        <w:tc>
          <w:tcPr>
            <w:tcW w:w="1423" w:type="dxa"/>
            <w:tcBorders>
              <w:top w:val="nil"/>
              <w:left w:val="nil"/>
              <w:bottom w:val="single" w:sz="4" w:space="0" w:color="auto"/>
              <w:right w:val="single" w:sz="4" w:space="0" w:color="auto"/>
            </w:tcBorders>
            <w:shd w:val="clear" w:color="auto" w:fill="C6EFCE"/>
            <w:noWrap/>
            <w:vAlign w:val="center"/>
          </w:tcPr>
          <w:p w14:paraId="11AAF2CD" w14:textId="77777777" w:rsidR="00A612E2" w:rsidRDefault="00A612E2" w:rsidP="00742B81">
            <w:pPr>
              <w:jc w:val="center"/>
              <w:rPr>
                <w:noProof/>
                <w:color w:val="006100"/>
                <w:sz w:val="20"/>
                <w:szCs w:val="20"/>
              </w:rPr>
            </w:pPr>
            <w:r>
              <w:rPr>
                <w:noProof/>
                <w:color w:val="006100"/>
                <w:sz w:val="20"/>
              </w:rPr>
              <w:t>Siht</w:t>
            </w:r>
          </w:p>
        </w:tc>
        <w:tc>
          <w:tcPr>
            <w:tcW w:w="4074" w:type="dxa"/>
            <w:tcBorders>
              <w:top w:val="nil"/>
              <w:left w:val="nil"/>
              <w:bottom w:val="single" w:sz="4" w:space="0" w:color="auto"/>
              <w:right w:val="single" w:sz="4" w:space="0" w:color="auto"/>
            </w:tcBorders>
            <w:shd w:val="clear" w:color="auto" w:fill="C6EFCE"/>
            <w:noWrap/>
            <w:vAlign w:val="center"/>
          </w:tcPr>
          <w:p w14:paraId="66316B13" w14:textId="77777777" w:rsidR="00A612E2" w:rsidRDefault="00A612E2" w:rsidP="00742B81">
            <w:pPr>
              <w:jc w:val="center"/>
              <w:rPr>
                <w:noProof/>
                <w:color w:val="006100"/>
                <w:sz w:val="20"/>
                <w:szCs w:val="20"/>
              </w:rPr>
            </w:pPr>
            <w:r>
              <w:rPr>
                <w:noProof/>
                <w:color w:val="006100"/>
                <w:sz w:val="20"/>
              </w:rPr>
              <w:t>Kanalisatsiooni- ja puhastusteenused T1</w:t>
            </w:r>
          </w:p>
        </w:tc>
      </w:tr>
      <w:tr w:rsidR="00A612E2" w:rsidRPr="00246CC4" w14:paraId="1C948889" w14:textId="77777777" w:rsidTr="00742B81">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57E314D5" w14:textId="77777777" w:rsidR="00A612E2" w:rsidRPr="003B127D" w:rsidRDefault="00A612E2" w:rsidP="00742B81">
            <w:pPr>
              <w:jc w:val="center"/>
              <w:rPr>
                <w:noProof/>
                <w:color w:val="006100"/>
                <w:sz w:val="20"/>
                <w:szCs w:val="20"/>
                <w:lang w:val="en-IE"/>
              </w:rPr>
            </w:pPr>
          </w:p>
        </w:tc>
        <w:tc>
          <w:tcPr>
            <w:tcW w:w="3105" w:type="dxa"/>
            <w:tcBorders>
              <w:top w:val="single" w:sz="4" w:space="0" w:color="auto"/>
              <w:left w:val="nil"/>
              <w:bottom w:val="single" w:sz="4" w:space="0" w:color="auto"/>
              <w:right w:val="single" w:sz="4" w:space="0" w:color="auto"/>
            </w:tcBorders>
            <w:shd w:val="clear" w:color="auto" w:fill="C6EFCE"/>
            <w:noWrap/>
            <w:vAlign w:val="bottom"/>
          </w:tcPr>
          <w:p w14:paraId="3DA31A87" w14:textId="77777777" w:rsidR="00A612E2" w:rsidRPr="003B127D" w:rsidRDefault="00A612E2" w:rsidP="008B3890">
            <w:pPr>
              <w:rPr>
                <w:noProof/>
                <w:color w:val="006100"/>
                <w:sz w:val="20"/>
                <w:szCs w:val="20"/>
                <w:lang w:val="en-IE"/>
              </w:rPr>
            </w:pPr>
          </w:p>
        </w:tc>
        <w:tc>
          <w:tcPr>
            <w:tcW w:w="1423" w:type="dxa"/>
            <w:tcBorders>
              <w:top w:val="single" w:sz="4" w:space="0" w:color="auto"/>
              <w:left w:val="nil"/>
              <w:bottom w:val="single" w:sz="4" w:space="0" w:color="auto"/>
              <w:right w:val="single" w:sz="4" w:space="0" w:color="auto"/>
            </w:tcBorders>
            <w:shd w:val="clear" w:color="auto" w:fill="C6EFCE"/>
            <w:noWrap/>
            <w:vAlign w:val="bottom"/>
          </w:tcPr>
          <w:p w14:paraId="353D7D24" w14:textId="77777777" w:rsidR="00A612E2" w:rsidRPr="00246CC4" w:rsidRDefault="00A612E2" w:rsidP="00742B81">
            <w:pPr>
              <w:rPr>
                <w:noProof/>
                <w:color w:val="006100"/>
                <w:sz w:val="20"/>
                <w:szCs w:val="20"/>
              </w:rPr>
            </w:pPr>
            <w:r>
              <w:rPr>
                <w:noProof/>
                <w:color w:val="006100"/>
                <w:sz w:val="20"/>
              </w:rPr>
              <w:t>Osamakse summa</w:t>
            </w:r>
          </w:p>
        </w:tc>
        <w:tc>
          <w:tcPr>
            <w:tcW w:w="4074" w:type="dxa"/>
            <w:tcBorders>
              <w:top w:val="single" w:sz="4" w:space="0" w:color="auto"/>
              <w:left w:val="nil"/>
              <w:bottom w:val="single" w:sz="4" w:space="0" w:color="auto"/>
              <w:right w:val="single" w:sz="4" w:space="0" w:color="auto"/>
            </w:tcBorders>
            <w:shd w:val="clear" w:color="auto" w:fill="C6EFCE"/>
            <w:noWrap/>
            <w:vAlign w:val="bottom"/>
          </w:tcPr>
          <w:p w14:paraId="12F6AE97" w14:textId="77777777" w:rsidR="00A612E2" w:rsidRPr="00246CC4" w:rsidRDefault="00A612E2" w:rsidP="00742B81">
            <w:pPr>
              <w:rPr>
                <w:noProof/>
                <w:color w:val="006100"/>
                <w:sz w:val="20"/>
                <w:szCs w:val="20"/>
              </w:rPr>
            </w:pPr>
            <w:r>
              <w:rPr>
                <w:noProof/>
                <w:color w:val="006100"/>
                <w:sz w:val="20"/>
              </w:rPr>
              <w:t>11 184 566 013 eurot</w:t>
            </w:r>
          </w:p>
        </w:tc>
      </w:tr>
    </w:tbl>
    <w:p w14:paraId="3A9DC861" w14:textId="1160506B" w:rsidR="0020473F" w:rsidRDefault="0020473F" w:rsidP="0020473F">
      <w:pPr>
        <w:spacing w:before="120" w:after="120"/>
        <w:jc w:val="both"/>
        <w:rPr>
          <w:rFonts w:eastAsia="Calibri"/>
          <w:noProof/>
          <w:lang w:val="en-GB"/>
        </w:rPr>
      </w:pPr>
    </w:p>
    <w:p w14:paraId="36F9D3C4" w14:textId="77777777" w:rsidR="0020473F" w:rsidRDefault="0020473F">
      <w:pPr>
        <w:spacing w:after="160" w:line="259" w:lineRule="auto"/>
        <w:rPr>
          <w:rFonts w:eastAsia="Calibri"/>
          <w:noProof/>
        </w:rPr>
      </w:pPr>
      <w:r>
        <w:rPr>
          <w:noProof/>
        </w:rPr>
        <w:br w:type="page"/>
      </w:r>
    </w:p>
    <w:p w14:paraId="0946B3A9" w14:textId="0A8C1211" w:rsidR="00A612E2" w:rsidRPr="00246CC4" w:rsidRDefault="00A612E2" w:rsidP="00A612E2">
      <w:pPr>
        <w:numPr>
          <w:ilvl w:val="1"/>
          <w:numId w:val="6"/>
        </w:numPr>
        <w:spacing w:before="120" w:after="120"/>
        <w:jc w:val="both"/>
        <w:rPr>
          <w:rFonts w:eastAsia="Calibri"/>
          <w:noProof/>
        </w:rPr>
      </w:pPr>
      <w:r>
        <w:rPr>
          <w:noProof/>
        </w:rPr>
        <w:t>Üheksas osamakse (laenutoetus):</w:t>
      </w:r>
    </w:p>
    <w:tbl>
      <w:tblPr>
        <w:tblW w:w="10072" w:type="dxa"/>
        <w:tblInd w:w="113" w:type="dxa"/>
        <w:tblLook w:val="04A0" w:firstRow="1" w:lastRow="0" w:firstColumn="1" w:lastColumn="0" w:noHBand="0" w:noVBand="1"/>
      </w:tblPr>
      <w:tblGrid>
        <w:gridCol w:w="1827"/>
        <w:gridCol w:w="3075"/>
        <w:gridCol w:w="1528"/>
        <w:gridCol w:w="4056"/>
      </w:tblGrid>
      <w:tr w:rsidR="00A612E2" w:rsidRPr="00246CC4" w14:paraId="36F096D7" w14:textId="77777777" w:rsidTr="00B40E1A">
        <w:trPr>
          <w:trHeight w:val="906"/>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866FD3C" w14:textId="77777777" w:rsidR="00A612E2" w:rsidRPr="00246CC4" w:rsidRDefault="00A612E2" w:rsidP="00742B81">
            <w:pPr>
              <w:jc w:val="center"/>
              <w:rPr>
                <w:b/>
                <w:bCs/>
                <w:noProof/>
                <w:sz w:val="20"/>
                <w:szCs w:val="20"/>
              </w:rPr>
            </w:pPr>
            <w:r>
              <w:rPr>
                <w:b/>
                <w:noProof/>
                <w:sz w:val="20"/>
              </w:rPr>
              <w:t>Järjekorranumber</w:t>
            </w:r>
          </w:p>
        </w:tc>
        <w:tc>
          <w:tcPr>
            <w:tcW w:w="307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20DD265" w14:textId="77777777" w:rsidR="00A612E2" w:rsidRPr="003B127D" w:rsidRDefault="00A612E2" w:rsidP="008B3890">
            <w:pPr>
              <w:jc w:val="center"/>
              <w:rPr>
                <w:b/>
                <w:bCs/>
                <w:noProof/>
                <w:sz w:val="20"/>
                <w:szCs w:val="20"/>
              </w:rPr>
            </w:pPr>
            <w:r>
              <w:rPr>
                <w:b/>
                <w:noProof/>
                <w:sz w:val="20"/>
              </w:rPr>
              <w:t>Seotud meede (reform või investeering)</w:t>
            </w:r>
          </w:p>
        </w:tc>
        <w:tc>
          <w:tcPr>
            <w:tcW w:w="152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74D403E" w14:textId="77777777" w:rsidR="00A612E2" w:rsidRPr="00246CC4" w:rsidRDefault="00A612E2" w:rsidP="00742B81">
            <w:pPr>
              <w:jc w:val="center"/>
              <w:rPr>
                <w:b/>
                <w:bCs/>
                <w:noProof/>
                <w:sz w:val="20"/>
                <w:szCs w:val="20"/>
              </w:rPr>
            </w:pPr>
            <w:r>
              <w:rPr>
                <w:b/>
                <w:noProof/>
                <w:sz w:val="20"/>
              </w:rPr>
              <w:t>Eesmärk / siht</w:t>
            </w:r>
          </w:p>
        </w:tc>
        <w:tc>
          <w:tcPr>
            <w:tcW w:w="405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9A62BF1" w14:textId="77777777" w:rsidR="00A612E2" w:rsidRPr="00246CC4" w:rsidRDefault="00A612E2" w:rsidP="00742B81">
            <w:pPr>
              <w:jc w:val="center"/>
              <w:rPr>
                <w:b/>
                <w:bCs/>
                <w:noProof/>
                <w:sz w:val="20"/>
                <w:szCs w:val="20"/>
              </w:rPr>
            </w:pPr>
            <w:r>
              <w:rPr>
                <w:b/>
                <w:noProof/>
                <w:sz w:val="20"/>
              </w:rPr>
              <w:t>Nimi</w:t>
            </w:r>
          </w:p>
        </w:tc>
      </w:tr>
      <w:tr w:rsidR="00A612E2" w:rsidRPr="00246CC4" w14:paraId="36E63106" w14:textId="77777777" w:rsidTr="00B40E1A">
        <w:trPr>
          <w:trHeight w:val="517"/>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6D78B39" w14:textId="77777777" w:rsidR="00A612E2" w:rsidRPr="00246CC4" w:rsidRDefault="00A612E2" w:rsidP="00742B81">
            <w:pPr>
              <w:rPr>
                <w:b/>
                <w:bCs/>
                <w:noProof/>
              </w:rPr>
            </w:pP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5604F0BB" w14:textId="77777777" w:rsidR="00A612E2" w:rsidRPr="00246CC4" w:rsidRDefault="00A612E2" w:rsidP="008B3890">
            <w:pPr>
              <w:rPr>
                <w:b/>
                <w:bCs/>
                <w:noProof/>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16942CC6" w14:textId="77777777" w:rsidR="00A612E2" w:rsidRPr="00246CC4" w:rsidRDefault="00A612E2" w:rsidP="00742B81">
            <w:pPr>
              <w:rPr>
                <w:b/>
                <w:bCs/>
                <w:noProof/>
              </w:rPr>
            </w:pPr>
          </w:p>
        </w:tc>
        <w:tc>
          <w:tcPr>
            <w:tcW w:w="4056" w:type="dxa"/>
            <w:vMerge/>
            <w:tcBorders>
              <w:top w:val="single" w:sz="4" w:space="0" w:color="auto"/>
              <w:left w:val="single" w:sz="4" w:space="0" w:color="auto"/>
              <w:bottom w:val="single" w:sz="4" w:space="0" w:color="auto"/>
              <w:right w:val="single" w:sz="4" w:space="0" w:color="auto"/>
            </w:tcBorders>
            <w:vAlign w:val="center"/>
            <w:hideMark/>
          </w:tcPr>
          <w:p w14:paraId="4D865E8D" w14:textId="77777777" w:rsidR="00A612E2" w:rsidRPr="00246CC4" w:rsidRDefault="00A612E2" w:rsidP="00742B81">
            <w:pPr>
              <w:rPr>
                <w:b/>
                <w:bCs/>
                <w:noProof/>
              </w:rPr>
            </w:pPr>
          </w:p>
        </w:tc>
      </w:tr>
      <w:tr w:rsidR="00A612E2" w:rsidRPr="00D90835" w14:paraId="76A5FBE3" w14:textId="77777777" w:rsidTr="00B40E1A">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7F378F0" w14:textId="77777777" w:rsidR="00A612E2" w:rsidRPr="00246CC4" w:rsidRDefault="00A612E2" w:rsidP="00742B81">
            <w:pPr>
              <w:jc w:val="center"/>
              <w:rPr>
                <w:noProof/>
                <w:color w:val="006100"/>
                <w:sz w:val="20"/>
                <w:szCs w:val="20"/>
              </w:rPr>
            </w:pPr>
            <w:r>
              <w:rPr>
                <w:noProof/>
                <w:color w:val="006100"/>
                <w:sz w:val="20"/>
              </w:rPr>
              <w:t>M1C1-145</w:t>
            </w:r>
          </w:p>
        </w:tc>
        <w:tc>
          <w:tcPr>
            <w:tcW w:w="3075" w:type="dxa"/>
            <w:tcBorders>
              <w:top w:val="single" w:sz="4" w:space="0" w:color="auto"/>
              <w:left w:val="nil"/>
              <w:bottom w:val="single" w:sz="4" w:space="0" w:color="auto"/>
              <w:right w:val="single" w:sz="4" w:space="0" w:color="auto"/>
            </w:tcBorders>
            <w:shd w:val="clear" w:color="auto" w:fill="C6EFCE"/>
            <w:noWrap/>
            <w:vAlign w:val="center"/>
          </w:tcPr>
          <w:p w14:paraId="12736D27" w14:textId="77777777" w:rsidR="00A612E2" w:rsidRPr="003B127D" w:rsidRDefault="00A612E2" w:rsidP="008B3890">
            <w:pPr>
              <w:rPr>
                <w:noProof/>
                <w:color w:val="006100"/>
                <w:sz w:val="20"/>
                <w:szCs w:val="20"/>
              </w:rPr>
            </w:pPr>
            <w:r>
              <w:rPr>
                <w:noProof/>
                <w:color w:val="006100"/>
                <w:sz w:val="20"/>
              </w:rPr>
              <w:t>Investeering 1.4.4. Riiklike digitaalse identiteedi platvormide (SPID, CIE) ja riikliku registri (ANPR) kasutuselevõtmine</w:t>
            </w:r>
          </w:p>
        </w:tc>
        <w:tc>
          <w:tcPr>
            <w:tcW w:w="1528" w:type="dxa"/>
            <w:tcBorders>
              <w:top w:val="single" w:sz="4" w:space="0" w:color="auto"/>
              <w:left w:val="nil"/>
              <w:bottom w:val="single" w:sz="4" w:space="0" w:color="auto"/>
              <w:right w:val="single" w:sz="4" w:space="0" w:color="auto"/>
            </w:tcBorders>
            <w:shd w:val="clear" w:color="auto" w:fill="C6EFCE"/>
            <w:noWrap/>
            <w:vAlign w:val="center"/>
          </w:tcPr>
          <w:p w14:paraId="712F1C19" w14:textId="77777777" w:rsidR="00A612E2" w:rsidRPr="00246CC4" w:rsidRDefault="00A612E2" w:rsidP="00742B81">
            <w:pPr>
              <w:jc w:val="center"/>
              <w:rPr>
                <w:noProof/>
                <w:color w:val="006100"/>
                <w:sz w:val="20"/>
                <w:szCs w:val="20"/>
              </w:rPr>
            </w:pPr>
            <w:r>
              <w:rPr>
                <w:noProof/>
                <w:color w:val="006100"/>
                <w:sz w:val="20"/>
              </w:rPr>
              <w:t>Siht</w:t>
            </w:r>
          </w:p>
        </w:tc>
        <w:tc>
          <w:tcPr>
            <w:tcW w:w="4056" w:type="dxa"/>
            <w:tcBorders>
              <w:top w:val="single" w:sz="4" w:space="0" w:color="auto"/>
              <w:left w:val="nil"/>
              <w:bottom w:val="single" w:sz="4" w:space="0" w:color="auto"/>
              <w:right w:val="single" w:sz="4" w:space="0" w:color="auto"/>
            </w:tcBorders>
            <w:shd w:val="clear" w:color="auto" w:fill="C6EFCE"/>
            <w:noWrap/>
            <w:vAlign w:val="center"/>
          </w:tcPr>
          <w:p w14:paraId="3755EE5B" w14:textId="77777777" w:rsidR="00A612E2" w:rsidRPr="003B127D" w:rsidRDefault="00A612E2" w:rsidP="00742B81">
            <w:pPr>
              <w:jc w:val="center"/>
              <w:rPr>
                <w:noProof/>
                <w:color w:val="006100"/>
                <w:sz w:val="20"/>
                <w:szCs w:val="20"/>
              </w:rPr>
            </w:pPr>
            <w:r>
              <w:rPr>
                <w:noProof/>
                <w:color w:val="006100"/>
                <w:sz w:val="20"/>
              </w:rPr>
              <w:t>Riiklikud digitaalse identiteedi platvormid (SPID, CIE) ja riiklik register (ANPR)</w:t>
            </w:r>
          </w:p>
        </w:tc>
      </w:tr>
      <w:tr w:rsidR="00A612E2" w:rsidRPr="00D90835" w14:paraId="084078DC"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8BD23B5" w14:textId="77777777" w:rsidR="00A612E2" w:rsidRPr="00246CC4" w:rsidRDefault="00A612E2" w:rsidP="00742B81">
            <w:pPr>
              <w:jc w:val="center"/>
              <w:rPr>
                <w:noProof/>
                <w:color w:val="006100"/>
                <w:sz w:val="20"/>
                <w:szCs w:val="20"/>
              </w:rPr>
            </w:pPr>
            <w:r>
              <w:rPr>
                <w:noProof/>
                <w:color w:val="006100"/>
                <w:sz w:val="20"/>
              </w:rPr>
              <w:t>M1C3-17</w:t>
            </w:r>
          </w:p>
        </w:tc>
        <w:tc>
          <w:tcPr>
            <w:tcW w:w="3075" w:type="dxa"/>
            <w:tcBorders>
              <w:top w:val="nil"/>
              <w:left w:val="nil"/>
              <w:bottom w:val="single" w:sz="4" w:space="0" w:color="auto"/>
              <w:right w:val="single" w:sz="4" w:space="0" w:color="auto"/>
            </w:tcBorders>
            <w:shd w:val="clear" w:color="auto" w:fill="C6EFCE"/>
            <w:noWrap/>
            <w:vAlign w:val="center"/>
          </w:tcPr>
          <w:p w14:paraId="6B0FB47D" w14:textId="77777777" w:rsidR="00A612E2" w:rsidRPr="003B127D" w:rsidRDefault="00A612E2" w:rsidP="008B3890">
            <w:pPr>
              <w:rPr>
                <w:noProof/>
                <w:color w:val="006100"/>
                <w:sz w:val="20"/>
                <w:szCs w:val="20"/>
              </w:rPr>
            </w:pPr>
            <w:r>
              <w:rPr>
                <w:noProof/>
                <w:color w:val="006100"/>
                <w:sz w:val="20"/>
              </w:rPr>
              <w:t>Investeering 2.2. Maaeluarhitektuuri ja maastike kaitse ja edendamine</w:t>
            </w:r>
          </w:p>
        </w:tc>
        <w:tc>
          <w:tcPr>
            <w:tcW w:w="1528" w:type="dxa"/>
            <w:tcBorders>
              <w:top w:val="nil"/>
              <w:left w:val="nil"/>
              <w:bottom w:val="single" w:sz="4" w:space="0" w:color="auto"/>
              <w:right w:val="single" w:sz="4" w:space="0" w:color="auto"/>
            </w:tcBorders>
            <w:shd w:val="clear" w:color="auto" w:fill="C6EFCE"/>
            <w:noWrap/>
            <w:vAlign w:val="center"/>
          </w:tcPr>
          <w:p w14:paraId="548C022A" w14:textId="77777777" w:rsidR="00A612E2" w:rsidRPr="00246CC4" w:rsidRDefault="00A612E2" w:rsidP="00742B81">
            <w:pPr>
              <w:jc w:val="center"/>
              <w:rPr>
                <w:noProof/>
                <w:color w:val="006100"/>
                <w:sz w:val="20"/>
                <w:szCs w:val="20"/>
              </w:rPr>
            </w:pPr>
            <w:r>
              <w:rPr>
                <w:noProof/>
                <w:color w:val="006100"/>
                <w:sz w:val="20"/>
              </w:rPr>
              <w:t>Siht</w:t>
            </w:r>
          </w:p>
        </w:tc>
        <w:tc>
          <w:tcPr>
            <w:tcW w:w="4056" w:type="dxa"/>
            <w:tcBorders>
              <w:top w:val="nil"/>
              <w:left w:val="nil"/>
              <w:bottom w:val="single" w:sz="4" w:space="0" w:color="auto"/>
              <w:right w:val="single" w:sz="4" w:space="0" w:color="auto"/>
            </w:tcBorders>
            <w:shd w:val="clear" w:color="auto" w:fill="C6EFCE"/>
            <w:noWrap/>
            <w:vAlign w:val="center"/>
          </w:tcPr>
          <w:p w14:paraId="1A3BEEAF" w14:textId="77777777" w:rsidR="00A612E2" w:rsidRPr="003B127D" w:rsidRDefault="00A612E2" w:rsidP="00742B81">
            <w:pPr>
              <w:jc w:val="center"/>
              <w:rPr>
                <w:noProof/>
                <w:color w:val="006100"/>
                <w:sz w:val="20"/>
                <w:szCs w:val="20"/>
              </w:rPr>
            </w:pPr>
            <w:r>
              <w:rPr>
                <w:noProof/>
                <w:color w:val="006100"/>
                <w:sz w:val="20"/>
              </w:rPr>
              <w:t>Maaelu arhitektuuri ja maastiku kaitseks ja parandamiseks võetud sekkumismeetmed</w:t>
            </w:r>
          </w:p>
        </w:tc>
      </w:tr>
      <w:tr w:rsidR="00A612E2" w:rsidRPr="00D90835" w14:paraId="35C941D1"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C6935C3" w14:textId="77777777" w:rsidR="00A612E2" w:rsidRPr="00246CC4" w:rsidRDefault="00A612E2" w:rsidP="00742B81">
            <w:pPr>
              <w:jc w:val="center"/>
              <w:rPr>
                <w:noProof/>
                <w:color w:val="006100"/>
                <w:sz w:val="20"/>
                <w:szCs w:val="20"/>
              </w:rPr>
            </w:pPr>
            <w:r>
              <w:rPr>
                <w:noProof/>
                <w:color w:val="006100"/>
                <w:sz w:val="20"/>
              </w:rPr>
              <w:t>M1C3-18</w:t>
            </w:r>
          </w:p>
        </w:tc>
        <w:tc>
          <w:tcPr>
            <w:tcW w:w="3075" w:type="dxa"/>
            <w:tcBorders>
              <w:top w:val="nil"/>
              <w:left w:val="nil"/>
              <w:bottom w:val="single" w:sz="4" w:space="0" w:color="auto"/>
              <w:right w:val="single" w:sz="4" w:space="0" w:color="auto"/>
            </w:tcBorders>
            <w:shd w:val="clear" w:color="auto" w:fill="C6EFCE"/>
            <w:noWrap/>
            <w:vAlign w:val="center"/>
          </w:tcPr>
          <w:p w14:paraId="5B404943" w14:textId="7AFF794B" w:rsidR="00A612E2" w:rsidRPr="003B127D" w:rsidRDefault="00BF17BA" w:rsidP="008B3890">
            <w:pPr>
              <w:rPr>
                <w:noProof/>
                <w:color w:val="006100"/>
                <w:sz w:val="20"/>
                <w:szCs w:val="20"/>
              </w:rPr>
            </w:pPr>
            <w:r>
              <w:rPr>
                <w:noProof/>
                <w:color w:val="006100"/>
                <w:sz w:val="20"/>
              </w:rPr>
              <w:t>I</w:t>
            </w:r>
            <w:r w:rsidR="00A612E2">
              <w:rPr>
                <w:noProof/>
                <w:color w:val="006100"/>
                <w:sz w:val="20"/>
              </w:rPr>
              <w:t>nvesteering 2.3. Programmid, mille eesmärk on parandada kohalikku identiteeti: pargid ja ajaloolised aiad</w:t>
            </w:r>
          </w:p>
        </w:tc>
        <w:tc>
          <w:tcPr>
            <w:tcW w:w="1528" w:type="dxa"/>
            <w:tcBorders>
              <w:top w:val="nil"/>
              <w:left w:val="nil"/>
              <w:bottom w:val="single" w:sz="4" w:space="0" w:color="auto"/>
              <w:right w:val="single" w:sz="4" w:space="0" w:color="auto"/>
            </w:tcBorders>
            <w:shd w:val="clear" w:color="auto" w:fill="C6EFCE"/>
            <w:noWrap/>
            <w:vAlign w:val="center"/>
          </w:tcPr>
          <w:p w14:paraId="4C477DDC" w14:textId="77777777" w:rsidR="00A612E2" w:rsidRPr="00246CC4" w:rsidRDefault="00A612E2" w:rsidP="00742B81">
            <w:pPr>
              <w:jc w:val="center"/>
              <w:rPr>
                <w:noProof/>
                <w:color w:val="006100"/>
                <w:sz w:val="20"/>
                <w:szCs w:val="20"/>
              </w:rPr>
            </w:pPr>
            <w:r>
              <w:rPr>
                <w:noProof/>
                <w:color w:val="006100"/>
                <w:sz w:val="20"/>
              </w:rPr>
              <w:t>Siht</w:t>
            </w:r>
          </w:p>
        </w:tc>
        <w:tc>
          <w:tcPr>
            <w:tcW w:w="4056" w:type="dxa"/>
            <w:tcBorders>
              <w:top w:val="nil"/>
              <w:left w:val="nil"/>
              <w:bottom w:val="single" w:sz="4" w:space="0" w:color="auto"/>
              <w:right w:val="single" w:sz="4" w:space="0" w:color="auto"/>
            </w:tcBorders>
            <w:shd w:val="clear" w:color="auto" w:fill="C6EFCE"/>
            <w:noWrap/>
            <w:vAlign w:val="center"/>
          </w:tcPr>
          <w:p w14:paraId="6DB437B0" w14:textId="77777777" w:rsidR="00A612E2" w:rsidRPr="003B127D" w:rsidRDefault="00A612E2" w:rsidP="00742B81">
            <w:pPr>
              <w:jc w:val="center"/>
              <w:rPr>
                <w:noProof/>
                <w:color w:val="006100"/>
                <w:sz w:val="20"/>
                <w:szCs w:val="20"/>
              </w:rPr>
            </w:pPr>
            <w:r>
              <w:rPr>
                <w:noProof/>
                <w:color w:val="006100"/>
                <w:sz w:val="20"/>
              </w:rPr>
              <w:t>Ümberkvalifitseeritud parkide ja ajalooliste aedade arv</w:t>
            </w:r>
          </w:p>
        </w:tc>
      </w:tr>
      <w:tr w:rsidR="00A612E2" w:rsidRPr="00D90835" w14:paraId="0DC84654"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4EEB18A" w14:textId="77777777" w:rsidR="00A612E2" w:rsidRPr="00246CC4" w:rsidRDefault="00A612E2" w:rsidP="00742B81">
            <w:pPr>
              <w:jc w:val="center"/>
              <w:rPr>
                <w:noProof/>
                <w:color w:val="006100"/>
                <w:sz w:val="20"/>
                <w:szCs w:val="20"/>
              </w:rPr>
            </w:pPr>
            <w:r>
              <w:rPr>
                <w:noProof/>
                <w:color w:val="006100"/>
                <w:sz w:val="20"/>
              </w:rPr>
              <w:t>M1C3-19</w:t>
            </w:r>
          </w:p>
        </w:tc>
        <w:tc>
          <w:tcPr>
            <w:tcW w:w="3075" w:type="dxa"/>
            <w:tcBorders>
              <w:top w:val="nil"/>
              <w:left w:val="nil"/>
              <w:bottom w:val="single" w:sz="4" w:space="0" w:color="auto"/>
              <w:right w:val="single" w:sz="4" w:space="0" w:color="auto"/>
            </w:tcBorders>
            <w:shd w:val="clear" w:color="auto" w:fill="C6EFCE"/>
            <w:noWrap/>
            <w:vAlign w:val="center"/>
          </w:tcPr>
          <w:p w14:paraId="541DC0F7" w14:textId="77777777" w:rsidR="00A612E2" w:rsidRPr="003B127D" w:rsidRDefault="00A612E2" w:rsidP="008B3890">
            <w:pPr>
              <w:rPr>
                <w:noProof/>
                <w:color w:val="006100"/>
                <w:sz w:val="20"/>
                <w:szCs w:val="20"/>
              </w:rPr>
            </w:pPr>
            <w:r>
              <w:rPr>
                <w:noProof/>
                <w:color w:val="006100"/>
                <w:sz w:val="20"/>
              </w:rPr>
              <w:t>Investeering 2.4. Palvepaikade seismiline ohutus, FEC (Fondo Edifici di Culto) pärandi ja kunstiteoste varjupaikade taastamine (taastekunst)</w:t>
            </w:r>
          </w:p>
        </w:tc>
        <w:tc>
          <w:tcPr>
            <w:tcW w:w="1528" w:type="dxa"/>
            <w:tcBorders>
              <w:top w:val="nil"/>
              <w:left w:val="nil"/>
              <w:bottom w:val="single" w:sz="4" w:space="0" w:color="auto"/>
              <w:right w:val="single" w:sz="4" w:space="0" w:color="auto"/>
            </w:tcBorders>
            <w:shd w:val="clear" w:color="auto" w:fill="C6EFCE"/>
            <w:noWrap/>
            <w:vAlign w:val="center"/>
          </w:tcPr>
          <w:p w14:paraId="1480A8A9" w14:textId="77777777" w:rsidR="00A612E2" w:rsidRPr="00246CC4" w:rsidRDefault="00A612E2" w:rsidP="00742B81">
            <w:pPr>
              <w:jc w:val="center"/>
              <w:rPr>
                <w:noProof/>
                <w:color w:val="006100"/>
                <w:sz w:val="20"/>
                <w:szCs w:val="20"/>
              </w:rPr>
            </w:pPr>
            <w:r>
              <w:rPr>
                <w:noProof/>
                <w:color w:val="006100"/>
                <w:sz w:val="20"/>
              </w:rPr>
              <w:t>Siht</w:t>
            </w:r>
          </w:p>
        </w:tc>
        <w:tc>
          <w:tcPr>
            <w:tcW w:w="4056" w:type="dxa"/>
            <w:tcBorders>
              <w:top w:val="nil"/>
              <w:left w:val="nil"/>
              <w:bottom w:val="single" w:sz="4" w:space="0" w:color="auto"/>
              <w:right w:val="single" w:sz="4" w:space="0" w:color="auto"/>
            </w:tcBorders>
            <w:shd w:val="clear" w:color="auto" w:fill="C6EFCE"/>
            <w:noWrap/>
            <w:vAlign w:val="center"/>
          </w:tcPr>
          <w:p w14:paraId="26D32893" w14:textId="77777777" w:rsidR="00A612E2" w:rsidRPr="003B127D" w:rsidRDefault="00A612E2" w:rsidP="00742B81">
            <w:pPr>
              <w:jc w:val="center"/>
              <w:rPr>
                <w:noProof/>
                <w:color w:val="006100"/>
                <w:sz w:val="20"/>
                <w:szCs w:val="20"/>
              </w:rPr>
            </w:pPr>
            <w:r>
              <w:rPr>
                <w:noProof/>
                <w:color w:val="006100"/>
                <w:sz w:val="20"/>
              </w:rPr>
              <w:t>Meetmed seismilise ohutuse tagamiseks pühakodades, FECi (Fondo Edifici di Culto) pärandi taastamine ja kunstiteoste varjualused on lõpule viidud</w:t>
            </w:r>
          </w:p>
        </w:tc>
      </w:tr>
      <w:tr w:rsidR="00A612E2" w:rsidRPr="00D90835" w14:paraId="492D210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73EBD76" w14:textId="77777777" w:rsidR="00A612E2" w:rsidRPr="00246CC4" w:rsidRDefault="00A612E2" w:rsidP="00742B81">
            <w:pPr>
              <w:jc w:val="center"/>
              <w:rPr>
                <w:noProof/>
                <w:color w:val="006100"/>
                <w:sz w:val="20"/>
                <w:szCs w:val="20"/>
              </w:rPr>
            </w:pPr>
            <w:r>
              <w:rPr>
                <w:noProof/>
                <w:color w:val="006100"/>
                <w:sz w:val="20"/>
              </w:rPr>
              <w:t>M1C3-28</w:t>
            </w:r>
          </w:p>
        </w:tc>
        <w:tc>
          <w:tcPr>
            <w:tcW w:w="3075" w:type="dxa"/>
            <w:tcBorders>
              <w:top w:val="nil"/>
              <w:left w:val="nil"/>
              <w:bottom w:val="single" w:sz="4" w:space="0" w:color="auto"/>
              <w:right w:val="single" w:sz="4" w:space="0" w:color="auto"/>
            </w:tcBorders>
            <w:shd w:val="clear" w:color="auto" w:fill="C6EFCE"/>
            <w:noWrap/>
            <w:vAlign w:val="center"/>
          </w:tcPr>
          <w:p w14:paraId="1CF73382" w14:textId="2B0B2F87" w:rsidR="00A612E2" w:rsidRPr="003B127D" w:rsidRDefault="00A612E2" w:rsidP="008B3890">
            <w:pPr>
              <w:rPr>
                <w:noProof/>
                <w:color w:val="006100"/>
                <w:sz w:val="20"/>
                <w:szCs w:val="20"/>
              </w:rPr>
            </w:pPr>
            <w:r>
              <w:rPr>
                <w:noProof/>
                <w:color w:val="006100"/>
                <w:sz w:val="20"/>
              </w:rPr>
              <w:t>Investeering 4.2. Turismiettevõtete konkurentsivõime fondid</w:t>
            </w:r>
          </w:p>
        </w:tc>
        <w:tc>
          <w:tcPr>
            <w:tcW w:w="1528" w:type="dxa"/>
            <w:tcBorders>
              <w:top w:val="nil"/>
              <w:left w:val="nil"/>
              <w:bottom w:val="single" w:sz="4" w:space="0" w:color="auto"/>
              <w:right w:val="single" w:sz="4" w:space="0" w:color="auto"/>
            </w:tcBorders>
            <w:shd w:val="clear" w:color="auto" w:fill="C6EFCE"/>
            <w:noWrap/>
            <w:vAlign w:val="center"/>
          </w:tcPr>
          <w:p w14:paraId="527FBB52" w14:textId="77777777" w:rsidR="00A612E2" w:rsidRPr="00246CC4" w:rsidRDefault="00A612E2" w:rsidP="00742B81">
            <w:pPr>
              <w:jc w:val="center"/>
              <w:rPr>
                <w:noProof/>
                <w:color w:val="006100"/>
                <w:sz w:val="20"/>
                <w:szCs w:val="20"/>
              </w:rPr>
            </w:pPr>
            <w:r>
              <w:rPr>
                <w:noProof/>
                <w:color w:val="006100"/>
                <w:sz w:val="20"/>
              </w:rPr>
              <w:t>Siht</w:t>
            </w:r>
          </w:p>
        </w:tc>
        <w:tc>
          <w:tcPr>
            <w:tcW w:w="4056" w:type="dxa"/>
            <w:tcBorders>
              <w:top w:val="nil"/>
              <w:left w:val="nil"/>
              <w:bottom w:val="single" w:sz="4" w:space="0" w:color="auto"/>
              <w:right w:val="single" w:sz="4" w:space="0" w:color="auto"/>
            </w:tcBorders>
            <w:shd w:val="clear" w:color="auto" w:fill="C6EFCE"/>
            <w:noWrap/>
            <w:vAlign w:val="center"/>
          </w:tcPr>
          <w:p w14:paraId="0942225E" w14:textId="77777777" w:rsidR="00A612E2" w:rsidRPr="003B127D" w:rsidRDefault="00A612E2" w:rsidP="00742B81">
            <w:pPr>
              <w:jc w:val="center"/>
              <w:rPr>
                <w:noProof/>
                <w:color w:val="006100"/>
                <w:sz w:val="20"/>
                <w:szCs w:val="20"/>
              </w:rPr>
            </w:pPr>
            <w:r>
              <w:rPr>
                <w:noProof/>
                <w:color w:val="006100"/>
                <w:sz w:val="20"/>
              </w:rPr>
              <w:t xml:space="preserve">Taristu ja/või teenuste maksukrediidiga toetatavate turismiettevõtete arv; </w:t>
            </w:r>
          </w:p>
        </w:tc>
      </w:tr>
      <w:tr w:rsidR="00A612E2" w:rsidRPr="00D90835" w14:paraId="33144A68"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357E752" w14:textId="77777777" w:rsidR="00A612E2" w:rsidRPr="00246CC4" w:rsidRDefault="00A612E2" w:rsidP="00742B81">
            <w:pPr>
              <w:jc w:val="center"/>
              <w:rPr>
                <w:noProof/>
                <w:color w:val="006100"/>
                <w:sz w:val="20"/>
                <w:szCs w:val="20"/>
              </w:rPr>
            </w:pPr>
            <w:r>
              <w:rPr>
                <w:noProof/>
                <w:color w:val="006100"/>
                <w:sz w:val="20"/>
              </w:rPr>
              <w:t>M1C3-32</w:t>
            </w:r>
          </w:p>
        </w:tc>
        <w:tc>
          <w:tcPr>
            <w:tcW w:w="3075" w:type="dxa"/>
            <w:tcBorders>
              <w:top w:val="nil"/>
              <w:left w:val="nil"/>
              <w:bottom w:val="single" w:sz="4" w:space="0" w:color="auto"/>
              <w:right w:val="single" w:sz="4" w:space="0" w:color="auto"/>
            </w:tcBorders>
            <w:shd w:val="clear" w:color="auto" w:fill="C6EFCE"/>
            <w:noWrap/>
            <w:vAlign w:val="center"/>
          </w:tcPr>
          <w:p w14:paraId="3E522B53" w14:textId="4C426AE2" w:rsidR="00A612E2" w:rsidRPr="003B127D" w:rsidRDefault="00A612E2" w:rsidP="008B3890">
            <w:pPr>
              <w:rPr>
                <w:noProof/>
                <w:color w:val="006100"/>
                <w:sz w:val="20"/>
                <w:szCs w:val="20"/>
              </w:rPr>
            </w:pPr>
            <w:r>
              <w:rPr>
                <w:noProof/>
                <w:color w:val="006100"/>
                <w:sz w:val="20"/>
              </w:rPr>
              <w:t xml:space="preserve">Investeering 4.2. Turismiettevõtete konkurentsivõime fondid </w:t>
            </w:r>
          </w:p>
        </w:tc>
        <w:tc>
          <w:tcPr>
            <w:tcW w:w="1528" w:type="dxa"/>
            <w:tcBorders>
              <w:top w:val="nil"/>
              <w:left w:val="nil"/>
              <w:bottom w:val="single" w:sz="4" w:space="0" w:color="auto"/>
              <w:right w:val="single" w:sz="4" w:space="0" w:color="auto"/>
            </w:tcBorders>
            <w:shd w:val="clear" w:color="auto" w:fill="C6EFCE"/>
            <w:noWrap/>
            <w:vAlign w:val="center"/>
          </w:tcPr>
          <w:p w14:paraId="7154F6A0" w14:textId="77777777" w:rsidR="00A612E2" w:rsidRPr="00246CC4" w:rsidRDefault="00A612E2" w:rsidP="00742B81">
            <w:pPr>
              <w:jc w:val="center"/>
              <w:rPr>
                <w:noProof/>
                <w:color w:val="006100"/>
                <w:sz w:val="20"/>
                <w:szCs w:val="20"/>
              </w:rPr>
            </w:pPr>
            <w:r>
              <w:rPr>
                <w:noProof/>
                <w:color w:val="006100"/>
                <w:sz w:val="20"/>
              </w:rPr>
              <w:t xml:space="preserve">Siht </w:t>
            </w:r>
          </w:p>
        </w:tc>
        <w:tc>
          <w:tcPr>
            <w:tcW w:w="4056" w:type="dxa"/>
            <w:tcBorders>
              <w:top w:val="nil"/>
              <w:left w:val="nil"/>
              <w:bottom w:val="single" w:sz="4" w:space="0" w:color="auto"/>
              <w:right w:val="single" w:sz="4" w:space="0" w:color="auto"/>
            </w:tcBorders>
            <w:shd w:val="clear" w:color="auto" w:fill="C6EFCE"/>
            <w:noWrap/>
            <w:vAlign w:val="center"/>
          </w:tcPr>
          <w:p w14:paraId="63865268" w14:textId="77777777" w:rsidR="00A612E2" w:rsidRPr="003B127D" w:rsidRDefault="00A612E2" w:rsidP="00742B81">
            <w:pPr>
              <w:jc w:val="center"/>
              <w:rPr>
                <w:noProof/>
                <w:color w:val="006100"/>
                <w:sz w:val="20"/>
                <w:szCs w:val="20"/>
              </w:rPr>
            </w:pPr>
            <w:r>
              <w:rPr>
                <w:noProof/>
                <w:color w:val="006100"/>
                <w:sz w:val="20"/>
              </w:rPr>
              <w:t xml:space="preserve"> VKEde tagatisfondist toetust saavate turismiettevõtete arv </w:t>
            </w:r>
          </w:p>
        </w:tc>
      </w:tr>
      <w:tr w:rsidR="00A612E2" w:rsidRPr="00D90835" w14:paraId="63F29C52"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C773D77" w14:textId="77777777" w:rsidR="00A612E2" w:rsidRPr="00246CC4" w:rsidRDefault="00A612E2" w:rsidP="00742B81">
            <w:pPr>
              <w:jc w:val="center"/>
              <w:rPr>
                <w:noProof/>
                <w:color w:val="006100"/>
                <w:sz w:val="20"/>
                <w:szCs w:val="20"/>
              </w:rPr>
            </w:pPr>
            <w:r>
              <w:rPr>
                <w:noProof/>
                <w:color w:val="006100"/>
                <w:sz w:val="20"/>
              </w:rPr>
              <w:t>M1C3-34</w:t>
            </w:r>
          </w:p>
        </w:tc>
        <w:tc>
          <w:tcPr>
            <w:tcW w:w="3075" w:type="dxa"/>
            <w:tcBorders>
              <w:top w:val="nil"/>
              <w:left w:val="nil"/>
              <w:bottom w:val="single" w:sz="4" w:space="0" w:color="auto"/>
              <w:right w:val="single" w:sz="4" w:space="0" w:color="auto"/>
            </w:tcBorders>
            <w:shd w:val="clear" w:color="auto" w:fill="C6EFCE"/>
            <w:noWrap/>
            <w:vAlign w:val="center"/>
          </w:tcPr>
          <w:p w14:paraId="757DD538" w14:textId="77777777" w:rsidR="00A612E2" w:rsidRPr="003B127D" w:rsidRDefault="00A612E2" w:rsidP="008B3890">
            <w:pPr>
              <w:rPr>
                <w:noProof/>
                <w:color w:val="006100"/>
                <w:sz w:val="20"/>
                <w:szCs w:val="20"/>
              </w:rPr>
            </w:pPr>
            <w:r>
              <w:rPr>
                <w:noProof/>
                <w:color w:val="006100"/>
                <w:sz w:val="20"/>
              </w:rPr>
              <w:t>Investeering 4.2. Turismiettevõtte konkurentsivõime fondid</w:t>
            </w:r>
          </w:p>
        </w:tc>
        <w:tc>
          <w:tcPr>
            <w:tcW w:w="1528" w:type="dxa"/>
            <w:tcBorders>
              <w:top w:val="nil"/>
              <w:left w:val="nil"/>
              <w:bottom w:val="single" w:sz="4" w:space="0" w:color="auto"/>
              <w:right w:val="single" w:sz="4" w:space="0" w:color="auto"/>
            </w:tcBorders>
            <w:shd w:val="clear" w:color="auto" w:fill="C6EFCE"/>
            <w:noWrap/>
            <w:vAlign w:val="center"/>
          </w:tcPr>
          <w:p w14:paraId="7769C11F" w14:textId="77777777" w:rsidR="00A612E2" w:rsidRPr="00246CC4" w:rsidRDefault="00A612E2" w:rsidP="00742B81">
            <w:pPr>
              <w:jc w:val="center"/>
              <w:rPr>
                <w:noProof/>
                <w:color w:val="006100"/>
                <w:sz w:val="20"/>
                <w:szCs w:val="20"/>
              </w:rPr>
            </w:pPr>
            <w:r>
              <w:rPr>
                <w:noProof/>
                <w:color w:val="006100"/>
                <w:sz w:val="20"/>
              </w:rPr>
              <w:t xml:space="preserve">Siht </w:t>
            </w:r>
          </w:p>
        </w:tc>
        <w:tc>
          <w:tcPr>
            <w:tcW w:w="4056" w:type="dxa"/>
            <w:tcBorders>
              <w:top w:val="nil"/>
              <w:left w:val="nil"/>
              <w:bottom w:val="single" w:sz="4" w:space="0" w:color="auto"/>
              <w:right w:val="single" w:sz="4" w:space="0" w:color="auto"/>
            </w:tcBorders>
            <w:shd w:val="clear" w:color="auto" w:fill="C6EFCE"/>
            <w:noWrap/>
            <w:vAlign w:val="center"/>
          </w:tcPr>
          <w:p w14:paraId="2F22C52A" w14:textId="77777777" w:rsidR="00A612E2" w:rsidRPr="003B127D" w:rsidRDefault="00A612E2" w:rsidP="00742B81">
            <w:pPr>
              <w:jc w:val="center"/>
              <w:rPr>
                <w:noProof/>
                <w:color w:val="006100"/>
                <w:sz w:val="20"/>
                <w:szCs w:val="20"/>
              </w:rPr>
            </w:pPr>
            <w:r>
              <w:rPr>
                <w:noProof/>
                <w:color w:val="006100"/>
                <w:sz w:val="20"/>
              </w:rPr>
              <w:t xml:space="preserve"> Riikliku turismifondi poolt turismi jaoks ümber arendatud kinnisvaraobjektide arv  </w:t>
            </w:r>
          </w:p>
        </w:tc>
      </w:tr>
      <w:tr w:rsidR="00A612E2" w:rsidRPr="00D90835" w14:paraId="65A36839"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D63DB3D" w14:textId="77777777" w:rsidR="00A612E2" w:rsidRPr="00246CC4" w:rsidRDefault="00A612E2" w:rsidP="00742B81">
            <w:pPr>
              <w:jc w:val="center"/>
              <w:rPr>
                <w:noProof/>
                <w:color w:val="006100"/>
                <w:sz w:val="20"/>
                <w:szCs w:val="20"/>
              </w:rPr>
            </w:pPr>
            <w:r>
              <w:rPr>
                <w:noProof/>
                <w:color w:val="006100"/>
                <w:sz w:val="20"/>
              </w:rPr>
              <w:t>M2C1-17</w:t>
            </w:r>
          </w:p>
        </w:tc>
        <w:tc>
          <w:tcPr>
            <w:tcW w:w="3075" w:type="dxa"/>
            <w:tcBorders>
              <w:top w:val="nil"/>
              <w:left w:val="nil"/>
              <w:bottom w:val="single" w:sz="4" w:space="0" w:color="auto"/>
              <w:right w:val="single" w:sz="4" w:space="0" w:color="auto"/>
            </w:tcBorders>
            <w:shd w:val="clear" w:color="auto" w:fill="C6EFCE"/>
            <w:noWrap/>
            <w:vAlign w:val="center"/>
          </w:tcPr>
          <w:p w14:paraId="2ADEB11E" w14:textId="77777777" w:rsidR="00A612E2" w:rsidRPr="003B127D" w:rsidRDefault="00A612E2" w:rsidP="008B3890">
            <w:pPr>
              <w:rPr>
                <w:noProof/>
                <w:color w:val="006100"/>
                <w:sz w:val="20"/>
                <w:szCs w:val="20"/>
              </w:rPr>
            </w:pPr>
            <w:r>
              <w:rPr>
                <w:noProof/>
                <w:color w:val="006100"/>
                <w:sz w:val="20"/>
              </w:rPr>
              <w:t>Investeering 1.2. Ringmajanduse juhtalgatused</w:t>
            </w:r>
          </w:p>
        </w:tc>
        <w:tc>
          <w:tcPr>
            <w:tcW w:w="1528" w:type="dxa"/>
            <w:tcBorders>
              <w:top w:val="nil"/>
              <w:left w:val="nil"/>
              <w:bottom w:val="single" w:sz="4" w:space="0" w:color="auto"/>
              <w:right w:val="single" w:sz="4" w:space="0" w:color="auto"/>
            </w:tcBorders>
            <w:shd w:val="clear" w:color="auto" w:fill="C6EFCE"/>
            <w:noWrap/>
            <w:vAlign w:val="center"/>
          </w:tcPr>
          <w:p w14:paraId="3C3D8C6A" w14:textId="77777777" w:rsidR="00A612E2" w:rsidRPr="00246CC4" w:rsidRDefault="00A612E2" w:rsidP="00742B81">
            <w:pPr>
              <w:jc w:val="center"/>
              <w:rPr>
                <w:noProof/>
                <w:color w:val="006100"/>
                <w:sz w:val="20"/>
                <w:szCs w:val="20"/>
              </w:rPr>
            </w:pPr>
            <w:r>
              <w:rPr>
                <w:noProof/>
                <w:color w:val="006100"/>
                <w:sz w:val="20"/>
              </w:rPr>
              <w:t>Siht</w:t>
            </w:r>
          </w:p>
        </w:tc>
        <w:tc>
          <w:tcPr>
            <w:tcW w:w="4056" w:type="dxa"/>
            <w:tcBorders>
              <w:top w:val="nil"/>
              <w:left w:val="nil"/>
              <w:bottom w:val="single" w:sz="4" w:space="0" w:color="auto"/>
              <w:right w:val="single" w:sz="4" w:space="0" w:color="auto"/>
            </w:tcBorders>
            <w:shd w:val="clear" w:color="auto" w:fill="C6EFCE"/>
            <w:noWrap/>
            <w:vAlign w:val="center"/>
          </w:tcPr>
          <w:p w14:paraId="2040810C" w14:textId="77777777" w:rsidR="00A612E2" w:rsidRPr="003B127D" w:rsidRDefault="00A612E2" w:rsidP="00742B81">
            <w:pPr>
              <w:jc w:val="center"/>
              <w:rPr>
                <w:noProof/>
                <w:color w:val="006100"/>
                <w:sz w:val="20"/>
                <w:szCs w:val="20"/>
              </w:rPr>
            </w:pPr>
            <w:r>
              <w:rPr>
                <w:noProof/>
                <w:color w:val="006100"/>
                <w:sz w:val="20"/>
              </w:rPr>
              <w:t xml:space="preserve">Olmejäätmete ringlussevõtu määrad ringmajanduse tegevuskavas  </w:t>
            </w:r>
          </w:p>
        </w:tc>
      </w:tr>
      <w:tr w:rsidR="00A612E2" w:rsidRPr="00D90835" w14:paraId="59F1C8F9"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8E23BC2" w14:textId="77777777" w:rsidR="00A612E2" w:rsidRPr="00246CC4" w:rsidRDefault="00A612E2" w:rsidP="00742B81">
            <w:pPr>
              <w:jc w:val="center"/>
              <w:rPr>
                <w:noProof/>
                <w:color w:val="006100"/>
                <w:sz w:val="20"/>
                <w:szCs w:val="20"/>
              </w:rPr>
            </w:pPr>
            <w:r>
              <w:rPr>
                <w:noProof/>
                <w:color w:val="006100"/>
                <w:sz w:val="20"/>
              </w:rPr>
              <w:t>M2C1-17bis</w:t>
            </w:r>
          </w:p>
        </w:tc>
        <w:tc>
          <w:tcPr>
            <w:tcW w:w="3075" w:type="dxa"/>
            <w:tcBorders>
              <w:top w:val="nil"/>
              <w:left w:val="nil"/>
              <w:bottom w:val="single" w:sz="4" w:space="0" w:color="auto"/>
              <w:right w:val="single" w:sz="4" w:space="0" w:color="auto"/>
            </w:tcBorders>
            <w:shd w:val="clear" w:color="auto" w:fill="C6EFCE"/>
            <w:noWrap/>
            <w:vAlign w:val="center"/>
          </w:tcPr>
          <w:p w14:paraId="2A1B4E48" w14:textId="77777777" w:rsidR="00A612E2" w:rsidRPr="003B127D" w:rsidRDefault="00A612E2" w:rsidP="008B3890">
            <w:pPr>
              <w:rPr>
                <w:noProof/>
                <w:color w:val="006100"/>
                <w:sz w:val="20"/>
                <w:szCs w:val="20"/>
              </w:rPr>
            </w:pPr>
            <w:r>
              <w:rPr>
                <w:noProof/>
                <w:color w:val="006100"/>
                <w:sz w:val="20"/>
              </w:rPr>
              <w:t>Investeering 1.2. Ringmajanduse juhtalgatused</w:t>
            </w:r>
          </w:p>
        </w:tc>
        <w:tc>
          <w:tcPr>
            <w:tcW w:w="1528" w:type="dxa"/>
            <w:tcBorders>
              <w:top w:val="nil"/>
              <w:left w:val="nil"/>
              <w:bottom w:val="single" w:sz="4" w:space="0" w:color="auto"/>
              <w:right w:val="single" w:sz="4" w:space="0" w:color="auto"/>
            </w:tcBorders>
            <w:shd w:val="clear" w:color="auto" w:fill="C6EFCE"/>
            <w:noWrap/>
            <w:vAlign w:val="center"/>
          </w:tcPr>
          <w:p w14:paraId="7496DA99" w14:textId="77777777" w:rsidR="00A612E2" w:rsidRPr="00246CC4" w:rsidRDefault="00A612E2" w:rsidP="00742B81">
            <w:pPr>
              <w:jc w:val="center"/>
              <w:rPr>
                <w:noProof/>
                <w:color w:val="006100"/>
                <w:sz w:val="20"/>
                <w:szCs w:val="20"/>
              </w:rPr>
            </w:pPr>
            <w:r>
              <w:rPr>
                <w:noProof/>
                <w:color w:val="006100"/>
                <w:sz w:val="20"/>
              </w:rPr>
              <w:t>Siht</w:t>
            </w:r>
          </w:p>
        </w:tc>
        <w:tc>
          <w:tcPr>
            <w:tcW w:w="4056" w:type="dxa"/>
            <w:tcBorders>
              <w:top w:val="nil"/>
              <w:left w:val="nil"/>
              <w:bottom w:val="single" w:sz="4" w:space="0" w:color="auto"/>
              <w:right w:val="single" w:sz="4" w:space="0" w:color="auto"/>
            </w:tcBorders>
            <w:shd w:val="clear" w:color="auto" w:fill="C6EFCE"/>
            <w:noWrap/>
            <w:vAlign w:val="center"/>
          </w:tcPr>
          <w:p w14:paraId="5A4D137F" w14:textId="77777777" w:rsidR="00A612E2" w:rsidRPr="003B127D" w:rsidRDefault="00A612E2" w:rsidP="00742B81">
            <w:pPr>
              <w:jc w:val="center"/>
              <w:rPr>
                <w:noProof/>
                <w:color w:val="006100"/>
                <w:sz w:val="20"/>
                <w:szCs w:val="20"/>
              </w:rPr>
            </w:pPr>
            <w:r>
              <w:rPr>
                <w:noProof/>
                <w:color w:val="006100"/>
                <w:sz w:val="20"/>
              </w:rPr>
              <w:t>Pakendijäätmete ringlussevõtu määrad ringmajanduse tegevuskavas</w:t>
            </w:r>
          </w:p>
        </w:tc>
      </w:tr>
      <w:tr w:rsidR="00A612E2" w:rsidRPr="00D90835" w14:paraId="45B69C73"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BB7F07E" w14:textId="77777777" w:rsidR="00A612E2" w:rsidRPr="00246CC4" w:rsidRDefault="00A612E2" w:rsidP="00742B81">
            <w:pPr>
              <w:jc w:val="center"/>
              <w:rPr>
                <w:noProof/>
                <w:color w:val="006100"/>
                <w:sz w:val="20"/>
                <w:szCs w:val="20"/>
              </w:rPr>
            </w:pPr>
            <w:r>
              <w:rPr>
                <w:noProof/>
                <w:color w:val="006100"/>
                <w:sz w:val="20"/>
              </w:rPr>
              <w:t>M2C1-17ter</w:t>
            </w:r>
          </w:p>
        </w:tc>
        <w:tc>
          <w:tcPr>
            <w:tcW w:w="3075" w:type="dxa"/>
            <w:tcBorders>
              <w:top w:val="nil"/>
              <w:left w:val="nil"/>
              <w:bottom w:val="single" w:sz="4" w:space="0" w:color="auto"/>
              <w:right w:val="single" w:sz="4" w:space="0" w:color="auto"/>
            </w:tcBorders>
            <w:shd w:val="clear" w:color="auto" w:fill="C6EFCE"/>
            <w:noWrap/>
            <w:vAlign w:val="center"/>
          </w:tcPr>
          <w:p w14:paraId="4A91EB2A" w14:textId="77777777" w:rsidR="00A612E2" w:rsidRPr="003B127D" w:rsidRDefault="00A612E2" w:rsidP="008B3890">
            <w:pPr>
              <w:rPr>
                <w:noProof/>
                <w:color w:val="006100"/>
                <w:sz w:val="20"/>
                <w:szCs w:val="20"/>
              </w:rPr>
            </w:pPr>
            <w:r>
              <w:rPr>
                <w:noProof/>
                <w:color w:val="006100"/>
                <w:sz w:val="20"/>
              </w:rPr>
              <w:t>Investeering 1.2. Ringmajanduse juhtalgatused</w:t>
            </w:r>
          </w:p>
        </w:tc>
        <w:tc>
          <w:tcPr>
            <w:tcW w:w="1528" w:type="dxa"/>
            <w:tcBorders>
              <w:top w:val="nil"/>
              <w:left w:val="nil"/>
              <w:bottom w:val="single" w:sz="4" w:space="0" w:color="auto"/>
              <w:right w:val="single" w:sz="4" w:space="0" w:color="auto"/>
            </w:tcBorders>
            <w:shd w:val="clear" w:color="auto" w:fill="C6EFCE"/>
            <w:noWrap/>
            <w:vAlign w:val="center"/>
          </w:tcPr>
          <w:p w14:paraId="5AF7787B" w14:textId="77777777" w:rsidR="00A612E2" w:rsidRPr="00246CC4" w:rsidRDefault="00A612E2" w:rsidP="00742B81">
            <w:pPr>
              <w:jc w:val="center"/>
              <w:rPr>
                <w:noProof/>
                <w:color w:val="006100"/>
                <w:sz w:val="20"/>
                <w:szCs w:val="20"/>
              </w:rPr>
            </w:pPr>
            <w:r>
              <w:rPr>
                <w:noProof/>
                <w:color w:val="006100"/>
                <w:sz w:val="20"/>
              </w:rPr>
              <w:t>Siht</w:t>
            </w:r>
          </w:p>
        </w:tc>
        <w:tc>
          <w:tcPr>
            <w:tcW w:w="4056" w:type="dxa"/>
            <w:tcBorders>
              <w:top w:val="nil"/>
              <w:left w:val="nil"/>
              <w:bottom w:val="single" w:sz="4" w:space="0" w:color="auto"/>
              <w:right w:val="single" w:sz="4" w:space="0" w:color="auto"/>
            </w:tcBorders>
            <w:shd w:val="clear" w:color="auto" w:fill="C6EFCE"/>
            <w:noWrap/>
            <w:vAlign w:val="center"/>
          </w:tcPr>
          <w:p w14:paraId="62D5F8CC" w14:textId="77777777" w:rsidR="00A612E2" w:rsidRPr="003B127D" w:rsidRDefault="00A612E2" w:rsidP="00742B81">
            <w:pPr>
              <w:jc w:val="center"/>
              <w:rPr>
                <w:noProof/>
                <w:color w:val="006100"/>
                <w:sz w:val="20"/>
                <w:szCs w:val="20"/>
              </w:rPr>
            </w:pPr>
            <w:r>
              <w:rPr>
                <w:noProof/>
                <w:color w:val="006100"/>
                <w:sz w:val="20"/>
              </w:rPr>
              <w:t>Puidust pakkematerjali ringlussevõtu määrad ringmajanduse tegevuskavas</w:t>
            </w:r>
          </w:p>
        </w:tc>
      </w:tr>
      <w:tr w:rsidR="00A612E2" w:rsidRPr="00D90835" w14:paraId="4D04076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99CC8AA" w14:textId="77777777" w:rsidR="00A612E2" w:rsidRPr="00246CC4" w:rsidRDefault="00A612E2" w:rsidP="00742B81">
            <w:pPr>
              <w:jc w:val="center"/>
              <w:rPr>
                <w:noProof/>
                <w:color w:val="006100"/>
                <w:sz w:val="20"/>
                <w:szCs w:val="20"/>
              </w:rPr>
            </w:pPr>
            <w:r>
              <w:rPr>
                <w:noProof/>
                <w:color w:val="006100"/>
                <w:sz w:val="20"/>
              </w:rPr>
              <w:t>M2C1-17quater</w:t>
            </w:r>
          </w:p>
        </w:tc>
        <w:tc>
          <w:tcPr>
            <w:tcW w:w="3075" w:type="dxa"/>
            <w:tcBorders>
              <w:top w:val="nil"/>
              <w:left w:val="nil"/>
              <w:bottom w:val="single" w:sz="4" w:space="0" w:color="auto"/>
              <w:right w:val="single" w:sz="4" w:space="0" w:color="auto"/>
            </w:tcBorders>
            <w:shd w:val="clear" w:color="auto" w:fill="C6EFCE"/>
            <w:noWrap/>
            <w:vAlign w:val="center"/>
          </w:tcPr>
          <w:p w14:paraId="5ECACFE9" w14:textId="77777777" w:rsidR="00A612E2" w:rsidRPr="003B127D" w:rsidRDefault="00A612E2" w:rsidP="008B3890">
            <w:pPr>
              <w:rPr>
                <w:noProof/>
                <w:color w:val="006100"/>
                <w:sz w:val="20"/>
                <w:szCs w:val="20"/>
              </w:rPr>
            </w:pPr>
            <w:r>
              <w:rPr>
                <w:noProof/>
                <w:color w:val="006100"/>
                <w:sz w:val="20"/>
              </w:rPr>
              <w:t>Investeering 1.2. Ringmajanduse juhtalgatused</w:t>
            </w:r>
          </w:p>
        </w:tc>
        <w:tc>
          <w:tcPr>
            <w:tcW w:w="1528" w:type="dxa"/>
            <w:tcBorders>
              <w:top w:val="nil"/>
              <w:left w:val="nil"/>
              <w:bottom w:val="single" w:sz="4" w:space="0" w:color="auto"/>
              <w:right w:val="single" w:sz="4" w:space="0" w:color="auto"/>
            </w:tcBorders>
            <w:shd w:val="clear" w:color="auto" w:fill="C6EFCE"/>
            <w:noWrap/>
            <w:vAlign w:val="center"/>
          </w:tcPr>
          <w:p w14:paraId="259719A7" w14:textId="77777777" w:rsidR="00A612E2" w:rsidRPr="00246CC4" w:rsidRDefault="00A612E2" w:rsidP="00742B81">
            <w:pPr>
              <w:jc w:val="center"/>
              <w:rPr>
                <w:noProof/>
                <w:color w:val="006100"/>
                <w:sz w:val="20"/>
                <w:szCs w:val="20"/>
              </w:rPr>
            </w:pPr>
            <w:r>
              <w:rPr>
                <w:noProof/>
                <w:color w:val="006100"/>
                <w:sz w:val="20"/>
              </w:rPr>
              <w:t>Siht</w:t>
            </w:r>
          </w:p>
        </w:tc>
        <w:tc>
          <w:tcPr>
            <w:tcW w:w="4056" w:type="dxa"/>
            <w:tcBorders>
              <w:top w:val="nil"/>
              <w:left w:val="nil"/>
              <w:bottom w:val="single" w:sz="4" w:space="0" w:color="auto"/>
              <w:right w:val="single" w:sz="4" w:space="0" w:color="auto"/>
            </w:tcBorders>
            <w:shd w:val="clear" w:color="auto" w:fill="C6EFCE"/>
            <w:noWrap/>
            <w:vAlign w:val="center"/>
          </w:tcPr>
          <w:p w14:paraId="30BFE6BF" w14:textId="77777777" w:rsidR="00A612E2" w:rsidRPr="003B127D" w:rsidRDefault="00A612E2" w:rsidP="00742B81">
            <w:pPr>
              <w:jc w:val="center"/>
              <w:rPr>
                <w:noProof/>
                <w:color w:val="006100"/>
                <w:sz w:val="20"/>
                <w:szCs w:val="20"/>
              </w:rPr>
            </w:pPr>
            <w:r>
              <w:rPr>
                <w:noProof/>
                <w:color w:val="006100"/>
                <w:sz w:val="20"/>
              </w:rPr>
              <w:t>Mustmetallist pakendite ringlussevõtu määrad ringmajanduse tegevuskavas</w:t>
            </w:r>
          </w:p>
        </w:tc>
      </w:tr>
      <w:tr w:rsidR="00A612E2" w:rsidRPr="00D90835" w14:paraId="539DC383"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E9BCD7C" w14:textId="77777777" w:rsidR="00A612E2" w:rsidRPr="00246CC4" w:rsidRDefault="00A612E2" w:rsidP="00742B81">
            <w:pPr>
              <w:jc w:val="center"/>
              <w:rPr>
                <w:noProof/>
                <w:color w:val="006100"/>
                <w:sz w:val="20"/>
                <w:szCs w:val="20"/>
              </w:rPr>
            </w:pPr>
            <w:r>
              <w:rPr>
                <w:noProof/>
                <w:color w:val="006100"/>
                <w:sz w:val="20"/>
              </w:rPr>
              <w:t>M2C1-17-kinakviirused</w:t>
            </w:r>
          </w:p>
        </w:tc>
        <w:tc>
          <w:tcPr>
            <w:tcW w:w="3075" w:type="dxa"/>
            <w:tcBorders>
              <w:top w:val="nil"/>
              <w:left w:val="nil"/>
              <w:bottom w:val="single" w:sz="4" w:space="0" w:color="auto"/>
              <w:right w:val="single" w:sz="4" w:space="0" w:color="auto"/>
            </w:tcBorders>
            <w:shd w:val="clear" w:color="auto" w:fill="C6EFCE"/>
            <w:noWrap/>
            <w:vAlign w:val="center"/>
          </w:tcPr>
          <w:p w14:paraId="2A26DF32" w14:textId="77777777" w:rsidR="00A612E2" w:rsidRPr="003B127D" w:rsidRDefault="00A612E2" w:rsidP="008B3890">
            <w:pPr>
              <w:rPr>
                <w:noProof/>
                <w:color w:val="006100"/>
                <w:sz w:val="20"/>
                <w:szCs w:val="20"/>
              </w:rPr>
            </w:pPr>
            <w:r>
              <w:rPr>
                <w:noProof/>
                <w:color w:val="006100"/>
                <w:sz w:val="20"/>
              </w:rPr>
              <w:t>Investeering 1.2. Ringmajanduse juhtalgatused</w:t>
            </w:r>
          </w:p>
        </w:tc>
        <w:tc>
          <w:tcPr>
            <w:tcW w:w="1528" w:type="dxa"/>
            <w:tcBorders>
              <w:top w:val="nil"/>
              <w:left w:val="nil"/>
              <w:bottom w:val="single" w:sz="4" w:space="0" w:color="auto"/>
              <w:right w:val="single" w:sz="4" w:space="0" w:color="auto"/>
            </w:tcBorders>
            <w:shd w:val="clear" w:color="auto" w:fill="C6EFCE"/>
            <w:noWrap/>
            <w:vAlign w:val="center"/>
          </w:tcPr>
          <w:p w14:paraId="304D5024" w14:textId="77777777" w:rsidR="00A612E2" w:rsidRPr="00246CC4" w:rsidRDefault="00A612E2" w:rsidP="00742B81">
            <w:pPr>
              <w:jc w:val="center"/>
              <w:rPr>
                <w:noProof/>
                <w:color w:val="006100"/>
                <w:sz w:val="20"/>
                <w:szCs w:val="20"/>
              </w:rPr>
            </w:pPr>
            <w:r>
              <w:rPr>
                <w:noProof/>
                <w:color w:val="006100"/>
                <w:sz w:val="20"/>
              </w:rPr>
              <w:t>Siht</w:t>
            </w:r>
          </w:p>
        </w:tc>
        <w:tc>
          <w:tcPr>
            <w:tcW w:w="4056" w:type="dxa"/>
            <w:tcBorders>
              <w:top w:val="nil"/>
              <w:left w:val="nil"/>
              <w:bottom w:val="single" w:sz="4" w:space="0" w:color="auto"/>
              <w:right w:val="single" w:sz="4" w:space="0" w:color="auto"/>
            </w:tcBorders>
            <w:shd w:val="clear" w:color="auto" w:fill="C6EFCE"/>
            <w:noWrap/>
            <w:vAlign w:val="center"/>
          </w:tcPr>
          <w:p w14:paraId="210839CA" w14:textId="77777777" w:rsidR="00A612E2" w:rsidRPr="003B127D" w:rsidRDefault="00A612E2" w:rsidP="00742B81">
            <w:pPr>
              <w:jc w:val="center"/>
              <w:rPr>
                <w:noProof/>
                <w:color w:val="006100"/>
                <w:sz w:val="20"/>
                <w:szCs w:val="20"/>
              </w:rPr>
            </w:pPr>
            <w:r>
              <w:rPr>
                <w:noProof/>
                <w:color w:val="006100"/>
                <w:sz w:val="20"/>
              </w:rPr>
              <w:t>Alumiiniumpakendite ringlussevõtu määrad ringmajanduse tegevuskavas</w:t>
            </w:r>
          </w:p>
        </w:tc>
      </w:tr>
      <w:tr w:rsidR="00A612E2" w:rsidRPr="00D90835" w14:paraId="54FD01A3"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6625D37" w14:textId="77777777" w:rsidR="00A612E2" w:rsidRPr="00246CC4" w:rsidRDefault="00A612E2" w:rsidP="00742B81">
            <w:pPr>
              <w:jc w:val="center"/>
              <w:rPr>
                <w:noProof/>
                <w:color w:val="006100"/>
                <w:sz w:val="20"/>
                <w:szCs w:val="20"/>
              </w:rPr>
            </w:pPr>
            <w:r>
              <w:rPr>
                <w:noProof/>
                <w:color w:val="006100"/>
                <w:sz w:val="20"/>
              </w:rPr>
              <w:t>M2C1-17-sugu</w:t>
            </w:r>
          </w:p>
        </w:tc>
        <w:tc>
          <w:tcPr>
            <w:tcW w:w="3075" w:type="dxa"/>
            <w:tcBorders>
              <w:top w:val="nil"/>
              <w:left w:val="nil"/>
              <w:bottom w:val="single" w:sz="4" w:space="0" w:color="auto"/>
              <w:right w:val="single" w:sz="4" w:space="0" w:color="auto"/>
            </w:tcBorders>
            <w:shd w:val="clear" w:color="auto" w:fill="C6EFCE"/>
            <w:noWrap/>
            <w:vAlign w:val="center"/>
          </w:tcPr>
          <w:p w14:paraId="669F0502" w14:textId="77777777" w:rsidR="00A612E2" w:rsidRPr="003B127D" w:rsidRDefault="00A612E2" w:rsidP="008B3890">
            <w:pPr>
              <w:rPr>
                <w:noProof/>
                <w:color w:val="006100"/>
                <w:sz w:val="20"/>
                <w:szCs w:val="20"/>
              </w:rPr>
            </w:pPr>
            <w:r>
              <w:rPr>
                <w:noProof/>
                <w:color w:val="006100"/>
                <w:sz w:val="20"/>
              </w:rPr>
              <w:t>Investeering 1.2. Ringmajanduse juhtalgatused</w:t>
            </w:r>
          </w:p>
        </w:tc>
        <w:tc>
          <w:tcPr>
            <w:tcW w:w="1528" w:type="dxa"/>
            <w:tcBorders>
              <w:top w:val="nil"/>
              <w:left w:val="nil"/>
              <w:bottom w:val="single" w:sz="4" w:space="0" w:color="auto"/>
              <w:right w:val="single" w:sz="4" w:space="0" w:color="auto"/>
            </w:tcBorders>
            <w:shd w:val="clear" w:color="auto" w:fill="C6EFCE"/>
            <w:noWrap/>
            <w:vAlign w:val="center"/>
          </w:tcPr>
          <w:p w14:paraId="7D900B7E" w14:textId="77777777" w:rsidR="00A612E2" w:rsidRPr="00246CC4" w:rsidRDefault="00A612E2" w:rsidP="00742B81">
            <w:pPr>
              <w:jc w:val="center"/>
              <w:rPr>
                <w:noProof/>
                <w:color w:val="006100"/>
                <w:sz w:val="20"/>
                <w:szCs w:val="20"/>
              </w:rPr>
            </w:pPr>
            <w:r>
              <w:rPr>
                <w:noProof/>
                <w:color w:val="006100"/>
                <w:sz w:val="20"/>
              </w:rPr>
              <w:t>Siht</w:t>
            </w:r>
          </w:p>
        </w:tc>
        <w:tc>
          <w:tcPr>
            <w:tcW w:w="4056" w:type="dxa"/>
            <w:tcBorders>
              <w:top w:val="nil"/>
              <w:left w:val="nil"/>
              <w:bottom w:val="single" w:sz="4" w:space="0" w:color="auto"/>
              <w:right w:val="single" w:sz="4" w:space="0" w:color="auto"/>
            </w:tcBorders>
            <w:shd w:val="clear" w:color="auto" w:fill="C6EFCE"/>
            <w:noWrap/>
            <w:vAlign w:val="center"/>
          </w:tcPr>
          <w:p w14:paraId="1A15E4F3" w14:textId="77777777" w:rsidR="00A612E2" w:rsidRPr="003B127D" w:rsidRDefault="00A612E2" w:rsidP="00742B81">
            <w:pPr>
              <w:jc w:val="center"/>
              <w:rPr>
                <w:noProof/>
                <w:color w:val="006100"/>
                <w:sz w:val="20"/>
                <w:szCs w:val="20"/>
              </w:rPr>
            </w:pPr>
            <w:r>
              <w:rPr>
                <w:noProof/>
                <w:color w:val="006100"/>
                <w:sz w:val="20"/>
              </w:rPr>
              <w:t>Klaaspakendite ringlussevõtu määrad ringmajanduse tegevuskavas</w:t>
            </w:r>
          </w:p>
        </w:tc>
      </w:tr>
      <w:tr w:rsidR="00A612E2" w:rsidRPr="00D90835" w14:paraId="13EEE8D9"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934AF5F" w14:textId="77777777" w:rsidR="00A612E2" w:rsidRPr="00246CC4" w:rsidRDefault="00A612E2" w:rsidP="00742B81">
            <w:pPr>
              <w:jc w:val="center"/>
              <w:rPr>
                <w:noProof/>
                <w:color w:val="006100"/>
                <w:sz w:val="20"/>
                <w:szCs w:val="20"/>
              </w:rPr>
            </w:pPr>
            <w:r>
              <w:rPr>
                <w:noProof/>
                <w:color w:val="006100"/>
                <w:sz w:val="20"/>
              </w:rPr>
              <w:t>M2C1-17-septies</w:t>
            </w:r>
          </w:p>
        </w:tc>
        <w:tc>
          <w:tcPr>
            <w:tcW w:w="3075" w:type="dxa"/>
            <w:tcBorders>
              <w:top w:val="nil"/>
              <w:left w:val="nil"/>
              <w:bottom w:val="single" w:sz="4" w:space="0" w:color="auto"/>
              <w:right w:val="single" w:sz="4" w:space="0" w:color="auto"/>
            </w:tcBorders>
            <w:shd w:val="clear" w:color="auto" w:fill="C6EFCE"/>
            <w:noWrap/>
            <w:vAlign w:val="center"/>
          </w:tcPr>
          <w:p w14:paraId="45388B3B" w14:textId="77777777" w:rsidR="00A612E2" w:rsidRPr="003B127D" w:rsidRDefault="00A612E2" w:rsidP="008B3890">
            <w:pPr>
              <w:rPr>
                <w:noProof/>
                <w:color w:val="006100"/>
                <w:sz w:val="20"/>
                <w:szCs w:val="20"/>
              </w:rPr>
            </w:pPr>
            <w:r>
              <w:rPr>
                <w:noProof/>
                <w:color w:val="006100"/>
                <w:sz w:val="20"/>
              </w:rPr>
              <w:t>Investeering 1.2. Ringmajanduse juhtalgatused</w:t>
            </w:r>
          </w:p>
        </w:tc>
        <w:tc>
          <w:tcPr>
            <w:tcW w:w="1528" w:type="dxa"/>
            <w:tcBorders>
              <w:top w:val="nil"/>
              <w:left w:val="nil"/>
              <w:bottom w:val="single" w:sz="4" w:space="0" w:color="auto"/>
              <w:right w:val="single" w:sz="4" w:space="0" w:color="auto"/>
            </w:tcBorders>
            <w:shd w:val="clear" w:color="auto" w:fill="C6EFCE"/>
            <w:noWrap/>
            <w:vAlign w:val="center"/>
          </w:tcPr>
          <w:p w14:paraId="2542275C" w14:textId="77777777" w:rsidR="00A612E2" w:rsidRPr="00246CC4" w:rsidRDefault="00A612E2" w:rsidP="00742B81">
            <w:pPr>
              <w:jc w:val="center"/>
              <w:rPr>
                <w:noProof/>
                <w:color w:val="006100"/>
                <w:sz w:val="20"/>
                <w:szCs w:val="20"/>
              </w:rPr>
            </w:pPr>
            <w:r>
              <w:rPr>
                <w:noProof/>
                <w:color w:val="006100"/>
                <w:sz w:val="20"/>
              </w:rPr>
              <w:t>Siht</w:t>
            </w:r>
          </w:p>
        </w:tc>
        <w:tc>
          <w:tcPr>
            <w:tcW w:w="4056" w:type="dxa"/>
            <w:tcBorders>
              <w:top w:val="nil"/>
              <w:left w:val="nil"/>
              <w:bottom w:val="single" w:sz="4" w:space="0" w:color="auto"/>
              <w:right w:val="single" w:sz="4" w:space="0" w:color="auto"/>
            </w:tcBorders>
            <w:shd w:val="clear" w:color="auto" w:fill="C6EFCE"/>
            <w:noWrap/>
            <w:vAlign w:val="center"/>
          </w:tcPr>
          <w:p w14:paraId="75ECAE7D" w14:textId="77777777" w:rsidR="00A612E2" w:rsidRPr="003B127D" w:rsidRDefault="00A612E2" w:rsidP="00742B81">
            <w:pPr>
              <w:jc w:val="center"/>
              <w:rPr>
                <w:noProof/>
                <w:color w:val="006100"/>
                <w:sz w:val="20"/>
                <w:szCs w:val="20"/>
              </w:rPr>
            </w:pPr>
            <w:r>
              <w:rPr>
                <w:noProof/>
                <w:color w:val="006100"/>
                <w:sz w:val="20"/>
              </w:rPr>
              <w:t>Paberi ja papi ringlussevõtu määr ringmajanduse tegevuskavas</w:t>
            </w:r>
          </w:p>
        </w:tc>
      </w:tr>
      <w:tr w:rsidR="00A612E2" w:rsidRPr="00D90835" w14:paraId="573C0A09"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F6794FD" w14:textId="77777777" w:rsidR="00A612E2" w:rsidRPr="00246CC4" w:rsidRDefault="00A612E2" w:rsidP="00742B81">
            <w:pPr>
              <w:jc w:val="center"/>
              <w:rPr>
                <w:noProof/>
                <w:color w:val="006100"/>
                <w:sz w:val="20"/>
                <w:szCs w:val="20"/>
              </w:rPr>
            </w:pPr>
            <w:r>
              <w:rPr>
                <w:noProof/>
                <w:color w:val="006100"/>
                <w:sz w:val="20"/>
              </w:rPr>
              <w:t>M2C1-17-oktoosid</w:t>
            </w:r>
          </w:p>
        </w:tc>
        <w:tc>
          <w:tcPr>
            <w:tcW w:w="3075" w:type="dxa"/>
            <w:tcBorders>
              <w:top w:val="nil"/>
              <w:left w:val="nil"/>
              <w:bottom w:val="single" w:sz="4" w:space="0" w:color="auto"/>
              <w:right w:val="single" w:sz="4" w:space="0" w:color="auto"/>
            </w:tcBorders>
            <w:shd w:val="clear" w:color="auto" w:fill="C6EFCE"/>
            <w:noWrap/>
            <w:vAlign w:val="center"/>
          </w:tcPr>
          <w:p w14:paraId="53CB84AD" w14:textId="77777777" w:rsidR="00A612E2" w:rsidRPr="003B127D" w:rsidRDefault="00A612E2" w:rsidP="008B3890">
            <w:pPr>
              <w:rPr>
                <w:noProof/>
                <w:color w:val="006100"/>
                <w:sz w:val="20"/>
                <w:szCs w:val="20"/>
              </w:rPr>
            </w:pPr>
            <w:r>
              <w:rPr>
                <w:noProof/>
                <w:color w:val="006100"/>
                <w:sz w:val="20"/>
              </w:rPr>
              <w:t>Investeering 1.2. Ringmajanduse juhtalgatused</w:t>
            </w:r>
          </w:p>
        </w:tc>
        <w:tc>
          <w:tcPr>
            <w:tcW w:w="1528" w:type="dxa"/>
            <w:tcBorders>
              <w:top w:val="nil"/>
              <w:left w:val="nil"/>
              <w:bottom w:val="single" w:sz="4" w:space="0" w:color="auto"/>
              <w:right w:val="single" w:sz="4" w:space="0" w:color="auto"/>
            </w:tcBorders>
            <w:shd w:val="clear" w:color="auto" w:fill="C6EFCE"/>
            <w:noWrap/>
            <w:vAlign w:val="center"/>
          </w:tcPr>
          <w:p w14:paraId="41ADC7B9" w14:textId="77777777" w:rsidR="00A612E2" w:rsidRPr="00246CC4" w:rsidRDefault="00A612E2" w:rsidP="00742B81">
            <w:pPr>
              <w:jc w:val="center"/>
              <w:rPr>
                <w:noProof/>
                <w:color w:val="006100"/>
                <w:sz w:val="20"/>
                <w:szCs w:val="20"/>
              </w:rPr>
            </w:pPr>
            <w:r>
              <w:rPr>
                <w:noProof/>
                <w:color w:val="006100"/>
                <w:sz w:val="20"/>
              </w:rPr>
              <w:t>Siht</w:t>
            </w:r>
          </w:p>
        </w:tc>
        <w:tc>
          <w:tcPr>
            <w:tcW w:w="4056" w:type="dxa"/>
            <w:tcBorders>
              <w:top w:val="nil"/>
              <w:left w:val="nil"/>
              <w:bottom w:val="single" w:sz="4" w:space="0" w:color="auto"/>
              <w:right w:val="single" w:sz="4" w:space="0" w:color="auto"/>
            </w:tcBorders>
            <w:shd w:val="clear" w:color="auto" w:fill="C6EFCE"/>
            <w:noWrap/>
            <w:vAlign w:val="center"/>
          </w:tcPr>
          <w:p w14:paraId="42D3ED1B" w14:textId="77777777" w:rsidR="00A612E2" w:rsidRPr="003B127D" w:rsidRDefault="00A612E2" w:rsidP="00742B81">
            <w:pPr>
              <w:jc w:val="center"/>
              <w:rPr>
                <w:noProof/>
                <w:color w:val="006100"/>
                <w:sz w:val="20"/>
                <w:szCs w:val="20"/>
              </w:rPr>
            </w:pPr>
            <w:r>
              <w:rPr>
                <w:noProof/>
                <w:color w:val="006100"/>
                <w:sz w:val="20"/>
              </w:rPr>
              <w:t>Plastpakendite ringlussevõtu määrad ringmajanduse tegevuskavas</w:t>
            </w:r>
          </w:p>
        </w:tc>
      </w:tr>
      <w:tr w:rsidR="00A612E2" w:rsidRPr="00D90835" w14:paraId="6674567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559E452" w14:textId="77777777" w:rsidR="00A612E2" w:rsidRPr="00246CC4" w:rsidRDefault="00A612E2" w:rsidP="00742B81">
            <w:pPr>
              <w:jc w:val="center"/>
              <w:rPr>
                <w:noProof/>
                <w:color w:val="006100"/>
                <w:sz w:val="20"/>
                <w:szCs w:val="20"/>
              </w:rPr>
            </w:pPr>
            <w:r>
              <w:rPr>
                <w:noProof/>
                <w:color w:val="006100"/>
                <w:sz w:val="20"/>
              </w:rPr>
              <w:t>M2C1-17-nonid</w:t>
            </w:r>
          </w:p>
        </w:tc>
        <w:tc>
          <w:tcPr>
            <w:tcW w:w="3075" w:type="dxa"/>
            <w:tcBorders>
              <w:top w:val="nil"/>
              <w:left w:val="nil"/>
              <w:bottom w:val="single" w:sz="4" w:space="0" w:color="auto"/>
              <w:right w:val="single" w:sz="4" w:space="0" w:color="auto"/>
            </w:tcBorders>
            <w:shd w:val="clear" w:color="auto" w:fill="C6EFCE"/>
            <w:noWrap/>
            <w:vAlign w:val="center"/>
          </w:tcPr>
          <w:p w14:paraId="5498EA97" w14:textId="77777777" w:rsidR="00A612E2" w:rsidRPr="003B127D" w:rsidRDefault="00A612E2" w:rsidP="008B3890">
            <w:pPr>
              <w:rPr>
                <w:noProof/>
                <w:color w:val="006100"/>
                <w:sz w:val="20"/>
                <w:szCs w:val="20"/>
              </w:rPr>
            </w:pPr>
            <w:r>
              <w:rPr>
                <w:noProof/>
                <w:color w:val="006100"/>
                <w:sz w:val="20"/>
              </w:rPr>
              <w:t>Reform 1.1. Riiklik ringmajanduse strateegia Investeering 1.2. Ringmajanduse juhtalgatused</w:t>
            </w:r>
          </w:p>
        </w:tc>
        <w:tc>
          <w:tcPr>
            <w:tcW w:w="1528" w:type="dxa"/>
            <w:tcBorders>
              <w:top w:val="nil"/>
              <w:left w:val="nil"/>
              <w:bottom w:val="single" w:sz="4" w:space="0" w:color="auto"/>
              <w:right w:val="single" w:sz="4" w:space="0" w:color="auto"/>
            </w:tcBorders>
            <w:shd w:val="clear" w:color="auto" w:fill="C6EFCE"/>
            <w:noWrap/>
            <w:vAlign w:val="center"/>
          </w:tcPr>
          <w:p w14:paraId="096C83AB" w14:textId="77777777" w:rsidR="00A612E2" w:rsidRPr="00246CC4" w:rsidRDefault="00A612E2" w:rsidP="00742B81">
            <w:pPr>
              <w:jc w:val="center"/>
              <w:rPr>
                <w:noProof/>
                <w:color w:val="006100"/>
                <w:sz w:val="20"/>
                <w:szCs w:val="20"/>
              </w:rPr>
            </w:pPr>
            <w:r>
              <w:rPr>
                <w:noProof/>
                <w:color w:val="006100"/>
                <w:sz w:val="20"/>
              </w:rPr>
              <w:t>Eesmärk</w:t>
            </w:r>
          </w:p>
        </w:tc>
        <w:tc>
          <w:tcPr>
            <w:tcW w:w="4056" w:type="dxa"/>
            <w:tcBorders>
              <w:top w:val="nil"/>
              <w:left w:val="nil"/>
              <w:bottom w:val="single" w:sz="4" w:space="0" w:color="auto"/>
              <w:right w:val="single" w:sz="4" w:space="0" w:color="auto"/>
            </w:tcBorders>
            <w:shd w:val="clear" w:color="auto" w:fill="C6EFCE"/>
            <w:noWrap/>
            <w:vAlign w:val="center"/>
          </w:tcPr>
          <w:p w14:paraId="2303DE50" w14:textId="77777777" w:rsidR="00A612E2" w:rsidRPr="003B127D" w:rsidRDefault="00A612E2" w:rsidP="00742B81">
            <w:pPr>
              <w:jc w:val="center"/>
              <w:rPr>
                <w:noProof/>
                <w:color w:val="006100"/>
                <w:sz w:val="20"/>
                <w:szCs w:val="20"/>
              </w:rPr>
            </w:pPr>
            <w:r>
              <w:rPr>
                <w:noProof/>
                <w:color w:val="006100"/>
                <w:sz w:val="20"/>
              </w:rPr>
              <w:t>Kodumajapidamistes ja tekstiilitööstuses tekkivate ohtlike jäätmefraktsioonide liigiti kogumise jõustumine</w:t>
            </w:r>
          </w:p>
        </w:tc>
      </w:tr>
      <w:tr w:rsidR="00A612E2" w:rsidRPr="00D90835" w14:paraId="3A0607BB"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825DDF0" w14:textId="77777777" w:rsidR="00A612E2" w:rsidRPr="00246CC4" w:rsidRDefault="00A612E2" w:rsidP="00742B81">
            <w:pPr>
              <w:jc w:val="center"/>
              <w:rPr>
                <w:noProof/>
                <w:color w:val="006100"/>
                <w:sz w:val="20"/>
                <w:szCs w:val="20"/>
              </w:rPr>
            </w:pPr>
            <w:r>
              <w:rPr>
                <w:noProof/>
                <w:color w:val="006100"/>
                <w:sz w:val="20"/>
              </w:rPr>
              <w:t>M2C2-40</w:t>
            </w:r>
          </w:p>
        </w:tc>
        <w:tc>
          <w:tcPr>
            <w:tcW w:w="3075" w:type="dxa"/>
            <w:tcBorders>
              <w:top w:val="nil"/>
              <w:left w:val="nil"/>
              <w:bottom w:val="single" w:sz="4" w:space="0" w:color="auto"/>
              <w:right w:val="single" w:sz="4" w:space="0" w:color="auto"/>
            </w:tcBorders>
            <w:shd w:val="clear" w:color="auto" w:fill="C6EFCE"/>
            <w:noWrap/>
            <w:vAlign w:val="center"/>
          </w:tcPr>
          <w:p w14:paraId="7FBFF755" w14:textId="433B1286" w:rsidR="00A612E2" w:rsidRPr="00246CC4" w:rsidRDefault="00A612E2" w:rsidP="008B3890">
            <w:pPr>
              <w:rPr>
                <w:noProof/>
                <w:color w:val="006100"/>
                <w:sz w:val="20"/>
                <w:szCs w:val="20"/>
              </w:rPr>
            </w:pPr>
            <w:r>
              <w:rPr>
                <w:noProof/>
                <w:color w:val="006100"/>
                <w:sz w:val="20"/>
              </w:rPr>
              <w:t>Investeering 5.1. Taastuvenergia ja akud</w:t>
            </w:r>
          </w:p>
        </w:tc>
        <w:tc>
          <w:tcPr>
            <w:tcW w:w="1528" w:type="dxa"/>
            <w:tcBorders>
              <w:top w:val="nil"/>
              <w:left w:val="nil"/>
              <w:bottom w:val="single" w:sz="4" w:space="0" w:color="auto"/>
              <w:right w:val="single" w:sz="4" w:space="0" w:color="auto"/>
            </w:tcBorders>
            <w:shd w:val="clear" w:color="auto" w:fill="C6EFCE"/>
            <w:noWrap/>
            <w:vAlign w:val="center"/>
          </w:tcPr>
          <w:p w14:paraId="02806C19" w14:textId="77777777" w:rsidR="00A612E2" w:rsidRPr="00246CC4" w:rsidRDefault="00A612E2" w:rsidP="00742B81">
            <w:pPr>
              <w:jc w:val="center"/>
              <w:rPr>
                <w:noProof/>
                <w:color w:val="006100"/>
                <w:sz w:val="20"/>
                <w:szCs w:val="20"/>
              </w:rPr>
            </w:pPr>
            <w:r>
              <w:rPr>
                <w:noProof/>
                <w:color w:val="006100"/>
                <w:sz w:val="20"/>
              </w:rPr>
              <w:t>Siht</w:t>
            </w:r>
          </w:p>
        </w:tc>
        <w:tc>
          <w:tcPr>
            <w:tcW w:w="4056" w:type="dxa"/>
            <w:tcBorders>
              <w:top w:val="nil"/>
              <w:left w:val="nil"/>
              <w:bottom w:val="single" w:sz="4" w:space="0" w:color="auto"/>
              <w:right w:val="single" w:sz="4" w:space="0" w:color="auto"/>
            </w:tcBorders>
            <w:shd w:val="clear" w:color="auto" w:fill="C6EFCE"/>
            <w:noWrap/>
            <w:vAlign w:val="center"/>
          </w:tcPr>
          <w:p w14:paraId="13BFA412" w14:textId="77777777" w:rsidR="00A612E2" w:rsidRPr="003B127D" w:rsidRDefault="00A612E2" w:rsidP="00742B81">
            <w:pPr>
              <w:jc w:val="center"/>
              <w:rPr>
                <w:noProof/>
                <w:color w:val="006100"/>
                <w:sz w:val="20"/>
                <w:szCs w:val="20"/>
              </w:rPr>
            </w:pPr>
            <w:r>
              <w:rPr>
                <w:noProof/>
                <w:color w:val="006100"/>
                <w:sz w:val="20"/>
              </w:rPr>
              <w:t>Õiguslikud kokkulepped, mis on sõlmitud lõplike abisaajatega, kes vastavad fotogalvaanilise või tuuletehnoloogia ning patareide ja akude energiatootmisvõimsusele</w:t>
            </w:r>
          </w:p>
        </w:tc>
      </w:tr>
      <w:tr w:rsidR="00A612E2" w:rsidRPr="00D90835" w14:paraId="1F3374F2"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4635C77" w14:textId="77777777" w:rsidR="00A612E2" w:rsidRPr="00246CC4" w:rsidRDefault="00A612E2" w:rsidP="00742B81">
            <w:pPr>
              <w:jc w:val="center"/>
              <w:rPr>
                <w:noProof/>
                <w:color w:val="006100"/>
                <w:sz w:val="20"/>
                <w:szCs w:val="20"/>
              </w:rPr>
            </w:pPr>
            <w:r>
              <w:rPr>
                <w:noProof/>
                <w:color w:val="006100"/>
                <w:sz w:val="20"/>
              </w:rPr>
              <w:t>M2C2-46</w:t>
            </w:r>
          </w:p>
        </w:tc>
        <w:tc>
          <w:tcPr>
            <w:tcW w:w="3075" w:type="dxa"/>
            <w:tcBorders>
              <w:top w:val="nil"/>
              <w:left w:val="nil"/>
              <w:bottom w:val="single" w:sz="4" w:space="0" w:color="auto"/>
              <w:right w:val="single" w:sz="4" w:space="0" w:color="auto"/>
            </w:tcBorders>
            <w:shd w:val="clear" w:color="auto" w:fill="C6EFCE"/>
            <w:noWrap/>
            <w:vAlign w:val="center"/>
          </w:tcPr>
          <w:p w14:paraId="42DEF84E" w14:textId="77777777" w:rsidR="00A612E2" w:rsidRPr="003B127D" w:rsidRDefault="00A612E2" w:rsidP="008B3890">
            <w:pPr>
              <w:rPr>
                <w:noProof/>
                <w:color w:val="006100"/>
                <w:sz w:val="20"/>
                <w:szCs w:val="20"/>
              </w:rPr>
            </w:pPr>
            <w:r>
              <w:rPr>
                <w:noProof/>
                <w:color w:val="006100"/>
                <w:sz w:val="20"/>
              </w:rPr>
              <w:t>Investeering 1.2. Taastuvate energiaallikate edendamine energiakogukondades ja koos omatarbeks toodetud taastuvenergia tarbijatega</w:t>
            </w:r>
          </w:p>
        </w:tc>
        <w:tc>
          <w:tcPr>
            <w:tcW w:w="1528" w:type="dxa"/>
            <w:tcBorders>
              <w:top w:val="nil"/>
              <w:left w:val="nil"/>
              <w:bottom w:val="single" w:sz="4" w:space="0" w:color="auto"/>
              <w:right w:val="single" w:sz="4" w:space="0" w:color="auto"/>
            </w:tcBorders>
            <w:shd w:val="clear" w:color="auto" w:fill="C6EFCE"/>
            <w:noWrap/>
            <w:vAlign w:val="center"/>
          </w:tcPr>
          <w:p w14:paraId="7EE88F37" w14:textId="77777777" w:rsidR="00A612E2" w:rsidRPr="00246CC4" w:rsidRDefault="00A612E2" w:rsidP="00742B81">
            <w:pPr>
              <w:jc w:val="center"/>
              <w:rPr>
                <w:noProof/>
                <w:color w:val="006100"/>
                <w:sz w:val="20"/>
                <w:szCs w:val="20"/>
              </w:rPr>
            </w:pPr>
            <w:r>
              <w:rPr>
                <w:noProof/>
                <w:color w:val="006100"/>
                <w:sz w:val="20"/>
              </w:rPr>
              <w:t>Eesmärk</w:t>
            </w:r>
          </w:p>
        </w:tc>
        <w:tc>
          <w:tcPr>
            <w:tcW w:w="4056" w:type="dxa"/>
            <w:tcBorders>
              <w:top w:val="nil"/>
              <w:left w:val="nil"/>
              <w:bottom w:val="single" w:sz="4" w:space="0" w:color="auto"/>
              <w:right w:val="single" w:sz="4" w:space="0" w:color="auto"/>
            </w:tcBorders>
            <w:shd w:val="clear" w:color="auto" w:fill="C6EFCE"/>
            <w:noWrap/>
            <w:vAlign w:val="center"/>
          </w:tcPr>
          <w:p w14:paraId="3ACB2ABD" w14:textId="77777777" w:rsidR="00A612E2" w:rsidRPr="003B127D" w:rsidRDefault="00A612E2" w:rsidP="00742B81">
            <w:pPr>
              <w:jc w:val="center"/>
              <w:rPr>
                <w:noProof/>
                <w:color w:val="006100"/>
                <w:sz w:val="20"/>
                <w:szCs w:val="20"/>
              </w:rPr>
            </w:pPr>
            <w:r>
              <w:rPr>
                <w:noProof/>
                <w:color w:val="006100"/>
                <w:sz w:val="20"/>
              </w:rPr>
              <w:t>Kõikide riigihankelepingute sõlmimine toetuste andmiseks sekkumiste rakendamiseks energiakogukondades</w:t>
            </w:r>
          </w:p>
        </w:tc>
      </w:tr>
      <w:tr w:rsidR="00A612E2" w:rsidRPr="00246CC4" w14:paraId="7279BB75"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41A2B0E" w14:textId="77777777" w:rsidR="00A612E2" w:rsidRPr="00246CC4" w:rsidRDefault="00A612E2" w:rsidP="00742B81">
            <w:pPr>
              <w:jc w:val="center"/>
              <w:rPr>
                <w:noProof/>
                <w:color w:val="006100"/>
                <w:sz w:val="20"/>
                <w:szCs w:val="20"/>
              </w:rPr>
            </w:pPr>
            <w:r>
              <w:rPr>
                <w:noProof/>
                <w:color w:val="006100"/>
                <w:sz w:val="20"/>
              </w:rPr>
              <w:t>M3C1-23</w:t>
            </w:r>
          </w:p>
        </w:tc>
        <w:tc>
          <w:tcPr>
            <w:tcW w:w="3075" w:type="dxa"/>
            <w:tcBorders>
              <w:top w:val="nil"/>
              <w:left w:val="nil"/>
              <w:bottom w:val="single" w:sz="4" w:space="0" w:color="auto"/>
              <w:right w:val="single" w:sz="4" w:space="0" w:color="auto"/>
            </w:tcBorders>
            <w:shd w:val="clear" w:color="auto" w:fill="C6EFCE"/>
            <w:noWrap/>
            <w:vAlign w:val="center"/>
          </w:tcPr>
          <w:p w14:paraId="4AF261F8" w14:textId="77777777" w:rsidR="00A612E2" w:rsidRPr="00246CC4" w:rsidRDefault="00A612E2" w:rsidP="008B3890">
            <w:pPr>
              <w:rPr>
                <w:noProof/>
                <w:color w:val="006100"/>
                <w:sz w:val="20"/>
                <w:szCs w:val="20"/>
              </w:rPr>
            </w:pPr>
            <w:r>
              <w:rPr>
                <w:noProof/>
                <w:color w:val="006100"/>
                <w:sz w:val="20"/>
              </w:rPr>
              <w:t>Investeering 1.9. Piirkondadevahelised ühendused</w:t>
            </w:r>
          </w:p>
        </w:tc>
        <w:tc>
          <w:tcPr>
            <w:tcW w:w="1528" w:type="dxa"/>
            <w:tcBorders>
              <w:top w:val="nil"/>
              <w:left w:val="nil"/>
              <w:bottom w:val="single" w:sz="4" w:space="0" w:color="auto"/>
              <w:right w:val="single" w:sz="4" w:space="0" w:color="auto"/>
            </w:tcBorders>
            <w:shd w:val="clear" w:color="auto" w:fill="C6EFCE"/>
            <w:noWrap/>
            <w:vAlign w:val="center"/>
          </w:tcPr>
          <w:p w14:paraId="4FA5558A" w14:textId="77777777" w:rsidR="00A612E2" w:rsidRPr="00246CC4" w:rsidRDefault="00A612E2" w:rsidP="00742B81">
            <w:pPr>
              <w:jc w:val="center"/>
              <w:rPr>
                <w:noProof/>
                <w:color w:val="006100"/>
                <w:sz w:val="20"/>
                <w:szCs w:val="20"/>
              </w:rPr>
            </w:pPr>
            <w:r>
              <w:rPr>
                <w:noProof/>
                <w:color w:val="006100"/>
                <w:sz w:val="20"/>
              </w:rPr>
              <w:t>Siht</w:t>
            </w:r>
          </w:p>
        </w:tc>
        <w:tc>
          <w:tcPr>
            <w:tcW w:w="4056" w:type="dxa"/>
            <w:tcBorders>
              <w:top w:val="nil"/>
              <w:left w:val="nil"/>
              <w:bottom w:val="single" w:sz="4" w:space="0" w:color="auto"/>
              <w:right w:val="single" w:sz="4" w:space="0" w:color="auto"/>
            </w:tcBorders>
            <w:shd w:val="clear" w:color="auto" w:fill="C6EFCE"/>
            <w:noWrap/>
            <w:vAlign w:val="center"/>
          </w:tcPr>
          <w:p w14:paraId="14CF5EEF" w14:textId="77777777" w:rsidR="00A612E2" w:rsidRPr="00246CC4" w:rsidRDefault="00A612E2" w:rsidP="00742B81">
            <w:pPr>
              <w:jc w:val="center"/>
              <w:rPr>
                <w:noProof/>
                <w:color w:val="006100"/>
                <w:sz w:val="20"/>
                <w:szCs w:val="20"/>
              </w:rPr>
            </w:pPr>
            <w:r>
              <w:rPr>
                <w:noProof/>
                <w:color w:val="006100"/>
                <w:sz w:val="20"/>
              </w:rPr>
              <w:t>Investeering 1.9. Piirkondadevahelised ühendused</w:t>
            </w:r>
          </w:p>
        </w:tc>
      </w:tr>
      <w:tr w:rsidR="00A612E2" w:rsidRPr="00D90835" w14:paraId="452B5411"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3196007" w14:textId="77777777" w:rsidR="00A612E2" w:rsidRPr="00246CC4" w:rsidRDefault="00A612E2" w:rsidP="00742B81">
            <w:pPr>
              <w:jc w:val="center"/>
              <w:rPr>
                <w:noProof/>
                <w:color w:val="006100"/>
                <w:sz w:val="20"/>
                <w:szCs w:val="20"/>
              </w:rPr>
            </w:pPr>
            <w:r>
              <w:rPr>
                <w:noProof/>
                <w:color w:val="006100"/>
                <w:sz w:val="20"/>
              </w:rPr>
              <w:t>M4C2-13</w:t>
            </w:r>
          </w:p>
        </w:tc>
        <w:tc>
          <w:tcPr>
            <w:tcW w:w="3075" w:type="dxa"/>
            <w:tcBorders>
              <w:top w:val="nil"/>
              <w:left w:val="nil"/>
              <w:bottom w:val="single" w:sz="4" w:space="0" w:color="auto"/>
              <w:right w:val="single" w:sz="4" w:space="0" w:color="auto"/>
            </w:tcBorders>
            <w:shd w:val="clear" w:color="auto" w:fill="C6EFCE"/>
            <w:noWrap/>
            <w:vAlign w:val="center"/>
          </w:tcPr>
          <w:p w14:paraId="3F85D55E" w14:textId="77777777" w:rsidR="00A612E2" w:rsidRPr="003B127D" w:rsidRDefault="00A612E2" w:rsidP="008B3890">
            <w:pPr>
              <w:rPr>
                <w:noProof/>
                <w:color w:val="006100"/>
                <w:sz w:val="20"/>
                <w:szCs w:val="20"/>
              </w:rPr>
            </w:pPr>
            <w:r>
              <w:rPr>
                <w:noProof/>
                <w:color w:val="006100"/>
                <w:sz w:val="20"/>
              </w:rPr>
              <w:t>Investeering 2.3. Tehnosiirdekeskuste tugevdamine ja valdkondlik/territoriaalne laiendamine tööstussektorite kaupa</w:t>
            </w:r>
          </w:p>
        </w:tc>
        <w:tc>
          <w:tcPr>
            <w:tcW w:w="1528" w:type="dxa"/>
            <w:tcBorders>
              <w:top w:val="nil"/>
              <w:left w:val="nil"/>
              <w:bottom w:val="single" w:sz="4" w:space="0" w:color="auto"/>
              <w:right w:val="single" w:sz="4" w:space="0" w:color="auto"/>
            </w:tcBorders>
            <w:shd w:val="clear" w:color="auto" w:fill="C6EFCE"/>
            <w:noWrap/>
            <w:vAlign w:val="center"/>
          </w:tcPr>
          <w:p w14:paraId="0C575569" w14:textId="77777777" w:rsidR="00A612E2" w:rsidRPr="00246CC4" w:rsidRDefault="00A612E2" w:rsidP="00742B81">
            <w:pPr>
              <w:jc w:val="center"/>
              <w:rPr>
                <w:noProof/>
                <w:color w:val="006100"/>
                <w:sz w:val="20"/>
                <w:szCs w:val="20"/>
              </w:rPr>
            </w:pPr>
            <w:r>
              <w:rPr>
                <w:noProof/>
                <w:color w:val="006100"/>
                <w:sz w:val="20"/>
              </w:rPr>
              <w:t>Siht</w:t>
            </w:r>
          </w:p>
        </w:tc>
        <w:tc>
          <w:tcPr>
            <w:tcW w:w="4056" w:type="dxa"/>
            <w:tcBorders>
              <w:top w:val="nil"/>
              <w:left w:val="nil"/>
              <w:bottom w:val="single" w:sz="4" w:space="0" w:color="auto"/>
              <w:right w:val="single" w:sz="4" w:space="0" w:color="auto"/>
            </w:tcBorders>
            <w:shd w:val="clear" w:color="auto" w:fill="C6EFCE"/>
            <w:noWrap/>
            <w:vAlign w:val="center"/>
          </w:tcPr>
          <w:p w14:paraId="0D7463F5" w14:textId="77777777" w:rsidR="00A612E2" w:rsidRPr="003B127D" w:rsidRDefault="00A612E2" w:rsidP="00742B81">
            <w:pPr>
              <w:jc w:val="center"/>
              <w:rPr>
                <w:noProof/>
                <w:color w:val="006100"/>
                <w:sz w:val="20"/>
                <w:szCs w:val="20"/>
              </w:rPr>
            </w:pPr>
            <w:r>
              <w:rPr>
                <w:noProof/>
                <w:color w:val="006100"/>
                <w:sz w:val="20"/>
              </w:rPr>
              <w:t>Loodavate uute keskuste arv</w:t>
            </w:r>
          </w:p>
        </w:tc>
      </w:tr>
      <w:tr w:rsidR="00A612E2" w:rsidRPr="00D90835" w14:paraId="1F34BFA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A44F482" w14:textId="77777777" w:rsidR="00A612E2" w:rsidRPr="00246CC4" w:rsidRDefault="00A612E2" w:rsidP="00742B81">
            <w:pPr>
              <w:jc w:val="center"/>
              <w:rPr>
                <w:noProof/>
                <w:color w:val="006100"/>
                <w:sz w:val="20"/>
                <w:szCs w:val="20"/>
              </w:rPr>
            </w:pPr>
            <w:r>
              <w:rPr>
                <w:noProof/>
                <w:color w:val="006100"/>
                <w:sz w:val="20"/>
              </w:rPr>
              <w:t>M6C1-9</w:t>
            </w:r>
          </w:p>
        </w:tc>
        <w:tc>
          <w:tcPr>
            <w:tcW w:w="3075" w:type="dxa"/>
            <w:tcBorders>
              <w:top w:val="nil"/>
              <w:left w:val="nil"/>
              <w:bottom w:val="single" w:sz="4" w:space="0" w:color="auto"/>
              <w:right w:val="single" w:sz="4" w:space="0" w:color="auto"/>
            </w:tcBorders>
            <w:shd w:val="clear" w:color="auto" w:fill="C6EFCE"/>
            <w:noWrap/>
            <w:vAlign w:val="center"/>
          </w:tcPr>
          <w:p w14:paraId="3264DB05" w14:textId="77777777" w:rsidR="00A612E2" w:rsidRPr="003B127D" w:rsidRDefault="00A612E2" w:rsidP="008B3890">
            <w:pPr>
              <w:rPr>
                <w:noProof/>
                <w:color w:val="006100"/>
                <w:sz w:val="20"/>
                <w:szCs w:val="20"/>
              </w:rPr>
            </w:pPr>
            <w:r>
              <w:rPr>
                <w:noProof/>
                <w:color w:val="006100"/>
                <w:sz w:val="20"/>
              </w:rPr>
              <w:t>Investeering 1.2. Kodu kui esimene ravi- ja telemeditsiinikoht</w:t>
            </w:r>
          </w:p>
        </w:tc>
        <w:tc>
          <w:tcPr>
            <w:tcW w:w="1528" w:type="dxa"/>
            <w:tcBorders>
              <w:top w:val="nil"/>
              <w:left w:val="nil"/>
              <w:bottom w:val="single" w:sz="4" w:space="0" w:color="auto"/>
              <w:right w:val="single" w:sz="4" w:space="0" w:color="auto"/>
            </w:tcBorders>
            <w:shd w:val="clear" w:color="auto" w:fill="C6EFCE"/>
            <w:noWrap/>
            <w:vAlign w:val="center"/>
          </w:tcPr>
          <w:p w14:paraId="623326B5" w14:textId="77777777" w:rsidR="00A612E2" w:rsidRPr="00246CC4" w:rsidRDefault="00A612E2" w:rsidP="00742B81">
            <w:pPr>
              <w:jc w:val="center"/>
              <w:rPr>
                <w:noProof/>
                <w:color w:val="006100"/>
                <w:sz w:val="20"/>
                <w:szCs w:val="20"/>
              </w:rPr>
            </w:pPr>
            <w:r>
              <w:rPr>
                <w:noProof/>
                <w:color w:val="006100"/>
                <w:sz w:val="20"/>
              </w:rPr>
              <w:t>Siht</w:t>
            </w:r>
          </w:p>
        </w:tc>
        <w:tc>
          <w:tcPr>
            <w:tcW w:w="4056" w:type="dxa"/>
            <w:tcBorders>
              <w:top w:val="nil"/>
              <w:left w:val="nil"/>
              <w:bottom w:val="single" w:sz="4" w:space="0" w:color="auto"/>
              <w:right w:val="single" w:sz="4" w:space="0" w:color="auto"/>
            </w:tcBorders>
            <w:shd w:val="clear" w:color="auto" w:fill="C6EFCE"/>
            <w:noWrap/>
            <w:vAlign w:val="center"/>
          </w:tcPr>
          <w:p w14:paraId="5F60CA10" w14:textId="77777777" w:rsidR="00A612E2" w:rsidRPr="003B127D" w:rsidRDefault="00A612E2" w:rsidP="00742B81">
            <w:pPr>
              <w:jc w:val="center"/>
              <w:rPr>
                <w:noProof/>
                <w:color w:val="006100"/>
                <w:sz w:val="20"/>
                <w:szCs w:val="20"/>
              </w:rPr>
            </w:pPr>
            <w:r>
              <w:rPr>
                <w:noProof/>
                <w:color w:val="006100"/>
                <w:sz w:val="20"/>
              </w:rPr>
              <w:t>Telemeditsiinivahendite abil abistatud inimeste arv (kolmas partii)</w:t>
            </w:r>
          </w:p>
        </w:tc>
      </w:tr>
      <w:tr w:rsidR="00A612E2" w:rsidRPr="00D90835" w14:paraId="4E16CB3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5A8219C" w14:textId="77777777" w:rsidR="00A612E2" w:rsidRPr="00246CC4" w:rsidRDefault="00A612E2" w:rsidP="00742B81">
            <w:pPr>
              <w:jc w:val="center"/>
              <w:rPr>
                <w:noProof/>
                <w:color w:val="006100"/>
                <w:sz w:val="20"/>
                <w:szCs w:val="20"/>
              </w:rPr>
            </w:pPr>
            <w:r>
              <w:rPr>
                <w:noProof/>
                <w:color w:val="006100"/>
                <w:sz w:val="20"/>
              </w:rPr>
              <w:t>M6C2-8</w:t>
            </w:r>
          </w:p>
        </w:tc>
        <w:tc>
          <w:tcPr>
            <w:tcW w:w="3075" w:type="dxa"/>
            <w:tcBorders>
              <w:top w:val="nil"/>
              <w:left w:val="nil"/>
              <w:bottom w:val="single" w:sz="4" w:space="0" w:color="auto"/>
              <w:right w:val="single" w:sz="4" w:space="0" w:color="auto"/>
            </w:tcBorders>
            <w:shd w:val="clear" w:color="auto" w:fill="C6EFCE"/>
            <w:noWrap/>
            <w:vAlign w:val="center"/>
          </w:tcPr>
          <w:p w14:paraId="5E1E3842" w14:textId="77777777" w:rsidR="00A612E2" w:rsidRPr="003B127D" w:rsidRDefault="00A612E2" w:rsidP="008B3890">
            <w:pPr>
              <w:rPr>
                <w:noProof/>
                <w:color w:val="006600"/>
                <w:sz w:val="20"/>
                <w:szCs w:val="20"/>
              </w:rPr>
            </w:pPr>
            <w:r>
              <w:rPr>
                <w:noProof/>
                <w:color w:val="006600"/>
                <w:sz w:val="20"/>
              </w:rPr>
              <w:t>Investeering 1.1. Haiglate tehniliste seadmete digitaalne ajakohastamine.</w:t>
            </w:r>
          </w:p>
        </w:tc>
        <w:tc>
          <w:tcPr>
            <w:tcW w:w="1528" w:type="dxa"/>
            <w:tcBorders>
              <w:top w:val="nil"/>
              <w:left w:val="nil"/>
              <w:bottom w:val="single" w:sz="4" w:space="0" w:color="auto"/>
              <w:right w:val="single" w:sz="4" w:space="0" w:color="auto"/>
            </w:tcBorders>
            <w:shd w:val="clear" w:color="auto" w:fill="C6EFCE"/>
            <w:noWrap/>
            <w:vAlign w:val="center"/>
          </w:tcPr>
          <w:p w14:paraId="48612CF8" w14:textId="77777777" w:rsidR="00A612E2" w:rsidRPr="00246CC4" w:rsidRDefault="00A612E2" w:rsidP="00742B81">
            <w:pPr>
              <w:jc w:val="center"/>
              <w:rPr>
                <w:noProof/>
                <w:color w:val="006600"/>
                <w:sz w:val="20"/>
                <w:szCs w:val="20"/>
              </w:rPr>
            </w:pPr>
            <w:r>
              <w:rPr>
                <w:noProof/>
                <w:color w:val="006600"/>
                <w:sz w:val="20"/>
              </w:rPr>
              <w:t>Siht</w:t>
            </w:r>
          </w:p>
        </w:tc>
        <w:tc>
          <w:tcPr>
            <w:tcW w:w="4056" w:type="dxa"/>
            <w:tcBorders>
              <w:top w:val="nil"/>
              <w:left w:val="nil"/>
              <w:bottom w:val="single" w:sz="4" w:space="0" w:color="auto"/>
              <w:right w:val="single" w:sz="4" w:space="0" w:color="auto"/>
            </w:tcBorders>
            <w:shd w:val="clear" w:color="auto" w:fill="C6EFCE"/>
            <w:noWrap/>
            <w:vAlign w:val="center"/>
          </w:tcPr>
          <w:p w14:paraId="5306FCA3" w14:textId="77777777" w:rsidR="00A612E2" w:rsidRPr="003B127D" w:rsidRDefault="00A612E2" w:rsidP="00742B81">
            <w:pPr>
              <w:jc w:val="center"/>
              <w:rPr>
                <w:noProof/>
                <w:color w:val="006600"/>
                <w:sz w:val="20"/>
                <w:szCs w:val="20"/>
              </w:rPr>
            </w:pPr>
            <w:r>
              <w:rPr>
                <w:noProof/>
                <w:color w:val="006600"/>
                <w:sz w:val="20"/>
              </w:rPr>
              <w:t>Haiglad digiteeritakse (DEA – hädaabi- ja vastuvõtuosakonnad – I ja II tasand)</w:t>
            </w:r>
          </w:p>
        </w:tc>
      </w:tr>
      <w:tr w:rsidR="00A612E2" w:rsidRPr="00D90835" w14:paraId="3B0E46D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B7DBF56" w14:textId="77777777" w:rsidR="00A612E2" w:rsidRPr="00246CC4" w:rsidRDefault="00A612E2" w:rsidP="00742B81">
            <w:pPr>
              <w:jc w:val="center"/>
              <w:rPr>
                <w:noProof/>
                <w:color w:val="006100"/>
                <w:sz w:val="20"/>
                <w:szCs w:val="20"/>
              </w:rPr>
            </w:pPr>
            <w:r>
              <w:rPr>
                <w:noProof/>
                <w:color w:val="006100"/>
                <w:sz w:val="20"/>
              </w:rPr>
              <w:t>M6C2-11</w:t>
            </w:r>
          </w:p>
        </w:tc>
        <w:tc>
          <w:tcPr>
            <w:tcW w:w="3075" w:type="dxa"/>
            <w:tcBorders>
              <w:top w:val="nil"/>
              <w:left w:val="nil"/>
              <w:bottom w:val="single" w:sz="4" w:space="0" w:color="auto"/>
              <w:right w:val="single" w:sz="4" w:space="0" w:color="auto"/>
            </w:tcBorders>
            <w:shd w:val="clear" w:color="auto" w:fill="C6EFCE"/>
            <w:noWrap/>
            <w:vAlign w:val="center"/>
          </w:tcPr>
          <w:p w14:paraId="02222A5A" w14:textId="77777777" w:rsidR="00A612E2" w:rsidRPr="003B127D" w:rsidRDefault="00A612E2" w:rsidP="008B3890">
            <w:pPr>
              <w:rPr>
                <w:noProof/>
                <w:color w:val="006600"/>
                <w:sz w:val="20"/>
                <w:szCs w:val="20"/>
              </w:rPr>
            </w:pPr>
            <w:r>
              <w:rPr>
                <w:noProof/>
                <w:color w:val="006600"/>
                <w:sz w:val="20"/>
              </w:rPr>
              <w:t>Investeering 1.3. Tehnoloogilise infrastruktuuri ning andmete kogumise, töötlemise, analüüsimise ja modelleerimise vahendite tugevdamine.</w:t>
            </w:r>
          </w:p>
        </w:tc>
        <w:tc>
          <w:tcPr>
            <w:tcW w:w="1528" w:type="dxa"/>
            <w:tcBorders>
              <w:top w:val="nil"/>
              <w:left w:val="nil"/>
              <w:bottom w:val="single" w:sz="4" w:space="0" w:color="auto"/>
              <w:right w:val="single" w:sz="4" w:space="0" w:color="auto"/>
            </w:tcBorders>
            <w:shd w:val="clear" w:color="auto" w:fill="C6EFCE"/>
            <w:noWrap/>
            <w:vAlign w:val="center"/>
          </w:tcPr>
          <w:p w14:paraId="73BF6595" w14:textId="77777777" w:rsidR="00A612E2" w:rsidRPr="00246CC4" w:rsidRDefault="00A612E2" w:rsidP="00742B81">
            <w:pPr>
              <w:jc w:val="center"/>
              <w:rPr>
                <w:noProof/>
                <w:color w:val="006600"/>
                <w:sz w:val="20"/>
                <w:szCs w:val="20"/>
              </w:rPr>
            </w:pPr>
            <w:r>
              <w:rPr>
                <w:noProof/>
                <w:color w:val="006600"/>
                <w:sz w:val="20"/>
              </w:rPr>
              <w:t>Siht</w:t>
            </w:r>
          </w:p>
        </w:tc>
        <w:tc>
          <w:tcPr>
            <w:tcW w:w="4056" w:type="dxa"/>
            <w:tcBorders>
              <w:top w:val="nil"/>
              <w:left w:val="nil"/>
              <w:bottom w:val="single" w:sz="4" w:space="0" w:color="auto"/>
              <w:right w:val="single" w:sz="4" w:space="0" w:color="auto"/>
            </w:tcBorders>
            <w:shd w:val="clear" w:color="auto" w:fill="C6EFCE"/>
            <w:noWrap/>
            <w:vAlign w:val="center"/>
          </w:tcPr>
          <w:p w14:paraId="10A8E963" w14:textId="77777777" w:rsidR="00A612E2" w:rsidRPr="003B127D" w:rsidRDefault="00A612E2" w:rsidP="00742B81">
            <w:pPr>
              <w:jc w:val="center"/>
              <w:rPr>
                <w:noProof/>
                <w:color w:val="006600"/>
                <w:sz w:val="20"/>
                <w:szCs w:val="20"/>
              </w:rPr>
            </w:pPr>
            <w:r>
              <w:rPr>
                <w:noProof/>
                <w:color w:val="006600"/>
                <w:sz w:val="20"/>
              </w:rPr>
              <w:t>E-tervisekaarti edastavad üldarstid.</w:t>
            </w:r>
          </w:p>
        </w:tc>
      </w:tr>
      <w:tr w:rsidR="00A612E2" w:rsidRPr="00D90835" w14:paraId="67A4E2DB"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DC18C90" w14:textId="77777777" w:rsidR="00A612E2" w:rsidRPr="00246CC4" w:rsidRDefault="00A612E2" w:rsidP="00742B81">
            <w:pPr>
              <w:jc w:val="center"/>
              <w:rPr>
                <w:noProof/>
                <w:color w:val="006100"/>
                <w:sz w:val="20"/>
                <w:szCs w:val="20"/>
              </w:rPr>
            </w:pPr>
            <w:r>
              <w:rPr>
                <w:noProof/>
                <w:color w:val="006100"/>
                <w:sz w:val="20"/>
              </w:rPr>
              <w:t>M1C3-33</w:t>
            </w:r>
          </w:p>
        </w:tc>
        <w:tc>
          <w:tcPr>
            <w:tcW w:w="3075" w:type="dxa"/>
            <w:tcBorders>
              <w:top w:val="nil"/>
              <w:left w:val="nil"/>
              <w:bottom w:val="single" w:sz="4" w:space="0" w:color="auto"/>
              <w:right w:val="single" w:sz="4" w:space="0" w:color="auto"/>
            </w:tcBorders>
            <w:shd w:val="clear" w:color="auto" w:fill="C6EFCE"/>
            <w:noWrap/>
            <w:vAlign w:val="center"/>
          </w:tcPr>
          <w:p w14:paraId="753A48F3" w14:textId="77777777" w:rsidR="00A612E2" w:rsidRPr="003B127D" w:rsidRDefault="00A612E2" w:rsidP="008B3890">
            <w:pPr>
              <w:rPr>
                <w:noProof/>
                <w:color w:val="006100"/>
                <w:sz w:val="20"/>
                <w:szCs w:val="20"/>
              </w:rPr>
            </w:pPr>
            <w:r>
              <w:rPr>
                <w:noProof/>
                <w:color w:val="006100"/>
                <w:sz w:val="20"/>
              </w:rPr>
              <w:t>Investeering 4.2. Turismiettevõtte konkurentsivõime fondid</w:t>
            </w:r>
          </w:p>
        </w:tc>
        <w:tc>
          <w:tcPr>
            <w:tcW w:w="1528" w:type="dxa"/>
            <w:tcBorders>
              <w:top w:val="nil"/>
              <w:left w:val="nil"/>
              <w:bottom w:val="single" w:sz="4" w:space="0" w:color="auto"/>
              <w:right w:val="single" w:sz="4" w:space="0" w:color="auto"/>
            </w:tcBorders>
            <w:shd w:val="clear" w:color="auto" w:fill="C6EFCE"/>
            <w:noWrap/>
            <w:vAlign w:val="center"/>
          </w:tcPr>
          <w:p w14:paraId="580D8DE8" w14:textId="77777777" w:rsidR="00A612E2" w:rsidRPr="00246CC4" w:rsidRDefault="00A612E2" w:rsidP="00742B81">
            <w:pPr>
              <w:jc w:val="center"/>
              <w:rPr>
                <w:noProof/>
                <w:color w:val="006100"/>
                <w:sz w:val="20"/>
                <w:szCs w:val="20"/>
              </w:rPr>
            </w:pPr>
            <w:r>
              <w:rPr>
                <w:noProof/>
                <w:color w:val="006100"/>
                <w:sz w:val="20"/>
              </w:rPr>
              <w:t>Siht</w:t>
            </w:r>
          </w:p>
        </w:tc>
        <w:tc>
          <w:tcPr>
            <w:tcW w:w="4056" w:type="dxa"/>
            <w:tcBorders>
              <w:top w:val="nil"/>
              <w:left w:val="nil"/>
              <w:bottom w:val="single" w:sz="4" w:space="0" w:color="auto"/>
              <w:right w:val="single" w:sz="4" w:space="0" w:color="auto"/>
            </w:tcBorders>
            <w:shd w:val="clear" w:color="auto" w:fill="C6EFCE"/>
            <w:noWrap/>
            <w:vAlign w:val="center"/>
          </w:tcPr>
          <w:p w14:paraId="1B09F266" w14:textId="77777777" w:rsidR="00A612E2" w:rsidRPr="003B127D" w:rsidRDefault="00A612E2" w:rsidP="00742B81">
            <w:pPr>
              <w:jc w:val="center"/>
              <w:rPr>
                <w:noProof/>
                <w:color w:val="006100"/>
                <w:sz w:val="20"/>
                <w:szCs w:val="20"/>
              </w:rPr>
            </w:pPr>
            <w:r>
              <w:rPr>
                <w:noProof/>
                <w:color w:val="006100"/>
                <w:sz w:val="20"/>
              </w:rPr>
              <w:t xml:space="preserve">Fondo Rotative kaudu toetatavate ettevõtete arv (esimene partii)  </w:t>
            </w:r>
          </w:p>
        </w:tc>
      </w:tr>
      <w:tr w:rsidR="00A612E2" w:rsidRPr="00246CC4" w14:paraId="472E7E09" w14:textId="77777777" w:rsidTr="00742B81">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3B9FE76A" w14:textId="77777777" w:rsidR="00A612E2" w:rsidRPr="003B127D" w:rsidRDefault="00A612E2" w:rsidP="00742B81">
            <w:pPr>
              <w:jc w:val="center"/>
              <w:rPr>
                <w:noProof/>
                <w:color w:val="006100"/>
                <w:sz w:val="20"/>
                <w:szCs w:val="20"/>
                <w:lang w:val="en-IE"/>
              </w:rPr>
            </w:pPr>
          </w:p>
        </w:tc>
        <w:tc>
          <w:tcPr>
            <w:tcW w:w="3075" w:type="dxa"/>
            <w:tcBorders>
              <w:top w:val="single" w:sz="4" w:space="0" w:color="auto"/>
              <w:left w:val="nil"/>
              <w:bottom w:val="single" w:sz="4" w:space="0" w:color="auto"/>
              <w:right w:val="single" w:sz="4" w:space="0" w:color="auto"/>
            </w:tcBorders>
            <w:shd w:val="clear" w:color="auto" w:fill="C6EFCE"/>
            <w:noWrap/>
            <w:vAlign w:val="bottom"/>
          </w:tcPr>
          <w:p w14:paraId="007DB104" w14:textId="77777777" w:rsidR="00A612E2" w:rsidRPr="003B127D" w:rsidRDefault="00A612E2" w:rsidP="008B3890">
            <w:pPr>
              <w:rPr>
                <w:noProof/>
                <w:color w:val="006100"/>
                <w:sz w:val="20"/>
                <w:szCs w:val="20"/>
                <w:lang w:val="en-IE"/>
              </w:rPr>
            </w:pPr>
          </w:p>
        </w:tc>
        <w:tc>
          <w:tcPr>
            <w:tcW w:w="1528" w:type="dxa"/>
            <w:tcBorders>
              <w:top w:val="single" w:sz="4" w:space="0" w:color="auto"/>
              <w:left w:val="nil"/>
              <w:bottom w:val="single" w:sz="4" w:space="0" w:color="auto"/>
              <w:right w:val="single" w:sz="4" w:space="0" w:color="auto"/>
            </w:tcBorders>
            <w:shd w:val="clear" w:color="auto" w:fill="C6EFCE"/>
            <w:noWrap/>
            <w:vAlign w:val="bottom"/>
          </w:tcPr>
          <w:p w14:paraId="70FCA251" w14:textId="77777777" w:rsidR="00A612E2" w:rsidRPr="00246CC4" w:rsidRDefault="00A612E2" w:rsidP="00742B81">
            <w:pPr>
              <w:rPr>
                <w:noProof/>
                <w:color w:val="006100"/>
                <w:sz w:val="20"/>
                <w:szCs w:val="20"/>
              </w:rPr>
            </w:pPr>
            <w:r>
              <w:rPr>
                <w:noProof/>
                <w:color w:val="006100"/>
                <w:sz w:val="20"/>
              </w:rPr>
              <w:t>Osamakse summa</w:t>
            </w:r>
          </w:p>
        </w:tc>
        <w:tc>
          <w:tcPr>
            <w:tcW w:w="4056" w:type="dxa"/>
            <w:tcBorders>
              <w:top w:val="single" w:sz="4" w:space="0" w:color="auto"/>
              <w:left w:val="nil"/>
              <w:bottom w:val="single" w:sz="4" w:space="0" w:color="auto"/>
              <w:right w:val="single" w:sz="4" w:space="0" w:color="auto"/>
            </w:tcBorders>
            <w:shd w:val="clear" w:color="auto" w:fill="C6EFCE"/>
            <w:noWrap/>
            <w:vAlign w:val="bottom"/>
          </w:tcPr>
          <w:p w14:paraId="26EC02A7" w14:textId="77777777" w:rsidR="00A612E2" w:rsidRPr="00246CC4" w:rsidRDefault="00A612E2" w:rsidP="00742B81">
            <w:pPr>
              <w:rPr>
                <w:noProof/>
                <w:color w:val="006100"/>
                <w:sz w:val="20"/>
                <w:szCs w:val="20"/>
              </w:rPr>
            </w:pPr>
            <w:r>
              <w:rPr>
                <w:noProof/>
                <w:color w:val="006100"/>
                <w:sz w:val="20"/>
              </w:rPr>
              <w:t>7 118 464 154 eurot</w:t>
            </w:r>
          </w:p>
        </w:tc>
      </w:tr>
    </w:tbl>
    <w:p w14:paraId="5DA5F00A" w14:textId="77777777" w:rsidR="00A612E2" w:rsidRPr="00246CC4" w:rsidRDefault="00A612E2" w:rsidP="00A612E2">
      <w:pPr>
        <w:numPr>
          <w:ilvl w:val="1"/>
          <w:numId w:val="6"/>
        </w:numPr>
        <w:spacing w:before="120" w:after="120"/>
        <w:jc w:val="both"/>
        <w:rPr>
          <w:rFonts w:eastAsia="Calibri"/>
          <w:noProof/>
        </w:rPr>
      </w:pPr>
      <w:r>
        <w:rPr>
          <w:noProof/>
        </w:rPr>
        <w:t>Kümnes osamakse (laenutoetus):</w:t>
      </w:r>
    </w:p>
    <w:tbl>
      <w:tblPr>
        <w:tblW w:w="10092" w:type="dxa"/>
        <w:tblInd w:w="113" w:type="dxa"/>
        <w:tblLook w:val="04A0" w:firstRow="1" w:lastRow="0" w:firstColumn="1" w:lastColumn="0" w:noHBand="0" w:noVBand="1"/>
      </w:tblPr>
      <w:tblGrid>
        <w:gridCol w:w="1827"/>
        <w:gridCol w:w="3090"/>
        <w:gridCol w:w="1498"/>
        <w:gridCol w:w="4091"/>
      </w:tblGrid>
      <w:tr w:rsidR="00A612E2" w:rsidRPr="00246CC4" w14:paraId="27A68440" w14:textId="77777777" w:rsidTr="00B40E1A">
        <w:trPr>
          <w:trHeight w:val="906"/>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1F6A87E" w14:textId="77777777" w:rsidR="00A612E2" w:rsidRPr="00246CC4" w:rsidRDefault="00A612E2" w:rsidP="00742B81">
            <w:pPr>
              <w:jc w:val="center"/>
              <w:rPr>
                <w:b/>
                <w:bCs/>
                <w:noProof/>
                <w:sz w:val="20"/>
                <w:szCs w:val="20"/>
              </w:rPr>
            </w:pPr>
            <w:r>
              <w:rPr>
                <w:b/>
                <w:noProof/>
                <w:sz w:val="20"/>
              </w:rPr>
              <w:t>Järjekorranumber</w:t>
            </w:r>
          </w:p>
        </w:tc>
        <w:tc>
          <w:tcPr>
            <w:tcW w:w="309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EAAC317" w14:textId="77777777" w:rsidR="00A612E2" w:rsidRPr="003B127D" w:rsidRDefault="00A612E2" w:rsidP="008B3890">
            <w:pPr>
              <w:jc w:val="center"/>
              <w:rPr>
                <w:b/>
                <w:bCs/>
                <w:noProof/>
                <w:sz w:val="20"/>
                <w:szCs w:val="20"/>
              </w:rPr>
            </w:pPr>
            <w:r>
              <w:rPr>
                <w:b/>
                <w:noProof/>
                <w:sz w:val="20"/>
              </w:rPr>
              <w:t>Seotud meede (reform või investeering)</w:t>
            </w:r>
          </w:p>
        </w:tc>
        <w:tc>
          <w:tcPr>
            <w:tcW w:w="149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80B109C" w14:textId="77777777" w:rsidR="00A612E2" w:rsidRPr="00246CC4" w:rsidRDefault="00A612E2" w:rsidP="00742B81">
            <w:pPr>
              <w:jc w:val="center"/>
              <w:rPr>
                <w:b/>
                <w:bCs/>
                <w:noProof/>
                <w:sz w:val="20"/>
                <w:szCs w:val="20"/>
              </w:rPr>
            </w:pPr>
            <w:r>
              <w:rPr>
                <w:b/>
                <w:noProof/>
                <w:sz w:val="20"/>
              </w:rPr>
              <w:t>Eesmärk / siht</w:t>
            </w:r>
          </w:p>
        </w:tc>
        <w:tc>
          <w:tcPr>
            <w:tcW w:w="409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B8926EA" w14:textId="77777777" w:rsidR="00A612E2" w:rsidRPr="00246CC4" w:rsidRDefault="00A612E2" w:rsidP="00742B81">
            <w:pPr>
              <w:jc w:val="center"/>
              <w:rPr>
                <w:b/>
                <w:bCs/>
                <w:noProof/>
                <w:sz w:val="20"/>
                <w:szCs w:val="20"/>
              </w:rPr>
            </w:pPr>
            <w:r>
              <w:rPr>
                <w:b/>
                <w:noProof/>
                <w:sz w:val="20"/>
              </w:rPr>
              <w:t>Nimi</w:t>
            </w:r>
          </w:p>
        </w:tc>
      </w:tr>
      <w:tr w:rsidR="00A612E2" w:rsidRPr="00246CC4" w14:paraId="3686F994" w14:textId="77777777" w:rsidTr="00B40E1A">
        <w:trPr>
          <w:trHeight w:val="517"/>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A2C494B" w14:textId="77777777" w:rsidR="00A612E2" w:rsidRPr="00246CC4" w:rsidRDefault="00A612E2" w:rsidP="00742B81">
            <w:pPr>
              <w:rPr>
                <w:b/>
                <w:bCs/>
                <w:noProof/>
              </w:rPr>
            </w:pPr>
          </w:p>
        </w:tc>
        <w:tc>
          <w:tcPr>
            <w:tcW w:w="3090" w:type="dxa"/>
            <w:vMerge/>
            <w:tcBorders>
              <w:top w:val="single" w:sz="4" w:space="0" w:color="auto"/>
              <w:left w:val="single" w:sz="4" w:space="0" w:color="auto"/>
              <w:bottom w:val="single" w:sz="4" w:space="0" w:color="auto"/>
              <w:right w:val="single" w:sz="4" w:space="0" w:color="auto"/>
            </w:tcBorders>
            <w:vAlign w:val="center"/>
            <w:hideMark/>
          </w:tcPr>
          <w:p w14:paraId="50048502" w14:textId="77777777" w:rsidR="00A612E2" w:rsidRPr="00246CC4" w:rsidRDefault="00A612E2" w:rsidP="008B3890">
            <w:pPr>
              <w:rPr>
                <w:b/>
                <w:bCs/>
                <w:noProof/>
              </w:rPr>
            </w:pPr>
          </w:p>
        </w:tc>
        <w:tc>
          <w:tcPr>
            <w:tcW w:w="1498" w:type="dxa"/>
            <w:vMerge/>
            <w:tcBorders>
              <w:top w:val="single" w:sz="4" w:space="0" w:color="auto"/>
              <w:left w:val="single" w:sz="4" w:space="0" w:color="auto"/>
              <w:bottom w:val="single" w:sz="4" w:space="0" w:color="auto"/>
              <w:right w:val="single" w:sz="4" w:space="0" w:color="auto"/>
            </w:tcBorders>
            <w:vAlign w:val="center"/>
            <w:hideMark/>
          </w:tcPr>
          <w:p w14:paraId="586F717F" w14:textId="77777777" w:rsidR="00A612E2" w:rsidRPr="00246CC4" w:rsidRDefault="00A612E2" w:rsidP="00742B81">
            <w:pPr>
              <w:rPr>
                <w:b/>
                <w:bCs/>
                <w:noProof/>
              </w:rPr>
            </w:pPr>
          </w:p>
        </w:tc>
        <w:tc>
          <w:tcPr>
            <w:tcW w:w="4091" w:type="dxa"/>
            <w:vMerge/>
            <w:tcBorders>
              <w:top w:val="single" w:sz="4" w:space="0" w:color="auto"/>
              <w:left w:val="single" w:sz="4" w:space="0" w:color="auto"/>
              <w:bottom w:val="single" w:sz="4" w:space="0" w:color="auto"/>
              <w:right w:val="single" w:sz="4" w:space="0" w:color="auto"/>
            </w:tcBorders>
            <w:vAlign w:val="center"/>
            <w:hideMark/>
          </w:tcPr>
          <w:p w14:paraId="4661F1D3" w14:textId="77777777" w:rsidR="00A612E2" w:rsidRPr="00246CC4" w:rsidRDefault="00A612E2" w:rsidP="00742B81">
            <w:pPr>
              <w:rPr>
                <w:b/>
                <w:bCs/>
                <w:noProof/>
              </w:rPr>
            </w:pPr>
          </w:p>
        </w:tc>
      </w:tr>
      <w:tr w:rsidR="00A612E2" w:rsidRPr="00D90835" w14:paraId="1F11D850" w14:textId="77777777" w:rsidTr="00B40E1A">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3217901" w14:textId="77777777" w:rsidR="00A612E2" w:rsidRPr="00246CC4" w:rsidRDefault="00A612E2" w:rsidP="00742B81">
            <w:pPr>
              <w:jc w:val="center"/>
              <w:rPr>
                <w:noProof/>
                <w:color w:val="006100"/>
                <w:sz w:val="20"/>
                <w:szCs w:val="20"/>
              </w:rPr>
            </w:pPr>
            <w:r>
              <w:rPr>
                <w:noProof/>
                <w:color w:val="006100"/>
                <w:sz w:val="20"/>
              </w:rPr>
              <w:t>M1C1-146</w:t>
            </w:r>
          </w:p>
        </w:tc>
        <w:tc>
          <w:tcPr>
            <w:tcW w:w="3090" w:type="dxa"/>
            <w:tcBorders>
              <w:top w:val="single" w:sz="4" w:space="0" w:color="auto"/>
              <w:left w:val="nil"/>
              <w:bottom w:val="single" w:sz="4" w:space="0" w:color="auto"/>
              <w:right w:val="single" w:sz="4" w:space="0" w:color="auto"/>
            </w:tcBorders>
            <w:shd w:val="clear" w:color="auto" w:fill="C6EFCE"/>
            <w:noWrap/>
            <w:vAlign w:val="center"/>
          </w:tcPr>
          <w:p w14:paraId="662C1E30" w14:textId="77777777" w:rsidR="00A612E2" w:rsidRPr="003B127D" w:rsidRDefault="00A612E2" w:rsidP="008B3890">
            <w:pPr>
              <w:rPr>
                <w:noProof/>
                <w:color w:val="006100"/>
                <w:sz w:val="20"/>
                <w:szCs w:val="20"/>
              </w:rPr>
            </w:pPr>
            <w:r>
              <w:rPr>
                <w:noProof/>
                <w:color w:val="006100"/>
                <w:sz w:val="20"/>
              </w:rPr>
              <w:t>Investeering 1.4.4. Riiklike digitaalse identiteedi platvormide (SPID, CIE) ja riikliku registri (ANPR) kasutuselevõtmine</w:t>
            </w:r>
          </w:p>
        </w:tc>
        <w:tc>
          <w:tcPr>
            <w:tcW w:w="1498" w:type="dxa"/>
            <w:tcBorders>
              <w:top w:val="single" w:sz="4" w:space="0" w:color="auto"/>
              <w:left w:val="nil"/>
              <w:bottom w:val="single" w:sz="4" w:space="0" w:color="auto"/>
              <w:right w:val="single" w:sz="4" w:space="0" w:color="auto"/>
            </w:tcBorders>
            <w:shd w:val="clear" w:color="auto" w:fill="C6EFCE"/>
            <w:noWrap/>
            <w:vAlign w:val="center"/>
          </w:tcPr>
          <w:p w14:paraId="458EF6F9"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single" w:sz="4" w:space="0" w:color="auto"/>
              <w:left w:val="nil"/>
              <w:bottom w:val="single" w:sz="4" w:space="0" w:color="auto"/>
              <w:right w:val="single" w:sz="4" w:space="0" w:color="auto"/>
            </w:tcBorders>
            <w:shd w:val="clear" w:color="auto" w:fill="C6EFCE"/>
            <w:noWrap/>
            <w:vAlign w:val="center"/>
          </w:tcPr>
          <w:p w14:paraId="18A578A4" w14:textId="77777777" w:rsidR="00A612E2" w:rsidRPr="003B127D" w:rsidRDefault="00A612E2" w:rsidP="00742B81">
            <w:pPr>
              <w:jc w:val="center"/>
              <w:rPr>
                <w:noProof/>
                <w:color w:val="006100"/>
                <w:sz w:val="20"/>
                <w:szCs w:val="20"/>
              </w:rPr>
            </w:pPr>
            <w:r>
              <w:rPr>
                <w:noProof/>
                <w:color w:val="006100"/>
                <w:sz w:val="20"/>
              </w:rPr>
              <w:t>Riiklikud digitaalse identiteedi platvormid (SPID, CIE) ja riiklik register (ANPR)</w:t>
            </w:r>
          </w:p>
        </w:tc>
      </w:tr>
      <w:tr w:rsidR="00A612E2" w:rsidRPr="00D90835" w14:paraId="76463762"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AA43967" w14:textId="77777777" w:rsidR="00A612E2" w:rsidRPr="00246CC4" w:rsidRDefault="00A612E2" w:rsidP="00742B81">
            <w:pPr>
              <w:jc w:val="center"/>
              <w:rPr>
                <w:noProof/>
                <w:color w:val="006100"/>
                <w:sz w:val="20"/>
                <w:szCs w:val="20"/>
              </w:rPr>
            </w:pPr>
            <w:r>
              <w:rPr>
                <w:noProof/>
                <w:color w:val="006100"/>
                <w:sz w:val="20"/>
              </w:rPr>
              <w:t>M2C3-6</w:t>
            </w:r>
          </w:p>
        </w:tc>
        <w:tc>
          <w:tcPr>
            <w:tcW w:w="3090" w:type="dxa"/>
            <w:tcBorders>
              <w:top w:val="nil"/>
              <w:left w:val="nil"/>
              <w:bottom w:val="single" w:sz="4" w:space="0" w:color="auto"/>
              <w:right w:val="single" w:sz="4" w:space="0" w:color="auto"/>
            </w:tcBorders>
            <w:shd w:val="clear" w:color="auto" w:fill="C6EFCE"/>
            <w:noWrap/>
            <w:vAlign w:val="center"/>
          </w:tcPr>
          <w:p w14:paraId="593ACAB5" w14:textId="77777777" w:rsidR="00A612E2" w:rsidRPr="003B127D" w:rsidRDefault="00A612E2" w:rsidP="008B3890">
            <w:pPr>
              <w:rPr>
                <w:noProof/>
                <w:color w:val="006100"/>
                <w:sz w:val="20"/>
                <w:szCs w:val="20"/>
              </w:rPr>
            </w:pPr>
            <w:r>
              <w:rPr>
                <w:noProof/>
                <w:color w:val="006100"/>
                <w:sz w:val="20"/>
              </w:rPr>
              <w:t>Investeering 1.1. Uute koolide ehitamine hoone asendamise teel</w:t>
            </w:r>
          </w:p>
        </w:tc>
        <w:tc>
          <w:tcPr>
            <w:tcW w:w="1498" w:type="dxa"/>
            <w:tcBorders>
              <w:top w:val="nil"/>
              <w:left w:val="nil"/>
              <w:bottom w:val="single" w:sz="4" w:space="0" w:color="auto"/>
              <w:right w:val="single" w:sz="4" w:space="0" w:color="auto"/>
            </w:tcBorders>
            <w:shd w:val="clear" w:color="auto" w:fill="C6EFCE"/>
            <w:noWrap/>
            <w:vAlign w:val="center"/>
          </w:tcPr>
          <w:p w14:paraId="3F7F54A0"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12DE53EC" w14:textId="6F08AD6C" w:rsidR="00A612E2" w:rsidRPr="003B127D" w:rsidRDefault="00A612E2" w:rsidP="00742B81">
            <w:pPr>
              <w:jc w:val="center"/>
              <w:rPr>
                <w:noProof/>
                <w:color w:val="006100"/>
                <w:sz w:val="20"/>
                <w:szCs w:val="20"/>
              </w:rPr>
            </w:pPr>
            <w:r>
              <w:rPr>
                <w:noProof/>
                <w:color w:val="006100"/>
                <w:sz w:val="20"/>
              </w:rPr>
              <w:t>Hoone asendamise teel ehitatakse vähemalt 400 000 uut kooli SQMT.</w:t>
            </w:r>
          </w:p>
        </w:tc>
      </w:tr>
      <w:tr w:rsidR="00A612E2" w:rsidRPr="00D90835" w14:paraId="2D87811F"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EC7A2B5" w14:textId="77777777" w:rsidR="00A612E2" w:rsidRPr="00246CC4" w:rsidRDefault="00A612E2" w:rsidP="00742B81">
            <w:pPr>
              <w:jc w:val="center"/>
              <w:rPr>
                <w:noProof/>
                <w:color w:val="006100"/>
                <w:sz w:val="20"/>
                <w:szCs w:val="20"/>
              </w:rPr>
            </w:pPr>
            <w:r>
              <w:rPr>
                <w:noProof/>
                <w:color w:val="006100"/>
                <w:sz w:val="20"/>
              </w:rPr>
              <w:t>M2C3-8</w:t>
            </w:r>
          </w:p>
        </w:tc>
        <w:tc>
          <w:tcPr>
            <w:tcW w:w="3090" w:type="dxa"/>
            <w:tcBorders>
              <w:top w:val="nil"/>
              <w:left w:val="nil"/>
              <w:bottom w:val="single" w:sz="4" w:space="0" w:color="auto"/>
              <w:right w:val="single" w:sz="4" w:space="0" w:color="auto"/>
            </w:tcBorders>
            <w:shd w:val="clear" w:color="auto" w:fill="C6EFCE"/>
            <w:noWrap/>
            <w:vAlign w:val="center"/>
          </w:tcPr>
          <w:p w14:paraId="4BBA008D" w14:textId="77777777" w:rsidR="00A612E2" w:rsidRPr="003B127D" w:rsidRDefault="00A612E2" w:rsidP="008B3890">
            <w:pPr>
              <w:rPr>
                <w:noProof/>
                <w:color w:val="006100"/>
                <w:sz w:val="20"/>
                <w:szCs w:val="20"/>
              </w:rPr>
            </w:pPr>
            <w:r>
              <w:rPr>
                <w:noProof/>
                <w:color w:val="006100"/>
                <w:sz w:val="20"/>
              </w:rPr>
              <w:t>Investeering 1.2. Hoonete ehitamine, kinnisvara ümberkvalifitseerimine ja tugevdamine õigusemõistmise eesmärgil</w:t>
            </w:r>
          </w:p>
        </w:tc>
        <w:tc>
          <w:tcPr>
            <w:tcW w:w="1498" w:type="dxa"/>
            <w:tcBorders>
              <w:top w:val="nil"/>
              <w:left w:val="nil"/>
              <w:bottom w:val="single" w:sz="4" w:space="0" w:color="auto"/>
              <w:right w:val="single" w:sz="4" w:space="0" w:color="auto"/>
            </w:tcBorders>
            <w:shd w:val="clear" w:color="auto" w:fill="C6EFCE"/>
            <w:noWrap/>
            <w:vAlign w:val="center"/>
          </w:tcPr>
          <w:p w14:paraId="39B3F25F"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4765F57C" w14:textId="77777777" w:rsidR="00A612E2" w:rsidRPr="003B127D" w:rsidRDefault="00A612E2" w:rsidP="00742B81">
            <w:pPr>
              <w:jc w:val="center"/>
              <w:rPr>
                <w:noProof/>
                <w:color w:val="006100"/>
                <w:sz w:val="20"/>
                <w:szCs w:val="20"/>
              </w:rPr>
            </w:pPr>
            <w:r>
              <w:rPr>
                <w:noProof/>
                <w:color w:val="006100"/>
                <w:sz w:val="20"/>
              </w:rPr>
              <w:t>Hoonete ehitamine, kinnisvara ümberkvalifitseerimine ja tugevdamine õigusemõistmiseks</w:t>
            </w:r>
          </w:p>
        </w:tc>
      </w:tr>
      <w:tr w:rsidR="00A612E2" w:rsidRPr="00D90835" w14:paraId="35135AA4"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2714B64" w14:textId="77777777" w:rsidR="00A612E2" w:rsidRPr="00246CC4" w:rsidRDefault="00A612E2" w:rsidP="00742B81">
            <w:pPr>
              <w:jc w:val="center"/>
              <w:rPr>
                <w:noProof/>
                <w:color w:val="006100"/>
                <w:sz w:val="20"/>
                <w:szCs w:val="20"/>
              </w:rPr>
            </w:pPr>
            <w:r>
              <w:rPr>
                <w:noProof/>
                <w:color w:val="006100"/>
                <w:sz w:val="20"/>
              </w:rPr>
              <w:t>M2C3-10</w:t>
            </w:r>
          </w:p>
        </w:tc>
        <w:tc>
          <w:tcPr>
            <w:tcW w:w="3090" w:type="dxa"/>
            <w:tcBorders>
              <w:top w:val="nil"/>
              <w:left w:val="nil"/>
              <w:bottom w:val="single" w:sz="4" w:space="0" w:color="auto"/>
              <w:right w:val="single" w:sz="4" w:space="0" w:color="auto"/>
            </w:tcBorders>
            <w:shd w:val="clear" w:color="auto" w:fill="C6EFCE"/>
            <w:noWrap/>
            <w:vAlign w:val="center"/>
          </w:tcPr>
          <w:p w14:paraId="0F661FF6" w14:textId="77777777" w:rsidR="00A612E2" w:rsidRPr="003B127D" w:rsidRDefault="00A612E2" w:rsidP="008B3890">
            <w:pPr>
              <w:rPr>
                <w:noProof/>
                <w:color w:val="006100"/>
                <w:sz w:val="20"/>
                <w:szCs w:val="20"/>
              </w:rPr>
            </w:pPr>
            <w:r>
              <w:rPr>
                <w:noProof/>
                <w:color w:val="006100"/>
                <w:sz w:val="20"/>
              </w:rPr>
              <w:t>Investeering 3.1. Tõhusa kaugkütte edendamine</w:t>
            </w:r>
          </w:p>
        </w:tc>
        <w:tc>
          <w:tcPr>
            <w:tcW w:w="1498" w:type="dxa"/>
            <w:tcBorders>
              <w:top w:val="nil"/>
              <w:left w:val="nil"/>
              <w:bottom w:val="single" w:sz="4" w:space="0" w:color="auto"/>
              <w:right w:val="single" w:sz="4" w:space="0" w:color="auto"/>
            </w:tcBorders>
            <w:shd w:val="clear" w:color="auto" w:fill="C6EFCE"/>
            <w:noWrap/>
            <w:vAlign w:val="center"/>
          </w:tcPr>
          <w:p w14:paraId="5BE4D1AB"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744C7AE3" w14:textId="77777777" w:rsidR="00A612E2" w:rsidRPr="003B127D" w:rsidRDefault="00A612E2" w:rsidP="00742B81">
            <w:pPr>
              <w:jc w:val="center"/>
              <w:rPr>
                <w:noProof/>
                <w:color w:val="006100"/>
                <w:sz w:val="20"/>
                <w:szCs w:val="20"/>
              </w:rPr>
            </w:pPr>
            <w:r>
              <w:rPr>
                <w:noProof/>
                <w:color w:val="006100"/>
                <w:sz w:val="20"/>
              </w:rPr>
              <w:t>Kaugküttevõrkude ehitamine või laiendamine</w:t>
            </w:r>
          </w:p>
        </w:tc>
      </w:tr>
      <w:tr w:rsidR="00A612E2" w:rsidRPr="00D90835" w14:paraId="044E9F5C"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28908F0" w14:textId="77777777" w:rsidR="00A612E2" w:rsidRPr="00246CC4" w:rsidRDefault="00A612E2" w:rsidP="00742B81">
            <w:pPr>
              <w:jc w:val="center"/>
              <w:rPr>
                <w:noProof/>
                <w:color w:val="006100"/>
                <w:sz w:val="20"/>
                <w:szCs w:val="20"/>
              </w:rPr>
            </w:pPr>
            <w:r>
              <w:rPr>
                <w:noProof/>
                <w:color w:val="006100"/>
                <w:sz w:val="20"/>
              </w:rPr>
              <w:t>M2C4-23</w:t>
            </w:r>
          </w:p>
        </w:tc>
        <w:tc>
          <w:tcPr>
            <w:tcW w:w="3090" w:type="dxa"/>
            <w:tcBorders>
              <w:top w:val="nil"/>
              <w:left w:val="nil"/>
              <w:bottom w:val="single" w:sz="4" w:space="0" w:color="auto"/>
              <w:right w:val="single" w:sz="4" w:space="0" w:color="auto"/>
            </w:tcBorders>
            <w:shd w:val="clear" w:color="auto" w:fill="C6EFCE"/>
            <w:noWrap/>
            <w:vAlign w:val="center"/>
          </w:tcPr>
          <w:p w14:paraId="1E28C458" w14:textId="77777777" w:rsidR="00A612E2" w:rsidRPr="003B127D" w:rsidRDefault="00A612E2" w:rsidP="008B3890">
            <w:pPr>
              <w:rPr>
                <w:noProof/>
                <w:color w:val="006100"/>
                <w:sz w:val="20"/>
                <w:szCs w:val="20"/>
              </w:rPr>
            </w:pPr>
            <w:r>
              <w:rPr>
                <w:noProof/>
                <w:color w:val="006100"/>
                <w:sz w:val="20"/>
              </w:rPr>
              <w:t>Investeering 3.3. Po piirkonnas looduskeskkonna taastamine</w:t>
            </w:r>
          </w:p>
        </w:tc>
        <w:tc>
          <w:tcPr>
            <w:tcW w:w="1498" w:type="dxa"/>
            <w:tcBorders>
              <w:top w:val="nil"/>
              <w:left w:val="nil"/>
              <w:bottom w:val="single" w:sz="4" w:space="0" w:color="auto"/>
              <w:right w:val="single" w:sz="4" w:space="0" w:color="auto"/>
            </w:tcBorders>
            <w:shd w:val="clear" w:color="auto" w:fill="C6EFCE"/>
            <w:noWrap/>
            <w:vAlign w:val="center"/>
          </w:tcPr>
          <w:p w14:paraId="1D011FB0"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4F2973DC" w14:textId="77777777" w:rsidR="00A612E2" w:rsidRPr="003B127D" w:rsidRDefault="00A612E2" w:rsidP="00742B81">
            <w:pPr>
              <w:jc w:val="center"/>
              <w:rPr>
                <w:noProof/>
                <w:color w:val="006100"/>
                <w:sz w:val="20"/>
                <w:szCs w:val="20"/>
              </w:rPr>
            </w:pPr>
            <w:r>
              <w:rPr>
                <w:noProof/>
                <w:color w:val="006100"/>
                <w:sz w:val="20"/>
              </w:rPr>
              <w:t>Jõesängi kunstlikkuse vähendamine Po piirkonna T2 ümberkülvamiseks</w:t>
            </w:r>
          </w:p>
        </w:tc>
      </w:tr>
      <w:tr w:rsidR="00A612E2" w:rsidRPr="00246CC4" w14:paraId="4CFF954D"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7443721" w14:textId="77777777" w:rsidR="00A612E2" w:rsidRPr="00246CC4" w:rsidRDefault="00A612E2" w:rsidP="00742B81">
            <w:pPr>
              <w:jc w:val="center"/>
              <w:rPr>
                <w:noProof/>
                <w:color w:val="006100"/>
                <w:sz w:val="20"/>
                <w:szCs w:val="20"/>
              </w:rPr>
            </w:pPr>
            <w:r>
              <w:rPr>
                <w:noProof/>
                <w:color w:val="006100"/>
                <w:sz w:val="20"/>
              </w:rPr>
              <w:t>M2C4-25</w:t>
            </w:r>
          </w:p>
        </w:tc>
        <w:tc>
          <w:tcPr>
            <w:tcW w:w="3090" w:type="dxa"/>
            <w:tcBorders>
              <w:top w:val="nil"/>
              <w:left w:val="nil"/>
              <w:bottom w:val="single" w:sz="4" w:space="0" w:color="auto"/>
              <w:right w:val="single" w:sz="4" w:space="0" w:color="auto"/>
            </w:tcBorders>
            <w:shd w:val="clear" w:color="auto" w:fill="C6EFCE"/>
            <w:noWrap/>
            <w:vAlign w:val="center"/>
          </w:tcPr>
          <w:p w14:paraId="6F03DB5B" w14:textId="77777777" w:rsidR="00A612E2" w:rsidRPr="003B127D" w:rsidRDefault="00A612E2" w:rsidP="008B3890">
            <w:pPr>
              <w:rPr>
                <w:noProof/>
                <w:color w:val="006100"/>
                <w:sz w:val="20"/>
                <w:szCs w:val="20"/>
              </w:rPr>
            </w:pPr>
            <w:r>
              <w:rPr>
                <w:noProof/>
                <w:color w:val="006100"/>
                <w:sz w:val="20"/>
              </w:rPr>
              <w:t>Investeering 3.4. Harva kasutatavate alade mulla tervendamine</w:t>
            </w:r>
          </w:p>
        </w:tc>
        <w:tc>
          <w:tcPr>
            <w:tcW w:w="1498" w:type="dxa"/>
            <w:tcBorders>
              <w:top w:val="nil"/>
              <w:left w:val="nil"/>
              <w:bottom w:val="single" w:sz="4" w:space="0" w:color="auto"/>
              <w:right w:val="single" w:sz="4" w:space="0" w:color="auto"/>
            </w:tcBorders>
            <w:shd w:val="clear" w:color="auto" w:fill="C6EFCE"/>
            <w:noWrap/>
            <w:vAlign w:val="center"/>
          </w:tcPr>
          <w:p w14:paraId="02032142"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4D1F835E" w14:textId="77777777" w:rsidR="00A612E2" w:rsidRPr="00246CC4" w:rsidRDefault="00A612E2" w:rsidP="00742B81">
            <w:pPr>
              <w:jc w:val="center"/>
              <w:rPr>
                <w:noProof/>
                <w:color w:val="006100"/>
                <w:sz w:val="20"/>
                <w:szCs w:val="20"/>
              </w:rPr>
            </w:pPr>
            <w:r>
              <w:rPr>
                <w:noProof/>
                <w:color w:val="006100"/>
                <w:sz w:val="20"/>
              </w:rPr>
              <w:t xml:space="preserve">Omanikuta mälestiste taaselustamine </w:t>
            </w:r>
          </w:p>
        </w:tc>
      </w:tr>
      <w:tr w:rsidR="00A612E2" w:rsidRPr="00D90835" w14:paraId="4131EAA4"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40F87E3" w14:textId="77777777" w:rsidR="00A612E2" w:rsidRPr="00246CC4" w:rsidRDefault="00A612E2" w:rsidP="00742B81">
            <w:pPr>
              <w:jc w:val="center"/>
              <w:rPr>
                <w:noProof/>
                <w:color w:val="006100"/>
                <w:sz w:val="20"/>
                <w:szCs w:val="20"/>
              </w:rPr>
            </w:pPr>
            <w:r>
              <w:rPr>
                <w:noProof/>
                <w:color w:val="006100"/>
                <w:sz w:val="20"/>
              </w:rPr>
              <w:t>M2C4-29</w:t>
            </w:r>
          </w:p>
        </w:tc>
        <w:tc>
          <w:tcPr>
            <w:tcW w:w="3090" w:type="dxa"/>
            <w:tcBorders>
              <w:top w:val="nil"/>
              <w:left w:val="nil"/>
              <w:bottom w:val="single" w:sz="4" w:space="0" w:color="auto"/>
              <w:right w:val="single" w:sz="4" w:space="0" w:color="auto"/>
            </w:tcBorders>
            <w:shd w:val="clear" w:color="auto" w:fill="C6EFCE"/>
            <w:noWrap/>
            <w:vAlign w:val="center"/>
          </w:tcPr>
          <w:p w14:paraId="62DCCBEE" w14:textId="77777777" w:rsidR="00A612E2" w:rsidRPr="003B127D" w:rsidRDefault="00A612E2" w:rsidP="008B3890">
            <w:pPr>
              <w:rPr>
                <w:noProof/>
                <w:color w:val="006100"/>
                <w:sz w:val="20"/>
                <w:szCs w:val="20"/>
              </w:rPr>
            </w:pPr>
            <w:r>
              <w:rPr>
                <w:noProof/>
                <w:color w:val="006100"/>
                <w:sz w:val="20"/>
              </w:rPr>
              <w:t>Investeering 4.1. Investeeringud esmastesse veeinfrastruktuuridesse veevarustuse kindluse tagamiseks</w:t>
            </w:r>
          </w:p>
        </w:tc>
        <w:tc>
          <w:tcPr>
            <w:tcW w:w="1498" w:type="dxa"/>
            <w:tcBorders>
              <w:top w:val="nil"/>
              <w:left w:val="nil"/>
              <w:bottom w:val="single" w:sz="4" w:space="0" w:color="auto"/>
              <w:right w:val="single" w:sz="4" w:space="0" w:color="auto"/>
            </w:tcBorders>
            <w:shd w:val="clear" w:color="auto" w:fill="C6EFCE"/>
            <w:noWrap/>
            <w:vAlign w:val="center"/>
          </w:tcPr>
          <w:p w14:paraId="4B8859B4"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48E62BFA" w14:textId="77777777" w:rsidR="00A612E2" w:rsidRPr="003B127D" w:rsidRDefault="00A612E2" w:rsidP="00742B81">
            <w:pPr>
              <w:jc w:val="center"/>
              <w:rPr>
                <w:noProof/>
                <w:color w:val="006100"/>
                <w:sz w:val="20"/>
                <w:szCs w:val="20"/>
              </w:rPr>
            </w:pPr>
            <w:r>
              <w:rPr>
                <w:noProof/>
                <w:color w:val="006100"/>
                <w:sz w:val="20"/>
              </w:rPr>
              <w:t xml:space="preserve">Investeeringud esmatasandi veetaristusse veevarustuse kindluse tagamiseks </w:t>
            </w:r>
          </w:p>
        </w:tc>
      </w:tr>
      <w:tr w:rsidR="00A612E2" w:rsidRPr="00D90835" w14:paraId="3FB16DBB"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30360BB" w14:textId="77777777" w:rsidR="00A612E2" w:rsidRPr="00246CC4" w:rsidRDefault="00A612E2" w:rsidP="00742B81">
            <w:pPr>
              <w:jc w:val="center"/>
              <w:rPr>
                <w:noProof/>
                <w:color w:val="006100"/>
                <w:sz w:val="20"/>
                <w:szCs w:val="20"/>
              </w:rPr>
            </w:pPr>
            <w:r>
              <w:rPr>
                <w:noProof/>
                <w:color w:val="006100"/>
                <w:sz w:val="20"/>
              </w:rPr>
              <w:t>M2C4-32</w:t>
            </w:r>
          </w:p>
        </w:tc>
        <w:tc>
          <w:tcPr>
            <w:tcW w:w="3090" w:type="dxa"/>
            <w:tcBorders>
              <w:top w:val="nil"/>
              <w:left w:val="nil"/>
              <w:bottom w:val="single" w:sz="4" w:space="0" w:color="auto"/>
              <w:right w:val="single" w:sz="4" w:space="0" w:color="auto"/>
            </w:tcBorders>
            <w:shd w:val="clear" w:color="auto" w:fill="C6EFCE"/>
            <w:noWrap/>
            <w:vAlign w:val="center"/>
          </w:tcPr>
          <w:p w14:paraId="23A2C6E5" w14:textId="77777777" w:rsidR="00A612E2" w:rsidRPr="003B127D" w:rsidRDefault="00A612E2" w:rsidP="008B3890">
            <w:pPr>
              <w:rPr>
                <w:noProof/>
                <w:color w:val="006100"/>
                <w:sz w:val="20"/>
                <w:szCs w:val="20"/>
              </w:rPr>
            </w:pPr>
            <w:r>
              <w:rPr>
                <w:noProof/>
                <w:color w:val="006100"/>
                <w:sz w:val="20"/>
              </w:rPr>
              <w:t>Investeering 4.2. Veejaotusvõrkude kadude vähendamine, sealhulgas võrkude digiteerimine ja seire</w:t>
            </w:r>
          </w:p>
        </w:tc>
        <w:tc>
          <w:tcPr>
            <w:tcW w:w="1498" w:type="dxa"/>
            <w:tcBorders>
              <w:top w:val="nil"/>
              <w:left w:val="nil"/>
              <w:bottom w:val="single" w:sz="4" w:space="0" w:color="auto"/>
              <w:right w:val="single" w:sz="4" w:space="0" w:color="auto"/>
            </w:tcBorders>
            <w:shd w:val="clear" w:color="auto" w:fill="C6EFCE"/>
            <w:noWrap/>
            <w:vAlign w:val="center"/>
          </w:tcPr>
          <w:p w14:paraId="36B4F451"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570D98F2" w14:textId="77777777" w:rsidR="00A612E2" w:rsidRPr="003B127D" w:rsidRDefault="00A612E2" w:rsidP="00742B81">
            <w:pPr>
              <w:jc w:val="center"/>
              <w:rPr>
                <w:noProof/>
                <w:color w:val="006100"/>
                <w:sz w:val="20"/>
                <w:szCs w:val="20"/>
              </w:rPr>
            </w:pPr>
            <w:r>
              <w:rPr>
                <w:noProof/>
                <w:color w:val="006100"/>
                <w:sz w:val="20"/>
              </w:rPr>
              <w:t>Sekkumine veejaotusvõrkudesse, sealhulgas võrkude T2 digiteerimine ja seire</w:t>
            </w:r>
          </w:p>
        </w:tc>
      </w:tr>
      <w:tr w:rsidR="00A612E2" w:rsidRPr="00D90835" w14:paraId="5983B6D1"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4CB7567" w14:textId="77777777" w:rsidR="00A612E2" w:rsidRPr="00246CC4" w:rsidRDefault="00A612E2" w:rsidP="00742B81">
            <w:pPr>
              <w:jc w:val="center"/>
              <w:rPr>
                <w:noProof/>
                <w:color w:val="006100"/>
                <w:sz w:val="20"/>
                <w:szCs w:val="20"/>
              </w:rPr>
            </w:pPr>
            <w:r>
              <w:rPr>
                <w:noProof/>
                <w:color w:val="006100"/>
                <w:sz w:val="20"/>
              </w:rPr>
              <w:t>M2C4-35bis</w:t>
            </w:r>
          </w:p>
        </w:tc>
        <w:tc>
          <w:tcPr>
            <w:tcW w:w="3090" w:type="dxa"/>
            <w:tcBorders>
              <w:top w:val="nil"/>
              <w:left w:val="nil"/>
              <w:bottom w:val="single" w:sz="4" w:space="0" w:color="auto"/>
              <w:right w:val="single" w:sz="4" w:space="0" w:color="auto"/>
            </w:tcBorders>
            <w:shd w:val="clear" w:color="auto" w:fill="C6EFCE"/>
            <w:noWrap/>
            <w:vAlign w:val="center"/>
          </w:tcPr>
          <w:p w14:paraId="5C63BB6B" w14:textId="77777777" w:rsidR="00A612E2" w:rsidRPr="003B127D" w:rsidRDefault="00A612E2" w:rsidP="008B3890">
            <w:pPr>
              <w:rPr>
                <w:noProof/>
                <w:color w:val="006100"/>
                <w:sz w:val="20"/>
                <w:szCs w:val="20"/>
              </w:rPr>
            </w:pPr>
            <w:r>
              <w:rPr>
                <w:noProof/>
                <w:color w:val="006100"/>
                <w:sz w:val="20"/>
              </w:rPr>
              <w:t>Investeering 4.3. Investeeringud niisutuspõllumajandussüsteemi vastupanuvõimesse veevarude paremaks majandamiseks</w:t>
            </w:r>
          </w:p>
        </w:tc>
        <w:tc>
          <w:tcPr>
            <w:tcW w:w="1498" w:type="dxa"/>
            <w:tcBorders>
              <w:top w:val="nil"/>
              <w:left w:val="nil"/>
              <w:bottom w:val="single" w:sz="4" w:space="0" w:color="auto"/>
              <w:right w:val="single" w:sz="4" w:space="0" w:color="auto"/>
            </w:tcBorders>
            <w:shd w:val="clear" w:color="auto" w:fill="C6EFCE"/>
            <w:noWrap/>
            <w:vAlign w:val="center"/>
          </w:tcPr>
          <w:p w14:paraId="7919F140"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73492E57" w14:textId="77777777" w:rsidR="00A612E2" w:rsidRPr="003B127D" w:rsidRDefault="00A612E2" w:rsidP="00742B81">
            <w:pPr>
              <w:jc w:val="center"/>
              <w:rPr>
                <w:noProof/>
                <w:color w:val="006100"/>
                <w:sz w:val="20"/>
                <w:szCs w:val="20"/>
              </w:rPr>
            </w:pPr>
            <w:r>
              <w:rPr>
                <w:noProof/>
                <w:color w:val="006100"/>
                <w:sz w:val="20"/>
              </w:rPr>
              <w:t>Sekkumised niisutuspõllumajandussüsteemi vastupanuvõime tagamiseks veevarude paremaks majandamiseks T2</w:t>
            </w:r>
          </w:p>
        </w:tc>
      </w:tr>
      <w:tr w:rsidR="00A612E2" w:rsidRPr="00D90835" w14:paraId="0194063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D094977" w14:textId="77777777" w:rsidR="00A612E2" w:rsidRPr="00246CC4" w:rsidRDefault="00A612E2" w:rsidP="00742B81">
            <w:pPr>
              <w:jc w:val="center"/>
              <w:rPr>
                <w:noProof/>
                <w:color w:val="006100"/>
                <w:sz w:val="20"/>
                <w:szCs w:val="20"/>
              </w:rPr>
            </w:pPr>
            <w:r>
              <w:rPr>
                <w:noProof/>
                <w:color w:val="006100"/>
                <w:sz w:val="20"/>
              </w:rPr>
              <w:t>M2C4-38</w:t>
            </w:r>
          </w:p>
        </w:tc>
        <w:tc>
          <w:tcPr>
            <w:tcW w:w="3090" w:type="dxa"/>
            <w:tcBorders>
              <w:top w:val="nil"/>
              <w:left w:val="nil"/>
              <w:bottom w:val="single" w:sz="4" w:space="0" w:color="auto"/>
              <w:right w:val="single" w:sz="4" w:space="0" w:color="auto"/>
            </w:tcBorders>
            <w:shd w:val="clear" w:color="auto" w:fill="C6EFCE"/>
            <w:noWrap/>
            <w:vAlign w:val="center"/>
          </w:tcPr>
          <w:p w14:paraId="58543664" w14:textId="77777777" w:rsidR="00A612E2" w:rsidRPr="003B127D" w:rsidRDefault="00A612E2" w:rsidP="008B3890">
            <w:pPr>
              <w:rPr>
                <w:noProof/>
                <w:color w:val="006100"/>
                <w:sz w:val="20"/>
                <w:szCs w:val="20"/>
              </w:rPr>
            </w:pPr>
            <w:r>
              <w:rPr>
                <w:noProof/>
                <w:color w:val="006100"/>
                <w:sz w:val="20"/>
              </w:rPr>
              <w:t>Investeering 4.4. Investeeringud kanalisatsiooni ja puhastusse</w:t>
            </w:r>
          </w:p>
        </w:tc>
        <w:tc>
          <w:tcPr>
            <w:tcW w:w="1498" w:type="dxa"/>
            <w:tcBorders>
              <w:top w:val="nil"/>
              <w:left w:val="nil"/>
              <w:bottom w:val="single" w:sz="4" w:space="0" w:color="auto"/>
              <w:right w:val="single" w:sz="4" w:space="0" w:color="auto"/>
            </w:tcBorders>
            <w:shd w:val="clear" w:color="auto" w:fill="C6EFCE"/>
            <w:noWrap/>
            <w:vAlign w:val="center"/>
          </w:tcPr>
          <w:p w14:paraId="31B78434"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68578B9D" w14:textId="77777777" w:rsidR="00A612E2" w:rsidRPr="003B127D" w:rsidRDefault="00A612E2" w:rsidP="00742B81">
            <w:pPr>
              <w:jc w:val="center"/>
              <w:rPr>
                <w:noProof/>
                <w:color w:val="006100"/>
                <w:sz w:val="20"/>
                <w:szCs w:val="20"/>
              </w:rPr>
            </w:pPr>
            <w:r>
              <w:rPr>
                <w:noProof/>
                <w:color w:val="006100"/>
                <w:sz w:val="20"/>
              </w:rPr>
              <w:t>Kanalisatsiooni- ja puhastusteenused T2</w:t>
            </w:r>
          </w:p>
        </w:tc>
      </w:tr>
      <w:tr w:rsidR="00A612E2" w:rsidRPr="00D90835" w14:paraId="61A905B2"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6C023D5" w14:textId="77777777" w:rsidR="00A612E2" w:rsidRPr="00246CC4" w:rsidRDefault="00A612E2" w:rsidP="00742B81">
            <w:pPr>
              <w:jc w:val="center"/>
              <w:rPr>
                <w:noProof/>
                <w:color w:val="006100"/>
                <w:sz w:val="20"/>
                <w:szCs w:val="20"/>
              </w:rPr>
            </w:pPr>
            <w:r>
              <w:rPr>
                <w:noProof/>
                <w:color w:val="006100"/>
                <w:sz w:val="20"/>
              </w:rPr>
              <w:t>M5C2-20</w:t>
            </w:r>
          </w:p>
        </w:tc>
        <w:tc>
          <w:tcPr>
            <w:tcW w:w="3090" w:type="dxa"/>
            <w:tcBorders>
              <w:top w:val="nil"/>
              <w:left w:val="nil"/>
              <w:bottom w:val="single" w:sz="4" w:space="0" w:color="auto"/>
              <w:right w:val="single" w:sz="4" w:space="0" w:color="auto"/>
            </w:tcBorders>
            <w:shd w:val="clear" w:color="auto" w:fill="C6EFCE"/>
            <w:noWrap/>
            <w:vAlign w:val="center"/>
          </w:tcPr>
          <w:p w14:paraId="342B7BC5" w14:textId="77777777" w:rsidR="00A612E2" w:rsidRPr="003B127D" w:rsidRDefault="00A612E2" w:rsidP="008B3890">
            <w:pPr>
              <w:rPr>
                <w:noProof/>
                <w:color w:val="006100"/>
                <w:sz w:val="20"/>
                <w:szCs w:val="20"/>
              </w:rPr>
            </w:pPr>
            <w:r>
              <w:rPr>
                <w:noProof/>
                <w:color w:val="006100"/>
                <w:sz w:val="20"/>
              </w:rPr>
              <w:t>Investeering 6. Uuenduslik eluasemekvaliteedi programm</w:t>
            </w:r>
          </w:p>
        </w:tc>
        <w:tc>
          <w:tcPr>
            <w:tcW w:w="1498" w:type="dxa"/>
            <w:tcBorders>
              <w:top w:val="nil"/>
              <w:left w:val="nil"/>
              <w:bottom w:val="single" w:sz="4" w:space="0" w:color="auto"/>
              <w:right w:val="single" w:sz="4" w:space="0" w:color="auto"/>
            </w:tcBorders>
            <w:shd w:val="clear" w:color="auto" w:fill="C6EFCE"/>
            <w:noWrap/>
            <w:vAlign w:val="center"/>
          </w:tcPr>
          <w:p w14:paraId="03380E4C"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18892DA6" w14:textId="77777777" w:rsidR="00A612E2" w:rsidRPr="003B127D" w:rsidRDefault="00A612E2" w:rsidP="00742B81">
            <w:pPr>
              <w:jc w:val="center"/>
              <w:rPr>
                <w:noProof/>
                <w:color w:val="006100"/>
                <w:sz w:val="20"/>
                <w:szCs w:val="20"/>
              </w:rPr>
            </w:pPr>
            <w:r>
              <w:rPr>
                <w:noProof/>
                <w:color w:val="006100"/>
                <w:sz w:val="20"/>
              </w:rPr>
              <w:t>Toetust saavate eluasemeüksuste arv (nii ehituse kui ka taastamise seisukohast) ja toetust saavate avalike ruumide ruutmeetrid</w:t>
            </w:r>
          </w:p>
        </w:tc>
      </w:tr>
      <w:tr w:rsidR="00A612E2" w:rsidRPr="00246CC4" w14:paraId="46A00EBC"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C4C6255" w14:textId="77777777" w:rsidR="00A612E2" w:rsidRPr="00246CC4" w:rsidRDefault="00A612E2" w:rsidP="00742B81">
            <w:pPr>
              <w:jc w:val="center"/>
              <w:rPr>
                <w:noProof/>
                <w:color w:val="006100"/>
                <w:sz w:val="20"/>
                <w:szCs w:val="20"/>
              </w:rPr>
            </w:pPr>
            <w:r>
              <w:rPr>
                <w:noProof/>
                <w:color w:val="006100"/>
                <w:sz w:val="20"/>
              </w:rPr>
              <w:t>M1C1-147</w:t>
            </w:r>
          </w:p>
        </w:tc>
        <w:tc>
          <w:tcPr>
            <w:tcW w:w="3090" w:type="dxa"/>
            <w:tcBorders>
              <w:top w:val="nil"/>
              <w:left w:val="nil"/>
              <w:bottom w:val="single" w:sz="4" w:space="0" w:color="auto"/>
              <w:right w:val="single" w:sz="4" w:space="0" w:color="auto"/>
            </w:tcBorders>
            <w:shd w:val="clear" w:color="auto" w:fill="C6EFCE"/>
            <w:noWrap/>
            <w:vAlign w:val="center"/>
          </w:tcPr>
          <w:p w14:paraId="09651ED0" w14:textId="77777777" w:rsidR="00A612E2" w:rsidRPr="003B127D" w:rsidRDefault="00A612E2" w:rsidP="008B3890">
            <w:pPr>
              <w:rPr>
                <w:noProof/>
                <w:color w:val="006100"/>
                <w:sz w:val="20"/>
                <w:szCs w:val="20"/>
              </w:rPr>
            </w:pPr>
            <w:r>
              <w:rPr>
                <w:noProof/>
                <w:color w:val="006100"/>
                <w:sz w:val="20"/>
              </w:rPr>
              <w:t>Investeering 1.2. Pilvandmetöötlus kohalikule makseasutusele</w:t>
            </w:r>
          </w:p>
        </w:tc>
        <w:tc>
          <w:tcPr>
            <w:tcW w:w="1498" w:type="dxa"/>
            <w:tcBorders>
              <w:top w:val="nil"/>
              <w:left w:val="nil"/>
              <w:bottom w:val="single" w:sz="4" w:space="0" w:color="auto"/>
              <w:right w:val="single" w:sz="4" w:space="0" w:color="auto"/>
            </w:tcBorders>
            <w:shd w:val="clear" w:color="auto" w:fill="C6EFCE"/>
            <w:noWrap/>
            <w:vAlign w:val="center"/>
          </w:tcPr>
          <w:p w14:paraId="075BD36E"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68CAC979" w14:textId="77777777" w:rsidR="00A612E2" w:rsidRPr="00246CC4" w:rsidRDefault="00A612E2" w:rsidP="00742B81">
            <w:pPr>
              <w:jc w:val="center"/>
              <w:rPr>
                <w:noProof/>
                <w:color w:val="006100"/>
                <w:sz w:val="20"/>
                <w:szCs w:val="20"/>
              </w:rPr>
            </w:pPr>
            <w:r>
              <w:rPr>
                <w:noProof/>
                <w:color w:val="006100"/>
                <w:sz w:val="20"/>
              </w:rPr>
              <w:t>Pilvandmetöötlus kohalikule avalikule haldusele T2</w:t>
            </w:r>
          </w:p>
        </w:tc>
      </w:tr>
      <w:tr w:rsidR="00A612E2" w:rsidRPr="00D90835" w14:paraId="31071E77"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5620BBB" w14:textId="77777777" w:rsidR="00A612E2" w:rsidRPr="00246CC4" w:rsidRDefault="00A612E2" w:rsidP="00742B81">
            <w:pPr>
              <w:jc w:val="center"/>
              <w:rPr>
                <w:noProof/>
                <w:color w:val="006100"/>
                <w:sz w:val="20"/>
                <w:szCs w:val="20"/>
              </w:rPr>
            </w:pPr>
            <w:r>
              <w:rPr>
                <w:noProof/>
                <w:color w:val="006100"/>
                <w:sz w:val="20"/>
              </w:rPr>
              <w:t>M1C1-148</w:t>
            </w:r>
          </w:p>
        </w:tc>
        <w:tc>
          <w:tcPr>
            <w:tcW w:w="3090" w:type="dxa"/>
            <w:tcBorders>
              <w:top w:val="nil"/>
              <w:left w:val="nil"/>
              <w:bottom w:val="single" w:sz="4" w:space="0" w:color="auto"/>
              <w:right w:val="single" w:sz="4" w:space="0" w:color="auto"/>
            </w:tcBorders>
            <w:shd w:val="clear" w:color="auto" w:fill="C6EFCE"/>
            <w:noWrap/>
            <w:vAlign w:val="center"/>
          </w:tcPr>
          <w:p w14:paraId="1D68B8B6" w14:textId="77777777" w:rsidR="00A612E2" w:rsidRPr="003B127D" w:rsidRDefault="00A612E2" w:rsidP="008B3890">
            <w:pPr>
              <w:rPr>
                <w:noProof/>
                <w:color w:val="006100"/>
                <w:sz w:val="20"/>
                <w:szCs w:val="20"/>
              </w:rPr>
            </w:pPr>
            <w:r>
              <w:rPr>
                <w:noProof/>
                <w:color w:val="006100"/>
                <w:sz w:val="20"/>
              </w:rPr>
              <w:t>Investeering 1.4.1. Kodaniku kogemused – digitaalsete avalike teenuste kvaliteedi ja kasutatavuse parandamine</w:t>
            </w:r>
          </w:p>
        </w:tc>
        <w:tc>
          <w:tcPr>
            <w:tcW w:w="1498" w:type="dxa"/>
            <w:tcBorders>
              <w:top w:val="nil"/>
              <w:left w:val="nil"/>
              <w:bottom w:val="single" w:sz="4" w:space="0" w:color="auto"/>
              <w:right w:val="single" w:sz="4" w:space="0" w:color="auto"/>
            </w:tcBorders>
            <w:shd w:val="clear" w:color="auto" w:fill="C6EFCE"/>
            <w:noWrap/>
            <w:vAlign w:val="center"/>
          </w:tcPr>
          <w:p w14:paraId="5582E54C"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19A383E1" w14:textId="77777777" w:rsidR="00A612E2" w:rsidRPr="003B127D" w:rsidRDefault="00A612E2" w:rsidP="00742B81">
            <w:pPr>
              <w:jc w:val="center"/>
              <w:rPr>
                <w:noProof/>
                <w:color w:val="006100"/>
                <w:sz w:val="20"/>
                <w:szCs w:val="20"/>
              </w:rPr>
            </w:pPr>
            <w:r>
              <w:rPr>
                <w:noProof/>
                <w:color w:val="006100"/>
                <w:sz w:val="20"/>
              </w:rPr>
              <w:t>Digitaalsete avalike teenuste kvaliteedi ja kasutatavuse parandamine T2</w:t>
            </w:r>
          </w:p>
        </w:tc>
      </w:tr>
      <w:tr w:rsidR="00A612E2" w:rsidRPr="00D90835" w14:paraId="5A00C16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92878E5" w14:textId="77777777" w:rsidR="00A612E2" w:rsidRPr="00246CC4" w:rsidRDefault="00A612E2" w:rsidP="00742B81">
            <w:pPr>
              <w:jc w:val="center"/>
              <w:rPr>
                <w:noProof/>
                <w:color w:val="006100"/>
                <w:sz w:val="20"/>
                <w:szCs w:val="20"/>
              </w:rPr>
            </w:pPr>
            <w:r>
              <w:rPr>
                <w:noProof/>
                <w:color w:val="006100"/>
                <w:sz w:val="20"/>
              </w:rPr>
              <w:t>M1C1-149</w:t>
            </w:r>
          </w:p>
        </w:tc>
        <w:tc>
          <w:tcPr>
            <w:tcW w:w="3090" w:type="dxa"/>
            <w:tcBorders>
              <w:top w:val="nil"/>
              <w:left w:val="nil"/>
              <w:bottom w:val="single" w:sz="4" w:space="0" w:color="auto"/>
              <w:right w:val="single" w:sz="4" w:space="0" w:color="auto"/>
            </w:tcBorders>
            <w:shd w:val="clear" w:color="auto" w:fill="C6EFCE"/>
            <w:noWrap/>
            <w:vAlign w:val="center"/>
          </w:tcPr>
          <w:p w14:paraId="20B2D5D7" w14:textId="77777777" w:rsidR="00A612E2" w:rsidRPr="003B127D" w:rsidRDefault="00A612E2" w:rsidP="008B3890">
            <w:pPr>
              <w:rPr>
                <w:noProof/>
                <w:color w:val="006100"/>
                <w:sz w:val="20"/>
                <w:szCs w:val="20"/>
              </w:rPr>
            </w:pPr>
            <w:r>
              <w:rPr>
                <w:noProof/>
                <w:color w:val="006100"/>
                <w:sz w:val="20"/>
              </w:rPr>
              <w:t>Investeering 1.4.3. PagoPA platvormi teenuste ja rakenduse „IO“ kasutuselevõtmine</w:t>
            </w:r>
          </w:p>
        </w:tc>
        <w:tc>
          <w:tcPr>
            <w:tcW w:w="1498" w:type="dxa"/>
            <w:tcBorders>
              <w:top w:val="nil"/>
              <w:left w:val="nil"/>
              <w:bottom w:val="single" w:sz="4" w:space="0" w:color="auto"/>
              <w:right w:val="single" w:sz="4" w:space="0" w:color="auto"/>
            </w:tcBorders>
            <w:shd w:val="clear" w:color="auto" w:fill="C6EFCE"/>
            <w:noWrap/>
            <w:vAlign w:val="center"/>
          </w:tcPr>
          <w:p w14:paraId="07C25B45"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46342874" w14:textId="77777777" w:rsidR="00A612E2" w:rsidRPr="003B127D" w:rsidRDefault="00A612E2" w:rsidP="00742B81">
            <w:pPr>
              <w:jc w:val="center"/>
              <w:rPr>
                <w:noProof/>
                <w:color w:val="006100"/>
                <w:sz w:val="20"/>
                <w:szCs w:val="20"/>
              </w:rPr>
            </w:pPr>
            <w:r>
              <w:rPr>
                <w:noProof/>
                <w:color w:val="006100"/>
                <w:sz w:val="20"/>
              </w:rPr>
              <w:t>PagoPA platvormi teenuste T2 kasutuselevõtu suurendamine</w:t>
            </w:r>
          </w:p>
        </w:tc>
      </w:tr>
      <w:tr w:rsidR="00A612E2" w:rsidRPr="00D90835" w14:paraId="1202D58F"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A098A40" w14:textId="77777777" w:rsidR="00A612E2" w:rsidRPr="00246CC4" w:rsidRDefault="00A612E2" w:rsidP="00742B81">
            <w:pPr>
              <w:jc w:val="center"/>
              <w:rPr>
                <w:noProof/>
                <w:color w:val="006100"/>
                <w:sz w:val="20"/>
                <w:szCs w:val="20"/>
              </w:rPr>
            </w:pPr>
            <w:r>
              <w:rPr>
                <w:noProof/>
                <w:color w:val="006100"/>
                <w:sz w:val="20"/>
              </w:rPr>
              <w:t>M1C1-150</w:t>
            </w:r>
          </w:p>
        </w:tc>
        <w:tc>
          <w:tcPr>
            <w:tcW w:w="3090" w:type="dxa"/>
            <w:tcBorders>
              <w:top w:val="nil"/>
              <w:left w:val="nil"/>
              <w:bottom w:val="single" w:sz="4" w:space="0" w:color="auto"/>
              <w:right w:val="single" w:sz="4" w:space="0" w:color="auto"/>
            </w:tcBorders>
            <w:shd w:val="clear" w:color="auto" w:fill="C6EFCE"/>
            <w:noWrap/>
            <w:vAlign w:val="center"/>
          </w:tcPr>
          <w:p w14:paraId="0B09ABAB" w14:textId="77777777" w:rsidR="00A612E2" w:rsidRPr="003B127D" w:rsidRDefault="00A612E2" w:rsidP="008B3890">
            <w:pPr>
              <w:rPr>
                <w:noProof/>
                <w:color w:val="006100"/>
                <w:sz w:val="20"/>
                <w:szCs w:val="20"/>
              </w:rPr>
            </w:pPr>
            <w:r>
              <w:rPr>
                <w:noProof/>
                <w:color w:val="006100"/>
                <w:sz w:val="20"/>
              </w:rPr>
              <w:t>Investeering 1.4.3. PagoPA platvormi teenuste ja rakenduse „IO“ kasutuselevõtmine</w:t>
            </w:r>
          </w:p>
        </w:tc>
        <w:tc>
          <w:tcPr>
            <w:tcW w:w="1498" w:type="dxa"/>
            <w:tcBorders>
              <w:top w:val="nil"/>
              <w:left w:val="nil"/>
              <w:bottom w:val="single" w:sz="4" w:space="0" w:color="auto"/>
              <w:right w:val="single" w:sz="4" w:space="0" w:color="auto"/>
            </w:tcBorders>
            <w:shd w:val="clear" w:color="auto" w:fill="C6EFCE"/>
            <w:noWrap/>
            <w:vAlign w:val="center"/>
          </w:tcPr>
          <w:p w14:paraId="0D0B809D"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0D51B113" w14:textId="77777777" w:rsidR="00A612E2" w:rsidRPr="003B127D" w:rsidRDefault="00A612E2" w:rsidP="00742B81">
            <w:pPr>
              <w:jc w:val="center"/>
              <w:rPr>
                <w:noProof/>
                <w:color w:val="006100"/>
                <w:sz w:val="20"/>
                <w:szCs w:val="20"/>
              </w:rPr>
            </w:pPr>
            <w:r>
              <w:rPr>
                <w:noProof/>
                <w:color w:val="006100"/>
                <w:sz w:val="20"/>
              </w:rPr>
              <w:t>Rakenduse „IO“ rakenduse T2 vastuvõtmise suurendamine</w:t>
            </w:r>
          </w:p>
        </w:tc>
      </w:tr>
      <w:tr w:rsidR="00A612E2" w:rsidRPr="00D90835" w14:paraId="16311B94"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1C79682" w14:textId="77777777" w:rsidR="00A612E2" w:rsidRPr="00246CC4" w:rsidRDefault="00A612E2" w:rsidP="00742B81">
            <w:pPr>
              <w:jc w:val="center"/>
              <w:rPr>
                <w:noProof/>
                <w:color w:val="006100"/>
                <w:sz w:val="20"/>
                <w:szCs w:val="20"/>
              </w:rPr>
            </w:pPr>
            <w:r>
              <w:rPr>
                <w:noProof/>
                <w:color w:val="006100"/>
                <w:sz w:val="20"/>
              </w:rPr>
              <w:t>M1C1-151</w:t>
            </w:r>
          </w:p>
        </w:tc>
        <w:tc>
          <w:tcPr>
            <w:tcW w:w="3090" w:type="dxa"/>
            <w:tcBorders>
              <w:top w:val="nil"/>
              <w:left w:val="nil"/>
              <w:bottom w:val="single" w:sz="4" w:space="0" w:color="auto"/>
              <w:right w:val="single" w:sz="4" w:space="0" w:color="auto"/>
            </w:tcBorders>
            <w:shd w:val="clear" w:color="auto" w:fill="C6EFCE"/>
            <w:noWrap/>
            <w:vAlign w:val="center"/>
          </w:tcPr>
          <w:p w14:paraId="30E5BE9D" w14:textId="77777777" w:rsidR="00A612E2" w:rsidRPr="003B127D" w:rsidRDefault="00A612E2" w:rsidP="008B3890">
            <w:pPr>
              <w:rPr>
                <w:noProof/>
                <w:color w:val="006100"/>
                <w:sz w:val="20"/>
                <w:szCs w:val="20"/>
              </w:rPr>
            </w:pPr>
            <w:r>
              <w:rPr>
                <w:noProof/>
                <w:color w:val="006100"/>
                <w:sz w:val="20"/>
              </w:rPr>
              <w:t>Investeering 1.4.5. Avalike teadete digitaliseerimine</w:t>
            </w:r>
          </w:p>
        </w:tc>
        <w:tc>
          <w:tcPr>
            <w:tcW w:w="1498" w:type="dxa"/>
            <w:tcBorders>
              <w:top w:val="nil"/>
              <w:left w:val="nil"/>
              <w:bottom w:val="single" w:sz="4" w:space="0" w:color="auto"/>
              <w:right w:val="single" w:sz="4" w:space="0" w:color="auto"/>
            </w:tcBorders>
            <w:shd w:val="clear" w:color="auto" w:fill="C6EFCE"/>
            <w:noWrap/>
            <w:vAlign w:val="center"/>
          </w:tcPr>
          <w:p w14:paraId="78CE4827"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1CB2E613" w14:textId="77777777" w:rsidR="00A612E2" w:rsidRPr="003B127D" w:rsidRDefault="00A612E2" w:rsidP="00742B81">
            <w:pPr>
              <w:jc w:val="center"/>
              <w:rPr>
                <w:noProof/>
                <w:color w:val="006100"/>
                <w:sz w:val="20"/>
                <w:szCs w:val="20"/>
              </w:rPr>
            </w:pPr>
            <w:r>
              <w:rPr>
                <w:noProof/>
                <w:color w:val="006100"/>
                <w:sz w:val="20"/>
              </w:rPr>
              <w:t>Digitaalsete avalike teadete T2 kasutuselevõtu suurendamine</w:t>
            </w:r>
          </w:p>
        </w:tc>
      </w:tr>
      <w:tr w:rsidR="00A612E2" w:rsidRPr="00D90835" w14:paraId="7BCC1511"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4FBCAD7" w14:textId="77777777" w:rsidR="00A612E2" w:rsidRPr="00246CC4" w:rsidRDefault="00A612E2" w:rsidP="00742B81">
            <w:pPr>
              <w:jc w:val="center"/>
              <w:rPr>
                <w:noProof/>
                <w:color w:val="006100"/>
                <w:sz w:val="20"/>
                <w:szCs w:val="20"/>
              </w:rPr>
            </w:pPr>
            <w:r>
              <w:rPr>
                <w:noProof/>
                <w:color w:val="006100"/>
                <w:sz w:val="20"/>
              </w:rPr>
              <w:t>M1C1-152</w:t>
            </w:r>
          </w:p>
        </w:tc>
        <w:tc>
          <w:tcPr>
            <w:tcW w:w="3090" w:type="dxa"/>
            <w:tcBorders>
              <w:top w:val="nil"/>
              <w:left w:val="nil"/>
              <w:bottom w:val="single" w:sz="4" w:space="0" w:color="auto"/>
              <w:right w:val="single" w:sz="4" w:space="0" w:color="auto"/>
            </w:tcBorders>
            <w:shd w:val="clear" w:color="auto" w:fill="C6EFCE"/>
            <w:noWrap/>
            <w:vAlign w:val="center"/>
          </w:tcPr>
          <w:p w14:paraId="7AA17E48" w14:textId="77777777" w:rsidR="00A612E2" w:rsidRPr="003B127D" w:rsidRDefault="00A612E2" w:rsidP="008B3890">
            <w:pPr>
              <w:rPr>
                <w:noProof/>
                <w:color w:val="006100"/>
                <w:sz w:val="20"/>
                <w:szCs w:val="20"/>
              </w:rPr>
            </w:pPr>
            <w:r>
              <w:rPr>
                <w:noProof/>
                <w:color w:val="006100"/>
                <w:sz w:val="20"/>
              </w:rPr>
              <w:t>Investeering 1.6.1. Siseministeeriumi digiteerimine</w:t>
            </w:r>
          </w:p>
        </w:tc>
        <w:tc>
          <w:tcPr>
            <w:tcW w:w="1498" w:type="dxa"/>
            <w:tcBorders>
              <w:top w:val="nil"/>
              <w:left w:val="nil"/>
              <w:bottom w:val="single" w:sz="4" w:space="0" w:color="auto"/>
              <w:right w:val="single" w:sz="4" w:space="0" w:color="auto"/>
            </w:tcBorders>
            <w:shd w:val="clear" w:color="auto" w:fill="C6EFCE"/>
            <w:noWrap/>
            <w:vAlign w:val="center"/>
          </w:tcPr>
          <w:p w14:paraId="20768AD1"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7EB834BC" w14:textId="77777777" w:rsidR="00A612E2" w:rsidRPr="003B127D" w:rsidRDefault="00A612E2" w:rsidP="00742B81">
            <w:pPr>
              <w:jc w:val="center"/>
              <w:rPr>
                <w:noProof/>
                <w:color w:val="006100"/>
                <w:sz w:val="20"/>
                <w:szCs w:val="20"/>
              </w:rPr>
            </w:pPr>
            <w:r>
              <w:rPr>
                <w:noProof/>
                <w:color w:val="006100"/>
                <w:sz w:val="20"/>
              </w:rPr>
              <w:t>Siseministeerium – täielikult ümberkujundatud ja digiteeritud protsessid T2</w:t>
            </w:r>
          </w:p>
        </w:tc>
      </w:tr>
      <w:tr w:rsidR="00A612E2" w:rsidRPr="00246CC4" w14:paraId="500F7D0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F512848" w14:textId="77777777" w:rsidR="00A612E2" w:rsidRPr="00246CC4" w:rsidRDefault="00A612E2" w:rsidP="00742B81">
            <w:pPr>
              <w:jc w:val="center"/>
              <w:rPr>
                <w:noProof/>
                <w:color w:val="006100"/>
                <w:sz w:val="20"/>
                <w:szCs w:val="20"/>
              </w:rPr>
            </w:pPr>
            <w:r>
              <w:rPr>
                <w:noProof/>
                <w:color w:val="006100"/>
                <w:sz w:val="20"/>
              </w:rPr>
              <w:t>M1C1-153</w:t>
            </w:r>
          </w:p>
        </w:tc>
        <w:tc>
          <w:tcPr>
            <w:tcW w:w="3090" w:type="dxa"/>
            <w:tcBorders>
              <w:top w:val="nil"/>
              <w:left w:val="nil"/>
              <w:bottom w:val="single" w:sz="4" w:space="0" w:color="auto"/>
              <w:right w:val="single" w:sz="4" w:space="0" w:color="auto"/>
            </w:tcBorders>
            <w:shd w:val="clear" w:color="auto" w:fill="C6EFCE"/>
            <w:noWrap/>
            <w:vAlign w:val="center"/>
          </w:tcPr>
          <w:p w14:paraId="47833CC7" w14:textId="77777777" w:rsidR="00A612E2" w:rsidRPr="003B127D" w:rsidRDefault="00A612E2" w:rsidP="008B3890">
            <w:pPr>
              <w:rPr>
                <w:noProof/>
                <w:color w:val="006100"/>
                <w:sz w:val="20"/>
                <w:szCs w:val="20"/>
              </w:rPr>
            </w:pPr>
            <w:r>
              <w:rPr>
                <w:noProof/>
                <w:color w:val="006100"/>
                <w:sz w:val="20"/>
              </w:rPr>
              <w:t>Investeering 1.6.2. Justiitsministeeriumi digiteerimine</w:t>
            </w:r>
          </w:p>
        </w:tc>
        <w:tc>
          <w:tcPr>
            <w:tcW w:w="1498" w:type="dxa"/>
            <w:tcBorders>
              <w:top w:val="nil"/>
              <w:left w:val="nil"/>
              <w:bottom w:val="single" w:sz="4" w:space="0" w:color="auto"/>
              <w:right w:val="single" w:sz="4" w:space="0" w:color="auto"/>
            </w:tcBorders>
            <w:shd w:val="clear" w:color="auto" w:fill="C6EFCE"/>
            <w:noWrap/>
            <w:vAlign w:val="center"/>
          </w:tcPr>
          <w:p w14:paraId="10BF8A58"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1F2B0299" w14:textId="77777777" w:rsidR="00A612E2" w:rsidRPr="00246CC4" w:rsidRDefault="00A612E2" w:rsidP="00742B81">
            <w:pPr>
              <w:jc w:val="center"/>
              <w:rPr>
                <w:noProof/>
                <w:color w:val="006100"/>
                <w:sz w:val="20"/>
                <w:szCs w:val="20"/>
              </w:rPr>
            </w:pPr>
            <w:r>
              <w:rPr>
                <w:noProof/>
                <w:color w:val="006100"/>
                <w:sz w:val="20"/>
              </w:rPr>
              <w:t>Digiteeritud kohtutoimikud T2</w:t>
            </w:r>
          </w:p>
        </w:tc>
      </w:tr>
      <w:tr w:rsidR="00A612E2" w:rsidRPr="00D90835" w14:paraId="6F257E7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D3B4588" w14:textId="77777777" w:rsidR="00A612E2" w:rsidRPr="00246CC4" w:rsidRDefault="00A612E2" w:rsidP="00742B81">
            <w:pPr>
              <w:jc w:val="center"/>
              <w:rPr>
                <w:noProof/>
                <w:color w:val="006100"/>
                <w:sz w:val="20"/>
                <w:szCs w:val="20"/>
              </w:rPr>
            </w:pPr>
            <w:r>
              <w:rPr>
                <w:noProof/>
                <w:color w:val="006100"/>
                <w:sz w:val="20"/>
              </w:rPr>
              <w:t>M1C1-154</w:t>
            </w:r>
          </w:p>
        </w:tc>
        <w:tc>
          <w:tcPr>
            <w:tcW w:w="3090" w:type="dxa"/>
            <w:tcBorders>
              <w:top w:val="nil"/>
              <w:left w:val="nil"/>
              <w:bottom w:val="single" w:sz="4" w:space="0" w:color="auto"/>
              <w:right w:val="single" w:sz="4" w:space="0" w:color="auto"/>
            </w:tcBorders>
            <w:shd w:val="clear" w:color="auto" w:fill="C6EFCE"/>
            <w:noWrap/>
            <w:vAlign w:val="center"/>
          </w:tcPr>
          <w:p w14:paraId="65E77F1F" w14:textId="77777777" w:rsidR="00A612E2" w:rsidRPr="003B127D" w:rsidRDefault="00A612E2" w:rsidP="008B3890">
            <w:pPr>
              <w:rPr>
                <w:noProof/>
                <w:color w:val="006100"/>
                <w:sz w:val="20"/>
                <w:szCs w:val="20"/>
              </w:rPr>
            </w:pPr>
            <w:r>
              <w:rPr>
                <w:noProof/>
                <w:color w:val="006100"/>
                <w:sz w:val="20"/>
              </w:rPr>
              <w:t>Investeering 1.6.2. Justiitsministeeriumi digiteerimine</w:t>
            </w:r>
          </w:p>
        </w:tc>
        <w:tc>
          <w:tcPr>
            <w:tcW w:w="1498" w:type="dxa"/>
            <w:tcBorders>
              <w:top w:val="nil"/>
              <w:left w:val="nil"/>
              <w:bottom w:val="single" w:sz="4" w:space="0" w:color="auto"/>
              <w:right w:val="single" w:sz="4" w:space="0" w:color="auto"/>
            </w:tcBorders>
            <w:shd w:val="clear" w:color="auto" w:fill="C6EFCE"/>
            <w:noWrap/>
            <w:vAlign w:val="center"/>
          </w:tcPr>
          <w:p w14:paraId="7D04A6E5"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368388D7" w14:textId="77777777" w:rsidR="00A612E2" w:rsidRPr="003B127D" w:rsidRDefault="00A612E2" w:rsidP="00742B81">
            <w:pPr>
              <w:jc w:val="center"/>
              <w:rPr>
                <w:noProof/>
                <w:color w:val="006100"/>
                <w:sz w:val="20"/>
                <w:szCs w:val="20"/>
              </w:rPr>
            </w:pPr>
            <w:r>
              <w:rPr>
                <w:noProof/>
                <w:color w:val="006100"/>
                <w:sz w:val="20"/>
              </w:rPr>
              <w:t>Õigusalased andmebaasid T2</w:t>
            </w:r>
          </w:p>
        </w:tc>
      </w:tr>
      <w:tr w:rsidR="00A612E2" w:rsidRPr="00D90835" w14:paraId="1BA7E0D7"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C7082D4" w14:textId="77777777" w:rsidR="00A612E2" w:rsidRPr="00246CC4" w:rsidRDefault="00A612E2" w:rsidP="00742B81">
            <w:pPr>
              <w:jc w:val="center"/>
              <w:rPr>
                <w:noProof/>
                <w:color w:val="006100"/>
                <w:sz w:val="20"/>
                <w:szCs w:val="20"/>
              </w:rPr>
            </w:pPr>
            <w:r>
              <w:rPr>
                <w:noProof/>
                <w:color w:val="006100"/>
                <w:sz w:val="20"/>
              </w:rPr>
              <w:t>M1C1-155</w:t>
            </w:r>
          </w:p>
        </w:tc>
        <w:tc>
          <w:tcPr>
            <w:tcW w:w="3090" w:type="dxa"/>
            <w:tcBorders>
              <w:top w:val="nil"/>
              <w:left w:val="nil"/>
              <w:bottom w:val="single" w:sz="4" w:space="0" w:color="auto"/>
              <w:right w:val="single" w:sz="4" w:space="0" w:color="auto"/>
            </w:tcBorders>
            <w:shd w:val="clear" w:color="auto" w:fill="C6EFCE"/>
            <w:noWrap/>
            <w:vAlign w:val="center"/>
          </w:tcPr>
          <w:p w14:paraId="5357C778" w14:textId="77777777" w:rsidR="00A612E2" w:rsidRPr="003B127D" w:rsidRDefault="00A612E2" w:rsidP="008B3890">
            <w:pPr>
              <w:rPr>
                <w:noProof/>
                <w:color w:val="006100"/>
                <w:sz w:val="20"/>
                <w:szCs w:val="20"/>
              </w:rPr>
            </w:pPr>
            <w:r>
              <w:rPr>
                <w:noProof/>
                <w:color w:val="006100"/>
                <w:sz w:val="20"/>
              </w:rPr>
              <w:t>Investeering 1.6.3. Riikliku sotsiaalkindlustusameti (INPS) ja riikliku tööõnnetuste vastu kindlustamise instituudi (INAIL) digitaliseerimine</w:t>
            </w:r>
          </w:p>
        </w:tc>
        <w:tc>
          <w:tcPr>
            <w:tcW w:w="1498" w:type="dxa"/>
            <w:tcBorders>
              <w:top w:val="nil"/>
              <w:left w:val="nil"/>
              <w:bottom w:val="single" w:sz="4" w:space="0" w:color="auto"/>
              <w:right w:val="single" w:sz="4" w:space="0" w:color="auto"/>
            </w:tcBorders>
            <w:shd w:val="clear" w:color="auto" w:fill="C6EFCE"/>
            <w:noWrap/>
            <w:vAlign w:val="center"/>
          </w:tcPr>
          <w:p w14:paraId="698C393B"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437C8930" w14:textId="77777777" w:rsidR="00A612E2" w:rsidRPr="003B127D" w:rsidRDefault="00A612E2" w:rsidP="00742B81">
            <w:pPr>
              <w:jc w:val="center"/>
              <w:rPr>
                <w:noProof/>
                <w:color w:val="006100"/>
                <w:sz w:val="20"/>
                <w:szCs w:val="20"/>
              </w:rPr>
            </w:pPr>
            <w:r>
              <w:rPr>
                <w:noProof/>
                <w:color w:val="006100"/>
                <w:sz w:val="20"/>
              </w:rPr>
              <w:t>INAIL – täielikult ümberkavandatud ja digiteeritud protsessid/teenused T2</w:t>
            </w:r>
          </w:p>
        </w:tc>
      </w:tr>
      <w:tr w:rsidR="00A612E2" w:rsidRPr="00D90835" w14:paraId="4C388CE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26948E3" w14:textId="77777777" w:rsidR="00A612E2" w:rsidRPr="00246CC4" w:rsidRDefault="00A612E2" w:rsidP="00742B81">
            <w:pPr>
              <w:jc w:val="center"/>
              <w:rPr>
                <w:noProof/>
                <w:color w:val="006100"/>
                <w:sz w:val="20"/>
                <w:szCs w:val="20"/>
              </w:rPr>
            </w:pPr>
            <w:r>
              <w:rPr>
                <w:noProof/>
                <w:color w:val="006100"/>
                <w:sz w:val="20"/>
              </w:rPr>
              <w:t>M1C2-15</w:t>
            </w:r>
          </w:p>
        </w:tc>
        <w:tc>
          <w:tcPr>
            <w:tcW w:w="3090" w:type="dxa"/>
            <w:tcBorders>
              <w:top w:val="nil"/>
              <w:left w:val="nil"/>
              <w:bottom w:val="single" w:sz="4" w:space="0" w:color="auto"/>
              <w:right w:val="single" w:sz="4" w:space="0" w:color="auto"/>
            </w:tcBorders>
            <w:shd w:val="clear" w:color="auto" w:fill="C6EFCE"/>
            <w:noWrap/>
            <w:vAlign w:val="center"/>
          </w:tcPr>
          <w:p w14:paraId="6C1DE974" w14:textId="77777777" w:rsidR="00A612E2" w:rsidRPr="003B127D" w:rsidRDefault="00A612E2" w:rsidP="008B3890">
            <w:pPr>
              <w:rPr>
                <w:noProof/>
                <w:color w:val="006100"/>
                <w:sz w:val="20"/>
                <w:szCs w:val="20"/>
              </w:rPr>
            </w:pPr>
            <w:r>
              <w:rPr>
                <w:noProof/>
                <w:color w:val="006100"/>
                <w:sz w:val="20"/>
              </w:rPr>
              <w:t>Investeering 2. Mikroelektroonika innovatsioon ja tehnoloogia</w:t>
            </w:r>
          </w:p>
        </w:tc>
        <w:tc>
          <w:tcPr>
            <w:tcW w:w="1498" w:type="dxa"/>
            <w:tcBorders>
              <w:top w:val="nil"/>
              <w:left w:val="nil"/>
              <w:bottom w:val="single" w:sz="4" w:space="0" w:color="auto"/>
              <w:right w:val="single" w:sz="4" w:space="0" w:color="auto"/>
            </w:tcBorders>
            <w:shd w:val="clear" w:color="auto" w:fill="C6EFCE"/>
            <w:noWrap/>
            <w:vAlign w:val="center"/>
          </w:tcPr>
          <w:p w14:paraId="529201CC"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465BD649" w14:textId="77777777" w:rsidR="00A612E2" w:rsidRPr="003B127D" w:rsidRDefault="00A612E2" w:rsidP="00742B81">
            <w:pPr>
              <w:jc w:val="center"/>
              <w:rPr>
                <w:noProof/>
                <w:color w:val="006100"/>
                <w:sz w:val="20"/>
                <w:szCs w:val="20"/>
              </w:rPr>
            </w:pPr>
            <w:r>
              <w:rPr>
                <w:noProof/>
                <w:color w:val="006100"/>
                <w:sz w:val="20"/>
              </w:rPr>
              <w:t>Ränikarbiidist substraatide tootmisvõimsus</w:t>
            </w:r>
          </w:p>
        </w:tc>
      </w:tr>
      <w:tr w:rsidR="00A612E2" w:rsidRPr="00D90835" w14:paraId="3CBBB378"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0835B35" w14:textId="77777777" w:rsidR="00A612E2" w:rsidRPr="00246CC4" w:rsidRDefault="00A612E2" w:rsidP="00742B81">
            <w:pPr>
              <w:jc w:val="center"/>
              <w:rPr>
                <w:noProof/>
                <w:color w:val="006100"/>
                <w:sz w:val="20"/>
                <w:szCs w:val="20"/>
              </w:rPr>
            </w:pPr>
            <w:r>
              <w:rPr>
                <w:noProof/>
                <w:color w:val="006100"/>
                <w:sz w:val="20"/>
              </w:rPr>
              <w:t>M1C2-17</w:t>
            </w:r>
          </w:p>
        </w:tc>
        <w:tc>
          <w:tcPr>
            <w:tcW w:w="3090" w:type="dxa"/>
            <w:tcBorders>
              <w:top w:val="nil"/>
              <w:left w:val="nil"/>
              <w:bottom w:val="single" w:sz="4" w:space="0" w:color="auto"/>
              <w:right w:val="single" w:sz="4" w:space="0" w:color="auto"/>
            </w:tcBorders>
            <w:shd w:val="clear" w:color="auto" w:fill="C6EFCE"/>
            <w:noWrap/>
            <w:vAlign w:val="center"/>
          </w:tcPr>
          <w:p w14:paraId="3A4EC470" w14:textId="77777777" w:rsidR="00A612E2" w:rsidRPr="003B127D" w:rsidRDefault="00A612E2" w:rsidP="008B3890">
            <w:pPr>
              <w:rPr>
                <w:noProof/>
                <w:color w:val="006100"/>
                <w:sz w:val="20"/>
                <w:szCs w:val="20"/>
              </w:rPr>
            </w:pPr>
            <w:r>
              <w:rPr>
                <w:noProof/>
                <w:color w:val="006100"/>
                <w:sz w:val="20"/>
              </w:rPr>
              <w:t>Investeering 3. Kiire internetiühendus (Ultra lairibaühendus ja 5G)</w:t>
            </w:r>
          </w:p>
        </w:tc>
        <w:tc>
          <w:tcPr>
            <w:tcW w:w="1498" w:type="dxa"/>
            <w:tcBorders>
              <w:top w:val="nil"/>
              <w:left w:val="nil"/>
              <w:bottom w:val="single" w:sz="4" w:space="0" w:color="auto"/>
              <w:right w:val="single" w:sz="4" w:space="0" w:color="auto"/>
            </w:tcBorders>
            <w:shd w:val="clear" w:color="auto" w:fill="C6EFCE"/>
            <w:noWrap/>
            <w:vAlign w:val="center"/>
          </w:tcPr>
          <w:p w14:paraId="7AD2E1C3"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072BF752" w14:textId="77777777" w:rsidR="00A612E2" w:rsidRPr="003B127D" w:rsidRDefault="00A612E2" w:rsidP="00742B81">
            <w:pPr>
              <w:jc w:val="center"/>
              <w:rPr>
                <w:noProof/>
                <w:color w:val="006100"/>
                <w:sz w:val="20"/>
                <w:szCs w:val="20"/>
              </w:rPr>
            </w:pPr>
            <w:r>
              <w:rPr>
                <w:noProof/>
                <w:color w:val="006100"/>
                <w:sz w:val="20"/>
              </w:rPr>
              <w:t>1 Gbit/s ühendusega majanumbrid</w:t>
            </w:r>
          </w:p>
        </w:tc>
      </w:tr>
      <w:tr w:rsidR="00A612E2" w:rsidRPr="00D90835" w14:paraId="5B1EC205"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7E0E2A8" w14:textId="77777777" w:rsidR="00A612E2" w:rsidRPr="00246CC4" w:rsidRDefault="00A612E2" w:rsidP="00742B81">
            <w:pPr>
              <w:jc w:val="center"/>
              <w:rPr>
                <w:noProof/>
                <w:color w:val="006100"/>
                <w:sz w:val="20"/>
                <w:szCs w:val="20"/>
              </w:rPr>
            </w:pPr>
            <w:r>
              <w:rPr>
                <w:noProof/>
                <w:color w:val="006100"/>
                <w:sz w:val="20"/>
              </w:rPr>
              <w:t>M1C2-18</w:t>
            </w:r>
          </w:p>
        </w:tc>
        <w:tc>
          <w:tcPr>
            <w:tcW w:w="3090" w:type="dxa"/>
            <w:tcBorders>
              <w:top w:val="nil"/>
              <w:left w:val="nil"/>
              <w:bottom w:val="single" w:sz="4" w:space="0" w:color="auto"/>
              <w:right w:val="single" w:sz="4" w:space="0" w:color="auto"/>
            </w:tcBorders>
            <w:shd w:val="clear" w:color="auto" w:fill="C6EFCE"/>
            <w:noWrap/>
            <w:vAlign w:val="center"/>
          </w:tcPr>
          <w:p w14:paraId="5963F543" w14:textId="77777777" w:rsidR="00A612E2" w:rsidRPr="003B127D" w:rsidRDefault="00A612E2" w:rsidP="008B3890">
            <w:pPr>
              <w:rPr>
                <w:noProof/>
                <w:color w:val="006100"/>
                <w:sz w:val="20"/>
                <w:szCs w:val="20"/>
              </w:rPr>
            </w:pPr>
            <w:r>
              <w:rPr>
                <w:noProof/>
                <w:color w:val="006100"/>
                <w:sz w:val="20"/>
              </w:rPr>
              <w:t>Investeering 3. Kiire internetiühendus (Ultra lairibaühendus ja 5G)</w:t>
            </w:r>
          </w:p>
        </w:tc>
        <w:tc>
          <w:tcPr>
            <w:tcW w:w="1498" w:type="dxa"/>
            <w:tcBorders>
              <w:top w:val="nil"/>
              <w:left w:val="nil"/>
              <w:bottom w:val="single" w:sz="4" w:space="0" w:color="auto"/>
              <w:right w:val="single" w:sz="4" w:space="0" w:color="auto"/>
            </w:tcBorders>
            <w:shd w:val="clear" w:color="auto" w:fill="C6EFCE"/>
            <w:noWrap/>
            <w:vAlign w:val="center"/>
          </w:tcPr>
          <w:p w14:paraId="6AC4E7F3"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1F03429A" w14:textId="77777777" w:rsidR="00A612E2" w:rsidRPr="003B127D" w:rsidRDefault="00A612E2" w:rsidP="00742B81">
            <w:pPr>
              <w:jc w:val="center"/>
              <w:rPr>
                <w:noProof/>
                <w:color w:val="006100"/>
                <w:sz w:val="20"/>
                <w:szCs w:val="20"/>
              </w:rPr>
            </w:pPr>
            <w:r>
              <w:rPr>
                <w:noProof/>
                <w:color w:val="006100"/>
                <w:sz w:val="20"/>
              </w:rPr>
              <w:t>1 Gbit/s ühendusega koolihooned ja tervishoiuasutused</w:t>
            </w:r>
          </w:p>
        </w:tc>
      </w:tr>
      <w:tr w:rsidR="00A612E2" w:rsidRPr="00D90835" w14:paraId="757A6D3D"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6061CDF" w14:textId="77777777" w:rsidR="00A612E2" w:rsidRPr="00246CC4" w:rsidRDefault="00A612E2" w:rsidP="00742B81">
            <w:pPr>
              <w:jc w:val="center"/>
              <w:rPr>
                <w:noProof/>
                <w:color w:val="006100"/>
                <w:sz w:val="20"/>
                <w:szCs w:val="20"/>
              </w:rPr>
            </w:pPr>
            <w:r>
              <w:rPr>
                <w:noProof/>
                <w:color w:val="006100"/>
                <w:sz w:val="20"/>
              </w:rPr>
              <w:t>M1C2-20</w:t>
            </w:r>
          </w:p>
        </w:tc>
        <w:tc>
          <w:tcPr>
            <w:tcW w:w="3090" w:type="dxa"/>
            <w:tcBorders>
              <w:top w:val="nil"/>
              <w:left w:val="nil"/>
              <w:bottom w:val="single" w:sz="4" w:space="0" w:color="auto"/>
              <w:right w:val="single" w:sz="4" w:space="0" w:color="auto"/>
            </w:tcBorders>
            <w:shd w:val="clear" w:color="auto" w:fill="C6EFCE"/>
            <w:noWrap/>
            <w:vAlign w:val="center"/>
          </w:tcPr>
          <w:p w14:paraId="738E75CB" w14:textId="77777777" w:rsidR="00A612E2" w:rsidRPr="003B127D" w:rsidRDefault="00A612E2" w:rsidP="008B3890">
            <w:pPr>
              <w:rPr>
                <w:noProof/>
                <w:color w:val="006100"/>
                <w:sz w:val="20"/>
                <w:szCs w:val="20"/>
              </w:rPr>
            </w:pPr>
            <w:r>
              <w:rPr>
                <w:noProof/>
                <w:color w:val="006100"/>
                <w:sz w:val="20"/>
              </w:rPr>
              <w:t>Investeering 3. Kiire internetiühendus (Ultra lairibaühendus ja 5G)</w:t>
            </w:r>
          </w:p>
        </w:tc>
        <w:tc>
          <w:tcPr>
            <w:tcW w:w="1498" w:type="dxa"/>
            <w:tcBorders>
              <w:top w:val="nil"/>
              <w:left w:val="nil"/>
              <w:bottom w:val="single" w:sz="4" w:space="0" w:color="auto"/>
              <w:right w:val="single" w:sz="4" w:space="0" w:color="auto"/>
            </w:tcBorders>
            <w:shd w:val="clear" w:color="auto" w:fill="C6EFCE"/>
            <w:noWrap/>
            <w:vAlign w:val="center"/>
          </w:tcPr>
          <w:p w14:paraId="3B49E455"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1CC966D3" w14:textId="77777777" w:rsidR="00A612E2" w:rsidRPr="003B127D" w:rsidRDefault="00A612E2" w:rsidP="00742B81">
            <w:pPr>
              <w:jc w:val="center"/>
              <w:rPr>
                <w:noProof/>
                <w:color w:val="006100"/>
                <w:sz w:val="20"/>
                <w:szCs w:val="20"/>
              </w:rPr>
            </w:pPr>
            <w:r>
              <w:rPr>
                <w:noProof/>
                <w:color w:val="006100"/>
                <w:sz w:val="20"/>
              </w:rPr>
              <w:t>Linnavälised teed ja 5G levialaga koridorid</w:t>
            </w:r>
          </w:p>
        </w:tc>
      </w:tr>
      <w:tr w:rsidR="00A612E2" w:rsidRPr="00D90835" w14:paraId="2527A647"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4BDAD06" w14:textId="77777777" w:rsidR="00A612E2" w:rsidRPr="00246CC4" w:rsidRDefault="00A612E2" w:rsidP="00742B81">
            <w:pPr>
              <w:jc w:val="center"/>
              <w:rPr>
                <w:noProof/>
                <w:color w:val="006100"/>
                <w:sz w:val="20"/>
                <w:szCs w:val="20"/>
              </w:rPr>
            </w:pPr>
            <w:r>
              <w:rPr>
                <w:noProof/>
                <w:color w:val="006100"/>
                <w:sz w:val="20"/>
              </w:rPr>
              <w:t>M1C2-21</w:t>
            </w:r>
          </w:p>
        </w:tc>
        <w:tc>
          <w:tcPr>
            <w:tcW w:w="3090" w:type="dxa"/>
            <w:tcBorders>
              <w:top w:val="nil"/>
              <w:left w:val="nil"/>
              <w:bottom w:val="single" w:sz="4" w:space="0" w:color="auto"/>
              <w:right w:val="single" w:sz="4" w:space="0" w:color="auto"/>
            </w:tcBorders>
            <w:shd w:val="clear" w:color="auto" w:fill="C6EFCE"/>
            <w:noWrap/>
            <w:vAlign w:val="center"/>
          </w:tcPr>
          <w:p w14:paraId="2BA3C6BA" w14:textId="77777777" w:rsidR="00A612E2" w:rsidRPr="003B127D" w:rsidRDefault="00A612E2" w:rsidP="008B3890">
            <w:pPr>
              <w:rPr>
                <w:noProof/>
                <w:color w:val="006100"/>
                <w:sz w:val="20"/>
                <w:szCs w:val="20"/>
              </w:rPr>
            </w:pPr>
            <w:r>
              <w:rPr>
                <w:noProof/>
                <w:color w:val="006100"/>
                <w:sz w:val="20"/>
              </w:rPr>
              <w:t>Investeering 3. Kiire internetiühendus (Ultra lairibaühendus ja 5G)</w:t>
            </w:r>
          </w:p>
        </w:tc>
        <w:tc>
          <w:tcPr>
            <w:tcW w:w="1498" w:type="dxa"/>
            <w:tcBorders>
              <w:top w:val="nil"/>
              <w:left w:val="nil"/>
              <w:bottom w:val="single" w:sz="4" w:space="0" w:color="auto"/>
              <w:right w:val="single" w:sz="4" w:space="0" w:color="auto"/>
            </w:tcBorders>
            <w:shd w:val="clear" w:color="auto" w:fill="C6EFCE"/>
            <w:noWrap/>
            <w:vAlign w:val="center"/>
          </w:tcPr>
          <w:p w14:paraId="450B97AD"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68C693F9" w14:textId="77777777" w:rsidR="00A612E2" w:rsidRPr="003B127D" w:rsidRDefault="00A612E2" w:rsidP="00742B81">
            <w:pPr>
              <w:jc w:val="center"/>
              <w:rPr>
                <w:noProof/>
                <w:color w:val="006100"/>
                <w:sz w:val="20"/>
                <w:szCs w:val="20"/>
              </w:rPr>
            </w:pPr>
            <w:r>
              <w:rPr>
                <w:noProof/>
                <w:color w:val="006100"/>
                <w:sz w:val="20"/>
              </w:rPr>
              <w:t>Turutõrgete valdkonnad, kus on võimalik kasutada 5G leviala</w:t>
            </w:r>
          </w:p>
        </w:tc>
      </w:tr>
      <w:tr w:rsidR="00A612E2" w:rsidRPr="00D90835" w14:paraId="7D78E00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D22BE11" w14:textId="77777777" w:rsidR="00A612E2" w:rsidRPr="00246CC4" w:rsidRDefault="00A612E2" w:rsidP="00742B81">
            <w:pPr>
              <w:jc w:val="center"/>
              <w:rPr>
                <w:noProof/>
                <w:color w:val="006100"/>
                <w:sz w:val="20"/>
                <w:szCs w:val="20"/>
              </w:rPr>
            </w:pPr>
            <w:r>
              <w:rPr>
                <w:noProof/>
                <w:color w:val="006100"/>
                <w:sz w:val="20"/>
              </w:rPr>
              <w:t>M1C2-23</w:t>
            </w:r>
          </w:p>
        </w:tc>
        <w:tc>
          <w:tcPr>
            <w:tcW w:w="3090" w:type="dxa"/>
            <w:tcBorders>
              <w:top w:val="nil"/>
              <w:left w:val="nil"/>
              <w:bottom w:val="single" w:sz="4" w:space="0" w:color="auto"/>
              <w:right w:val="single" w:sz="4" w:space="0" w:color="auto"/>
            </w:tcBorders>
            <w:shd w:val="clear" w:color="auto" w:fill="C6EFCE"/>
            <w:noWrap/>
            <w:vAlign w:val="center"/>
          </w:tcPr>
          <w:p w14:paraId="38E28EEF" w14:textId="77777777" w:rsidR="00A612E2" w:rsidRPr="003B127D" w:rsidRDefault="00A612E2" w:rsidP="008B3890">
            <w:pPr>
              <w:rPr>
                <w:noProof/>
                <w:color w:val="006100"/>
                <w:sz w:val="20"/>
                <w:szCs w:val="20"/>
              </w:rPr>
            </w:pPr>
            <w:r>
              <w:rPr>
                <w:noProof/>
                <w:color w:val="006100"/>
                <w:sz w:val="20"/>
              </w:rPr>
              <w:t>Investeering 4. Satelliittehnoloogia ja kosmosemajandus</w:t>
            </w:r>
          </w:p>
        </w:tc>
        <w:tc>
          <w:tcPr>
            <w:tcW w:w="1498" w:type="dxa"/>
            <w:tcBorders>
              <w:top w:val="nil"/>
              <w:left w:val="nil"/>
              <w:bottom w:val="single" w:sz="4" w:space="0" w:color="auto"/>
              <w:right w:val="single" w:sz="4" w:space="0" w:color="auto"/>
            </w:tcBorders>
            <w:shd w:val="clear" w:color="auto" w:fill="C6EFCE"/>
            <w:noWrap/>
            <w:vAlign w:val="center"/>
          </w:tcPr>
          <w:p w14:paraId="66922AEF"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1085F0F0" w14:textId="77777777" w:rsidR="00A612E2" w:rsidRPr="003B127D" w:rsidRDefault="00A612E2" w:rsidP="00742B81">
            <w:pPr>
              <w:jc w:val="center"/>
              <w:rPr>
                <w:noProof/>
                <w:color w:val="006100"/>
                <w:sz w:val="20"/>
                <w:szCs w:val="20"/>
              </w:rPr>
            </w:pPr>
            <w:r>
              <w:rPr>
                <w:noProof/>
                <w:color w:val="006100"/>
                <w:sz w:val="20"/>
              </w:rPr>
              <w:t>Kasutatakse maapealseid teleskoope, toimivat SST keskust, kosmosetehast ja vedela jõuseadme näidisseadmeid</w:t>
            </w:r>
          </w:p>
        </w:tc>
      </w:tr>
      <w:tr w:rsidR="00A612E2" w:rsidRPr="00D90835" w14:paraId="73BAAE0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138741F" w14:textId="77777777" w:rsidR="00A612E2" w:rsidRPr="00246CC4" w:rsidRDefault="00A612E2" w:rsidP="00742B81">
            <w:pPr>
              <w:jc w:val="center"/>
              <w:rPr>
                <w:noProof/>
                <w:color w:val="006100"/>
                <w:sz w:val="20"/>
                <w:szCs w:val="20"/>
              </w:rPr>
            </w:pPr>
            <w:r>
              <w:rPr>
                <w:noProof/>
                <w:color w:val="006100"/>
                <w:sz w:val="20"/>
              </w:rPr>
              <w:t>M1C2-24</w:t>
            </w:r>
          </w:p>
        </w:tc>
        <w:tc>
          <w:tcPr>
            <w:tcW w:w="3090" w:type="dxa"/>
            <w:tcBorders>
              <w:top w:val="nil"/>
              <w:left w:val="nil"/>
              <w:bottom w:val="single" w:sz="4" w:space="0" w:color="auto"/>
              <w:right w:val="single" w:sz="4" w:space="0" w:color="auto"/>
            </w:tcBorders>
            <w:shd w:val="clear" w:color="auto" w:fill="C6EFCE"/>
            <w:noWrap/>
            <w:vAlign w:val="center"/>
          </w:tcPr>
          <w:p w14:paraId="0DCB86A2" w14:textId="77777777" w:rsidR="00A612E2" w:rsidRPr="003B127D" w:rsidRDefault="00A612E2" w:rsidP="008B3890">
            <w:pPr>
              <w:rPr>
                <w:noProof/>
                <w:color w:val="006100"/>
                <w:sz w:val="20"/>
                <w:szCs w:val="20"/>
              </w:rPr>
            </w:pPr>
            <w:r>
              <w:rPr>
                <w:noProof/>
                <w:color w:val="006100"/>
                <w:sz w:val="20"/>
              </w:rPr>
              <w:t>Investeering 4. Satelliittehnoloogia ja kosmosemajandus</w:t>
            </w:r>
          </w:p>
        </w:tc>
        <w:tc>
          <w:tcPr>
            <w:tcW w:w="1498" w:type="dxa"/>
            <w:tcBorders>
              <w:top w:val="nil"/>
              <w:left w:val="nil"/>
              <w:bottom w:val="single" w:sz="4" w:space="0" w:color="auto"/>
              <w:right w:val="single" w:sz="4" w:space="0" w:color="auto"/>
            </w:tcBorders>
            <w:shd w:val="clear" w:color="auto" w:fill="C6EFCE"/>
            <w:noWrap/>
            <w:vAlign w:val="center"/>
          </w:tcPr>
          <w:p w14:paraId="53F89F43"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04029FD7" w14:textId="77777777" w:rsidR="00A612E2" w:rsidRPr="003B127D" w:rsidRDefault="00A612E2" w:rsidP="00742B81">
            <w:pPr>
              <w:jc w:val="center"/>
              <w:rPr>
                <w:noProof/>
                <w:color w:val="006100"/>
                <w:sz w:val="20"/>
                <w:szCs w:val="20"/>
              </w:rPr>
            </w:pPr>
            <w:r>
              <w:rPr>
                <w:noProof/>
                <w:color w:val="006100"/>
                <w:sz w:val="20"/>
              </w:rPr>
              <w:t>Kasutatavad konstellatsioonid või konstellatsiooni kontseptsiooni tõendamine</w:t>
            </w:r>
          </w:p>
        </w:tc>
      </w:tr>
      <w:tr w:rsidR="00A612E2" w:rsidRPr="00D90835" w14:paraId="202B7CC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BB43CB4" w14:textId="77777777" w:rsidR="00A612E2" w:rsidRPr="00246CC4" w:rsidRDefault="00A612E2" w:rsidP="00742B81">
            <w:pPr>
              <w:jc w:val="center"/>
              <w:rPr>
                <w:noProof/>
                <w:color w:val="006100"/>
                <w:sz w:val="20"/>
                <w:szCs w:val="20"/>
              </w:rPr>
            </w:pPr>
            <w:r>
              <w:rPr>
                <w:noProof/>
                <w:color w:val="006100"/>
                <w:sz w:val="20"/>
              </w:rPr>
              <w:t>M1C2-25</w:t>
            </w:r>
          </w:p>
        </w:tc>
        <w:tc>
          <w:tcPr>
            <w:tcW w:w="3090" w:type="dxa"/>
            <w:tcBorders>
              <w:top w:val="nil"/>
              <w:left w:val="nil"/>
              <w:bottom w:val="single" w:sz="4" w:space="0" w:color="auto"/>
              <w:right w:val="single" w:sz="4" w:space="0" w:color="auto"/>
            </w:tcBorders>
            <w:shd w:val="clear" w:color="auto" w:fill="C6EFCE"/>
            <w:noWrap/>
            <w:vAlign w:val="center"/>
          </w:tcPr>
          <w:p w14:paraId="2C89BBB4" w14:textId="77777777" w:rsidR="00A612E2" w:rsidRPr="003B127D" w:rsidRDefault="00A612E2" w:rsidP="008B3890">
            <w:pPr>
              <w:rPr>
                <w:noProof/>
                <w:color w:val="006100"/>
                <w:sz w:val="20"/>
                <w:szCs w:val="20"/>
              </w:rPr>
            </w:pPr>
            <w:r>
              <w:rPr>
                <w:noProof/>
                <w:color w:val="006100"/>
                <w:sz w:val="20"/>
              </w:rPr>
              <w:t>Investeering 4. Satelliittehnoloogia ja kosmosemajandus</w:t>
            </w:r>
          </w:p>
        </w:tc>
        <w:tc>
          <w:tcPr>
            <w:tcW w:w="1498" w:type="dxa"/>
            <w:tcBorders>
              <w:top w:val="nil"/>
              <w:left w:val="nil"/>
              <w:bottom w:val="single" w:sz="4" w:space="0" w:color="auto"/>
              <w:right w:val="single" w:sz="4" w:space="0" w:color="auto"/>
            </w:tcBorders>
            <w:shd w:val="clear" w:color="auto" w:fill="C6EFCE"/>
            <w:noWrap/>
            <w:vAlign w:val="center"/>
          </w:tcPr>
          <w:p w14:paraId="3AF2BAF6"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0CFB4FA7" w14:textId="77777777" w:rsidR="00A612E2" w:rsidRPr="003B127D" w:rsidRDefault="00A612E2" w:rsidP="00742B81">
            <w:pPr>
              <w:jc w:val="center"/>
              <w:rPr>
                <w:noProof/>
                <w:color w:val="006100"/>
                <w:sz w:val="20"/>
                <w:szCs w:val="20"/>
              </w:rPr>
            </w:pPr>
            <w:r>
              <w:rPr>
                <w:noProof/>
                <w:color w:val="006100"/>
                <w:sz w:val="20"/>
              </w:rPr>
              <w:t>Haldusasutustele osutatavad teenused</w:t>
            </w:r>
          </w:p>
        </w:tc>
      </w:tr>
      <w:tr w:rsidR="00A612E2" w:rsidRPr="00D90835" w14:paraId="3959CBB5"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F5FBB16" w14:textId="77777777" w:rsidR="00A612E2" w:rsidRPr="00246CC4" w:rsidRDefault="00A612E2" w:rsidP="00742B81">
            <w:pPr>
              <w:jc w:val="center"/>
              <w:rPr>
                <w:noProof/>
                <w:color w:val="006100"/>
                <w:sz w:val="20"/>
                <w:szCs w:val="20"/>
              </w:rPr>
            </w:pPr>
            <w:r>
              <w:rPr>
                <w:noProof/>
                <w:color w:val="006100"/>
                <w:sz w:val="20"/>
              </w:rPr>
              <w:t>M1C2-32</w:t>
            </w:r>
          </w:p>
        </w:tc>
        <w:tc>
          <w:tcPr>
            <w:tcW w:w="3090" w:type="dxa"/>
            <w:tcBorders>
              <w:top w:val="nil"/>
              <w:left w:val="nil"/>
              <w:bottom w:val="single" w:sz="4" w:space="0" w:color="auto"/>
              <w:right w:val="single" w:sz="4" w:space="0" w:color="auto"/>
            </w:tcBorders>
            <w:shd w:val="clear" w:color="auto" w:fill="C6EFCE"/>
            <w:noWrap/>
            <w:vAlign w:val="center"/>
          </w:tcPr>
          <w:p w14:paraId="56990312" w14:textId="77777777" w:rsidR="00A612E2" w:rsidRPr="003B127D" w:rsidRDefault="00A612E2" w:rsidP="008B3890">
            <w:pPr>
              <w:rPr>
                <w:noProof/>
                <w:color w:val="006100"/>
                <w:sz w:val="20"/>
                <w:szCs w:val="20"/>
              </w:rPr>
            </w:pPr>
            <w:r>
              <w:rPr>
                <w:noProof/>
                <w:color w:val="006100"/>
                <w:sz w:val="20"/>
              </w:rPr>
              <w:t>Investeering 7. Ökoloogilise ülemineku tootmissüsteemi, nullnetotehnoloogia ning strateegiliste tarneahelate konkurentsivõime ja vastupanuvõime toetamine</w:t>
            </w:r>
          </w:p>
        </w:tc>
        <w:tc>
          <w:tcPr>
            <w:tcW w:w="1498" w:type="dxa"/>
            <w:tcBorders>
              <w:top w:val="nil"/>
              <w:left w:val="nil"/>
              <w:bottom w:val="single" w:sz="4" w:space="0" w:color="auto"/>
              <w:right w:val="single" w:sz="4" w:space="0" w:color="auto"/>
            </w:tcBorders>
            <w:shd w:val="clear" w:color="auto" w:fill="C6EFCE"/>
            <w:noWrap/>
            <w:vAlign w:val="center"/>
          </w:tcPr>
          <w:p w14:paraId="4717BFB3" w14:textId="77777777" w:rsidR="00A612E2" w:rsidRPr="00246CC4" w:rsidRDefault="00A612E2" w:rsidP="00742B81">
            <w:pP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75222106" w14:textId="77777777" w:rsidR="00A612E2" w:rsidRPr="003B127D" w:rsidRDefault="00A612E2" w:rsidP="00BF17BA">
            <w:pPr>
              <w:jc w:val="center"/>
              <w:rPr>
                <w:noProof/>
                <w:color w:val="006100"/>
                <w:sz w:val="20"/>
                <w:szCs w:val="20"/>
              </w:rPr>
            </w:pPr>
            <w:r>
              <w:rPr>
                <w:noProof/>
                <w:color w:val="006100"/>
                <w:sz w:val="20"/>
              </w:rPr>
              <w:t>Lõplike abisaajatega sõlmitud õiguslikud lepingud</w:t>
            </w:r>
          </w:p>
        </w:tc>
      </w:tr>
      <w:tr w:rsidR="00A612E2" w:rsidRPr="00D90835" w14:paraId="0F91AFAB"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4E8A137" w14:textId="77777777" w:rsidR="00A612E2" w:rsidRPr="00246CC4" w:rsidRDefault="00A612E2" w:rsidP="00742B81">
            <w:pPr>
              <w:jc w:val="center"/>
              <w:rPr>
                <w:noProof/>
                <w:color w:val="006100"/>
                <w:sz w:val="20"/>
                <w:szCs w:val="20"/>
              </w:rPr>
            </w:pPr>
            <w:r>
              <w:rPr>
                <w:noProof/>
                <w:color w:val="006100"/>
                <w:sz w:val="20"/>
              </w:rPr>
              <w:t>M1C3-21</w:t>
            </w:r>
          </w:p>
        </w:tc>
        <w:tc>
          <w:tcPr>
            <w:tcW w:w="3090" w:type="dxa"/>
            <w:tcBorders>
              <w:top w:val="nil"/>
              <w:left w:val="nil"/>
              <w:bottom w:val="single" w:sz="4" w:space="0" w:color="auto"/>
              <w:right w:val="single" w:sz="4" w:space="0" w:color="auto"/>
            </w:tcBorders>
            <w:shd w:val="clear" w:color="auto" w:fill="C6EFCE"/>
            <w:noWrap/>
            <w:vAlign w:val="center"/>
          </w:tcPr>
          <w:p w14:paraId="2B7D993E" w14:textId="77777777" w:rsidR="00A612E2" w:rsidRPr="003B127D" w:rsidRDefault="00A612E2" w:rsidP="008B3890">
            <w:pPr>
              <w:rPr>
                <w:noProof/>
                <w:color w:val="006100"/>
                <w:sz w:val="20"/>
                <w:szCs w:val="20"/>
              </w:rPr>
            </w:pPr>
            <w:r>
              <w:rPr>
                <w:noProof/>
                <w:color w:val="006100"/>
                <w:sz w:val="20"/>
              </w:rPr>
              <w:t>Investeering 3.2. Filmitööstuse arendamine (Cinecittà projekt)</w:t>
            </w:r>
          </w:p>
        </w:tc>
        <w:tc>
          <w:tcPr>
            <w:tcW w:w="1498" w:type="dxa"/>
            <w:tcBorders>
              <w:top w:val="nil"/>
              <w:left w:val="nil"/>
              <w:bottom w:val="single" w:sz="4" w:space="0" w:color="auto"/>
              <w:right w:val="single" w:sz="4" w:space="0" w:color="auto"/>
            </w:tcBorders>
            <w:shd w:val="clear" w:color="auto" w:fill="C6EFCE"/>
            <w:noWrap/>
            <w:vAlign w:val="center"/>
          </w:tcPr>
          <w:p w14:paraId="0C6CA656"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3F35D74E" w14:textId="77777777" w:rsidR="00A612E2" w:rsidRPr="003B127D" w:rsidRDefault="00A612E2" w:rsidP="00742B81">
            <w:pPr>
              <w:jc w:val="center"/>
              <w:rPr>
                <w:noProof/>
                <w:color w:val="006100"/>
                <w:sz w:val="20"/>
                <w:szCs w:val="20"/>
              </w:rPr>
            </w:pPr>
            <w:r>
              <w:rPr>
                <w:noProof/>
                <w:color w:val="006100"/>
                <w:sz w:val="20"/>
              </w:rPr>
              <w:t>Nende stuudiote arv, mille ümberkvalifitseerimise, moderniseerimise ja ehitamisega seotud tööd on lõpetatud</w:t>
            </w:r>
          </w:p>
        </w:tc>
      </w:tr>
      <w:tr w:rsidR="00A612E2" w:rsidRPr="00D90835" w14:paraId="06019993"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30CEEE9" w14:textId="77777777" w:rsidR="00A612E2" w:rsidRPr="00246CC4" w:rsidRDefault="00A612E2" w:rsidP="00742B81">
            <w:pPr>
              <w:jc w:val="center"/>
              <w:rPr>
                <w:noProof/>
                <w:color w:val="006100"/>
                <w:sz w:val="20"/>
                <w:szCs w:val="20"/>
              </w:rPr>
            </w:pPr>
            <w:r>
              <w:rPr>
                <w:noProof/>
                <w:color w:val="006100"/>
                <w:sz w:val="20"/>
              </w:rPr>
              <w:t>M1C3-36</w:t>
            </w:r>
          </w:p>
        </w:tc>
        <w:tc>
          <w:tcPr>
            <w:tcW w:w="3090" w:type="dxa"/>
            <w:tcBorders>
              <w:top w:val="nil"/>
              <w:left w:val="nil"/>
              <w:bottom w:val="single" w:sz="4" w:space="0" w:color="auto"/>
              <w:right w:val="single" w:sz="4" w:space="0" w:color="auto"/>
            </w:tcBorders>
            <w:shd w:val="clear" w:color="auto" w:fill="C6EFCE"/>
            <w:noWrap/>
            <w:vAlign w:val="center"/>
          </w:tcPr>
          <w:p w14:paraId="02365EE7" w14:textId="77777777" w:rsidR="00A612E2" w:rsidRPr="003B127D" w:rsidRDefault="00A612E2" w:rsidP="008B3890">
            <w:pPr>
              <w:rPr>
                <w:noProof/>
                <w:color w:val="006100"/>
                <w:sz w:val="20"/>
                <w:szCs w:val="20"/>
              </w:rPr>
            </w:pPr>
            <w:r>
              <w:rPr>
                <w:noProof/>
                <w:color w:val="006100"/>
                <w:sz w:val="20"/>
              </w:rPr>
              <w:t>Investeering 4.3. Caput Mundi Next Generation EU turismialastele suurüritustele</w:t>
            </w:r>
          </w:p>
        </w:tc>
        <w:tc>
          <w:tcPr>
            <w:tcW w:w="1498" w:type="dxa"/>
            <w:tcBorders>
              <w:top w:val="nil"/>
              <w:left w:val="nil"/>
              <w:bottom w:val="single" w:sz="4" w:space="0" w:color="auto"/>
              <w:right w:val="single" w:sz="4" w:space="0" w:color="auto"/>
            </w:tcBorders>
            <w:shd w:val="clear" w:color="auto" w:fill="C6EFCE"/>
            <w:noWrap/>
            <w:vAlign w:val="center"/>
          </w:tcPr>
          <w:p w14:paraId="7AE379DD"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03C70B1A" w14:textId="77777777" w:rsidR="00A612E2" w:rsidRPr="003B127D" w:rsidRDefault="00A612E2" w:rsidP="00742B81">
            <w:pPr>
              <w:jc w:val="center"/>
              <w:rPr>
                <w:noProof/>
                <w:color w:val="006100"/>
                <w:sz w:val="20"/>
                <w:szCs w:val="20"/>
              </w:rPr>
            </w:pPr>
            <w:r>
              <w:rPr>
                <w:noProof/>
                <w:color w:val="006100"/>
                <w:sz w:val="20"/>
              </w:rPr>
              <w:t xml:space="preserve">Nende kultuuri- ja turismiobjektide arv, mille ümberkvalifikatsioon on lõpetatud </w:t>
            </w:r>
          </w:p>
        </w:tc>
      </w:tr>
      <w:tr w:rsidR="00A612E2" w:rsidRPr="00246CC4" w14:paraId="7F98AA6D"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66D4791" w14:textId="77777777" w:rsidR="00A612E2" w:rsidRPr="00246CC4" w:rsidRDefault="00A612E2" w:rsidP="00742B81">
            <w:pPr>
              <w:jc w:val="center"/>
              <w:rPr>
                <w:noProof/>
                <w:color w:val="006100"/>
                <w:sz w:val="20"/>
                <w:szCs w:val="20"/>
              </w:rPr>
            </w:pPr>
            <w:r>
              <w:rPr>
                <w:noProof/>
                <w:color w:val="006100"/>
                <w:sz w:val="20"/>
              </w:rPr>
              <w:t>M2C1-16</w:t>
            </w:r>
          </w:p>
        </w:tc>
        <w:tc>
          <w:tcPr>
            <w:tcW w:w="3090" w:type="dxa"/>
            <w:tcBorders>
              <w:top w:val="nil"/>
              <w:left w:val="nil"/>
              <w:bottom w:val="single" w:sz="4" w:space="0" w:color="auto"/>
              <w:right w:val="single" w:sz="4" w:space="0" w:color="auto"/>
            </w:tcBorders>
            <w:shd w:val="clear" w:color="auto" w:fill="C6EFCE"/>
            <w:noWrap/>
            <w:vAlign w:val="center"/>
          </w:tcPr>
          <w:p w14:paraId="295F2AC4" w14:textId="7E19A33C" w:rsidR="00A612E2" w:rsidRPr="003B127D" w:rsidRDefault="00A612E2" w:rsidP="008B3890">
            <w:pPr>
              <w:rPr>
                <w:noProof/>
                <w:color w:val="006100"/>
                <w:sz w:val="20"/>
                <w:szCs w:val="20"/>
              </w:rPr>
            </w:pPr>
            <w:r>
              <w:rPr>
                <w:noProof/>
                <w:color w:val="006100"/>
                <w:sz w:val="20"/>
              </w:rPr>
              <w:t>Investeering 1.1. Uute jäätmekäitlusjaamade rakendamine ja olemasolevate rajatiste moderniseerimine</w:t>
            </w:r>
          </w:p>
        </w:tc>
        <w:tc>
          <w:tcPr>
            <w:tcW w:w="1498" w:type="dxa"/>
            <w:tcBorders>
              <w:top w:val="nil"/>
              <w:left w:val="nil"/>
              <w:bottom w:val="single" w:sz="4" w:space="0" w:color="auto"/>
              <w:right w:val="single" w:sz="4" w:space="0" w:color="auto"/>
            </w:tcBorders>
            <w:shd w:val="clear" w:color="auto" w:fill="C6EFCE"/>
            <w:noWrap/>
            <w:vAlign w:val="center"/>
          </w:tcPr>
          <w:p w14:paraId="42F877AC"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5113CC7D" w14:textId="77777777" w:rsidR="00A612E2" w:rsidRPr="00246CC4" w:rsidRDefault="00A612E2" w:rsidP="00742B81">
            <w:pPr>
              <w:jc w:val="center"/>
              <w:rPr>
                <w:noProof/>
                <w:color w:val="006100"/>
                <w:sz w:val="20"/>
                <w:szCs w:val="20"/>
              </w:rPr>
            </w:pPr>
            <w:r>
              <w:rPr>
                <w:noProof/>
                <w:color w:val="006100"/>
                <w:sz w:val="20"/>
              </w:rPr>
              <w:t xml:space="preserve">  Ebaseaduslikud prügilad</w:t>
            </w:r>
          </w:p>
        </w:tc>
      </w:tr>
      <w:tr w:rsidR="00A612E2" w:rsidRPr="00D90835" w14:paraId="205594F9"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ECF21B1" w14:textId="77777777" w:rsidR="00A612E2" w:rsidRPr="00246CC4" w:rsidRDefault="00A612E2" w:rsidP="00742B81">
            <w:pPr>
              <w:jc w:val="center"/>
              <w:rPr>
                <w:noProof/>
                <w:color w:val="006100"/>
                <w:sz w:val="20"/>
                <w:szCs w:val="20"/>
              </w:rPr>
            </w:pPr>
            <w:r>
              <w:rPr>
                <w:noProof/>
                <w:color w:val="006100"/>
                <w:sz w:val="20"/>
              </w:rPr>
              <w:t>M2C1-19</w:t>
            </w:r>
          </w:p>
        </w:tc>
        <w:tc>
          <w:tcPr>
            <w:tcW w:w="3090" w:type="dxa"/>
            <w:tcBorders>
              <w:top w:val="nil"/>
              <w:left w:val="nil"/>
              <w:bottom w:val="single" w:sz="4" w:space="0" w:color="auto"/>
              <w:right w:val="single" w:sz="4" w:space="0" w:color="auto"/>
            </w:tcBorders>
            <w:shd w:val="clear" w:color="auto" w:fill="C6EFCE"/>
            <w:noWrap/>
            <w:vAlign w:val="center"/>
          </w:tcPr>
          <w:p w14:paraId="0B4C5427" w14:textId="77777777" w:rsidR="00A612E2" w:rsidRPr="00246CC4" w:rsidRDefault="00A612E2" w:rsidP="008B3890">
            <w:pPr>
              <w:rPr>
                <w:noProof/>
                <w:color w:val="006100"/>
                <w:sz w:val="20"/>
                <w:szCs w:val="20"/>
              </w:rPr>
            </w:pPr>
            <w:r>
              <w:rPr>
                <w:noProof/>
                <w:color w:val="006100"/>
                <w:sz w:val="20"/>
              </w:rPr>
              <w:t>Investeering 3.1. Rohelised saared</w:t>
            </w:r>
          </w:p>
        </w:tc>
        <w:tc>
          <w:tcPr>
            <w:tcW w:w="1498" w:type="dxa"/>
            <w:tcBorders>
              <w:top w:val="nil"/>
              <w:left w:val="nil"/>
              <w:bottom w:val="single" w:sz="4" w:space="0" w:color="auto"/>
              <w:right w:val="single" w:sz="4" w:space="0" w:color="auto"/>
            </w:tcBorders>
            <w:shd w:val="clear" w:color="auto" w:fill="C6EFCE"/>
            <w:noWrap/>
            <w:vAlign w:val="center"/>
          </w:tcPr>
          <w:p w14:paraId="0A450F46"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16679F43" w14:textId="77777777" w:rsidR="00A612E2" w:rsidRPr="003B127D" w:rsidRDefault="00A612E2" w:rsidP="00742B81">
            <w:pPr>
              <w:jc w:val="center"/>
              <w:rPr>
                <w:noProof/>
                <w:color w:val="006100"/>
                <w:sz w:val="20"/>
                <w:szCs w:val="20"/>
              </w:rPr>
            </w:pPr>
            <w:r>
              <w:rPr>
                <w:noProof/>
                <w:color w:val="006100"/>
                <w:sz w:val="20"/>
              </w:rPr>
              <w:t>Integreeritud projektide rakendamine väikesaartel</w:t>
            </w:r>
          </w:p>
        </w:tc>
      </w:tr>
      <w:tr w:rsidR="00A612E2" w:rsidRPr="00D90835" w14:paraId="49A00053"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E40E0D0" w14:textId="77777777" w:rsidR="00A612E2" w:rsidRPr="00246CC4" w:rsidRDefault="00A612E2" w:rsidP="00742B81">
            <w:pPr>
              <w:jc w:val="center"/>
              <w:rPr>
                <w:noProof/>
                <w:color w:val="006100"/>
                <w:sz w:val="20"/>
                <w:szCs w:val="20"/>
              </w:rPr>
            </w:pPr>
            <w:r>
              <w:rPr>
                <w:noProof/>
                <w:color w:val="006100"/>
                <w:sz w:val="20"/>
              </w:rPr>
              <w:t>M2C1-21</w:t>
            </w:r>
          </w:p>
        </w:tc>
        <w:tc>
          <w:tcPr>
            <w:tcW w:w="3090" w:type="dxa"/>
            <w:tcBorders>
              <w:top w:val="nil"/>
              <w:left w:val="nil"/>
              <w:bottom w:val="single" w:sz="4" w:space="0" w:color="auto"/>
              <w:right w:val="single" w:sz="4" w:space="0" w:color="auto"/>
            </w:tcBorders>
            <w:shd w:val="clear" w:color="auto" w:fill="C6EFCE"/>
            <w:noWrap/>
            <w:vAlign w:val="center"/>
          </w:tcPr>
          <w:p w14:paraId="69FD428F" w14:textId="77777777" w:rsidR="00A612E2" w:rsidRPr="00246CC4" w:rsidRDefault="00A612E2" w:rsidP="008B3890">
            <w:pPr>
              <w:rPr>
                <w:noProof/>
                <w:color w:val="006100"/>
                <w:sz w:val="20"/>
                <w:szCs w:val="20"/>
              </w:rPr>
            </w:pPr>
            <w:r>
              <w:rPr>
                <w:noProof/>
                <w:color w:val="006100"/>
                <w:sz w:val="20"/>
              </w:rPr>
              <w:t>Investeering 3.2. Rohelised kogukonnad</w:t>
            </w:r>
          </w:p>
        </w:tc>
        <w:tc>
          <w:tcPr>
            <w:tcW w:w="1498" w:type="dxa"/>
            <w:tcBorders>
              <w:top w:val="nil"/>
              <w:left w:val="nil"/>
              <w:bottom w:val="single" w:sz="4" w:space="0" w:color="auto"/>
              <w:right w:val="single" w:sz="4" w:space="0" w:color="auto"/>
            </w:tcBorders>
            <w:shd w:val="clear" w:color="auto" w:fill="C6EFCE"/>
            <w:noWrap/>
            <w:vAlign w:val="center"/>
          </w:tcPr>
          <w:p w14:paraId="33EF4E3A"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7E98DE95" w14:textId="77777777" w:rsidR="00A612E2" w:rsidRPr="003B127D" w:rsidRDefault="00A612E2" w:rsidP="00742B81">
            <w:pPr>
              <w:jc w:val="center"/>
              <w:rPr>
                <w:noProof/>
                <w:color w:val="006100"/>
                <w:sz w:val="20"/>
                <w:szCs w:val="20"/>
              </w:rPr>
            </w:pPr>
            <w:r>
              <w:rPr>
                <w:noProof/>
                <w:color w:val="006100"/>
                <w:sz w:val="20"/>
              </w:rPr>
              <w:t>Roheliste kogukondade kavades esitatud sekkumiste rakendamine</w:t>
            </w:r>
          </w:p>
        </w:tc>
      </w:tr>
      <w:tr w:rsidR="00A612E2" w:rsidRPr="00D90835" w14:paraId="63A8E194"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A395648" w14:textId="77777777" w:rsidR="00A612E2" w:rsidRPr="00246CC4" w:rsidRDefault="00A612E2" w:rsidP="00742B81">
            <w:pPr>
              <w:jc w:val="center"/>
              <w:rPr>
                <w:noProof/>
                <w:color w:val="006100"/>
                <w:sz w:val="20"/>
                <w:szCs w:val="20"/>
              </w:rPr>
            </w:pPr>
            <w:r>
              <w:rPr>
                <w:noProof/>
                <w:color w:val="006100"/>
                <w:sz w:val="20"/>
              </w:rPr>
              <w:t>M2C1-24</w:t>
            </w:r>
          </w:p>
        </w:tc>
        <w:tc>
          <w:tcPr>
            <w:tcW w:w="3090" w:type="dxa"/>
            <w:tcBorders>
              <w:top w:val="nil"/>
              <w:left w:val="nil"/>
              <w:bottom w:val="single" w:sz="4" w:space="0" w:color="auto"/>
              <w:right w:val="single" w:sz="4" w:space="0" w:color="auto"/>
            </w:tcBorders>
            <w:shd w:val="clear" w:color="auto" w:fill="C6EFCE"/>
            <w:noWrap/>
            <w:vAlign w:val="center"/>
          </w:tcPr>
          <w:p w14:paraId="24AFD1BD" w14:textId="77777777" w:rsidR="00A612E2" w:rsidRPr="003B127D" w:rsidRDefault="00A612E2" w:rsidP="008B3890">
            <w:pPr>
              <w:rPr>
                <w:noProof/>
                <w:color w:val="006100"/>
                <w:sz w:val="20"/>
                <w:szCs w:val="20"/>
              </w:rPr>
            </w:pPr>
            <w:r>
              <w:rPr>
                <w:noProof/>
                <w:color w:val="006100"/>
                <w:sz w:val="20"/>
              </w:rPr>
              <w:t>Investeering 3.4. Fondo Contratti di Filiera (FCF), et toetada tarneahelalepinguid põllumajandusliku toidutööstuse, kalanduse ja vesiviljeluse, metsanduse, lillekasvatuse ja taimekoolide sektoris</w:t>
            </w:r>
          </w:p>
        </w:tc>
        <w:tc>
          <w:tcPr>
            <w:tcW w:w="1498" w:type="dxa"/>
            <w:tcBorders>
              <w:top w:val="nil"/>
              <w:left w:val="nil"/>
              <w:bottom w:val="single" w:sz="4" w:space="0" w:color="auto"/>
              <w:right w:val="single" w:sz="4" w:space="0" w:color="auto"/>
            </w:tcBorders>
            <w:shd w:val="clear" w:color="auto" w:fill="C6EFCE"/>
            <w:noWrap/>
            <w:vAlign w:val="center"/>
          </w:tcPr>
          <w:p w14:paraId="080E0160"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1C577ED1" w14:textId="77777777" w:rsidR="00A612E2" w:rsidRPr="003B127D" w:rsidRDefault="00A612E2" w:rsidP="00742B81">
            <w:pPr>
              <w:jc w:val="center"/>
              <w:rPr>
                <w:noProof/>
                <w:color w:val="006100"/>
                <w:sz w:val="20"/>
                <w:szCs w:val="20"/>
              </w:rPr>
            </w:pPr>
            <w:r>
              <w:rPr>
                <w:noProof/>
                <w:color w:val="006100"/>
                <w:sz w:val="20"/>
              </w:rPr>
              <w:t>Lõplike abisaajatega sõlmitud õiguslikud lepingud</w:t>
            </w:r>
          </w:p>
        </w:tc>
      </w:tr>
      <w:tr w:rsidR="00A612E2" w:rsidRPr="00246CC4" w14:paraId="333F43B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0E2D9CF" w14:textId="77777777" w:rsidR="00A612E2" w:rsidRPr="00246CC4" w:rsidRDefault="00A612E2" w:rsidP="00742B81">
            <w:pPr>
              <w:jc w:val="center"/>
              <w:rPr>
                <w:noProof/>
                <w:color w:val="006100"/>
                <w:sz w:val="20"/>
                <w:szCs w:val="20"/>
              </w:rPr>
            </w:pPr>
            <w:r>
              <w:rPr>
                <w:noProof/>
                <w:color w:val="006100"/>
                <w:sz w:val="20"/>
              </w:rPr>
              <w:t>M2C2-3</w:t>
            </w:r>
          </w:p>
        </w:tc>
        <w:tc>
          <w:tcPr>
            <w:tcW w:w="3090" w:type="dxa"/>
            <w:tcBorders>
              <w:top w:val="nil"/>
              <w:left w:val="nil"/>
              <w:bottom w:val="single" w:sz="4" w:space="0" w:color="auto"/>
              <w:right w:val="single" w:sz="4" w:space="0" w:color="auto"/>
            </w:tcBorders>
            <w:shd w:val="clear" w:color="auto" w:fill="C6EFCE"/>
            <w:noWrap/>
            <w:vAlign w:val="center"/>
          </w:tcPr>
          <w:p w14:paraId="79CABB61" w14:textId="77777777" w:rsidR="00A612E2" w:rsidRPr="003B127D" w:rsidRDefault="00A612E2" w:rsidP="008B3890">
            <w:pPr>
              <w:rPr>
                <w:noProof/>
                <w:color w:val="006100"/>
                <w:sz w:val="20"/>
                <w:szCs w:val="20"/>
              </w:rPr>
            </w:pPr>
            <w:r>
              <w:rPr>
                <w:noProof/>
                <w:color w:val="006100"/>
                <w:sz w:val="20"/>
              </w:rPr>
              <w:t>Investeering 1.4. Biometaani arendamine vastavalt ringmajanduse edendamise kriteeriumidele</w:t>
            </w:r>
          </w:p>
        </w:tc>
        <w:tc>
          <w:tcPr>
            <w:tcW w:w="1498" w:type="dxa"/>
            <w:tcBorders>
              <w:top w:val="nil"/>
              <w:left w:val="nil"/>
              <w:bottom w:val="single" w:sz="4" w:space="0" w:color="auto"/>
              <w:right w:val="single" w:sz="4" w:space="0" w:color="auto"/>
            </w:tcBorders>
            <w:shd w:val="clear" w:color="auto" w:fill="C6EFCE"/>
            <w:noWrap/>
            <w:vAlign w:val="center"/>
          </w:tcPr>
          <w:p w14:paraId="718368A1"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5951D402" w14:textId="77777777" w:rsidR="00A612E2" w:rsidRPr="00246CC4" w:rsidRDefault="00A612E2" w:rsidP="00742B81">
            <w:pPr>
              <w:jc w:val="center"/>
              <w:rPr>
                <w:noProof/>
                <w:color w:val="006100"/>
                <w:sz w:val="20"/>
                <w:szCs w:val="20"/>
              </w:rPr>
            </w:pPr>
            <w:r>
              <w:rPr>
                <w:noProof/>
                <w:color w:val="006100"/>
                <w:sz w:val="20"/>
              </w:rPr>
              <w:t>Põllumajandustraktorite asendamine</w:t>
            </w:r>
          </w:p>
        </w:tc>
      </w:tr>
      <w:tr w:rsidR="00A612E2" w:rsidRPr="00246CC4" w14:paraId="77DEA9C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D16A2E6" w14:textId="77777777" w:rsidR="00A612E2" w:rsidRPr="00246CC4" w:rsidRDefault="00A612E2" w:rsidP="00742B81">
            <w:pPr>
              <w:jc w:val="center"/>
              <w:rPr>
                <w:noProof/>
                <w:color w:val="006100"/>
                <w:sz w:val="20"/>
                <w:szCs w:val="20"/>
              </w:rPr>
            </w:pPr>
            <w:r>
              <w:rPr>
                <w:noProof/>
                <w:color w:val="006100"/>
                <w:sz w:val="20"/>
              </w:rPr>
              <w:t>M2C2-5</w:t>
            </w:r>
          </w:p>
        </w:tc>
        <w:tc>
          <w:tcPr>
            <w:tcW w:w="3090" w:type="dxa"/>
            <w:tcBorders>
              <w:top w:val="nil"/>
              <w:left w:val="nil"/>
              <w:bottom w:val="single" w:sz="4" w:space="0" w:color="auto"/>
              <w:right w:val="single" w:sz="4" w:space="0" w:color="auto"/>
            </w:tcBorders>
            <w:shd w:val="clear" w:color="auto" w:fill="C6EFCE"/>
            <w:noWrap/>
            <w:vAlign w:val="center"/>
          </w:tcPr>
          <w:p w14:paraId="087400FD" w14:textId="77777777" w:rsidR="00A612E2" w:rsidRPr="003B127D" w:rsidRDefault="00A612E2" w:rsidP="008B3890">
            <w:pPr>
              <w:rPr>
                <w:noProof/>
                <w:color w:val="006100"/>
                <w:sz w:val="20"/>
                <w:szCs w:val="20"/>
              </w:rPr>
            </w:pPr>
            <w:r>
              <w:rPr>
                <w:noProof/>
                <w:color w:val="006100"/>
                <w:sz w:val="20"/>
              </w:rPr>
              <w:t>Investeering 1.4. Biometaani arendamine vastavalt ringmajanduse edendamise kriteeriumidele</w:t>
            </w:r>
          </w:p>
        </w:tc>
        <w:tc>
          <w:tcPr>
            <w:tcW w:w="1498" w:type="dxa"/>
            <w:tcBorders>
              <w:top w:val="nil"/>
              <w:left w:val="nil"/>
              <w:bottom w:val="single" w:sz="4" w:space="0" w:color="auto"/>
              <w:right w:val="single" w:sz="4" w:space="0" w:color="auto"/>
            </w:tcBorders>
            <w:shd w:val="clear" w:color="auto" w:fill="C6EFCE"/>
            <w:noWrap/>
            <w:vAlign w:val="center"/>
          </w:tcPr>
          <w:p w14:paraId="65569C8F"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46C1120F" w14:textId="77777777" w:rsidR="00A612E2" w:rsidRPr="00246CC4" w:rsidRDefault="00A612E2" w:rsidP="00742B81">
            <w:pPr>
              <w:jc w:val="center"/>
              <w:rPr>
                <w:noProof/>
                <w:color w:val="006100"/>
                <w:sz w:val="20"/>
                <w:szCs w:val="20"/>
              </w:rPr>
            </w:pPr>
            <w:r>
              <w:rPr>
                <w:noProof/>
                <w:color w:val="006100"/>
                <w:sz w:val="20"/>
              </w:rPr>
              <w:t>Biometaani täiendav tootmine</w:t>
            </w:r>
          </w:p>
        </w:tc>
      </w:tr>
      <w:tr w:rsidR="00A612E2" w:rsidRPr="00D90835" w14:paraId="3ABC8594"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425344E" w14:textId="77777777" w:rsidR="00A612E2" w:rsidRPr="00246CC4" w:rsidRDefault="00A612E2" w:rsidP="00742B81">
            <w:pPr>
              <w:jc w:val="center"/>
              <w:rPr>
                <w:noProof/>
                <w:color w:val="006100"/>
                <w:sz w:val="20"/>
                <w:szCs w:val="20"/>
              </w:rPr>
            </w:pPr>
            <w:r>
              <w:rPr>
                <w:noProof/>
                <w:color w:val="006100"/>
                <w:sz w:val="20"/>
              </w:rPr>
              <w:t>M2C2-10</w:t>
            </w:r>
          </w:p>
        </w:tc>
        <w:tc>
          <w:tcPr>
            <w:tcW w:w="3090" w:type="dxa"/>
            <w:tcBorders>
              <w:top w:val="nil"/>
              <w:left w:val="nil"/>
              <w:bottom w:val="single" w:sz="4" w:space="0" w:color="auto"/>
              <w:right w:val="single" w:sz="4" w:space="0" w:color="auto"/>
            </w:tcBorders>
            <w:shd w:val="clear" w:color="auto" w:fill="C6EFCE"/>
            <w:noWrap/>
            <w:vAlign w:val="center"/>
          </w:tcPr>
          <w:p w14:paraId="1254608B" w14:textId="77777777" w:rsidR="00A612E2" w:rsidRPr="00246CC4" w:rsidRDefault="00A612E2" w:rsidP="008B3890">
            <w:pPr>
              <w:rPr>
                <w:noProof/>
                <w:color w:val="006100"/>
                <w:sz w:val="20"/>
                <w:szCs w:val="20"/>
              </w:rPr>
            </w:pPr>
            <w:r>
              <w:rPr>
                <w:noProof/>
                <w:color w:val="006100"/>
                <w:sz w:val="20"/>
              </w:rPr>
              <w:t>Investeering 2.1. Arukate võrkude tugevdamine</w:t>
            </w:r>
          </w:p>
        </w:tc>
        <w:tc>
          <w:tcPr>
            <w:tcW w:w="1498" w:type="dxa"/>
            <w:tcBorders>
              <w:top w:val="nil"/>
              <w:left w:val="nil"/>
              <w:bottom w:val="single" w:sz="4" w:space="0" w:color="auto"/>
              <w:right w:val="single" w:sz="4" w:space="0" w:color="auto"/>
            </w:tcBorders>
            <w:shd w:val="clear" w:color="auto" w:fill="C6EFCE"/>
            <w:noWrap/>
            <w:vAlign w:val="center"/>
          </w:tcPr>
          <w:p w14:paraId="4A085D8E"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3DF9FF1B" w14:textId="77777777" w:rsidR="00A612E2" w:rsidRPr="003B127D" w:rsidRDefault="00A612E2" w:rsidP="00742B81">
            <w:pPr>
              <w:jc w:val="center"/>
              <w:rPr>
                <w:noProof/>
                <w:color w:val="006100"/>
                <w:sz w:val="20"/>
                <w:szCs w:val="20"/>
              </w:rPr>
            </w:pPr>
            <w:r>
              <w:rPr>
                <w:noProof/>
                <w:color w:val="006100"/>
                <w:sz w:val="20"/>
              </w:rPr>
              <w:t>Arukad võrgud – suurendada võrguvõimsust taastuvenergia jaotamiseks</w:t>
            </w:r>
          </w:p>
        </w:tc>
      </w:tr>
      <w:tr w:rsidR="00A612E2" w:rsidRPr="00D90835" w14:paraId="20B3A78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D5D3F47" w14:textId="77777777" w:rsidR="00A612E2" w:rsidRPr="00246CC4" w:rsidRDefault="00A612E2" w:rsidP="00742B81">
            <w:pPr>
              <w:jc w:val="center"/>
              <w:rPr>
                <w:noProof/>
                <w:color w:val="006100"/>
                <w:sz w:val="20"/>
                <w:szCs w:val="20"/>
              </w:rPr>
            </w:pPr>
            <w:r>
              <w:rPr>
                <w:noProof/>
                <w:color w:val="006100"/>
                <w:sz w:val="20"/>
              </w:rPr>
              <w:t>M2C2-11</w:t>
            </w:r>
          </w:p>
        </w:tc>
        <w:tc>
          <w:tcPr>
            <w:tcW w:w="3090" w:type="dxa"/>
            <w:tcBorders>
              <w:top w:val="nil"/>
              <w:left w:val="nil"/>
              <w:bottom w:val="single" w:sz="4" w:space="0" w:color="auto"/>
              <w:right w:val="single" w:sz="4" w:space="0" w:color="auto"/>
            </w:tcBorders>
            <w:shd w:val="clear" w:color="auto" w:fill="C6EFCE"/>
            <w:noWrap/>
            <w:vAlign w:val="center"/>
          </w:tcPr>
          <w:p w14:paraId="2D516FB2" w14:textId="77777777" w:rsidR="00A612E2" w:rsidRPr="00246CC4" w:rsidRDefault="00A612E2" w:rsidP="008B3890">
            <w:pPr>
              <w:rPr>
                <w:noProof/>
                <w:color w:val="006100"/>
                <w:sz w:val="20"/>
                <w:szCs w:val="20"/>
              </w:rPr>
            </w:pPr>
            <w:r>
              <w:rPr>
                <w:noProof/>
                <w:color w:val="006100"/>
                <w:sz w:val="20"/>
              </w:rPr>
              <w:t>Investeering 2.1. Arukate võrkude tugevdamine</w:t>
            </w:r>
          </w:p>
        </w:tc>
        <w:tc>
          <w:tcPr>
            <w:tcW w:w="1498" w:type="dxa"/>
            <w:tcBorders>
              <w:top w:val="nil"/>
              <w:left w:val="nil"/>
              <w:bottom w:val="single" w:sz="4" w:space="0" w:color="auto"/>
              <w:right w:val="single" w:sz="4" w:space="0" w:color="auto"/>
            </w:tcBorders>
            <w:shd w:val="clear" w:color="auto" w:fill="C6EFCE"/>
            <w:noWrap/>
            <w:vAlign w:val="center"/>
          </w:tcPr>
          <w:p w14:paraId="2836BE88"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57382A17" w14:textId="77777777" w:rsidR="00A612E2" w:rsidRPr="003B127D" w:rsidRDefault="00A612E2" w:rsidP="00742B81">
            <w:pPr>
              <w:jc w:val="center"/>
              <w:rPr>
                <w:noProof/>
                <w:color w:val="006100"/>
                <w:sz w:val="20"/>
                <w:szCs w:val="20"/>
              </w:rPr>
            </w:pPr>
            <w:r>
              <w:rPr>
                <w:noProof/>
                <w:color w:val="006100"/>
                <w:sz w:val="20"/>
              </w:rPr>
              <w:t>Arukad võrgud – energiatarbimise elektrifitseerimine</w:t>
            </w:r>
          </w:p>
        </w:tc>
      </w:tr>
      <w:tr w:rsidR="00A612E2" w:rsidRPr="00D90835" w14:paraId="6F03A7AB"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72E7A20" w14:textId="77777777" w:rsidR="00A612E2" w:rsidRPr="00246CC4" w:rsidRDefault="00A612E2" w:rsidP="00742B81">
            <w:pPr>
              <w:jc w:val="center"/>
              <w:rPr>
                <w:noProof/>
                <w:color w:val="006100"/>
                <w:sz w:val="20"/>
                <w:szCs w:val="20"/>
              </w:rPr>
            </w:pPr>
            <w:r>
              <w:rPr>
                <w:noProof/>
                <w:color w:val="006100"/>
                <w:sz w:val="20"/>
              </w:rPr>
              <w:t>M2C2-13</w:t>
            </w:r>
          </w:p>
        </w:tc>
        <w:tc>
          <w:tcPr>
            <w:tcW w:w="3090" w:type="dxa"/>
            <w:tcBorders>
              <w:top w:val="nil"/>
              <w:left w:val="nil"/>
              <w:bottom w:val="single" w:sz="4" w:space="0" w:color="auto"/>
              <w:right w:val="single" w:sz="4" w:space="0" w:color="auto"/>
            </w:tcBorders>
            <w:shd w:val="clear" w:color="auto" w:fill="C6EFCE"/>
            <w:noWrap/>
            <w:vAlign w:val="center"/>
          </w:tcPr>
          <w:p w14:paraId="3D0FEB2D" w14:textId="77777777" w:rsidR="00A612E2" w:rsidRPr="003B127D" w:rsidRDefault="00A612E2" w:rsidP="008B3890">
            <w:pPr>
              <w:rPr>
                <w:noProof/>
                <w:color w:val="006100"/>
                <w:sz w:val="20"/>
                <w:szCs w:val="20"/>
              </w:rPr>
            </w:pPr>
            <w:r>
              <w:rPr>
                <w:noProof/>
                <w:color w:val="006100"/>
                <w:sz w:val="20"/>
              </w:rPr>
              <w:t>Investeering 2.2. Sekkumised elektrivõrgu vastupidavuse suurendamiseks</w:t>
            </w:r>
          </w:p>
        </w:tc>
        <w:tc>
          <w:tcPr>
            <w:tcW w:w="1498" w:type="dxa"/>
            <w:tcBorders>
              <w:top w:val="nil"/>
              <w:left w:val="nil"/>
              <w:bottom w:val="single" w:sz="4" w:space="0" w:color="auto"/>
              <w:right w:val="single" w:sz="4" w:space="0" w:color="auto"/>
            </w:tcBorders>
            <w:shd w:val="clear" w:color="auto" w:fill="C6EFCE"/>
            <w:noWrap/>
            <w:vAlign w:val="center"/>
          </w:tcPr>
          <w:p w14:paraId="26BDF71D"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60BDDE3D" w14:textId="77777777" w:rsidR="00A612E2" w:rsidRPr="003B127D" w:rsidRDefault="00A612E2" w:rsidP="00742B81">
            <w:pPr>
              <w:jc w:val="center"/>
              <w:rPr>
                <w:noProof/>
                <w:color w:val="006100"/>
                <w:sz w:val="20"/>
                <w:szCs w:val="20"/>
              </w:rPr>
            </w:pPr>
            <w:r>
              <w:rPr>
                <w:noProof/>
                <w:color w:val="006100"/>
                <w:sz w:val="20"/>
              </w:rPr>
              <w:t>Suurendada elektrisüsteemi võrgu vastupidavust</w:t>
            </w:r>
          </w:p>
        </w:tc>
      </w:tr>
      <w:tr w:rsidR="00A612E2" w:rsidRPr="00D90835" w14:paraId="15505184"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A443F55" w14:textId="77777777" w:rsidR="00A612E2" w:rsidRPr="00246CC4" w:rsidRDefault="00A612E2" w:rsidP="00742B81">
            <w:pPr>
              <w:jc w:val="center"/>
              <w:rPr>
                <w:noProof/>
                <w:color w:val="006100"/>
                <w:sz w:val="20"/>
                <w:szCs w:val="20"/>
              </w:rPr>
            </w:pPr>
            <w:r>
              <w:rPr>
                <w:noProof/>
                <w:color w:val="006100"/>
                <w:sz w:val="20"/>
              </w:rPr>
              <w:t>M2C2-15</w:t>
            </w:r>
          </w:p>
        </w:tc>
        <w:tc>
          <w:tcPr>
            <w:tcW w:w="3090" w:type="dxa"/>
            <w:tcBorders>
              <w:top w:val="nil"/>
              <w:left w:val="nil"/>
              <w:bottom w:val="single" w:sz="4" w:space="0" w:color="auto"/>
              <w:right w:val="single" w:sz="4" w:space="0" w:color="auto"/>
            </w:tcBorders>
            <w:shd w:val="clear" w:color="auto" w:fill="C6EFCE"/>
            <w:noWrap/>
            <w:vAlign w:val="center"/>
          </w:tcPr>
          <w:p w14:paraId="273E9598" w14:textId="77777777" w:rsidR="00A612E2" w:rsidRPr="003B127D" w:rsidRDefault="00A612E2" w:rsidP="008B3890">
            <w:pPr>
              <w:rPr>
                <w:noProof/>
                <w:color w:val="006100"/>
                <w:sz w:val="20"/>
                <w:szCs w:val="20"/>
              </w:rPr>
            </w:pPr>
            <w:r>
              <w:rPr>
                <w:noProof/>
                <w:color w:val="006100"/>
                <w:sz w:val="20"/>
              </w:rPr>
              <w:t>Investeering 3.3. Vesinikukatsed maanteetranspordis</w:t>
            </w:r>
          </w:p>
        </w:tc>
        <w:tc>
          <w:tcPr>
            <w:tcW w:w="1498" w:type="dxa"/>
            <w:tcBorders>
              <w:top w:val="nil"/>
              <w:left w:val="nil"/>
              <w:bottom w:val="single" w:sz="4" w:space="0" w:color="auto"/>
              <w:right w:val="single" w:sz="4" w:space="0" w:color="auto"/>
            </w:tcBorders>
            <w:shd w:val="clear" w:color="auto" w:fill="C6EFCE"/>
            <w:noWrap/>
            <w:vAlign w:val="center"/>
          </w:tcPr>
          <w:p w14:paraId="26FDA97C"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6C5BB58A" w14:textId="77777777" w:rsidR="00A612E2" w:rsidRPr="003B127D" w:rsidRDefault="00A612E2" w:rsidP="00742B81">
            <w:pPr>
              <w:jc w:val="center"/>
              <w:rPr>
                <w:noProof/>
                <w:color w:val="006100"/>
                <w:sz w:val="20"/>
                <w:szCs w:val="20"/>
              </w:rPr>
            </w:pPr>
            <w:r>
              <w:rPr>
                <w:noProof/>
                <w:color w:val="006100"/>
                <w:sz w:val="20"/>
              </w:rPr>
              <w:t>Vesinikul põhinevate laadimisjaamade arendamine</w:t>
            </w:r>
          </w:p>
        </w:tc>
      </w:tr>
      <w:tr w:rsidR="00A612E2" w:rsidRPr="00D90835" w14:paraId="24AF023B"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553FB76" w14:textId="77777777" w:rsidR="00A612E2" w:rsidRPr="00246CC4" w:rsidRDefault="00A612E2" w:rsidP="00742B81">
            <w:pPr>
              <w:jc w:val="center"/>
              <w:rPr>
                <w:noProof/>
                <w:color w:val="006100"/>
                <w:sz w:val="20"/>
                <w:szCs w:val="20"/>
              </w:rPr>
            </w:pPr>
            <w:r>
              <w:rPr>
                <w:noProof/>
                <w:color w:val="006100"/>
                <w:sz w:val="20"/>
              </w:rPr>
              <w:t>M2C2-17</w:t>
            </w:r>
          </w:p>
        </w:tc>
        <w:tc>
          <w:tcPr>
            <w:tcW w:w="3090" w:type="dxa"/>
            <w:tcBorders>
              <w:top w:val="nil"/>
              <w:left w:val="nil"/>
              <w:bottom w:val="single" w:sz="4" w:space="0" w:color="auto"/>
              <w:right w:val="single" w:sz="4" w:space="0" w:color="auto"/>
            </w:tcBorders>
            <w:shd w:val="clear" w:color="auto" w:fill="C6EFCE"/>
            <w:noWrap/>
            <w:vAlign w:val="center"/>
          </w:tcPr>
          <w:p w14:paraId="41E2B4C9" w14:textId="77777777" w:rsidR="00A612E2" w:rsidRPr="003B127D" w:rsidRDefault="00A612E2" w:rsidP="008B3890">
            <w:pPr>
              <w:rPr>
                <w:noProof/>
                <w:color w:val="006100"/>
                <w:sz w:val="20"/>
                <w:szCs w:val="20"/>
              </w:rPr>
            </w:pPr>
            <w:r>
              <w:rPr>
                <w:noProof/>
                <w:color w:val="006100"/>
                <w:sz w:val="20"/>
              </w:rPr>
              <w:t>Investeering 3.4. Vesinikukatsed raudteetranspordi valdkonnas</w:t>
            </w:r>
          </w:p>
        </w:tc>
        <w:tc>
          <w:tcPr>
            <w:tcW w:w="1498" w:type="dxa"/>
            <w:tcBorders>
              <w:top w:val="nil"/>
              <w:left w:val="nil"/>
              <w:bottom w:val="single" w:sz="4" w:space="0" w:color="auto"/>
              <w:right w:val="single" w:sz="4" w:space="0" w:color="auto"/>
            </w:tcBorders>
            <w:shd w:val="clear" w:color="auto" w:fill="C6EFCE"/>
            <w:noWrap/>
            <w:vAlign w:val="center"/>
          </w:tcPr>
          <w:p w14:paraId="313E5178"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3EC84940" w14:textId="77777777" w:rsidR="00A612E2" w:rsidRPr="003B127D" w:rsidRDefault="00A612E2" w:rsidP="00742B81">
            <w:pPr>
              <w:jc w:val="center"/>
              <w:rPr>
                <w:noProof/>
                <w:color w:val="006100"/>
                <w:sz w:val="20"/>
                <w:szCs w:val="20"/>
              </w:rPr>
            </w:pPr>
            <w:r>
              <w:rPr>
                <w:noProof/>
                <w:color w:val="006100"/>
                <w:sz w:val="20"/>
              </w:rPr>
              <w:t>Vesinikutanklate arv</w:t>
            </w:r>
          </w:p>
        </w:tc>
      </w:tr>
      <w:tr w:rsidR="00A612E2" w:rsidRPr="00D90835" w14:paraId="3B670324"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8F54D13" w14:textId="77777777" w:rsidR="00A612E2" w:rsidRPr="00246CC4" w:rsidRDefault="00A612E2" w:rsidP="00742B81">
            <w:pPr>
              <w:jc w:val="center"/>
              <w:rPr>
                <w:noProof/>
                <w:color w:val="006100"/>
                <w:sz w:val="20"/>
                <w:szCs w:val="20"/>
              </w:rPr>
            </w:pPr>
            <w:r>
              <w:rPr>
                <w:noProof/>
                <w:color w:val="006100"/>
                <w:sz w:val="20"/>
              </w:rPr>
              <w:t>M2C2-19</w:t>
            </w:r>
          </w:p>
        </w:tc>
        <w:tc>
          <w:tcPr>
            <w:tcW w:w="3090" w:type="dxa"/>
            <w:tcBorders>
              <w:top w:val="nil"/>
              <w:left w:val="nil"/>
              <w:bottom w:val="single" w:sz="4" w:space="0" w:color="auto"/>
              <w:right w:val="single" w:sz="4" w:space="0" w:color="auto"/>
            </w:tcBorders>
            <w:shd w:val="clear" w:color="auto" w:fill="C6EFCE"/>
            <w:noWrap/>
            <w:vAlign w:val="center"/>
          </w:tcPr>
          <w:p w14:paraId="259AC239" w14:textId="77777777" w:rsidR="00A612E2" w:rsidRPr="003B127D" w:rsidRDefault="00A612E2" w:rsidP="008B3890">
            <w:pPr>
              <w:rPr>
                <w:noProof/>
                <w:color w:val="006100"/>
                <w:sz w:val="20"/>
                <w:szCs w:val="20"/>
              </w:rPr>
            </w:pPr>
            <w:r>
              <w:rPr>
                <w:noProof/>
                <w:color w:val="006100"/>
                <w:sz w:val="20"/>
              </w:rPr>
              <w:t>Investeering 3.5. Vesinikualane teadus- ja arendustegevus</w:t>
            </w:r>
          </w:p>
        </w:tc>
        <w:tc>
          <w:tcPr>
            <w:tcW w:w="1498" w:type="dxa"/>
            <w:tcBorders>
              <w:top w:val="nil"/>
              <w:left w:val="nil"/>
              <w:bottom w:val="single" w:sz="4" w:space="0" w:color="auto"/>
              <w:right w:val="single" w:sz="4" w:space="0" w:color="auto"/>
            </w:tcBorders>
            <w:shd w:val="clear" w:color="auto" w:fill="C6EFCE"/>
            <w:noWrap/>
            <w:vAlign w:val="center"/>
          </w:tcPr>
          <w:p w14:paraId="3D19C2E6"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2056C241" w14:textId="77777777" w:rsidR="00A612E2" w:rsidRPr="003B127D" w:rsidRDefault="00A612E2" w:rsidP="00742B81">
            <w:pPr>
              <w:jc w:val="center"/>
              <w:rPr>
                <w:noProof/>
                <w:color w:val="006100"/>
                <w:sz w:val="20"/>
                <w:szCs w:val="20"/>
              </w:rPr>
            </w:pPr>
            <w:r>
              <w:rPr>
                <w:noProof/>
                <w:color w:val="006100"/>
                <w:sz w:val="20"/>
              </w:rPr>
              <w:t>Vesinikualase teadus- ja arendustegevuse projektide arv</w:t>
            </w:r>
          </w:p>
        </w:tc>
      </w:tr>
      <w:tr w:rsidR="00A612E2" w:rsidRPr="00D90835" w14:paraId="35B1360C"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9F05983" w14:textId="77777777" w:rsidR="00A612E2" w:rsidRPr="00246CC4" w:rsidRDefault="00A612E2" w:rsidP="00742B81">
            <w:pPr>
              <w:jc w:val="center"/>
              <w:rPr>
                <w:noProof/>
                <w:color w:val="006100"/>
                <w:sz w:val="20"/>
                <w:szCs w:val="20"/>
              </w:rPr>
            </w:pPr>
            <w:r>
              <w:rPr>
                <w:noProof/>
                <w:color w:val="006100"/>
                <w:sz w:val="20"/>
              </w:rPr>
              <w:t>M2C2-25bis</w:t>
            </w:r>
          </w:p>
        </w:tc>
        <w:tc>
          <w:tcPr>
            <w:tcW w:w="3090" w:type="dxa"/>
            <w:tcBorders>
              <w:top w:val="nil"/>
              <w:left w:val="nil"/>
              <w:bottom w:val="single" w:sz="4" w:space="0" w:color="auto"/>
              <w:right w:val="single" w:sz="4" w:space="0" w:color="auto"/>
            </w:tcBorders>
            <w:shd w:val="clear" w:color="auto" w:fill="C6EFCE"/>
            <w:noWrap/>
            <w:vAlign w:val="center"/>
          </w:tcPr>
          <w:p w14:paraId="14A6E3D7" w14:textId="77777777" w:rsidR="00A612E2" w:rsidRPr="003B127D" w:rsidRDefault="00A612E2" w:rsidP="008B3890">
            <w:pPr>
              <w:rPr>
                <w:noProof/>
                <w:color w:val="006100"/>
                <w:sz w:val="20"/>
                <w:szCs w:val="20"/>
              </w:rPr>
            </w:pPr>
            <w:r>
              <w:rPr>
                <w:noProof/>
                <w:color w:val="006100"/>
                <w:sz w:val="20"/>
              </w:rPr>
              <w:t xml:space="preserve">Investeering 4.2. Masstranspordi kiirsüsteemide arendamine </w:t>
            </w:r>
          </w:p>
        </w:tc>
        <w:tc>
          <w:tcPr>
            <w:tcW w:w="1498" w:type="dxa"/>
            <w:tcBorders>
              <w:top w:val="nil"/>
              <w:left w:val="nil"/>
              <w:bottom w:val="single" w:sz="4" w:space="0" w:color="auto"/>
              <w:right w:val="single" w:sz="4" w:space="0" w:color="auto"/>
            </w:tcBorders>
            <w:shd w:val="clear" w:color="auto" w:fill="C6EFCE"/>
            <w:noWrap/>
            <w:vAlign w:val="center"/>
          </w:tcPr>
          <w:p w14:paraId="617F5C49"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6E044AA9" w14:textId="77777777" w:rsidR="00A612E2" w:rsidRPr="003B127D" w:rsidRDefault="00A612E2" w:rsidP="00742B81">
            <w:pPr>
              <w:jc w:val="center"/>
              <w:rPr>
                <w:noProof/>
                <w:color w:val="006100"/>
                <w:sz w:val="20"/>
                <w:szCs w:val="20"/>
              </w:rPr>
            </w:pPr>
            <w:r>
              <w:rPr>
                <w:noProof/>
                <w:color w:val="006100"/>
                <w:sz w:val="20"/>
              </w:rPr>
              <w:t>Vähemalt viis sekkumist kiirete massitranspordisüsteemide infrastruktuuri ajakohastamiseks</w:t>
            </w:r>
          </w:p>
        </w:tc>
      </w:tr>
      <w:tr w:rsidR="00A612E2" w:rsidRPr="00D90835" w14:paraId="35CB5875"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A733F8D" w14:textId="77777777" w:rsidR="00A612E2" w:rsidRPr="00246CC4" w:rsidRDefault="00A612E2" w:rsidP="00742B81">
            <w:pPr>
              <w:jc w:val="center"/>
              <w:rPr>
                <w:noProof/>
                <w:color w:val="006100"/>
                <w:sz w:val="20"/>
                <w:szCs w:val="20"/>
              </w:rPr>
            </w:pPr>
            <w:r>
              <w:rPr>
                <w:noProof/>
                <w:color w:val="006100"/>
                <w:sz w:val="20"/>
              </w:rPr>
              <w:t>M2C2-25ter</w:t>
            </w:r>
          </w:p>
        </w:tc>
        <w:tc>
          <w:tcPr>
            <w:tcW w:w="3090" w:type="dxa"/>
            <w:tcBorders>
              <w:top w:val="nil"/>
              <w:left w:val="nil"/>
              <w:bottom w:val="single" w:sz="4" w:space="0" w:color="auto"/>
              <w:right w:val="single" w:sz="4" w:space="0" w:color="auto"/>
            </w:tcBorders>
            <w:shd w:val="clear" w:color="auto" w:fill="C6EFCE"/>
            <w:noWrap/>
            <w:vAlign w:val="center"/>
          </w:tcPr>
          <w:p w14:paraId="6259F237" w14:textId="77777777" w:rsidR="00A612E2" w:rsidRPr="003B127D" w:rsidRDefault="00A612E2" w:rsidP="008B3890">
            <w:pPr>
              <w:rPr>
                <w:noProof/>
                <w:color w:val="006100"/>
                <w:sz w:val="20"/>
                <w:szCs w:val="20"/>
              </w:rPr>
            </w:pPr>
            <w:r>
              <w:rPr>
                <w:noProof/>
                <w:color w:val="006100"/>
                <w:sz w:val="20"/>
              </w:rPr>
              <w:t xml:space="preserve">Investeering 4.2. Masstranspordi kiirsüsteemide arendamine </w:t>
            </w:r>
          </w:p>
        </w:tc>
        <w:tc>
          <w:tcPr>
            <w:tcW w:w="1498" w:type="dxa"/>
            <w:tcBorders>
              <w:top w:val="nil"/>
              <w:left w:val="nil"/>
              <w:bottom w:val="single" w:sz="4" w:space="0" w:color="auto"/>
              <w:right w:val="single" w:sz="4" w:space="0" w:color="auto"/>
            </w:tcBorders>
            <w:shd w:val="clear" w:color="auto" w:fill="C6EFCE"/>
            <w:noWrap/>
            <w:vAlign w:val="center"/>
          </w:tcPr>
          <w:p w14:paraId="2FAE1AB2"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4542FC06" w14:textId="77777777" w:rsidR="00A612E2" w:rsidRPr="003B127D" w:rsidRDefault="00A612E2" w:rsidP="00742B81">
            <w:pPr>
              <w:jc w:val="center"/>
              <w:rPr>
                <w:noProof/>
                <w:color w:val="006100"/>
                <w:sz w:val="20"/>
                <w:szCs w:val="20"/>
              </w:rPr>
            </w:pPr>
            <w:r>
              <w:rPr>
                <w:noProof/>
                <w:color w:val="006100"/>
                <w:sz w:val="20"/>
              </w:rPr>
              <w:t>Vähemalt 85 veeremiühiku ostmine kiireks veoks</w:t>
            </w:r>
          </w:p>
        </w:tc>
      </w:tr>
      <w:tr w:rsidR="00A612E2" w:rsidRPr="00D90835" w14:paraId="592023D8"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50D5805" w14:textId="77777777" w:rsidR="00A612E2" w:rsidRPr="00246CC4" w:rsidRDefault="00A612E2" w:rsidP="00742B81">
            <w:pPr>
              <w:jc w:val="center"/>
              <w:rPr>
                <w:noProof/>
                <w:color w:val="006100"/>
                <w:sz w:val="20"/>
                <w:szCs w:val="20"/>
              </w:rPr>
            </w:pPr>
            <w:r>
              <w:rPr>
                <w:noProof/>
                <w:color w:val="006100"/>
                <w:sz w:val="20"/>
              </w:rPr>
              <w:t>M2C2-26</w:t>
            </w:r>
          </w:p>
        </w:tc>
        <w:tc>
          <w:tcPr>
            <w:tcW w:w="3090" w:type="dxa"/>
            <w:tcBorders>
              <w:top w:val="nil"/>
              <w:left w:val="nil"/>
              <w:bottom w:val="single" w:sz="4" w:space="0" w:color="auto"/>
              <w:right w:val="single" w:sz="4" w:space="0" w:color="auto"/>
            </w:tcBorders>
            <w:shd w:val="clear" w:color="auto" w:fill="C6EFCE"/>
            <w:noWrap/>
            <w:vAlign w:val="center"/>
          </w:tcPr>
          <w:p w14:paraId="7BF697A5" w14:textId="77777777" w:rsidR="00A612E2" w:rsidRPr="003B127D" w:rsidRDefault="00A612E2" w:rsidP="008B3890">
            <w:pPr>
              <w:rPr>
                <w:noProof/>
                <w:color w:val="006100"/>
                <w:sz w:val="20"/>
                <w:szCs w:val="20"/>
              </w:rPr>
            </w:pPr>
            <w:r>
              <w:rPr>
                <w:noProof/>
                <w:color w:val="006100"/>
                <w:sz w:val="20"/>
              </w:rPr>
              <w:t xml:space="preserve">Investeering 4.2. Masstranspordi kiirsüsteemide arendamine </w:t>
            </w:r>
          </w:p>
        </w:tc>
        <w:tc>
          <w:tcPr>
            <w:tcW w:w="1498" w:type="dxa"/>
            <w:tcBorders>
              <w:top w:val="nil"/>
              <w:left w:val="nil"/>
              <w:bottom w:val="single" w:sz="4" w:space="0" w:color="auto"/>
              <w:right w:val="single" w:sz="4" w:space="0" w:color="auto"/>
            </w:tcBorders>
            <w:shd w:val="clear" w:color="auto" w:fill="C6EFCE"/>
            <w:noWrap/>
            <w:vAlign w:val="center"/>
          </w:tcPr>
          <w:p w14:paraId="3E24A15C"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1E4F092F" w14:textId="77777777" w:rsidR="00A612E2" w:rsidRPr="003B127D" w:rsidRDefault="00A612E2" w:rsidP="00742B81">
            <w:pPr>
              <w:jc w:val="center"/>
              <w:rPr>
                <w:noProof/>
                <w:color w:val="006100"/>
                <w:sz w:val="20"/>
                <w:szCs w:val="20"/>
              </w:rPr>
            </w:pPr>
            <w:r>
              <w:rPr>
                <w:noProof/>
                <w:color w:val="006100"/>
                <w:sz w:val="20"/>
              </w:rPr>
              <w:t>Ühistranspordi taristu kilomeetrite arv</w:t>
            </w:r>
          </w:p>
        </w:tc>
      </w:tr>
      <w:tr w:rsidR="00A612E2" w:rsidRPr="00D90835" w14:paraId="7D9B8637"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10BF228" w14:textId="77777777" w:rsidR="00A612E2" w:rsidRPr="00246CC4" w:rsidRDefault="00A612E2" w:rsidP="00742B81">
            <w:pPr>
              <w:jc w:val="center"/>
              <w:rPr>
                <w:noProof/>
                <w:color w:val="006100"/>
                <w:sz w:val="20"/>
                <w:szCs w:val="20"/>
              </w:rPr>
            </w:pPr>
            <w:r>
              <w:rPr>
                <w:noProof/>
                <w:color w:val="006100"/>
                <w:sz w:val="20"/>
              </w:rPr>
              <w:t>M2C2-35</w:t>
            </w:r>
          </w:p>
        </w:tc>
        <w:tc>
          <w:tcPr>
            <w:tcW w:w="3090" w:type="dxa"/>
            <w:tcBorders>
              <w:top w:val="nil"/>
              <w:left w:val="nil"/>
              <w:bottom w:val="single" w:sz="4" w:space="0" w:color="auto"/>
              <w:right w:val="single" w:sz="4" w:space="0" w:color="auto"/>
            </w:tcBorders>
            <w:shd w:val="clear" w:color="auto" w:fill="C6EFCE"/>
            <w:noWrap/>
            <w:vAlign w:val="center"/>
          </w:tcPr>
          <w:p w14:paraId="0255B676" w14:textId="77777777" w:rsidR="00A612E2" w:rsidRPr="003B127D" w:rsidRDefault="00A612E2" w:rsidP="008B3890">
            <w:pPr>
              <w:rPr>
                <w:noProof/>
                <w:color w:val="006100"/>
                <w:sz w:val="20"/>
                <w:szCs w:val="20"/>
              </w:rPr>
            </w:pPr>
            <w:r>
              <w:rPr>
                <w:noProof/>
                <w:color w:val="006100"/>
                <w:sz w:val="20"/>
              </w:rPr>
              <w:t>Investeering 4.4.1. Heiteta vähese põrandaga bussidega piirkondliku ühistranspordi bussipargi tugevdamine</w:t>
            </w:r>
          </w:p>
        </w:tc>
        <w:tc>
          <w:tcPr>
            <w:tcW w:w="1498" w:type="dxa"/>
            <w:tcBorders>
              <w:top w:val="nil"/>
              <w:left w:val="nil"/>
              <w:bottom w:val="single" w:sz="4" w:space="0" w:color="auto"/>
              <w:right w:val="single" w:sz="4" w:space="0" w:color="auto"/>
            </w:tcBorders>
            <w:shd w:val="clear" w:color="auto" w:fill="C6EFCE"/>
            <w:noWrap/>
            <w:vAlign w:val="center"/>
          </w:tcPr>
          <w:p w14:paraId="2D457CBF"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5DCF87D9" w14:textId="77777777" w:rsidR="00A612E2" w:rsidRPr="003B127D" w:rsidRDefault="00A612E2" w:rsidP="00742B81">
            <w:pPr>
              <w:jc w:val="center"/>
              <w:rPr>
                <w:noProof/>
                <w:color w:val="006100"/>
                <w:sz w:val="20"/>
                <w:szCs w:val="20"/>
              </w:rPr>
            </w:pPr>
            <w:r>
              <w:rPr>
                <w:noProof/>
                <w:color w:val="006100"/>
                <w:sz w:val="20"/>
              </w:rPr>
              <w:t>Heiteta madala põrandaga busside arv T2</w:t>
            </w:r>
          </w:p>
        </w:tc>
      </w:tr>
      <w:tr w:rsidR="00A612E2" w:rsidRPr="00D90835" w14:paraId="0A3CFCCD"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278EBE2" w14:textId="77777777" w:rsidR="00A612E2" w:rsidRPr="00246CC4" w:rsidRDefault="00A612E2" w:rsidP="00742B81">
            <w:pPr>
              <w:jc w:val="center"/>
              <w:rPr>
                <w:noProof/>
                <w:color w:val="006100"/>
                <w:sz w:val="20"/>
                <w:szCs w:val="20"/>
              </w:rPr>
            </w:pPr>
            <w:r>
              <w:rPr>
                <w:noProof/>
                <w:color w:val="006100"/>
                <w:sz w:val="20"/>
              </w:rPr>
              <w:t>M2C2–35 ter</w:t>
            </w:r>
          </w:p>
        </w:tc>
        <w:tc>
          <w:tcPr>
            <w:tcW w:w="3090" w:type="dxa"/>
            <w:tcBorders>
              <w:top w:val="nil"/>
              <w:left w:val="nil"/>
              <w:bottom w:val="single" w:sz="4" w:space="0" w:color="auto"/>
              <w:right w:val="single" w:sz="4" w:space="0" w:color="auto"/>
            </w:tcBorders>
            <w:shd w:val="clear" w:color="auto" w:fill="C6EFCE"/>
            <w:noWrap/>
            <w:vAlign w:val="center"/>
          </w:tcPr>
          <w:p w14:paraId="03FE1958" w14:textId="77777777" w:rsidR="00A612E2" w:rsidRPr="003B127D" w:rsidRDefault="00A612E2" w:rsidP="008B3890">
            <w:pPr>
              <w:rPr>
                <w:noProof/>
                <w:color w:val="006100"/>
                <w:sz w:val="20"/>
                <w:szCs w:val="20"/>
              </w:rPr>
            </w:pPr>
            <w:r>
              <w:rPr>
                <w:noProof/>
                <w:color w:val="006100"/>
                <w:sz w:val="20"/>
              </w:rPr>
              <w:t>Investeering 4.4.1. Piirkondliku ühistranspordi bussipargi tugevdamine keskkonnasõbralike kütustega sõidukitega</w:t>
            </w:r>
          </w:p>
        </w:tc>
        <w:tc>
          <w:tcPr>
            <w:tcW w:w="1498" w:type="dxa"/>
            <w:tcBorders>
              <w:top w:val="nil"/>
              <w:left w:val="nil"/>
              <w:bottom w:val="single" w:sz="4" w:space="0" w:color="auto"/>
              <w:right w:val="single" w:sz="4" w:space="0" w:color="auto"/>
            </w:tcBorders>
            <w:shd w:val="clear" w:color="auto" w:fill="C6EFCE"/>
            <w:noWrap/>
            <w:vAlign w:val="center"/>
          </w:tcPr>
          <w:p w14:paraId="461EE916"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2AE0B999" w14:textId="77777777" w:rsidR="00A612E2" w:rsidRPr="003B127D" w:rsidRDefault="00A612E2" w:rsidP="00742B81">
            <w:pPr>
              <w:jc w:val="center"/>
              <w:rPr>
                <w:noProof/>
                <w:color w:val="006100"/>
                <w:sz w:val="20"/>
                <w:szCs w:val="20"/>
              </w:rPr>
            </w:pPr>
            <w:r>
              <w:rPr>
                <w:noProof/>
                <w:color w:val="006100"/>
                <w:sz w:val="20"/>
              </w:rPr>
              <w:t>Heiteta ja vähese heitega madala põrandaga busside laadimisjaamade arv</w:t>
            </w:r>
          </w:p>
        </w:tc>
      </w:tr>
      <w:tr w:rsidR="00A612E2" w:rsidRPr="00D90835" w14:paraId="089B2365"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0BAEC42" w14:textId="77777777" w:rsidR="00A612E2" w:rsidRPr="00246CC4" w:rsidRDefault="00A612E2" w:rsidP="00742B81">
            <w:pPr>
              <w:jc w:val="center"/>
              <w:rPr>
                <w:noProof/>
                <w:color w:val="006100"/>
                <w:sz w:val="20"/>
                <w:szCs w:val="20"/>
              </w:rPr>
            </w:pPr>
            <w:r>
              <w:rPr>
                <w:noProof/>
                <w:color w:val="006100"/>
                <w:sz w:val="20"/>
              </w:rPr>
              <w:t xml:space="preserve">M2C2–35a </w:t>
            </w:r>
          </w:p>
        </w:tc>
        <w:tc>
          <w:tcPr>
            <w:tcW w:w="3090" w:type="dxa"/>
            <w:tcBorders>
              <w:top w:val="nil"/>
              <w:left w:val="nil"/>
              <w:bottom w:val="single" w:sz="4" w:space="0" w:color="auto"/>
              <w:right w:val="single" w:sz="4" w:space="0" w:color="auto"/>
            </w:tcBorders>
            <w:shd w:val="clear" w:color="auto" w:fill="C6EFCE"/>
            <w:noWrap/>
            <w:vAlign w:val="center"/>
          </w:tcPr>
          <w:p w14:paraId="7E068B1F" w14:textId="77777777" w:rsidR="00A612E2" w:rsidRPr="003B127D" w:rsidRDefault="00A612E2" w:rsidP="008B3890">
            <w:pPr>
              <w:rPr>
                <w:noProof/>
                <w:color w:val="006100"/>
                <w:sz w:val="20"/>
                <w:szCs w:val="20"/>
              </w:rPr>
            </w:pPr>
            <w:r>
              <w:rPr>
                <w:noProof/>
                <w:color w:val="006100"/>
                <w:sz w:val="20"/>
              </w:rPr>
              <w:t>Investeering 4.4.2.  Heitevabade rongide ja universaalteenusega piirkondliku ühistranspordi raudteepargi tugevdamine</w:t>
            </w:r>
          </w:p>
        </w:tc>
        <w:tc>
          <w:tcPr>
            <w:tcW w:w="1498" w:type="dxa"/>
            <w:tcBorders>
              <w:top w:val="nil"/>
              <w:left w:val="nil"/>
              <w:bottom w:val="single" w:sz="4" w:space="0" w:color="auto"/>
              <w:right w:val="single" w:sz="4" w:space="0" w:color="auto"/>
            </w:tcBorders>
            <w:shd w:val="clear" w:color="auto" w:fill="C6EFCE"/>
            <w:noWrap/>
            <w:vAlign w:val="center"/>
          </w:tcPr>
          <w:p w14:paraId="5C141AB9"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0A520BCB" w14:textId="77777777" w:rsidR="00A612E2" w:rsidRPr="003B127D" w:rsidRDefault="00A612E2" w:rsidP="00742B81">
            <w:pPr>
              <w:jc w:val="center"/>
              <w:rPr>
                <w:noProof/>
                <w:color w:val="006100"/>
                <w:sz w:val="20"/>
                <w:szCs w:val="20"/>
              </w:rPr>
            </w:pPr>
            <w:r>
              <w:rPr>
                <w:noProof/>
                <w:color w:val="006100"/>
                <w:sz w:val="20"/>
              </w:rPr>
              <w:t xml:space="preserve">Nullheitmetega rongide arv ja vedude arv universaalteenuse puhul </w:t>
            </w:r>
          </w:p>
        </w:tc>
      </w:tr>
      <w:tr w:rsidR="00A612E2" w:rsidRPr="00D90835" w14:paraId="4679B43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2A99975" w14:textId="77777777" w:rsidR="00A612E2" w:rsidRPr="00246CC4" w:rsidRDefault="00A612E2" w:rsidP="00742B81">
            <w:pPr>
              <w:jc w:val="center"/>
              <w:rPr>
                <w:noProof/>
                <w:color w:val="006100"/>
                <w:sz w:val="20"/>
                <w:szCs w:val="20"/>
              </w:rPr>
            </w:pPr>
            <w:r>
              <w:rPr>
                <w:noProof/>
                <w:color w:val="006100"/>
                <w:sz w:val="20"/>
              </w:rPr>
              <w:t>M2C2-36</w:t>
            </w:r>
          </w:p>
        </w:tc>
        <w:tc>
          <w:tcPr>
            <w:tcW w:w="3090" w:type="dxa"/>
            <w:tcBorders>
              <w:top w:val="nil"/>
              <w:left w:val="nil"/>
              <w:bottom w:val="single" w:sz="4" w:space="0" w:color="auto"/>
              <w:right w:val="single" w:sz="4" w:space="0" w:color="auto"/>
            </w:tcBorders>
            <w:shd w:val="clear" w:color="auto" w:fill="C6EFCE"/>
            <w:noWrap/>
            <w:vAlign w:val="center"/>
          </w:tcPr>
          <w:p w14:paraId="7F70E714" w14:textId="77777777" w:rsidR="00A612E2" w:rsidRPr="003B127D" w:rsidRDefault="00A612E2" w:rsidP="008B3890">
            <w:pPr>
              <w:rPr>
                <w:noProof/>
                <w:color w:val="006100"/>
                <w:sz w:val="20"/>
                <w:szCs w:val="20"/>
              </w:rPr>
            </w:pPr>
            <w:r>
              <w:rPr>
                <w:noProof/>
                <w:color w:val="006100"/>
                <w:sz w:val="20"/>
              </w:rPr>
              <w:t>Investeering 4.4.3. Riikliku tuletõrjebrigaadide staabi uuendamine</w:t>
            </w:r>
          </w:p>
        </w:tc>
        <w:tc>
          <w:tcPr>
            <w:tcW w:w="1498" w:type="dxa"/>
            <w:tcBorders>
              <w:top w:val="nil"/>
              <w:left w:val="nil"/>
              <w:bottom w:val="single" w:sz="4" w:space="0" w:color="auto"/>
              <w:right w:val="single" w:sz="4" w:space="0" w:color="auto"/>
            </w:tcBorders>
            <w:shd w:val="clear" w:color="auto" w:fill="C6EFCE"/>
            <w:noWrap/>
            <w:vAlign w:val="center"/>
          </w:tcPr>
          <w:p w14:paraId="295DF8B5"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151AF6C6" w14:textId="77777777" w:rsidR="00A612E2" w:rsidRPr="003B127D" w:rsidRDefault="00A612E2" w:rsidP="00742B81">
            <w:pPr>
              <w:jc w:val="center"/>
              <w:rPr>
                <w:noProof/>
                <w:color w:val="006100"/>
                <w:sz w:val="20"/>
                <w:szCs w:val="20"/>
              </w:rPr>
            </w:pPr>
            <w:r>
              <w:rPr>
                <w:noProof/>
                <w:color w:val="006100"/>
                <w:sz w:val="20"/>
              </w:rPr>
              <w:t>Keskkonnasõbralike sõidukite arv riikliku tuletõrjebrigaadide käskluse uuendamiseks kasutatavas sõidukipargis</w:t>
            </w:r>
          </w:p>
        </w:tc>
      </w:tr>
      <w:tr w:rsidR="00A612E2" w:rsidRPr="00D90835" w14:paraId="5EB688CB"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602805C" w14:textId="77777777" w:rsidR="00A612E2" w:rsidRPr="00246CC4" w:rsidRDefault="00A612E2" w:rsidP="00742B81">
            <w:pPr>
              <w:jc w:val="center"/>
              <w:rPr>
                <w:noProof/>
                <w:color w:val="006100"/>
                <w:sz w:val="20"/>
                <w:szCs w:val="20"/>
              </w:rPr>
            </w:pPr>
            <w:r>
              <w:rPr>
                <w:noProof/>
                <w:color w:val="006100"/>
                <w:sz w:val="20"/>
              </w:rPr>
              <w:t>M2C2-43</w:t>
            </w:r>
          </w:p>
        </w:tc>
        <w:tc>
          <w:tcPr>
            <w:tcW w:w="3090" w:type="dxa"/>
            <w:tcBorders>
              <w:top w:val="nil"/>
              <w:left w:val="nil"/>
              <w:bottom w:val="single" w:sz="4" w:space="0" w:color="auto"/>
              <w:right w:val="single" w:sz="4" w:space="0" w:color="auto"/>
            </w:tcBorders>
            <w:shd w:val="clear" w:color="auto" w:fill="C6EFCE"/>
            <w:noWrap/>
            <w:vAlign w:val="center"/>
          </w:tcPr>
          <w:p w14:paraId="69032AFA" w14:textId="77777777" w:rsidR="00A612E2" w:rsidRPr="003B127D" w:rsidRDefault="00A612E2" w:rsidP="008B3890">
            <w:pPr>
              <w:rPr>
                <w:noProof/>
                <w:color w:val="006100"/>
                <w:sz w:val="20"/>
                <w:szCs w:val="20"/>
              </w:rPr>
            </w:pPr>
            <w:r>
              <w:rPr>
                <w:noProof/>
                <w:color w:val="006100"/>
                <w:sz w:val="20"/>
              </w:rPr>
              <w:t xml:space="preserve">Investeering 5.4. Tegevusalustavate ettevõtete ja riskikapitali toetamine ökoloogilise ülemineku valdkonnas </w:t>
            </w:r>
          </w:p>
        </w:tc>
        <w:tc>
          <w:tcPr>
            <w:tcW w:w="1498" w:type="dxa"/>
            <w:tcBorders>
              <w:top w:val="nil"/>
              <w:left w:val="nil"/>
              <w:bottom w:val="single" w:sz="4" w:space="0" w:color="auto"/>
              <w:right w:val="single" w:sz="4" w:space="0" w:color="auto"/>
            </w:tcBorders>
            <w:shd w:val="clear" w:color="auto" w:fill="C6EFCE"/>
            <w:noWrap/>
            <w:vAlign w:val="center"/>
          </w:tcPr>
          <w:p w14:paraId="3994A5B1"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16A54E38" w14:textId="77777777" w:rsidR="00A612E2" w:rsidRPr="003B127D" w:rsidRDefault="00A612E2" w:rsidP="00742B81">
            <w:pPr>
              <w:jc w:val="center"/>
              <w:rPr>
                <w:noProof/>
                <w:color w:val="006100"/>
                <w:sz w:val="20"/>
                <w:szCs w:val="20"/>
              </w:rPr>
            </w:pPr>
            <w:r>
              <w:rPr>
                <w:noProof/>
                <w:color w:val="006100"/>
                <w:sz w:val="20"/>
              </w:rPr>
              <w:t>Riskikapitalifondide ja idufirmadega sõlmitud õiguslikud lepingud</w:t>
            </w:r>
          </w:p>
        </w:tc>
      </w:tr>
      <w:tr w:rsidR="00A612E2" w:rsidRPr="00D90835" w14:paraId="4B6FEEBD"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BAAB468" w14:textId="77777777" w:rsidR="00A612E2" w:rsidRPr="00246CC4" w:rsidRDefault="00A612E2" w:rsidP="00742B81">
            <w:pPr>
              <w:jc w:val="center"/>
              <w:rPr>
                <w:noProof/>
                <w:color w:val="006100"/>
                <w:sz w:val="20"/>
                <w:szCs w:val="20"/>
              </w:rPr>
            </w:pPr>
            <w:r>
              <w:rPr>
                <w:noProof/>
                <w:color w:val="006100"/>
                <w:sz w:val="20"/>
              </w:rPr>
              <w:t>M2C2-45</w:t>
            </w:r>
          </w:p>
        </w:tc>
        <w:tc>
          <w:tcPr>
            <w:tcW w:w="3090" w:type="dxa"/>
            <w:tcBorders>
              <w:top w:val="nil"/>
              <w:left w:val="nil"/>
              <w:bottom w:val="single" w:sz="4" w:space="0" w:color="auto"/>
              <w:right w:val="single" w:sz="4" w:space="0" w:color="auto"/>
            </w:tcBorders>
            <w:shd w:val="clear" w:color="auto" w:fill="C6EFCE"/>
            <w:noWrap/>
            <w:vAlign w:val="center"/>
          </w:tcPr>
          <w:p w14:paraId="7ED7B964" w14:textId="77777777" w:rsidR="00A612E2" w:rsidRPr="003B127D" w:rsidRDefault="00A612E2" w:rsidP="008B3890">
            <w:pPr>
              <w:rPr>
                <w:noProof/>
                <w:color w:val="006100"/>
                <w:sz w:val="20"/>
                <w:szCs w:val="20"/>
              </w:rPr>
            </w:pPr>
            <w:r>
              <w:rPr>
                <w:noProof/>
                <w:color w:val="006100"/>
                <w:sz w:val="20"/>
              </w:rPr>
              <w:t>Investeering 1.1. Põllumajanduslike vulkaaniliste süsteemide arendamine</w:t>
            </w:r>
          </w:p>
        </w:tc>
        <w:tc>
          <w:tcPr>
            <w:tcW w:w="1498" w:type="dxa"/>
            <w:tcBorders>
              <w:top w:val="nil"/>
              <w:left w:val="nil"/>
              <w:bottom w:val="single" w:sz="4" w:space="0" w:color="auto"/>
              <w:right w:val="single" w:sz="4" w:space="0" w:color="auto"/>
            </w:tcBorders>
            <w:shd w:val="clear" w:color="auto" w:fill="C6EFCE"/>
            <w:noWrap/>
            <w:vAlign w:val="center"/>
          </w:tcPr>
          <w:p w14:paraId="34F039B3"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7EE251FA" w14:textId="77777777" w:rsidR="00A612E2" w:rsidRPr="003B127D" w:rsidRDefault="00A612E2" w:rsidP="00742B81">
            <w:pPr>
              <w:jc w:val="center"/>
              <w:rPr>
                <w:noProof/>
                <w:color w:val="006100"/>
                <w:sz w:val="20"/>
                <w:szCs w:val="20"/>
              </w:rPr>
            </w:pPr>
            <w:r>
              <w:rPr>
                <w:noProof/>
                <w:color w:val="006100"/>
                <w:sz w:val="20"/>
              </w:rPr>
              <w:t xml:space="preserve">Fotogalvaaniliste päikesepaneelide paigaldamine põllumajanduslikesse vulkaanilistesse süsteemidesse </w:t>
            </w:r>
          </w:p>
        </w:tc>
      </w:tr>
      <w:tr w:rsidR="00A612E2" w:rsidRPr="00D90835" w14:paraId="5FDB84EB"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0269983" w14:textId="77777777" w:rsidR="00A612E2" w:rsidRPr="00246CC4" w:rsidRDefault="00A612E2" w:rsidP="00742B81">
            <w:pPr>
              <w:jc w:val="center"/>
              <w:rPr>
                <w:noProof/>
                <w:color w:val="006100"/>
                <w:sz w:val="20"/>
                <w:szCs w:val="20"/>
              </w:rPr>
            </w:pPr>
            <w:r>
              <w:rPr>
                <w:noProof/>
                <w:color w:val="006100"/>
                <w:sz w:val="20"/>
              </w:rPr>
              <w:t>M2C2-47</w:t>
            </w:r>
          </w:p>
        </w:tc>
        <w:tc>
          <w:tcPr>
            <w:tcW w:w="3090" w:type="dxa"/>
            <w:tcBorders>
              <w:top w:val="nil"/>
              <w:left w:val="nil"/>
              <w:bottom w:val="single" w:sz="4" w:space="0" w:color="auto"/>
              <w:right w:val="single" w:sz="4" w:space="0" w:color="auto"/>
            </w:tcBorders>
            <w:shd w:val="clear" w:color="auto" w:fill="C6EFCE"/>
            <w:noWrap/>
            <w:vAlign w:val="center"/>
          </w:tcPr>
          <w:p w14:paraId="03DBE9B2" w14:textId="77777777" w:rsidR="00A612E2" w:rsidRPr="003B127D" w:rsidRDefault="00A612E2" w:rsidP="008B3890">
            <w:pPr>
              <w:rPr>
                <w:noProof/>
                <w:color w:val="006100"/>
                <w:sz w:val="20"/>
                <w:szCs w:val="20"/>
              </w:rPr>
            </w:pPr>
            <w:r>
              <w:rPr>
                <w:noProof/>
                <w:color w:val="006100"/>
                <w:sz w:val="20"/>
              </w:rPr>
              <w:t>Investeering 1.2. Taastuvenergia edendamine energiakogukondades ja koos omatarbeks toodetud taastuvenergia tarbijatega</w:t>
            </w:r>
          </w:p>
        </w:tc>
        <w:tc>
          <w:tcPr>
            <w:tcW w:w="1498" w:type="dxa"/>
            <w:tcBorders>
              <w:top w:val="nil"/>
              <w:left w:val="nil"/>
              <w:bottom w:val="single" w:sz="4" w:space="0" w:color="auto"/>
              <w:right w:val="single" w:sz="4" w:space="0" w:color="auto"/>
            </w:tcBorders>
            <w:shd w:val="clear" w:color="auto" w:fill="C6EFCE"/>
            <w:noWrap/>
            <w:vAlign w:val="center"/>
          </w:tcPr>
          <w:p w14:paraId="26A1007F"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099CCFC6" w14:textId="77777777" w:rsidR="00A612E2" w:rsidRPr="003B127D" w:rsidRDefault="00A612E2" w:rsidP="00742B81">
            <w:pPr>
              <w:jc w:val="center"/>
              <w:rPr>
                <w:noProof/>
                <w:color w:val="006100"/>
                <w:sz w:val="20"/>
                <w:szCs w:val="20"/>
              </w:rPr>
            </w:pPr>
            <w:r>
              <w:rPr>
                <w:noProof/>
                <w:color w:val="006100"/>
                <w:sz w:val="20"/>
              </w:rPr>
              <w:t>Taastuvenergia tootmine energiakogukondades ja ühiselt tegutsevad omatarbeks toodetud taastuvenergia tarbijad</w:t>
            </w:r>
          </w:p>
        </w:tc>
      </w:tr>
      <w:tr w:rsidR="00A612E2" w:rsidRPr="00D90835" w14:paraId="5DEFD433"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38708BC" w14:textId="77777777" w:rsidR="00A612E2" w:rsidRPr="00246CC4" w:rsidRDefault="00A612E2" w:rsidP="00742B81">
            <w:pPr>
              <w:jc w:val="center"/>
              <w:rPr>
                <w:noProof/>
                <w:color w:val="006100"/>
                <w:sz w:val="20"/>
                <w:szCs w:val="20"/>
              </w:rPr>
            </w:pPr>
            <w:r>
              <w:rPr>
                <w:noProof/>
                <w:color w:val="006100"/>
                <w:sz w:val="20"/>
              </w:rPr>
              <w:t>M2C2-49</w:t>
            </w:r>
          </w:p>
        </w:tc>
        <w:tc>
          <w:tcPr>
            <w:tcW w:w="3090" w:type="dxa"/>
            <w:tcBorders>
              <w:top w:val="nil"/>
              <w:left w:val="nil"/>
              <w:bottom w:val="single" w:sz="4" w:space="0" w:color="auto"/>
              <w:right w:val="single" w:sz="4" w:space="0" w:color="auto"/>
            </w:tcBorders>
            <w:shd w:val="clear" w:color="auto" w:fill="C6EFCE"/>
            <w:noWrap/>
            <w:vAlign w:val="center"/>
          </w:tcPr>
          <w:p w14:paraId="6E66D435" w14:textId="77777777" w:rsidR="00A612E2" w:rsidRPr="003B127D" w:rsidRDefault="00A612E2" w:rsidP="008B3890">
            <w:pPr>
              <w:rPr>
                <w:noProof/>
                <w:color w:val="006100"/>
                <w:sz w:val="20"/>
                <w:szCs w:val="20"/>
              </w:rPr>
            </w:pPr>
            <w:r>
              <w:rPr>
                <w:noProof/>
                <w:color w:val="006100"/>
                <w:sz w:val="20"/>
              </w:rPr>
              <w:t>Investeering 3.1. Vesiniku tootmine mahajäetud tööstusaladel (Hydrogen Valleys)</w:t>
            </w:r>
          </w:p>
        </w:tc>
        <w:tc>
          <w:tcPr>
            <w:tcW w:w="1498" w:type="dxa"/>
            <w:tcBorders>
              <w:top w:val="nil"/>
              <w:left w:val="nil"/>
              <w:bottom w:val="single" w:sz="4" w:space="0" w:color="auto"/>
              <w:right w:val="single" w:sz="4" w:space="0" w:color="auto"/>
            </w:tcBorders>
            <w:shd w:val="clear" w:color="auto" w:fill="C6EFCE"/>
            <w:noWrap/>
            <w:vAlign w:val="center"/>
          </w:tcPr>
          <w:p w14:paraId="79E7F321"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52673F2F" w14:textId="77777777" w:rsidR="00A612E2" w:rsidRPr="003B127D" w:rsidRDefault="00A612E2" w:rsidP="00742B81">
            <w:pPr>
              <w:jc w:val="center"/>
              <w:rPr>
                <w:noProof/>
                <w:color w:val="006100"/>
                <w:sz w:val="20"/>
                <w:szCs w:val="20"/>
              </w:rPr>
            </w:pPr>
            <w:r>
              <w:rPr>
                <w:noProof/>
                <w:color w:val="006100"/>
                <w:sz w:val="20"/>
              </w:rPr>
              <w:t>Vesiniku tootmist tööstuspiirkondades käsitleva projekti lõpuleviimine</w:t>
            </w:r>
          </w:p>
        </w:tc>
      </w:tr>
      <w:tr w:rsidR="00A612E2" w:rsidRPr="00D90835" w14:paraId="17B6BD4C"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4AC9878" w14:textId="77777777" w:rsidR="00A612E2" w:rsidRPr="00246CC4" w:rsidRDefault="00A612E2" w:rsidP="00742B81">
            <w:pPr>
              <w:jc w:val="center"/>
              <w:rPr>
                <w:noProof/>
                <w:color w:val="006100"/>
                <w:sz w:val="20"/>
                <w:szCs w:val="20"/>
              </w:rPr>
            </w:pPr>
            <w:r>
              <w:rPr>
                <w:noProof/>
                <w:color w:val="006100"/>
                <w:sz w:val="20"/>
              </w:rPr>
              <w:t>M2C2-51</w:t>
            </w:r>
          </w:p>
        </w:tc>
        <w:tc>
          <w:tcPr>
            <w:tcW w:w="3090" w:type="dxa"/>
            <w:tcBorders>
              <w:top w:val="nil"/>
              <w:left w:val="nil"/>
              <w:bottom w:val="single" w:sz="4" w:space="0" w:color="auto"/>
              <w:right w:val="single" w:sz="4" w:space="0" w:color="auto"/>
            </w:tcBorders>
            <w:shd w:val="clear" w:color="auto" w:fill="C6EFCE"/>
            <w:noWrap/>
            <w:vAlign w:val="center"/>
          </w:tcPr>
          <w:p w14:paraId="7C621BAA" w14:textId="77777777" w:rsidR="00A612E2" w:rsidRPr="003B127D" w:rsidRDefault="00A612E2" w:rsidP="008B3890">
            <w:pPr>
              <w:rPr>
                <w:noProof/>
                <w:color w:val="006100"/>
                <w:sz w:val="20"/>
                <w:szCs w:val="20"/>
              </w:rPr>
            </w:pPr>
            <w:r>
              <w:rPr>
                <w:noProof/>
                <w:color w:val="006100"/>
                <w:sz w:val="20"/>
              </w:rPr>
              <w:t>Investeering 3.2. Vesiniku kasutamine raskesti amortiseeritavas tööstuses</w:t>
            </w:r>
          </w:p>
        </w:tc>
        <w:tc>
          <w:tcPr>
            <w:tcW w:w="1498" w:type="dxa"/>
            <w:tcBorders>
              <w:top w:val="nil"/>
              <w:left w:val="nil"/>
              <w:bottom w:val="single" w:sz="4" w:space="0" w:color="auto"/>
              <w:right w:val="single" w:sz="4" w:space="0" w:color="auto"/>
            </w:tcBorders>
            <w:shd w:val="clear" w:color="auto" w:fill="C6EFCE"/>
            <w:noWrap/>
            <w:vAlign w:val="center"/>
          </w:tcPr>
          <w:p w14:paraId="5ACC546C"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6BCFA340" w14:textId="77777777" w:rsidR="00A612E2" w:rsidRPr="003B127D" w:rsidRDefault="00A612E2" w:rsidP="00742B81">
            <w:pPr>
              <w:jc w:val="center"/>
              <w:rPr>
                <w:noProof/>
                <w:color w:val="006100"/>
                <w:sz w:val="20"/>
                <w:szCs w:val="20"/>
              </w:rPr>
            </w:pPr>
            <w:r>
              <w:rPr>
                <w:noProof/>
                <w:color w:val="006100"/>
                <w:sz w:val="20"/>
              </w:rPr>
              <w:t>Vesiniku kasutuselevõtmine tööstusprotsessides</w:t>
            </w:r>
          </w:p>
        </w:tc>
      </w:tr>
      <w:tr w:rsidR="00A612E2" w:rsidRPr="00D90835" w14:paraId="21D61B8F"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888C794" w14:textId="77777777" w:rsidR="00A612E2" w:rsidRPr="00246CC4" w:rsidRDefault="00A612E2" w:rsidP="00742B81">
            <w:pPr>
              <w:jc w:val="center"/>
              <w:rPr>
                <w:noProof/>
                <w:color w:val="006100"/>
                <w:sz w:val="20"/>
                <w:szCs w:val="20"/>
              </w:rPr>
            </w:pPr>
            <w:r>
              <w:rPr>
                <w:noProof/>
                <w:color w:val="006100"/>
                <w:sz w:val="20"/>
              </w:rPr>
              <w:t>M2C2-53</w:t>
            </w:r>
          </w:p>
        </w:tc>
        <w:tc>
          <w:tcPr>
            <w:tcW w:w="3090" w:type="dxa"/>
            <w:tcBorders>
              <w:top w:val="nil"/>
              <w:left w:val="nil"/>
              <w:bottom w:val="single" w:sz="4" w:space="0" w:color="auto"/>
              <w:right w:val="single" w:sz="4" w:space="0" w:color="auto"/>
            </w:tcBorders>
            <w:shd w:val="clear" w:color="auto" w:fill="C6EFCE"/>
            <w:noWrap/>
            <w:vAlign w:val="center"/>
          </w:tcPr>
          <w:p w14:paraId="125D50BC" w14:textId="77777777" w:rsidR="00A612E2" w:rsidRPr="00246CC4" w:rsidRDefault="00A612E2" w:rsidP="008B3890">
            <w:pPr>
              <w:rPr>
                <w:noProof/>
                <w:color w:val="006100"/>
                <w:sz w:val="20"/>
                <w:szCs w:val="20"/>
              </w:rPr>
            </w:pPr>
            <w:r>
              <w:rPr>
                <w:noProof/>
                <w:color w:val="006100"/>
                <w:sz w:val="20"/>
              </w:rPr>
              <w:t>Investeering 5.2. Vesinik</w:t>
            </w:r>
          </w:p>
        </w:tc>
        <w:tc>
          <w:tcPr>
            <w:tcW w:w="1498" w:type="dxa"/>
            <w:tcBorders>
              <w:top w:val="nil"/>
              <w:left w:val="nil"/>
              <w:bottom w:val="single" w:sz="4" w:space="0" w:color="auto"/>
              <w:right w:val="single" w:sz="4" w:space="0" w:color="auto"/>
            </w:tcBorders>
            <w:shd w:val="clear" w:color="auto" w:fill="C6EFCE"/>
            <w:noWrap/>
            <w:vAlign w:val="center"/>
          </w:tcPr>
          <w:p w14:paraId="20EEF937"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0ADB804F" w14:textId="77777777" w:rsidR="00A612E2" w:rsidRPr="003B127D" w:rsidRDefault="00A612E2" w:rsidP="00742B81">
            <w:pPr>
              <w:jc w:val="center"/>
              <w:rPr>
                <w:noProof/>
                <w:color w:val="006100"/>
                <w:sz w:val="20"/>
                <w:szCs w:val="20"/>
              </w:rPr>
            </w:pPr>
            <w:r>
              <w:rPr>
                <w:noProof/>
                <w:color w:val="006100"/>
                <w:sz w:val="20"/>
              </w:rPr>
              <w:t xml:space="preserve">Elektrilüsaatorite tööstusliku sisseseade valmimise riigihankelepingute sõlmimine </w:t>
            </w:r>
          </w:p>
        </w:tc>
      </w:tr>
      <w:tr w:rsidR="00A612E2" w:rsidRPr="00246CC4" w14:paraId="543F0EF5"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DEC1404" w14:textId="77777777" w:rsidR="00A612E2" w:rsidRPr="00246CC4" w:rsidRDefault="00A612E2" w:rsidP="00742B81">
            <w:pPr>
              <w:jc w:val="center"/>
              <w:rPr>
                <w:noProof/>
                <w:color w:val="006100"/>
                <w:sz w:val="20"/>
                <w:szCs w:val="20"/>
              </w:rPr>
            </w:pPr>
            <w:r>
              <w:rPr>
                <w:noProof/>
                <w:color w:val="006100"/>
                <w:sz w:val="20"/>
              </w:rPr>
              <w:t>M2C4-11ter</w:t>
            </w:r>
          </w:p>
        </w:tc>
        <w:tc>
          <w:tcPr>
            <w:tcW w:w="3090" w:type="dxa"/>
            <w:tcBorders>
              <w:top w:val="nil"/>
              <w:left w:val="nil"/>
              <w:bottom w:val="single" w:sz="4" w:space="0" w:color="auto"/>
              <w:right w:val="single" w:sz="4" w:space="0" w:color="auto"/>
            </w:tcBorders>
            <w:shd w:val="clear" w:color="auto" w:fill="C6EFCE"/>
            <w:noWrap/>
            <w:vAlign w:val="center"/>
          </w:tcPr>
          <w:p w14:paraId="54C8B9D7" w14:textId="77777777" w:rsidR="00A612E2" w:rsidRPr="003B127D" w:rsidRDefault="00A612E2" w:rsidP="008B3890">
            <w:pPr>
              <w:rPr>
                <w:noProof/>
                <w:color w:val="006100"/>
                <w:sz w:val="20"/>
                <w:szCs w:val="20"/>
              </w:rPr>
            </w:pPr>
            <w:r>
              <w:rPr>
                <w:noProof/>
                <w:color w:val="006100"/>
                <w:sz w:val="20"/>
              </w:rPr>
              <w:t>Investeering 2.1.a. Üleujutus- ja hüdrogeoloogilise ohu vähendamise meetmed – sekkumised Emilia Romagnas, Toscanas ja Marches</w:t>
            </w:r>
          </w:p>
        </w:tc>
        <w:tc>
          <w:tcPr>
            <w:tcW w:w="1498" w:type="dxa"/>
            <w:tcBorders>
              <w:top w:val="nil"/>
              <w:left w:val="nil"/>
              <w:bottom w:val="single" w:sz="4" w:space="0" w:color="auto"/>
              <w:right w:val="single" w:sz="4" w:space="0" w:color="auto"/>
            </w:tcBorders>
            <w:shd w:val="clear" w:color="auto" w:fill="C6EFCE"/>
            <w:noWrap/>
            <w:vAlign w:val="center"/>
          </w:tcPr>
          <w:p w14:paraId="338E4586" w14:textId="77777777" w:rsidR="00A612E2" w:rsidRPr="00246CC4" w:rsidRDefault="00A612E2" w:rsidP="00742B81">
            <w:pPr>
              <w:jc w:val="center"/>
              <w:rPr>
                <w:noProof/>
                <w:color w:val="006100"/>
                <w:sz w:val="20"/>
                <w:szCs w:val="20"/>
              </w:rPr>
            </w:pPr>
            <w:r>
              <w:rPr>
                <w:noProof/>
                <w:color w:val="006100"/>
                <w:sz w:val="20"/>
              </w:rPr>
              <w:t>Eesmärk</w:t>
            </w:r>
          </w:p>
        </w:tc>
        <w:tc>
          <w:tcPr>
            <w:tcW w:w="4091" w:type="dxa"/>
            <w:tcBorders>
              <w:top w:val="nil"/>
              <w:left w:val="nil"/>
              <w:bottom w:val="single" w:sz="4" w:space="0" w:color="auto"/>
              <w:right w:val="single" w:sz="4" w:space="0" w:color="auto"/>
            </w:tcBorders>
            <w:shd w:val="clear" w:color="auto" w:fill="C6EFCE"/>
            <w:noWrap/>
            <w:vAlign w:val="center"/>
          </w:tcPr>
          <w:p w14:paraId="740DE60A" w14:textId="77777777" w:rsidR="00A612E2" w:rsidRPr="00246CC4" w:rsidRDefault="00A612E2" w:rsidP="00742B81">
            <w:pPr>
              <w:jc w:val="center"/>
              <w:rPr>
                <w:noProof/>
                <w:color w:val="006100"/>
                <w:sz w:val="20"/>
                <w:szCs w:val="20"/>
              </w:rPr>
            </w:pPr>
            <w:r>
              <w:rPr>
                <w:noProof/>
                <w:color w:val="006100"/>
                <w:sz w:val="20"/>
              </w:rPr>
              <w:t>Projektide lõpuleviimine</w:t>
            </w:r>
          </w:p>
        </w:tc>
      </w:tr>
      <w:tr w:rsidR="00A612E2" w:rsidRPr="00D90835" w14:paraId="329B6654"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22DBAA1" w14:textId="77777777" w:rsidR="00A612E2" w:rsidRPr="00246CC4" w:rsidRDefault="00A612E2" w:rsidP="00742B81">
            <w:pPr>
              <w:jc w:val="center"/>
              <w:rPr>
                <w:noProof/>
                <w:color w:val="006100"/>
                <w:sz w:val="20"/>
                <w:szCs w:val="20"/>
              </w:rPr>
            </w:pPr>
            <w:r>
              <w:rPr>
                <w:noProof/>
                <w:color w:val="006100"/>
                <w:sz w:val="20"/>
              </w:rPr>
              <w:t>M2C4-13</w:t>
            </w:r>
          </w:p>
        </w:tc>
        <w:tc>
          <w:tcPr>
            <w:tcW w:w="3090" w:type="dxa"/>
            <w:tcBorders>
              <w:top w:val="nil"/>
              <w:left w:val="nil"/>
              <w:bottom w:val="single" w:sz="4" w:space="0" w:color="auto"/>
              <w:right w:val="single" w:sz="4" w:space="0" w:color="auto"/>
            </w:tcBorders>
            <w:shd w:val="clear" w:color="auto" w:fill="C6EFCE"/>
            <w:noWrap/>
            <w:vAlign w:val="center"/>
          </w:tcPr>
          <w:p w14:paraId="7F5D5BFF" w14:textId="77777777" w:rsidR="00A612E2" w:rsidRPr="003B127D" w:rsidRDefault="00A612E2" w:rsidP="008B3890">
            <w:pPr>
              <w:rPr>
                <w:noProof/>
                <w:color w:val="006100"/>
                <w:sz w:val="20"/>
                <w:szCs w:val="20"/>
              </w:rPr>
            </w:pPr>
            <w:r>
              <w:rPr>
                <w:noProof/>
                <w:color w:val="006100"/>
                <w:sz w:val="20"/>
              </w:rPr>
              <w:t>Investeering 2.1b. Üleujutusriski ja hüdrogeoloogilise riski vähendamise meetmed</w:t>
            </w:r>
          </w:p>
        </w:tc>
        <w:tc>
          <w:tcPr>
            <w:tcW w:w="1498" w:type="dxa"/>
            <w:tcBorders>
              <w:top w:val="nil"/>
              <w:left w:val="nil"/>
              <w:bottom w:val="single" w:sz="4" w:space="0" w:color="auto"/>
              <w:right w:val="single" w:sz="4" w:space="0" w:color="auto"/>
            </w:tcBorders>
            <w:shd w:val="clear" w:color="auto" w:fill="C6EFCE"/>
            <w:noWrap/>
            <w:vAlign w:val="center"/>
          </w:tcPr>
          <w:p w14:paraId="3B9F379A"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6624F36C" w14:textId="77777777" w:rsidR="00A612E2" w:rsidRPr="003B127D" w:rsidRDefault="00A612E2" w:rsidP="00742B81">
            <w:pPr>
              <w:jc w:val="center"/>
              <w:rPr>
                <w:noProof/>
                <w:color w:val="006100"/>
                <w:sz w:val="20"/>
                <w:szCs w:val="20"/>
              </w:rPr>
            </w:pPr>
            <w:r>
              <w:rPr>
                <w:noProof/>
                <w:color w:val="006100"/>
                <w:sz w:val="20"/>
              </w:rPr>
              <w:t>D- ja E-tüüpi sekkumiste lõpuleviimine</w:t>
            </w:r>
          </w:p>
        </w:tc>
      </w:tr>
      <w:tr w:rsidR="00A612E2" w:rsidRPr="00D90835" w14:paraId="0480A9D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EB1742B" w14:textId="77777777" w:rsidR="00A612E2" w:rsidRPr="00246CC4" w:rsidRDefault="00A612E2" w:rsidP="00742B81">
            <w:pPr>
              <w:jc w:val="center"/>
              <w:rPr>
                <w:noProof/>
                <w:color w:val="006100"/>
                <w:sz w:val="20"/>
                <w:szCs w:val="20"/>
              </w:rPr>
            </w:pPr>
            <w:r>
              <w:rPr>
                <w:noProof/>
                <w:color w:val="006100"/>
                <w:sz w:val="20"/>
              </w:rPr>
              <w:t>M2C4-20bis</w:t>
            </w:r>
          </w:p>
        </w:tc>
        <w:tc>
          <w:tcPr>
            <w:tcW w:w="3090" w:type="dxa"/>
            <w:tcBorders>
              <w:top w:val="nil"/>
              <w:left w:val="nil"/>
              <w:bottom w:val="single" w:sz="4" w:space="0" w:color="auto"/>
              <w:right w:val="single" w:sz="4" w:space="0" w:color="auto"/>
            </w:tcBorders>
            <w:shd w:val="clear" w:color="auto" w:fill="C6EFCE"/>
            <w:noWrap/>
            <w:vAlign w:val="center"/>
          </w:tcPr>
          <w:p w14:paraId="48C24C52" w14:textId="389820FE" w:rsidR="00A612E2" w:rsidRPr="003B127D" w:rsidRDefault="00A612E2" w:rsidP="008B3890">
            <w:pPr>
              <w:rPr>
                <w:noProof/>
                <w:color w:val="006100"/>
                <w:sz w:val="20"/>
                <w:szCs w:val="20"/>
              </w:rPr>
            </w:pPr>
            <w:r>
              <w:rPr>
                <w:noProof/>
                <w:color w:val="006100"/>
                <w:sz w:val="20"/>
              </w:rPr>
              <w:t>Investeering 3.1. Linna- ja linnalähedaste metsade kaitse ja edendamine</w:t>
            </w:r>
          </w:p>
        </w:tc>
        <w:tc>
          <w:tcPr>
            <w:tcW w:w="1498" w:type="dxa"/>
            <w:tcBorders>
              <w:top w:val="nil"/>
              <w:left w:val="nil"/>
              <w:bottom w:val="single" w:sz="4" w:space="0" w:color="auto"/>
              <w:right w:val="single" w:sz="4" w:space="0" w:color="auto"/>
            </w:tcBorders>
            <w:shd w:val="clear" w:color="auto" w:fill="C6EFCE"/>
            <w:noWrap/>
            <w:vAlign w:val="center"/>
          </w:tcPr>
          <w:p w14:paraId="60F6B031"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72D22FCC" w14:textId="77777777" w:rsidR="00A612E2" w:rsidRPr="003B127D" w:rsidRDefault="00A612E2" w:rsidP="00742B81">
            <w:pPr>
              <w:jc w:val="center"/>
              <w:rPr>
                <w:noProof/>
                <w:color w:val="006100"/>
                <w:sz w:val="20"/>
                <w:szCs w:val="20"/>
              </w:rPr>
            </w:pPr>
            <w:r>
              <w:rPr>
                <w:noProof/>
                <w:color w:val="006100"/>
                <w:sz w:val="20"/>
              </w:rPr>
              <w:t xml:space="preserve">Taimepuud linna- ja linnalähedaste rohealade kaitseks ja väärtustamiseks T3 </w:t>
            </w:r>
          </w:p>
        </w:tc>
      </w:tr>
      <w:tr w:rsidR="00A612E2" w:rsidRPr="00D90835" w14:paraId="2CD445D3"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6FF380C" w14:textId="77777777" w:rsidR="00A612E2" w:rsidRPr="00246CC4" w:rsidRDefault="00A612E2" w:rsidP="00742B81">
            <w:pPr>
              <w:jc w:val="center"/>
              <w:rPr>
                <w:noProof/>
                <w:color w:val="006100"/>
                <w:sz w:val="20"/>
                <w:szCs w:val="20"/>
              </w:rPr>
            </w:pPr>
            <w:r>
              <w:rPr>
                <w:noProof/>
                <w:color w:val="006100"/>
                <w:sz w:val="20"/>
              </w:rPr>
              <w:t>M2C4-34bis</w:t>
            </w:r>
          </w:p>
        </w:tc>
        <w:tc>
          <w:tcPr>
            <w:tcW w:w="3090" w:type="dxa"/>
            <w:tcBorders>
              <w:top w:val="nil"/>
              <w:left w:val="nil"/>
              <w:bottom w:val="single" w:sz="4" w:space="0" w:color="auto"/>
              <w:right w:val="single" w:sz="4" w:space="0" w:color="auto"/>
            </w:tcBorders>
            <w:shd w:val="clear" w:color="auto" w:fill="C6EFCE"/>
            <w:noWrap/>
            <w:vAlign w:val="center"/>
          </w:tcPr>
          <w:p w14:paraId="18161A00" w14:textId="77777777" w:rsidR="00A612E2" w:rsidRPr="003B127D" w:rsidRDefault="00A612E2" w:rsidP="008B3890">
            <w:pPr>
              <w:rPr>
                <w:noProof/>
                <w:color w:val="006100"/>
                <w:sz w:val="20"/>
                <w:szCs w:val="20"/>
              </w:rPr>
            </w:pPr>
            <w:r>
              <w:rPr>
                <w:noProof/>
                <w:color w:val="006100"/>
                <w:sz w:val="20"/>
              </w:rPr>
              <w:t>Investeering 4.3. Investeeringud niisutuspõllumajandussüsteemi vastupanuvõimesse veevarude paremaks majandamiseks</w:t>
            </w:r>
          </w:p>
        </w:tc>
        <w:tc>
          <w:tcPr>
            <w:tcW w:w="1498" w:type="dxa"/>
            <w:tcBorders>
              <w:top w:val="nil"/>
              <w:left w:val="nil"/>
              <w:bottom w:val="single" w:sz="4" w:space="0" w:color="auto"/>
              <w:right w:val="single" w:sz="4" w:space="0" w:color="auto"/>
            </w:tcBorders>
            <w:shd w:val="clear" w:color="auto" w:fill="C6EFCE"/>
            <w:noWrap/>
            <w:vAlign w:val="center"/>
          </w:tcPr>
          <w:p w14:paraId="22F02C39"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72DD3F5A" w14:textId="77777777" w:rsidR="00A612E2" w:rsidRPr="003B127D" w:rsidRDefault="00A612E2" w:rsidP="00742B81">
            <w:pPr>
              <w:jc w:val="center"/>
              <w:rPr>
                <w:noProof/>
                <w:color w:val="006100"/>
                <w:sz w:val="20"/>
                <w:szCs w:val="20"/>
              </w:rPr>
            </w:pPr>
            <w:r>
              <w:rPr>
                <w:noProof/>
                <w:color w:val="006100"/>
                <w:sz w:val="20"/>
              </w:rPr>
              <w:t>Sekkumised niisutuspõllumajandussüsteemi vastupanuvõime tagamiseks veevarude paremaks majandamiseks T1</w:t>
            </w:r>
          </w:p>
        </w:tc>
      </w:tr>
      <w:tr w:rsidR="00A612E2" w:rsidRPr="00D90835" w14:paraId="045A68BD"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687794E" w14:textId="77777777" w:rsidR="00A612E2" w:rsidRPr="00246CC4" w:rsidRDefault="00A612E2" w:rsidP="00742B81">
            <w:pPr>
              <w:jc w:val="center"/>
              <w:rPr>
                <w:noProof/>
                <w:color w:val="006100"/>
                <w:sz w:val="20"/>
                <w:szCs w:val="20"/>
              </w:rPr>
            </w:pPr>
            <w:r>
              <w:rPr>
                <w:noProof/>
                <w:color w:val="006100"/>
                <w:sz w:val="20"/>
              </w:rPr>
              <w:t>M3C1-6</w:t>
            </w:r>
          </w:p>
        </w:tc>
        <w:tc>
          <w:tcPr>
            <w:tcW w:w="3090" w:type="dxa"/>
            <w:tcBorders>
              <w:top w:val="nil"/>
              <w:left w:val="nil"/>
              <w:bottom w:val="single" w:sz="4" w:space="0" w:color="auto"/>
              <w:right w:val="single" w:sz="4" w:space="0" w:color="auto"/>
            </w:tcBorders>
            <w:shd w:val="clear" w:color="auto" w:fill="C6EFCE"/>
            <w:noWrap/>
            <w:vAlign w:val="center"/>
          </w:tcPr>
          <w:p w14:paraId="76459460" w14:textId="77777777" w:rsidR="00A612E2" w:rsidRPr="003B127D" w:rsidRDefault="00A612E2" w:rsidP="008B3890">
            <w:pPr>
              <w:rPr>
                <w:noProof/>
                <w:color w:val="006100"/>
                <w:sz w:val="20"/>
                <w:szCs w:val="20"/>
              </w:rPr>
            </w:pPr>
            <w:r>
              <w:rPr>
                <w:noProof/>
                <w:color w:val="006100"/>
                <w:sz w:val="20"/>
              </w:rPr>
              <w:t>Investeering 1.1. Reisijate ja kauba kiirrongiühendus lõunasse</w:t>
            </w:r>
          </w:p>
        </w:tc>
        <w:tc>
          <w:tcPr>
            <w:tcW w:w="1498" w:type="dxa"/>
            <w:tcBorders>
              <w:top w:val="nil"/>
              <w:left w:val="nil"/>
              <w:bottom w:val="single" w:sz="4" w:space="0" w:color="auto"/>
              <w:right w:val="single" w:sz="4" w:space="0" w:color="auto"/>
            </w:tcBorders>
            <w:shd w:val="clear" w:color="auto" w:fill="C6EFCE"/>
            <w:noWrap/>
            <w:vAlign w:val="center"/>
          </w:tcPr>
          <w:p w14:paraId="665A2E6B"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2CB3AF57" w14:textId="77777777" w:rsidR="00A612E2" w:rsidRPr="003B127D" w:rsidRDefault="00A612E2" w:rsidP="00742B81">
            <w:pPr>
              <w:jc w:val="center"/>
              <w:rPr>
                <w:noProof/>
                <w:color w:val="006100"/>
                <w:sz w:val="20"/>
                <w:szCs w:val="20"/>
              </w:rPr>
            </w:pPr>
            <w:r>
              <w:rPr>
                <w:noProof/>
                <w:color w:val="006100"/>
                <w:sz w:val="20"/>
              </w:rPr>
              <w:t>Nii reisijate- kui ka kaubaveoks kasutatav kiirraudtee Napoli-Bari, Salerno-Reggio Calabria, Palermo-Catania liinidel</w:t>
            </w:r>
          </w:p>
        </w:tc>
      </w:tr>
      <w:tr w:rsidR="00A612E2" w:rsidRPr="00246CC4" w14:paraId="067980AB"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B70BCC1" w14:textId="77777777" w:rsidR="00A612E2" w:rsidRPr="00246CC4" w:rsidRDefault="00A612E2" w:rsidP="00742B81">
            <w:pPr>
              <w:jc w:val="center"/>
              <w:rPr>
                <w:noProof/>
                <w:color w:val="006100"/>
                <w:sz w:val="20"/>
                <w:szCs w:val="20"/>
              </w:rPr>
            </w:pPr>
            <w:r>
              <w:rPr>
                <w:noProof/>
                <w:color w:val="006100"/>
                <w:sz w:val="20"/>
              </w:rPr>
              <w:t>M3C1-24</w:t>
            </w:r>
          </w:p>
        </w:tc>
        <w:tc>
          <w:tcPr>
            <w:tcW w:w="3090" w:type="dxa"/>
            <w:tcBorders>
              <w:top w:val="nil"/>
              <w:left w:val="nil"/>
              <w:bottom w:val="single" w:sz="4" w:space="0" w:color="auto"/>
              <w:right w:val="single" w:sz="4" w:space="0" w:color="auto"/>
            </w:tcBorders>
            <w:shd w:val="clear" w:color="auto" w:fill="C6EFCE"/>
            <w:noWrap/>
            <w:vAlign w:val="center"/>
          </w:tcPr>
          <w:p w14:paraId="4F060464" w14:textId="77777777" w:rsidR="00A612E2" w:rsidRPr="00246CC4" w:rsidRDefault="00A612E2" w:rsidP="008B3890">
            <w:pPr>
              <w:rPr>
                <w:noProof/>
                <w:color w:val="006100"/>
                <w:sz w:val="20"/>
                <w:szCs w:val="20"/>
              </w:rPr>
            </w:pPr>
            <w:r>
              <w:rPr>
                <w:noProof/>
                <w:color w:val="006100"/>
                <w:sz w:val="20"/>
              </w:rPr>
              <w:t>Investeering 1.9. Piirkondadevahelised ühendused</w:t>
            </w:r>
          </w:p>
        </w:tc>
        <w:tc>
          <w:tcPr>
            <w:tcW w:w="1498" w:type="dxa"/>
            <w:tcBorders>
              <w:top w:val="nil"/>
              <w:left w:val="nil"/>
              <w:bottom w:val="single" w:sz="4" w:space="0" w:color="auto"/>
              <w:right w:val="single" w:sz="4" w:space="0" w:color="auto"/>
            </w:tcBorders>
            <w:shd w:val="clear" w:color="auto" w:fill="C6EFCE"/>
            <w:noWrap/>
            <w:vAlign w:val="center"/>
          </w:tcPr>
          <w:p w14:paraId="34E346B9"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0E1CEB3F" w14:textId="77777777" w:rsidR="00A612E2" w:rsidRPr="00246CC4" w:rsidRDefault="00A612E2" w:rsidP="00742B81">
            <w:pPr>
              <w:jc w:val="center"/>
              <w:rPr>
                <w:noProof/>
                <w:color w:val="006100"/>
                <w:sz w:val="20"/>
                <w:szCs w:val="20"/>
              </w:rPr>
            </w:pPr>
            <w:r>
              <w:rPr>
                <w:noProof/>
                <w:color w:val="006100"/>
                <w:sz w:val="20"/>
              </w:rPr>
              <w:t>Investeering 1.9. Piirkondadevahelised ühendused</w:t>
            </w:r>
          </w:p>
        </w:tc>
      </w:tr>
      <w:tr w:rsidR="00A612E2" w:rsidRPr="00D90835" w14:paraId="3E70BF3B"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E49DD1C" w14:textId="77777777" w:rsidR="00A612E2" w:rsidRPr="00246CC4" w:rsidRDefault="00A612E2" w:rsidP="00742B81">
            <w:pPr>
              <w:jc w:val="center"/>
              <w:rPr>
                <w:noProof/>
                <w:color w:val="006100"/>
                <w:sz w:val="20"/>
                <w:szCs w:val="20"/>
              </w:rPr>
            </w:pPr>
            <w:r>
              <w:rPr>
                <w:noProof/>
                <w:color w:val="006100"/>
                <w:sz w:val="20"/>
              </w:rPr>
              <w:t>M3C1-9</w:t>
            </w:r>
          </w:p>
        </w:tc>
        <w:tc>
          <w:tcPr>
            <w:tcW w:w="3090" w:type="dxa"/>
            <w:tcBorders>
              <w:top w:val="nil"/>
              <w:left w:val="nil"/>
              <w:bottom w:val="single" w:sz="4" w:space="0" w:color="auto"/>
              <w:right w:val="single" w:sz="4" w:space="0" w:color="auto"/>
            </w:tcBorders>
            <w:shd w:val="clear" w:color="auto" w:fill="C6EFCE"/>
            <w:noWrap/>
            <w:vAlign w:val="center"/>
          </w:tcPr>
          <w:p w14:paraId="72B475D4" w14:textId="77777777" w:rsidR="00A612E2" w:rsidRPr="003B127D" w:rsidRDefault="00A612E2" w:rsidP="008B3890">
            <w:pPr>
              <w:rPr>
                <w:noProof/>
                <w:color w:val="006100"/>
                <w:sz w:val="20"/>
                <w:szCs w:val="20"/>
              </w:rPr>
            </w:pPr>
            <w:r>
              <w:rPr>
                <w:noProof/>
                <w:color w:val="006100"/>
                <w:sz w:val="20"/>
              </w:rPr>
              <w:t>Investeering 1.2. Kiirraudteeliinid põhjas, mis ühendavad ülejäänud Euroopaga</w:t>
            </w:r>
          </w:p>
        </w:tc>
        <w:tc>
          <w:tcPr>
            <w:tcW w:w="1498" w:type="dxa"/>
            <w:tcBorders>
              <w:top w:val="nil"/>
              <w:left w:val="nil"/>
              <w:bottom w:val="single" w:sz="4" w:space="0" w:color="auto"/>
              <w:right w:val="single" w:sz="4" w:space="0" w:color="auto"/>
            </w:tcBorders>
            <w:shd w:val="clear" w:color="auto" w:fill="C6EFCE"/>
            <w:noWrap/>
            <w:vAlign w:val="center"/>
          </w:tcPr>
          <w:p w14:paraId="10192D32"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30E78F49" w14:textId="77777777" w:rsidR="00A612E2" w:rsidRPr="003B127D" w:rsidRDefault="00A612E2" w:rsidP="00742B81">
            <w:pPr>
              <w:jc w:val="center"/>
              <w:rPr>
                <w:noProof/>
                <w:color w:val="006100"/>
                <w:sz w:val="20"/>
                <w:szCs w:val="20"/>
              </w:rPr>
            </w:pPr>
            <w:r>
              <w:rPr>
                <w:noProof/>
                <w:color w:val="006100"/>
                <w:sz w:val="20"/>
              </w:rPr>
              <w:t>Reisijate- ja kaubaveoks kasutatav kiirraudtee Brescia-Verona-Vicenza-Padova liinidel; Liguuria-Alpi.</w:t>
            </w:r>
          </w:p>
        </w:tc>
      </w:tr>
      <w:tr w:rsidR="00A612E2" w:rsidRPr="00D90835" w14:paraId="19523BB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66520DD" w14:textId="77777777" w:rsidR="00A612E2" w:rsidRPr="00246CC4" w:rsidRDefault="00A612E2" w:rsidP="00742B81">
            <w:pPr>
              <w:jc w:val="center"/>
              <w:rPr>
                <w:noProof/>
                <w:color w:val="006100"/>
                <w:sz w:val="20"/>
                <w:szCs w:val="20"/>
              </w:rPr>
            </w:pPr>
            <w:r>
              <w:rPr>
                <w:noProof/>
                <w:color w:val="006100"/>
                <w:sz w:val="20"/>
              </w:rPr>
              <w:t>M3C1-11</w:t>
            </w:r>
          </w:p>
        </w:tc>
        <w:tc>
          <w:tcPr>
            <w:tcW w:w="3090" w:type="dxa"/>
            <w:tcBorders>
              <w:top w:val="nil"/>
              <w:left w:val="nil"/>
              <w:bottom w:val="single" w:sz="4" w:space="0" w:color="auto"/>
              <w:right w:val="single" w:sz="4" w:space="0" w:color="auto"/>
            </w:tcBorders>
            <w:shd w:val="clear" w:color="auto" w:fill="C6EFCE"/>
            <w:noWrap/>
            <w:vAlign w:val="center"/>
          </w:tcPr>
          <w:p w14:paraId="70AA7D5F" w14:textId="77777777" w:rsidR="00A612E2" w:rsidRPr="00246CC4" w:rsidRDefault="00A612E2" w:rsidP="008B3890">
            <w:pPr>
              <w:rPr>
                <w:noProof/>
                <w:color w:val="006100"/>
                <w:sz w:val="20"/>
                <w:szCs w:val="20"/>
              </w:rPr>
            </w:pPr>
            <w:r>
              <w:rPr>
                <w:noProof/>
                <w:color w:val="006100"/>
                <w:sz w:val="20"/>
              </w:rPr>
              <w:t>Investeering 1.3. Diagonaalühendused</w:t>
            </w:r>
          </w:p>
        </w:tc>
        <w:tc>
          <w:tcPr>
            <w:tcW w:w="1498" w:type="dxa"/>
            <w:tcBorders>
              <w:top w:val="nil"/>
              <w:left w:val="nil"/>
              <w:bottom w:val="single" w:sz="4" w:space="0" w:color="auto"/>
              <w:right w:val="single" w:sz="4" w:space="0" w:color="auto"/>
            </w:tcBorders>
            <w:shd w:val="clear" w:color="auto" w:fill="C6EFCE"/>
            <w:noWrap/>
            <w:vAlign w:val="center"/>
          </w:tcPr>
          <w:p w14:paraId="5798A377"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15C3F31C" w14:textId="77777777" w:rsidR="00A612E2" w:rsidRPr="003B127D" w:rsidRDefault="00A612E2" w:rsidP="00742B81">
            <w:pPr>
              <w:jc w:val="center"/>
              <w:rPr>
                <w:noProof/>
                <w:color w:val="006100"/>
                <w:sz w:val="20"/>
                <w:szCs w:val="20"/>
              </w:rPr>
            </w:pPr>
            <w:r>
              <w:rPr>
                <w:noProof/>
                <w:color w:val="006100"/>
                <w:sz w:val="20"/>
              </w:rPr>
              <w:t>Nii reisijate kui ka kauba kiirraudtee liinil Orte-Falconara ja Taranto-Metaponto-Potenza-Battipaglia</w:t>
            </w:r>
          </w:p>
        </w:tc>
      </w:tr>
      <w:tr w:rsidR="00A612E2" w:rsidRPr="00D90835" w14:paraId="01C9D735"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2C973FC" w14:textId="77777777" w:rsidR="00A612E2" w:rsidRPr="00246CC4" w:rsidRDefault="00A612E2" w:rsidP="00742B81">
            <w:pPr>
              <w:jc w:val="center"/>
              <w:rPr>
                <w:noProof/>
                <w:color w:val="006100"/>
                <w:sz w:val="20"/>
                <w:szCs w:val="20"/>
              </w:rPr>
            </w:pPr>
            <w:r>
              <w:rPr>
                <w:noProof/>
                <w:color w:val="006100"/>
                <w:sz w:val="20"/>
              </w:rPr>
              <w:t>M3C1-14</w:t>
            </w:r>
          </w:p>
        </w:tc>
        <w:tc>
          <w:tcPr>
            <w:tcW w:w="3090" w:type="dxa"/>
            <w:tcBorders>
              <w:top w:val="nil"/>
              <w:left w:val="nil"/>
              <w:bottom w:val="single" w:sz="4" w:space="0" w:color="auto"/>
              <w:right w:val="single" w:sz="4" w:space="0" w:color="auto"/>
            </w:tcBorders>
            <w:shd w:val="clear" w:color="auto" w:fill="C6EFCE"/>
            <w:noWrap/>
            <w:vAlign w:val="center"/>
          </w:tcPr>
          <w:p w14:paraId="05734D3D" w14:textId="77777777" w:rsidR="00A612E2" w:rsidRPr="003B127D" w:rsidRDefault="00A612E2" w:rsidP="008B3890">
            <w:pPr>
              <w:rPr>
                <w:noProof/>
                <w:color w:val="006100"/>
                <w:sz w:val="20"/>
                <w:szCs w:val="20"/>
              </w:rPr>
            </w:pPr>
            <w:r>
              <w:rPr>
                <w:noProof/>
                <w:color w:val="006100"/>
                <w:sz w:val="20"/>
              </w:rPr>
              <w:t>Investeering 1.4. Euroopa raudteetranspordi juhtimissüsteemi (ERTMS) kasutuselevõtmine</w:t>
            </w:r>
          </w:p>
        </w:tc>
        <w:tc>
          <w:tcPr>
            <w:tcW w:w="1498" w:type="dxa"/>
            <w:tcBorders>
              <w:top w:val="nil"/>
              <w:left w:val="nil"/>
              <w:bottom w:val="single" w:sz="4" w:space="0" w:color="auto"/>
              <w:right w:val="single" w:sz="4" w:space="0" w:color="auto"/>
            </w:tcBorders>
            <w:shd w:val="clear" w:color="auto" w:fill="C6EFCE"/>
            <w:noWrap/>
            <w:vAlign w:val="center"/>
          </w:tcPr>
          <w:p w14:paraId="3366C39A"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086ABC63" w14:textId="77777777" w:rsidR="00A612E2" w:rsidRPr="003B127D" w:rsidRDefault="00A612E2" w:rsidP="00742B81">
            <w:pPr>
              <w:jc w:val="center"/>
              <w:rPr>
                <w:noProof/>
                <w:color w:val="006100"/>
                <w:sz w:val="20"/>
                <w:szCs w:val="20"/>
              </w:rPr>
            </w:pPr>
            <w:r>
              <w:rPr>
                <w:noProof/>
                <w:color w:val="006100"/>
                <w:sz w:val="20"/>
              </w:rPr>
              <w:t>2 785 km Euroopa raudteetranspordi juhtimissüsteemiga varustatud raudteeliine</w:t>
            </w:r>
          </w:p>
        </w:tc>
      </w:tr>
      <w:tr w:rsidR="00A612E2" w:rsidRPr="00D90835" w14:paraId="2E747669"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751AEAF" w14:textId="77777777" w:rsidR="00A612E2" w:rsidRPr="00246CC4" w:rsidRDefault="00A612E2" w:rsidP="00742B81">
            <w:pPr>
              <w:jc w:val="center"/>
              <w:rPr>
                <w:noProof/>
                <w:color w:val="006100"/>
                <w:sz w:val="20"/>
                <w:szCs w:val="20"/>
              </w:rPr>
            </w:pPr>
            <w:r>
              <w:rPr>
                <w:noProof/>
                <w:color w:val="006100"/>
                <w:sz w:val="20"/>
              </w:rPr>
              <w:t>M3C1-16</w:t>
            </w:r>
          </w:p>
        </w:tc>
        <w:tc>
          <w:tcPr>
            <w:tcW w:w="3090" w:type="dxa"/>
            <w:tcBorders>
              <w:top w:val="nil"/>
              <w:left w:val="nil"/>
              <w:bottom w:val="single" w:sz="4" w:space="0" w:color="auto"/>
              <w:right w:val="single" w:sz="4" w:space="0" w:color="auto"/>
            </w:tcBorders>
            <w:shd w:val="clear" w:color="auto" w:fill="C6EFCE"/>
            <w:noWrap/>
            <w:vAlign w:val="center"/>
          </w:tcPr>
          <w:p w14:paraId="53A74807" w14:textId="77777777" w:rsidR="00A612E2" w:rsidRPr="003B127D" w:rsidRDefault="00A612E2" w:rsidP="008B3890">
            <w:pPr>
              <w:rPr>
                <w:noProof/>
                <w:color w:val="006100"/>
                <w:sz w:val="20"/>
                <w:szCs w:val="20"/>
              </w:rPr>
            </w:pPr>
            <w:r>
              <w:rPr>
                <w:noProof/>
                <w:color w:val="006100"/>
                <w:sz w:val="20"/>
              </w:rPr>
              <w:t>Investeering 1.5. Suurlinnasõlmede tugevdamine ja peamised riiklikud sidemed</w:t>
            </w:r>
          </w:p>
        </w:tc>
        <w:tc>
          <w:tcPr>
            <w:tcW w:w="1498" w:type="dxa"/>
            <w:tcBorders>
              <w:top w:val="nil"/>
              <w:left w:val="nil"/>
              <w:bottom w:val="single" w:sz="4" w:space="0" w:color="auto"/>
              <w:right w:val="single" w:sz="4" w:space="0" w:color="auto"/>
            </w:tcBorders>
            <w:shd w:val="clear" w:color="auto" w:fill="C6EFCE"/>
            <w:noWrap/>
            <w:vAlign w:val="center"/>
          </w:tcPr>
          <w:p w14:paraId="53832289"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68D0D47C" w14:textId="77777777" w:rsidR="00A612E2" w:rsidRPr="003B127D" w:rsidRDefault="00A612E2" w:rsidP="00742B81">
            <w:pPr>
              <w:jc w:val="center"/>
              <w:rPr>
                <w:noProof/>
                <w:color w:val="006100"/>
                <w:sz w:val="20"/>
                <w:szCs w:val="20"/>
              </w:rPr>
            </w:pPr>
            <w:r>
              <w:rPr>
                <w:noProof/>
                <w:color w:val="006100"/>
                <w:sz w:val="20"/>
              </w:rPr>
              <w:t>1 280 km kõrgendatud liinilõike, mis on ehitatud suurlinnasõlmedele ja peamistele riiklikele ühendusteele</w:t>
            </w:r>
          </w:p>
        </w:tc>
      </w:tr>
      <w:tr w:rsidR="00A612E2" w:rsidRPr="00D90835" w14:paraId="67994DC2"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4EF5A0F" w14:textId="77777777" w:rsidR="00A612E2" w:rsidRPr="00246CC4" w:rsidRDefault="00A612E2" w:rsidP="00742B81">
            <w:pPr>
              <w:jc w:val="center"/>
              <w:rPr>
                <w:noProof/>
                <w:color w:val="006100"/>
                <w:sz w:val="20"/>
                <w:szCs w:val="20"/>
              </w:rPr>
            </w:pPr>
            <w:r>
              <w:rPr>
                <w:noProof/>
                <w:color w:val="006100"/>
                <w:sz w:val="20"/>
              </w:rPr>
              <w:t>M3C1–17bis</w:t>
            </w:r>
          </w:p>
        </w:tc>
        <w:tc>
          <w:tcPr>
            <w:tcW w:w="3090" w:type="dxa"/>
            <w:tcBorders>
              <w:top w:val="nil"/>
              <w:left w:val="nil"/>
              <w:bottom w:val="single" w:sz="4" w:space="0" w:color="auto"/>
              <w:right w:val="single" w:sz="4" w:space="0" w:color="auto"/>
            </w:tcBorders>
            <w:shd w:val="clear" w:color="auto" w:fill="C6EFCE"/>
            <w:noWrap/>
            <w:vAlign w:val="center"/>
          </w:tcPr>
          <w:p w14:paraId="2D5EC8F8" w14:textId="77777777" w:rsidR="00A612E2" w:rsidRPr="003B127D" w:rsidRDefault="00A612E2" w:rsidP="008B3890">
            <w:pPr>
              <w:rPr>
                <w:noProof/>
                <w:color w:val="006100"/>
                <w:sz w:val="20"/>
                <w:szCs w:val="20"/>
              </w:rPr>
            </w:pPr>
            <w:r>
              <w:rPr>
                <w:noProof/>
                <w:color w:val="006100"/>
                <w:sz w:val="20"/>
              </w:rPr>
              <w:t>Investeering 1.7. Lõuna-Euroopa raudteede ajakohastamine, elektrifitseerimine ja vastupidavus</w:t>
            </w:r>
          </w:p>
        </w:tc>
        <w:tc>
          <w:tcPr>
            <w:tcW w:w="1498" w:type="dxa"/>
            <w:tcBorders>
              <w:top w:val="nil"/>
              <w:left w:val="nil"/>
              <w:bottom w:val="single" w:sz="4" w:space="0" w:color="auto"/>
              <w:right w:val="single" w:sz="4" w:space="0" w:color="auto"/>
            </w:tcBorders>
            <w:shd w:val="clear" w:color="auto" w:fill="C6EFCE"/>
            <w:noWrap/>
            <w:vAlign w:val="center"/>
          </w:tcPr>
          <w:p w14:paraId="28508B91"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3506F95E" w14:textId="77777777" w:rsidR="00A612E2" w:rsidRPr="003B127D" w:rsidRDefault="00A612E2" w:rsidP="00742B81">
            <w:pPr>
              <w:jc w:val="center"/>
              <w:rPr>
                <w:noProof/>
                <w:color w:val="006100"/>
                <w:sz w:val="20"/>
                <w:szCs w:val="20"/>
              </w:rPr>
            </w:pPr>
            <w:r>
              <w:rPr>
                <w:noProof/>
                <w:color w:val="006100"/>
                <w:sz w:val="20"/>
              </w:rPr>
              <w:t>Lõpule on viidud 650 km lõunapoolsete raudteede ajakohastamise, elektrifitseerimise ja vastupidavusega seotud töid, mis on valmis loa andmise ja ekspluatatsioonietapiks.</w:t>
            </w:r>
          </w:p>
        </w:tc>
      </w:tr>
      <w:tr w:rsidR="00A612E2" w:rsidRPr="00D90835" w14:paraId="0FEFA42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F48F7AB" w14:textId="77777777" w:rsidR="00A612E2" w:rsidRPr="00246CC4" w:rsidRDefault="00A612E2" w:rsidP="00742B81">
            <w:pPr>
              <w:jc w:val="center"/>
              <w:rPr>
                <w:noProof/>
                <w:color w:val="006100"/>
                <w:sz w:val="20"/>
                <w:szCs w:val="20"/>
              </w:rPr>
            </w:pPr>
            <w:r>
              <w:rPr>
                <w:noProof/>
                <w:color w:val="006100"/>
                <w:sz w:val="20"/>
              </w:rPr>
              <w:t>M3C1-18</w:t>
            </w:r>
          </w:p>
        </w:tc>
        <w:tc>
          <w:tcPr>
            <w:tcW w:w="3090" w:type="dxa"/>
            <w:tcBorders>
              <w:top w:val="nil"/>
              <w:left w:val="nil"/>
              <w:bottom w:val="single" w:sz="4" w:space="0" w:color="auto"/>
              <w:right w:val="single" w:sz="4" w:space="0" w:color="auto"/>
            </w:tcBorders>
            <w:shd w:val="clear" w:color="auto" w:fill="C6EFCE"/>
            <w:noWrap/>
            <w:vAlign w:val="center"/>
          </w:tcPr>
          <w:p w14:paraId="2D52666A" w14:textId="77777777" w:rsidR="00A612E2" w:rsidRPr="003B127D" w:rsidRDefault="00A612E2" w:rsidP="008B3890">
            <w:pPr>
              <w:rPr>
                <w:noProof/>
                <w:color w:val="006100"/>
                <w:sz w:val="20"/>
                <w:szCs w:val="20"/>
              </w:rPr>
            </w:pPr>
            <w:r>
              <w:rPr>
                <w:noProof/>
                <w:color w:val="006100"/>
                <w:sz w:val="20"/>
              </w:rPr>
              <w:t>Investeering 1.6. Piirkondlike liinide tugevdamine – Piirkondlike raudteede uuendamine (piirkondlike raudteede haldamine)</w:t>
            </w:r>
          </w:p>
        </w:tc>
        <w:tc>
          <w:tcPr>
            <w:tcW w:w="1498" w:type="dxa"/>
            <w:tcBorders>
              <w:top w:val="nil"/>
              <w:left w:val="nil"/>
              <w:bottom w:val="single" w:sz="4" w:space="0" w:color="auto"/>
              <w:right w:val="single" w:sz="4" w:space="0" w:color="auto"/>
            </w:tcBorders>
            <w:shd w:val="clear" w:color="auto" w:fill="C6EFCE"/>
            <w:noWrap/>
            <w:vAlign w:val="center"/>
          </w:tcPr>
          <w:p w14:paraId="4D2FBDC2"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3B8F9FBB" w14:textId="77777777" w:rsidR="00A612E2" w:rsidRPr="003B127D" w:rsidRDefault="00A612E2" w:rsidP="00742B81">
            <w:pPr>
              <w:jc w:val="center"/>
              <w:rPr>
                <w:noProof/>
                <w:color w:val="006100"/>
                <w:sz w:val="20"/>
                <w:szCs w:val="20"/>
              </w:rPr>
            </w:pPr>
            <w:r>
              <w:rPr>
                <w:noProof/>
                <w:color w:val="006100"/>
                <w:sz w:val="20"/>
              </w:rPr>
              <w:t>Ajakohastatud piirkondlikud liinid, loa andmise valmidus ja kasutusetapid</w:t>
            </w:r>
          </w:p>
        </w:tc>
      </w:tr>
      <w:tr w:rsidR="00A612E2" w:rsidRPr="00D90835" w14:paraId="07CA2C85"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7781545" w14:textId="77777777" w:rsidR="00A612E2" w:rsidRPr="00246CC4" w:rsidRDefault="00A612E2" w:rsidP="00742B81">
            <w:pPr>
              <w:jc w:val="center"/>
              <w:rPr>
                <w:noProof/>
                <w:color w:val="006100"/>
                <w:sz w:val="20"/>
                <w:szCs w:val="20"/>
              </w:rPr>
            </w:pPr>
            <w:r>
              <w:rPr>
                <w:noProof/>
                <w:color w:val="006100"/>
                <w:sz w:val="20"/>
              </w:rPr>
              <w:t>M3C1-20</w:t>
            </w:r>
          </w:p>
        </w:tc>
        <w:tc>
          <w:tcPr>
            <w:tcW w:w="3090" w:type="dxa"/>
            <w:tcBorders>
              <w:top w:val="nil"/>
              <w:left w:val="nil"/>
              <w:bottom w:val="single" w:sz="4" w:space="0" w:color="auto"/>
              <w:right w:val="single" w:sz="4" w:space="0" w:color="auto"/>
            </w:tcBorders>
            <w:shd w:val="clear" w:color="auto" w:fill="C6EFCE"/>
            <w:noWrap/>
            <w:vAlign w:val="center"/>
          </w:tcPr>
          <w:p w14:paraId="54D4FA5E" w14:textId="77777777" w:rsidR="00A612E2" w:rsidRPr="003B127D" w:rsidRDefault="00A612E2" w:rsidP="008B3890">
            <w:pPr>
              <w:rPr>
                <w:noProof/>
                <w:color w:val="006100"/>
                <w:sz w:val="20"/>
                <w:szCs w:val="20"/>
              </w:rPr>
            </w:pPr>
            <w:r>
              <w:rPr>
                <w:noProof/>
                <w:color w:val="006100"/>
                <w:sz w:val="20"/>
              </w:rPr>
              <w:t>Investeering 1.8. Raudteejaamade ajakohastamine (RFI haldamine; lõunas)</w:t>
            </w:r>
          </w:p>
        </w:tc>
        <w:tc>
          <w:tcPr>
            <w:tcW w:w="1498" w:type="dxa"/>
            <w:tcBorders>
              <w:top w:val="nil"/>
              <w:left w:val="nil"/>
              <w:bottom w:val="single" w:sz="4" w:space="0" w:color="auto"/>
              <w:right w:val="single" w:sz="4" w:space="0" w:color="auto"/>
            </w:tcBorders>
            <w:shd w:val="clear" w:color="auto" w:fill="C6EFCE"/>
            <w:noWrap/>
            <w:vAlign w:val="center"/>
          </w:tcPr>
          <w:p w14:paraId="0995BD32"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5087E0DC" w14:textId="77777777" w:rsidR="00A612E2" w:rsidRPr="003B127D" w:rsidRDefault="00A612E2" w:rsidP="00742B81">
            <w:pPr>
              <w:jc w:val="center"/>
              <w:rPr>
                <w:noProof/>
                <w:color w:val="006100"/>
                <w:sz w:val="20"/>
                <w:szCs w:val="20"/>
              </w:rPr>
            </w:pPr>
            <w:r>
              <w:rPr>
                <w:noProof/>
                <w:color w:val="006100"/>
                <w:sz w:val="20"/>
              </w:rPr>
              <w:t>Ajakohastatud ja juurdepääsetavad raudteejaamad</w:t>
            </w:r>
          </w:p>
        </w:tc>
      </w:tr>
      <w:tr w:rsidR="00A612E2" w:rsidRPr="00D90835" w14:paraId="07F16FFB"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21AA090" w14:textId="77777777" w:rsidR="00A612E2" w:rsidRPr="00246CC4" w:rsidRDefault="00A612E2" w:rsidP="00742B81">
            <w:pPr>
              <w:jc w:val="center"/>
              <w:rPr>
                <w:noProof/>
                <w:color w:val="006100"/>
                <w:sz w:val="20"/>
                <w:szCs w:val="20"/>
              </w:rPr>
            </w:pPr>
            <w:r>
              <w:rPr>
                <w:noProof/>
                <w:color w:val="006100"/>
                <w:sz w:val="20"/>
              </w:rPr>
              <w:t>M4C1-30</w:t>
            </w:r>
          </w:p>
        </w:tc>
        <w:tc>
          <w:tcPr>
            <w:tcW w:w="3090" w:type="dxa"/>
            <w:tcBorders>
              <w:top w:val="nil"/>
              <w:left w:val="nil"/>
              <w:bottom w:val="single" w:sz="4" w:space="0" w:color="auto"/>
              <w:right w:val="single" w:sz="4" w:space="0" w:color="auto"/>
            </w:tcBorders>
            <w:shd w:val="clear" w:color="auto" w:fill="C6EFCE"/>
            <w:noWrap/>
            <w:vAlign w:val="center"/>
          </w:tcPr>
          <w:p w14:paraId="028EA1A3" w14:textId="77777777" w:rsidR="00A612E2" w:rsidRPr="003B127D" w:rsidRDefault="00A612E2" w:rsidP="008B3890">
            <w:pPr>
              <w:rPr>
                <w:noProof/>
                <w:color w:val="006100"/>
                <w:sz w:val="20"/>
                <w:szCs w:val="20"/>
              </w:rPr>
            </w:pPr>
            <w:r>
              <w:rPr>
                <w:noProof/>
                <w:color w:val="006100"/>
                <w:sz w:val="20"/>
              </w:rPr>
              <w:t>Reform 1.7. Üliõpilaste eluasemete reguleerimise reform ja investeeringud üliõpilaste eluasemetesse</w:t>
            </w:r>
          </w:p>
        </w:tc>
        <w:tc>
          <w:tcPr>
            <w:tcW w:w="1498" w:type="dxa"/>
            <w:tcBorders>
              <w:top w:val="nil"/>
              <w:left w:val="nil"/>
              <w:bottom w:val="single" w:sz="4" w:space="0" w:color="auto"/>
              <w:right w:val="single" w:sz="4" w:space="0" w:color="auto"/>
            </w:tcBorders>
            <w:shd w:val="clear" w:color="auto" w:fill="C6EFCE"/>
            <w:noWrap/>
            <w:vAlign w:val="center"/>
          </w:tcPr>
          <w:p w14:paraId="34DB9E4B"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68545FF0" w14:textId="77777777" w:rsidR="00A612E2" w:rsidRPr="003B127D" w:rsidRDefault="00A612E2" w:rsidP="00742B81">
            <w:pPr>
              <w:jc w:val="center"/>
              <w:rPr>
                <w:noProof/>
                <w:color w:val="006100"/>
                <w:sz w:val="20"/>
                <w:szCs w:val="20"/>
              </w:rPr>
            </w:pPr>
            <w:r>
              <w:rPr>
                <w:noProof/>
                <w:color w:val="006100"/>
                <w:sz w:val="20"/>
              </w:rPr>
              <w:t>Tudengite magamismajutusüksused, mis on loodud asjakohaste õigusaktide kohaselt</w:t>
            </w:r>
          </w:p>
        </w:tc>
      </w:tr>
      <w:tr w:rsidR="00A612E2" w:rsidRPr="00D90835" w14:paraId="523D5F9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46191FA" w14:textId="77777777" w:rsidR="00A612E2" w:rsidRPr="00246CC4" w:rsidRDefault="00A612E2" w:rsidP="00742B81">
            <w:pPr>
              <w:jc w:val="center"/>
              <w:rPr>
                <w:noProof/>
                <w:color w:val="006100"/>
                <w:sz w:val="20"/>
                <w:szCs w:val="20"/>
              </w:rPr>
            </w:pPr>
            <w:r>
              <w:rPr>
                <w:noProof/>
                <w:color w:val="006100"/>
                <w:sz w:val="20"/>
              </w:rPr>
              <w:t>M4C2-9</w:t>
            </w:r>
          </w:p>
        </w:tc>
        <w:tc>
          <w:tcPr>
            <w:tcW w:w="3090" w:type="dxa"/>
            <w:tcBorders>
              <w:top w:val="nil"/>
              <w:left w:val="nil"/>
              <w:bottom w:val="single" w:sz="4" w:space="0" w:color="auto"/>
              <w:right w:val="single" w:sz="4" w:space="0" w:color="auto"/>
            </w:tcBorders>
            <w:shd w:val="clear" w:color="auto" w:fill="C6EFCE"/>
            <w:noWrap/>
            <w:vAlign w:val="center"/>
          </w:tcPr>
          <w:p w14:paraId="3E29FA96" w14:textId="77777777" w:rsidR="00A612E2" w:rsidRPr="003B127D" w:rsidRDefault="00A612E2" w:rsidP="008B3890">
            <w:pPr>
              <w:rPr>
                <w:noProof/>
                <w:color w:val="006100"/>
                <w:sz w:val="20"/>
                <w:szCs w:val="20"/>
              </w:rPr>
            </w:pPr>
            <w:r>
              <w:rPr>
                <w:noProof/>
                <w:color w:val="006100"/>
                <w:sz w:val="20"/>
              </w:rPr>
              <w:t>Investeering 1.4. Teadusstruktuuride tugevdamine ja „riiklike teadus- ja arendustegevuse juhtide“ loomise toetamine mõnede progressi võimaldavate tehnoloogiate valdkonnas</w:t>
            </w:r>
          </w:p>
        </w:tc>
        <w:tc>
          <w:tcPr>
            <w:tcW w:w="1498" w:type="dxa"/>
            <w:tcBorders>
              <w:top w:val="nil"/>
              <w:left w:val="nil"/>
              <w:bottom w:val="single" w:sz="4" w:space="0" w:color="auto"/>
              <w:right w:val="single" w:sz="4" w:space="0" w:color="auto"/>
            </w:tcBorders>
            <w:shd w:val="clear" w:color="auto" w:fill="C6EFCE"/>
            <w:noWrap/>
            <w:vAlign w:val="center"/>
          </w:tcPr>
          <w:p w14:paraId="6B7F335E"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09E2860D" w14:textId="77777777" w:rsidR="00A612E2" w:rsidRPr="003B127D" w:rsidRDefault="00A612E2" w:rsidP="00742B81">
            <w:pPr>
              <w:jc w:val="center"/>
              <w:rPr>
                <w:noProof/>
                <w:color w:val="006100"/>
                <w:sz w:val="20"/>
                <w:szCs w:val="20"/>
              </w:rPr>
            </w:pPr>
            <w:r>
              <w:rPr>
                <w:noProof/>
                <w:color w:val="006100"/>
                <w:sz w:val="20"/>
              </w:rPr>
              <w:t xml:space="preserve">Riiklikud keskused on riiklike keskuste tegevus ja tegevus peamiste progressi võimaldavate tehnoloogiate valdkonnas. </w:t>
            </w:r>
          </w:p>
        </w:tc>
      </w:tr>
      <w:tr w:rsidR="00A612E2" w:rsidRPr="00D90835" w14:paraId="345A1600"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788E68B" w14:textId="77777777" w:rsidR="00A612E2" w:rsidRPr="00246CC4" w:rsidRDefault="00A612E2" w:rsidP="00742B81">
            <w:pPr>
              <w:jc w:val="center"/>
              <w:rPr>
                <w:noProof/>
                <w:color w:val="006100"/>
                <w:sz w:val="20"/>
                <w:szCs w:val="20"/>
              </w:rPr>
            </w:pPr>
            <w:r>
              <w:rPr>
                <w:noProof/>
                <w:color w:val="006100"/>
                <w:sz w:val="20"/>
              </w:rPr>
              <w:t>M4C2-14</w:t>
            </w:r>
          </w:p>
        </w:tc>
        <w:tc>
          <w:tcPr>
            <w:tcW w:w="3090" w:type="dxa"/>
            <w:tcBorders>
              <w:top w:val="nil"/>
              <w:left w:val="nil"/>
              <w:bottom w:val="single" w:sz="4" w:space="0" w:color="auto"/>
              <w:right w:val="single" w:sz="4" w:space="0" w:color="auto"/>
            </w:tcBorders>
            <w:shd w:val="clear" w:color="auto" w:fill="C6EFCE"/>
            <w:noWrap/>
            <w:vAlign w:val="center"/>
          </w:tcPr>
          <w:p w14:paraId="7A012F4B" w14:textId="77777777" w:rsidR="00A612E2" w:rsidRPr="003B127D" w:rsidRDefault="00A612E2" w:rsidP="008B3890">
            <w:pPr>
              <w:rPr>
                <w:noProof/>
                <w:color w:val="006100"/>
                <w:sz w:val="20"/>
                <w:szCs w:val="20"/>
              </w:rPr>
            </w:pPr>
            <w:r>
              <w:rPr>
                <w:noProof/>
                <w:color w:val="006100"/>
                <w:sz w:val="20"/>
              </w:rPr>
              <w:t>Investeering 2.3. Tehnosiirdekeskuste tugevdamine ja valdkondlik/territoriaalne laiendamine tööstussektorite kaupa</w:t>
            </w:r>
          </w:p>
        </w:tc>
        <w:tc>
          <w:tcPr>
            <w:tcW w:w="1498" w:type="dxa"/>
            <w:tcBorders>
              <w:top w:val="nil"/>
              <w:left w:val="nil"/>
              <w:bottom w:val="single" w:sz="4" w:space="0" w:color="auto"/>
              <w:right w:val="single" w:sz="4" w:space="0" w:color="auto"/>
            </w:tcBorders>
            <w:shd w:val="clear" w:color="auto" w:fill="C6EFCE"/>
            <w:noWrap/>
            <w:vAlign w:val="center"/>
          </w:tcPr>
          <w:p w14:paraId="1A80576B"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48A6716C" w14:textId="77777777" w:rsidR="00A612E2" w:rsidRPr="003B127D" w:rsidRDefault="00A612E2" w:rsidP="00742B81">
            <w:pPr>
              <w:jc w:val="center"/>
              <w:rPr>
                <w:noProof/>
                <w:color w:val="006100"/>
                <w:sz w:val="20"/>
                <w:szCs w:val="20"/>
              </w:rPr>
            </w:pPr>
            <w:r>
              <w:rPr>
                <w:noProof/>
                <w:color w:val="006100"/>
                <w:sz w:val="20"/>
              </w:rPr>
              <w:t xml:space="preserve">Väljamaksed summas 307 000 000 eurot. </w:t>
            </w:r>
          </w:p>
        </w:tc>
      </w:tr>
      <w:tr w:rsidR="00A612E2" w:rsidRPr="00246CC4" w14:paraId="087C15B1"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F0AC8B3" w14:textId="77777777" w:rsidR="00A612E2" w:rsidRPr="00246CC4" w:rsidRDefault="00A612E2" w:rsidP="00742B81">
            <w:pPr>
              <w:jc w:val="center"/>
              <w:rPr>
                <w:noProof/>
                <w:color w:val="006100"/>
                <w:sz w:val="20"/>
                <w:szCs w:val="20"/>
              </w:rPr>
            </w:pPr>
            <w:r>
              <w:rPr>
                <w:noProof/>
                <w:color w:val="006100"/>
                <w:sz w:val="20"/>
              </w:rPr>
              <w:t>M4C2-15</w:t>
            </w:r>
          </w:p>
        </w:tc>
        <w:tc>
          <w:tcPr>
            <w:tcW w:w="3090" w:type="dxa"/>
            <w:tcBorders>
              <w:top w:val="nil"/>
              <w:left w:val="nil"/>
              <w:bottom w:val="single" w:sz="4" w:space="0" w:color="auto"/>
              <w:right w:val="single" w:sz="4" w:space="0" w:color="auto"/>
            </w:tcBorders>
            <w:shd w:val="clear" w:color="auto" w:fill="C6EFCE"/>
            <w:noWrap/>
            <w:vAlign w:val="center"/>
          </w:tcPr>
          <w:p w14:paraId="5BC27EE6" w14:textId="77777777" w:rsidR="00A612E2" w:rsidRPr="003B127D" w:rsidRDefault="00A612E2" w:rsidP="008B3890">
            <w:pPr>
              <w:rPr>
                <w:noProof/>
                <w:color w:val="006100"/>
                <w:sz w:val="20"/>
                <w:szCs w:val="20"/>
              </w:rPr>
            </w:pPr>
            <w:r>
              <w:rPr>
                <w:noProof/>
                <w:color w:val="006100"/>
                <w:sz w:val="20"/>
              </w:rPr>
              <w:t>Investeering 2.3. Tehnosiirdekeskuste tugevdamine ja valdkondlik/territoriaalne laiendamine tööstussektorite kaupa</w:t>
            </w:r>
          </w:p>
        </w:tc>
        <w:tc>
          <w:tcPr>
            <w:tcW w:w="1498" w:type="dxa"/>
            <w:tcBorders>
              <w:top w:val="nil"/>
              <w:left w:val="nil"/>
              <w:bottom w:val="single" w:sz="4" w:space="0" w:color="auto"/>
              <w:right w:val="single" w:sz="4" w:space="0" w:color="auto"/>
            </w:tcBorders>
            <w:shd w:val="clear" w:color="auto" w:fill="C6EFCE"/>
            <w:noWrap/>
            <w:vAlign w:val="center"/>
          </w:tcPr>
          <w:p w14:paraId="4F8B31C5"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2A0121D8" w14:textId="77777777" w:rsidR="00A612E2" w:rsidRPr="00246CC4" w:rsidRDefault="00A612E2" w:rsidP="00742B81">
            <w:pPr>
              <w:jc w:val="center"/>
              <w:rPr>
                <w:noProof/>
                <w:color w:val="006100"/>
                <w:sz w:val="20"/>
                <w:szCs w:val="20"/>
              </w:rPr>
            </w:pPr>
            <w:r>
              <w:rPr>
                <w:noProof/>
                <w:color w:val="006100"/>
                <w:sz w:val="20"/>
              </w:rPr>
              <w:t>Toetust saavate VKEde arv</w:t>
            </w:r>
          </w:p>
        </w:tc>
      </w:tr>
      <w:tr w:rsidR="00A612E2" w:rsidRPr="00D90835" w14:paraId="619F089F"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B58DFF3" w14:textId="77777777" w:rsidR="00A612E2" w:rsidRPr="00246CC4" w:rsidRDefault="00A612E2" w:rsidP="00742B81">
            <w:pPr>
              <w:jc w:val="center"/>
              <w:rPr>
                <w:noProof/>
                <w:color w:val="006100"/>
                <w:sz w:val="20"/>
                <w:szCs w:val="20"/>
              </w:rPr>
            </w:pPr>
            <w:r>
              <w:rPr>
                <w:noProof/>
                <w:color w:val="006100"/>
                <w:sz w:val="20"/>
              </w:rPr>
              <w:t>M4C2–15a</w:t>
            </w:r>
          </w:p>
        </w:tc>
        <w:tc>
          <w:tcPr>
            <w:tcW w:w="3090" w:type="dxa"/>
            <w:tcBorders>
              <w:top w:val="nil"/>
              <w:left w:val="nil"/>
              <w:bottom w:val="single" w:sz="4" w:space="0" w:color="auto"/>
              <w:right w:val="single" w:sz="4" w:space="0" w:color="auto"/>
            </w:tcBorders>
            <w:shd w:val="clear" w:color="auto" w:fill="C6EFCE"/>
            <w:noWrap/>
            <w:vAlign w:val="center"/>
          </w:tcPr>
          <w:p w14:paraId="3B942D0B" w14:textId="77777777" w:rsidR="00A612E2" w:rsidRPr="003B127D" w:rsidRDefault="00A612E2" w:rsidP="008B3890">
            <w:pPr>
              <w:rPr>
                <w:noProof/>
                <w:color w:val="006100"/>
                <w:sz w:val="20"/>
                <w:szCs w:val="20"/>
              </w:rPr>
            </w:pPr>
            <w:r>
              <w:rPr>
                <w:noProof/>
                <w:color w:val="006100"/>
                <w:sz w:val="20"/>
              </w:rPr>
              <w:t>Investeering 2.3. Tehnosiirdekeskuste tugevdamine ja valdkondlik/territoriaalne laiendamine tööstussektorite kaupa</w:t>
            </w:r>
          </w:p>
        </w:tc>
        <w:tc>
          <w:tcPr>
            <w:tcW w:w="1498" w:type="dxa"/>
            <w:tcBorders>
              <w:top w:val="nil"/>
              <w:left w:val="nil"/>
              <w:bottom w:val="single" w:sz="4" w:space="0" w:color="auto"/>
              <w:right w:val="single" w:sz="4" w:space="0" w:color="auto"/>
            </w:tcBorders>
            <w:shd w:val="clear" w:color="auto" w:fill="C6EFCE"/>
            <w:noWrap/>
            <w:vAlign w:val="center"/>
          </w:tcPr>
          <w:p w14:paraId="3E90C893" w14:textId="77777777" w:rsidR="00A612E2" w:rsidRPr="00246CC4" w:rsidRDefault="00A612E2" w:rsidP="00742B81">
            <w:pPr>
              <w:jc w:val="center"/>
              <w:rPr>
                <w:noProof/>
                <w:color w:val="006100"/>
                <w:sz w:val="20"/>
                <w:szCs w:val="20"/>
              </w:rPr>
            </w:pPr>
            <w:r>
              <w:rPr>
                <w:noProof/>
                <w:color w:val="006100"/>
                <w:sz w:val="20"/>
              </w:rPr>
              <w:t>Eesmärk</w:t>
            </w:r>
          </w:p>
        </w:tc>
        <w:tc>
          <w:tcPr>
            <w:tcW w:w="4091" w:type="dxa"/>
            <w:tcBorders>
              <w:top w:val="nil"/>
              <w:left w:val="nil"/>
              <w:bottom w:val="single" w:sz="4" w:space="0" w:color="auto"/>
              <w:right w:val="single" w:sz="4" w:space="0" w:color="auto"/>
            </w:tcBorders>
            <w:shd w:val="clear" w:color="auto" w:fill="C6EFCE"/>
            <w:noWrap/>
            <w:vAlign w:val="center"/>
          </w:tcPr>
          <w:p w14:paraId="536B977A" w14:textId="77777777" w:rsidR="00A612E2" w:rsidRPr="003B127D" w:rsidRDefault="00A612E2" w:rsidP="00742B81">
            <w:pPr>
              <w:jc w:val="center"/>
              <w:rPr>
                <w:noProof/>
                <w:color w:val="006100"/>
                <w:sz w:val="20"/>
                <w:szCs w:val="20"/>
              </w:rPr>
            </w:pPr>
            <w:r>
              <w:rPr>
                <w:noProof/>
                <w:color w:val="006100"/>
                <w:sz w:val="20"/>
              </w:rPr>
              <w:t>Euroopa digitaalse innovatsiooni keskuste ja TEFi tööpakettide lõpuleviimine</w:t>
            </w:r>
          </w:p>
        </w:tc>
      </w:tr>
      <w:tr w:rsidR="00A612E2" w:rsidRPr="00D90835" w14:paraId="3F754C85"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D1AABC8" w14:textId="77777777" w:rsidR="00A612E2" w:rsidRPr="00246CC4" w:rsidRDefault="00A612E2" w:rsidP="00742B81">
            <w:pPr>
              <w:jc w:val="center"/>
              <w:rPr>
                <w:noProof/>
                <w:color w:val="006100"/>
                <w:sz w:val="20"/>
                <w:szCs w:val="20"/>
              </w:rPr>
            </w:pPr>
            <w:r>
              <w:rPr>
                <w:noProof/>
                <w:color w:val="006100"/>
                <w:sz w:val="20"/>
              </w:rPr>
              <w:t xml:space="preserve">M4C2–16a </w:t>
            </w:r>
          </w:p>
        </w:tc>
        <w:tc>
          <w:tcPr>
            <w:tcW w:w="3090" w:type="dxa"/>
            <w:tcBorders>
              <w:top w:val="nil"/>
              <w:left w:val="nil"/>
              <w:bottom w:val="single" w:sz="4" w:space="0" w:color="auto"/>
              <w:right w:val="single" w:sz="4" w:space="0" w:color="auto"/>
            </w:tcBorders>
            <w:shd w:val="clear" w:color="auto" w:fill="C6EFCE"/>
            <w:noWrap/>
            <w:vAlign w:val="center"/>
          </w:tcPr>
          <w:p w14:paraId="733CE055" w14:textId="77777777" w:rsidR="00A612E2" w:rsidRPr="003B127D" w:rsidRDefault="00A612E2" w:rsidP="008B3890">
            <w:pPr>
              <w:rPr>
                <w:noProof/>
                <w:color w:val="006100"/>
                <w:sz w:val="20"/>
                <w:szCs w:val="20"/>
              </w:rPr>
            </w:pPr>
            <w:r>
              <w:rPr>
                <w:noProof/>
                <w:color w:val="006100"/>
                <w:sz w:val="20"/>
              </w:rPr>
              <w:t>Investeering 3.1. Teadusuuringute ja innovatsiooni infrastruktuuride integreeritud süsteemi loomise fond</w:t>
            </w:r>
          </w:p>
        </w:tc>
        <w:tc>
          <w:tcPr>
            <w:tcW w:w="1498" w:type="dxa"/>
            <w:tcBorders>
              <w:top w:val="nil"/>
              <w:left w:val="nil"/>
              <w:bottom w:val="single" w:sz="4" w:space="0" w:color="auto"/>
              <w:right w:val="single" w:sz="4" w:space="0" w:color="auto"/>
            </w:tcBorders>
            <w:shd w:val="clear" w:color="auto" w:fill="C6EFCE"/>
            <w:noWrap/>
            <w:vAlign w:val="center"/>
          </w:tcPr>
          <w:p w14:paraId="0177246E"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52BD33B3" w14:textId="77777777" w:rsidR="00A612E2" w:rsidRPr="003B127D" w:rsidRDefault="00A612E2" w:rsidP="00742B81">
            <w:pPr>
              <w:jc w:val="center"/>
              <w:rPr>
                <w:noProof/>
                <w:color w:val="006100"/>
                <w:sz w:val="20"/>
                <w:szCs w:val="20"/>
              </w:rPr>
            </w:pPr>
            <w:r>
              <w:rPr>
                <w:noProof/>
                <w:color w:val="006100"/>
                <w:sz w:val="20"/>
              </w:rPr>
              <w:t xml:space="preserve">Loodud või tegevuse lõpetanud teadus- ja innovatsioonitaristute arv </w:t>
            </w:r>
          </w:p>
        </w:tc>
      </w:tr>
      <w:tr w:rsidR="00A612E2" w:rsidRPr="00D90835" w14:paraId="4F6A7505"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2055E3D" w14:textId="77777777" w:rsidR="00A612E2" w:rsidRPr="00246CC4" w:rsidRDefault="00A612E2" w:rsidP="00742B81">
            <w:pPr>
              <w:jc w:val="center"/>
              <w:rPr>
                <w:noProof/>
                <w:color w:val="006100"/>
                <w:sz w:val="20"/>
                <w:szCs w:val="20"/>
              </w:rPr>
            </w:pPr>
            <w:r>
              <w:rPr>
                <w:noProof/>
                <w:color w:val="006100"/>
                <w:sz w:val="20"/>
              </w:rPr>
              <w:t>M4C2–18 Bis</w:t>
            </w:r>
          </w:p>
        </w:tc>
        <w:tc>
          <w:tcPr>
            <w:tcW w:w="3090" w:type="dxa"/>
            <w:tcBorders>
              <w:top w:val="nil"/>
              <w:left w:val="nil"/>
              <w:bottom w:val="single" w:sz="4" w:space="0" w:color="auto"/>
              <w:right w:val="single" w:sz="4" w:space="0" w:color="auto"/>
            </w:tcBorders>
            <w:shd w:val="clear" w:color="auto" w:fill="C6EFCE"/>
            <w:noWrap/>
            <w:vAlign w:val="center"/>
          </w:tcPr>
          <w:p w14:paraId="72FD0E6B" w14:textId="76986D67" w:rsidR="00A612E2" w:rsidRPr="003B127D" w:rsidRDefault="00A612E2" w:rsidP="008B3890">
            <w:pPr>
              <w:rPr>
                <w:noProof/>
                <w:color w:val="006100"/>
                <w:sz w:val="20"/>
                <w:szCs w:val="20"/>
              </w:rPr>
            </w:pPr>
            <w:r>
              <w:rPr>
                <w:noProof/>
                <w:color w:val="006100"/>
                <w:sz w:val="20"/>
              </w:rPr>
              <w:t>I</w:t>
            </w:r>
            <w:r w:rsidR="00BF17BA" w:rsidRPr="00BF17BA">
              <w:rPr>
                <w:noProof/>
                <w:color w:val="006100"/>
                <w:sz w:val="20"/>
              </w:rPr>
              <w:t>nvesteering</w:t>
            </w:r>
            <w:r w:rsidR="00BF17BA">
              <w:rPr>
                <w:noProof/>
                <w:color w:val="006100"/>
                <w:sz w:val="20"/>
              </w:rPr>
              <w:t xml:space="preserve"> </w:t>
            </w:r>
            <w:r>
              <w:rPr>
                <w:noProof/>
                <w:color w:val="006100"/>
                <w:sz w:val="20"/>
              </w:rPr>
              <w:t>1.5</w:t>
            </w:r>
            <w:r w:rsidR="00BF17BA">
              <w:rPr>
                <w:noProof/>
                <w:color w:val="006100"/>
                <w:sz w:val="20"/>
              </w:rPr>
              <w:t>.</w:t>
            </w:r>
            <w:r>
              <w:rPr>
                <w:noProof/>
                <w:color w:val="006100"/>
                <w:sz w:val="20"/>
              </w:rPr>
              <w:t xml:space="preserve"> „Innovatsiooni ökosüsteemide loomine ja tugevdamine jätkusuutlikkuse tagamiseks“, „teadus- ja arendustegevuse territoriaalsete liidrite“ ülesehitamine.</w:t>
            </w:r>
          </w:p>
        </w:tc>
        <w:tc>
          <w:tcPr>
            <w:tcW w:w="1498" w:type="dxa"/>
            <w:tcBorders>
              <w:top w:val="nil"/>
              <w:left w:val="nil"/>
              <w:bottom w:val="single" w:sz="4" w:space="0" w:color="auto"/>
              <w:right w:val="single" w:sz="4" w:space="0" w:color="auto"/>
            </w:tcBorders>
            <w:shd w:val="clear" w:color="auto" w:fill="C6EFCE"/>
            <w:noWrap/>
            <w:vAlign w:val="center"/>
          </w:tcPr>
          <w:p w14:paraId="711F0AEA"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4EF2B083" w14:textId="77777777" w:rsidR="00A612E2" w:rsidRPr="003B127D" w:rsidRDefault="00A612E2" w:rsidP="00742B81">
            <w:pPr>
              <w:jc w:val="center"/>
              <w:rPr>
                <w:noProof/>
                <w:color w:val="006100"/>
                <w:sz w:val="20"/>
                <w:szCs w:val="20"/>
              </w:rPr>
            </w:pPr>
            <w:r>
              <w:rPr>
                <w:noProof/>
                <w:color w:val="006100"/>
                <w:sz w:val="20"/>
              </w:rPr>
              <w:t>Innovatsiooni ökosüsteemide elluviidav tegevus</w:t>
            </w:r>
          </w:p>
        </w:tc>
      </w:tr>
      <w:tr w:rsidR="00A612E2" w:rsidRPr="00D90835" w14:paraId="2FABA5D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2181C14" w14:textId="77777777" w:rsidR="00A612E2" w:rsidRPr="00246CC4" w:rsidRDefault="00A612E2" w:rsidP="00742B81">
            <w:pPr>
              <w:jc w:val="center"/>
              <w:rPr>
                <w:noProof/>
                <w:color w:val="006100"/>
                <w:sz w:val="20"/>
                <w:szCs w:val="20"/>
              </w:rPr>
            </w:pPr>
            <w:r>
              <w:rPr>
                <w:noProof/>
                <w:color w:val="006100"/>
                <w:sz w:val="20"/>
              </w:rPr>
              <w:t>M4C2-21</w:t>
            </w:r>
          </w:p>
        </w:tc>
        <w:tc>
          <w:tcPr>
            <w:tcW w:w="3090" w:type="dxa"/>
            <w:tcBorders>
              <w:top w:val="nil"/>
              <w:left w:val="nil"/>
              <w:bottom w:val="single" w:sz="4" w:space="0" w:color="auto"/>
              <w:right w:val="single" w:sz="4" w:space="0" w:color="auto"/>
            </w:tcBorders>
            <w:shd w:val="clear" w:color="auto" w:fill="C6EFCE"/>
            <w:noWrap/>
            <w:vAlign w:val="center"/>
          </w:tcPr>
          <w:p w14:paraId="31FA0E3F" w14:textId="77777777" w:rsidR="00A612E2" w:rsidRPr="00246CC4" w:rsidRDefault="00A612E2" w:rsidP="008B3890">
            <w:pPr>
              <w:rPr>
                <w:noProof/>
                <w:color w:val="006100"/>
                <w:sz w:val="20"/>
                <w:szCs w:val="20"/>
              </w:rPr>
            </w:pPr>
            <w:r>
              <w:rPr>
                <w:noProof/>
                <w:color w:val="006100"/>
                <w:sz w:val="20"/>
              </w:rPr>
              <w:t xml:space="preserve">Investeering 3.2. Idufirmade rahastamine.  </w:t>
            </w:r>
          </w:p>
        </w:tc>
        <w:tc>
          <w:tcPr>
            <w:tcW w:w="1498" w:type="dxa"/>
            <w:tcBorders>
              <w:top w:val="nil"/>
              <w:left w:val="nil"/>
              <w:bottom w:val="single" w:sz="4" w:space="0" w:color="auto"/>
              <w:right w:val="single" w:sz="4" w:space="0" w:color="auto"/>
            </w:tcBorders>
            <w:shd w:val="clear" w:color="auto" w:fill="C6EFCE"/>
            <w:noWrap/>
            <w:vAlign w:val="center"/>
          </w:tcPr>
          <w:p w14:paraId="61015EB3"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0C9AF4BD" w14:textId="77777777" w:rsidR="00A612E2" w:rsidRPr="003B127D" w:rsidRDefault="00A612E2" w:rsidP="00742B81">
            <w:pPr>
              <w:jc w:val="center"/>
              <w:rPr>
                <w:noProof/>
                <w:color w:val="006100"/>
                <w:sz w:val="20"/>
                <w:szCs w:val="20"/>
              </w:rPr>
            </w:pPr>
            <w:r>
              <w:rPr>
                <w:noProof/>
                <w:color w:val="006100"/>
                <w:sz w:val="20"/>
              </w:rPr>
              <w:t xml:space="preserve">Idufirmade või riskikapitalifondidega sõlmitud õiguslikud lepingud </w:t>
            </w:r>
          </w:p>
        </w:tc>
      </w:tr>
      <w:tr w:rsidR="00A612E2" w:rsidRPr="00D90835" w14:paraId="783F45BD"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706F9C2" w14:textId="77777777" w:rsidR="00A612E2" w:rsidRPr="00246CC4" w:rsidRDefault="00A612E2" w:rsidP="00742B81">
            <w:pPr>
              <w:jc w:val="center"/>
              <w:rPr>
                <w:noProof/>
                <w:color w:val="006100"/>
                <w:sz w:val="20"/>
                <w:szCs w:val="20"/>
              </w:rPr>
            </w:pPr>
            <w:r>
              <w:rPr>
                <w:noProof/>
                <w:color w:val="006100"/>
                <w:sz w:val="20"/>
              </w:rPr>
              <w:t>M5C1-19</w:t>
            </w:r>
          </w:p>
        </w:tc>
        <w:tc>
          <w:tcPr>
            <w:tcW w:w="3090" w:type="dxa"/>
            <w:tcBorders>
              <w:top w:val="nil"/>
              <w:left w:val="nil"/>
              <w:bottom w:val="single" w:sz="4" w:space="0" w:color="auto"/>
              <w:right w:val="single" w:sz="4" w:space="0" w:color="auto"/>
            </w:tcBorders>
            <w:shd w:val="clear" w:color="auto" w:fill="C6EFCE"/>
            <w:noWrap/>
            <w:vAlign w:val="center"/>
          </w:tcPr>
          <w:p w14:paraId="11A86597" w14:textId="77777777" w:rsidR="00A612E2" w:rsidRPr="003B127D" w:rsidRDefault="00A612E2" w:rsidP="008B3890">
            <w:pPr>
              <w:rPr>
                <w:noProof/>
                <w:color w:val="006100"/>
                <w:sz w:val="20"/>
                <w:szCs w:val="20"/>
              </w:rPr>
            </w:pPr>
            <w:r>
              <w:rPr>
                <w:noProof/>
                <w:color w:val="006100"/>
                <w:sz w:val="20"/>
              </w:rPr>
              <w:t>Investeering 5. Naistele kuuluvate ettevõtete loomine</w:t>
            </w:r>
          </w:p>
        </w:tc>
        <w:tc>
          <w:tcPr>
            <w:tcW w:w="1498" w:type="dxa"/>
            <w:tcBorders>
              <w:top w:val="nil"/>
              <w:left w:val="nil"/>
              <w:bottom w:val="single" w:sz="4" w:space="0" w:color="auto"/>
              <w:right w:val="single" w:sz="4" w:space="0" w:color="auto"/>
            </w:tcBorders>
            <w:shd w:val="clear" w:color="auto" w:fill="C6EFCE"/>
            <w:noWrap/>
            <w:vAlign w:val="center"/>
          </w:tcPr>
          <w:p w14:paraId="044E0ABB"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40FE563D" w14:textId="77777777" w:rsidR="00A612E2" w:rsidRPr="003B127D" w:rsidRDefault="00A612E2" w:rsidP="00742B81">
            <w:pPr>
              <w:jc w:val="center"/>
              <w:rPr>
                <w:noProof/>
                <w:color w:val="006100"/>
                <w:sz w:val="20"/>
                <w:szCs w:val="20"/>
              </w:rPr>
            </w:pPr>
            <w:r>
              <w:rPr>
                <w:noProof/>
                <w:color w:val="006100"/>
                <w:sz w:val="20"/>
              </w:rPr>
              <w:t>Asjakohases investeerimispoliitikas määratletud ettevõtted on saanud rahalist toetust</w:t>
            </w:r>
          </w:p>
        </w:tc>
      </w:tr>
      <w:tr w:rsidR="00A612E2" w:rsidRPr="00D90835" w14:paraId="2BE47AD8"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E634CDC" w14:textId="77777777" w:rsidR="00A612E2" w:rsidRPr="00246CC4" w:rsidRDefault="00A612E2" w:rsidP="00742B81">
            <w:pPr>
              <w:jc w:val="center"/>
              <w:rPr>
                <w:noProof/>
                <w:color w:val="006100"/>
                <w:sz w:val="20"/>
                <w:szCs w:val="20"/>
              </w:rPr>
            </w:pPr>
            <w:r>
              <w:rPr>
                <w:noProof/>
                <w:color w:val="006100"/>
                <w:sz w:val="20"/>
              </w:rPr>
              <w:t>M5C2-12</w:t>
            </w:r>
          </w:p>
        </w:tc>
        <w:tc>
          <w:tcPr>
            <w:tcW w:w="3090" w:type="dxa"/>
            <w:tcBorders>
              <w:top w:val="nil"/>
              <w:left w:val="nil"/>
              <w:bottom w:val="single" w:sz="4" w:space="0" w:color="auto"/>
              <w:right w:val="single" w:sz="4" w:space="0" w:color="auto"/>
            </w:tcBorders>
            <w:shd w:val="clear" w:color="auto" w:fill="C6EFCE"/>
            <w:noWrap/>
            <w:vAlign w:val="center"/>
          </w:tcPr>
          <w:p w14:paraId="32886EA9" w14:textId="77777777" w:rsidR="00A612E2" w:rsidRPr="003B127D" w:rsidRDefault="00A612E2" w:rsidP="008B3890">
            <w:pPr>
              <w:rPr>
                <w:noProof/>
                <w:color w:val="006100"/>
                <w:sz w:val="20"/>
                <w:szCs w:val="20"/>
              </w:rPr>
            </w:pPr>
            <w:r>
              <w:rPr>
                <w:noProof/>
                <w:color w:val="006100"/>
                <w:sz w:val="20"/>
              </w:rPr>
              <w:t>Investeering 4 - Investeeringud linnade taaselustamise projektidesse, mille eesmärk on vähendada marginaliseerumise ja sotsiaalse olukorra halvenemise olukordi</w:t>
            </w:r>
          </w:p>
        </w:tc>
        <w:tc>
          <w:tcPr>
            <w:tcW w:w="1498" w:type="dxa"/>
            <w:tcBorders>
              <w:top w:val="nil"/>
              <w:left w:val="nil"/>
              <w:bottom w:val="single" w:sz="4" w:space="0" w:color="auto"/>
              <w:right w:val="single" w:sz="4" w:space="0" w:color="auto"/>
            </w:tcBorders>
            <w:shd w:val="clear" w:color="auto" w:fill="C6EFCE"/>
            <w:noWrap/>
            <w:vAlign w:val="center"/>
          </w:tcPr>
          <w:p w14:paraId="370A21F6"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1AC5A8AB" w14:textId="77777777" w:rsidR="00A612E2" w:rsidRPr="003B127D" w:rsidRDefault="00A612E2" w:rsidP="00742B81">
            <w:pPr>
              <w:jc w:val="center"/>
              <w:rPr>
                <w:noProof/>
                <w:color w:val="006100"/>
                <w:sz w:val="20"/>
                <w:szCs w:val="20"/>
              </w:rPr>
            </w:pPr>
            <w:r>
              <w:rPr>
                <w:noProof/>
                <w:color w:val="006100"/>
                <w:sz w:val="20"/>
              </w:rPr>
              <w:t>Linnauuendusmeetmete projektid, mis hõlmavad kohalikke omavalitsusi</w:t>
            </w:r>
          </w:p>
        </w:tc>
      </w:tr>
      <w:tr w:rsidR="00A612E2" w:rsidRPr="00D90835" w14:paraId="1926ED6B"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7497852" w14:textId="77777777" w:rsidR="00A612E2" w:rsidRPr="00246CC4" w:rsidRDefault="00A612E2" w:rsidP="00742B81">
            <w:pPr>
              <w:jc w:val="center"/>
              <w:rPr>
                <w:noProof/>
                <w:color w:val="006100"/>
                <w:sz w:val="20"/>
                <w:szCs w:val="20"/>
              </w:rPr>
            </w:pPr>
            <w:r>
              <w:rPr>
                <w:noProof/>
                <w:color w:val="006100"/>
                <w:sz w:val="20"/>
              </w:rPr>
              <w:t>M5C2-14</w:t>
            </w:r>
          </w:p>
        </w:tc>
        <w:tc>
          <w:tcPr>
            <w:tcW w:w="3090" w:type="dxa"/>
            <w:tcBorders>
              <w:top w:val="nil"/>
              <w:left w:val="nil"/>
              <w:bottom w:val="single" w:sz="4" w:space="0" w:color="auto"/>
              <w:right w:val="single" w:sz="4" w:space="0" w:color="auto"/>
            </w:tcBorders>
            <w:shd w:val="clear" w:color="auto" w:fill="C6EFCE"/>
            <w:noWrap/>
            <w:vAlign w:val="center"/>
          </w:tcPr>
          <w:p w14:paraId="5899E968" w14:textId="77777777" w:rsidR="00A612E2" w:rsidRPr="003B127D" w:rsidRDefault="00A612E2" w:rsidP="008B3890">
            <w:pPr>
              <w:rPr>
                <w:noProof/>
                <w:color w:val="006100"/>
                <w:sz w:val="20"/>
                <w:szCs w:val="20"/>
              </w:rPr>
            </w:pPr>
            <w:r>
              <w:rPr>
                <w:noProof/>
                <w:color w:val="006100"/>
                <w:sz w:val="20"/>
              </w:rPr>
              <w:t>Investeering 5. Linnade integratsioonikavad - üldprojektid</w:t>
            </w:r>
          </w:p>
        </w:tc>
        <w:tc>
          <w:tcPr>
            <w:tcW w:w="1498" w:type="dxa"/>
            <w:tcBorders>
              <w:top w:val="nil"/>
              <w:left w:val="nil"/>
              <w:bottom w:val="single" w:sz="4" w:space="0" w:color="auto"/>
              <w:right w:val="single" w:sz="4" w:space="0" w:color="auto"/>
            </w:tcBorders>
            <w:shd w:val="clear" w:color="auto" w:fill="C6EFCE"/>
            <w:noWrap/>
            <w:vAlign w:val="center"/>
          </w:tcPr>
          <w:p w14:paraId="239C324B"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3A423639" w14:textId="77777777" w:rsidR="00A612E2" w:rsidRPr="003B127D" w:rsidRDefault="00A612E2" w:rsidP="00742B81">
            <w:pPr>
              <w:jc w:val="center"/>
              <w:rPr>
                <w:noProof/>
                <w:color w:val="006100"/>
                <w:sz w:val="20"/>
                <w:szCs w:val="20"/>
              </w:rPr>
            </w:pPr>
            <w:r>
              <w:rPr>
                <w:noProof/>
                <w:color w:val="006100"/>
                <w:sz w:val="20"/>
              </w:rPr>
              <w:t>Integreeritud planeerimisprojektide lõpuleviimine suurlinnades</w:t>
            </w:r>
          </w:p>
        </w:tc>
      </w:tr>
      <w:tr w:rsidR="00A612E2" w:rsidRPr="00D90835" w14:paraId="52DA6CFF"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56EEB01" w14:textId="77777777" w:rsidR="00A612E2" w:rsidRPr="00246CC4" w:rsidRDefault="00A612E2" w:rsidP="00742B81">
            <w:pPr>
              <w:jc w:val="center"/>
              <w:rPr>
                <w:noProof/>
                <w:color w:val="006100"/>
                <w:sz w:val="20"/>
                <w:szCs w:val="20"/>
              </w:rPr>
            </w:pPr>
            <w:r>
              <w:rPr>
                <w:noProof/>
                <w:color w:val="006100"/>
                <w:sz w:val="20"/>
              </w:rPr>
              <w:t>M5C2-18</w:t>
            </w:r>
          </w:p>
        </w:tc>
        <w:tc>
          <w:tcPr>
            <w:tcW w:w="3090" w:type="dxa"/>
            <w:tcBorders>
              <w:top w:val="nil"/>
              <w:left w:val="nil"/>
              <w:bottom w:val="single" w:sz="4" w:space="0" w:color="auto"/>
              <w:right w:val="single" w:sz="4" w:space="0" w:color="auto"/>
            </w:tcBorders>
            <w:shd w:val="clear" w:color="auto" w:fill="C6EFCE"/>
            <w:noWrap/>
            <w:vAlign w:val="center"/>
          </w:tcPr>
          <w:p w14:paraId="0B3A43A2" w14:textId="77777777" w:rsidR="00A612E2" w:rsidRPr="003B127D" w:rsidRDefault="00A612E2" w:rsidP="008B3890">
            <w:pPr>
              <w:rPr>
                <w:noProof/>
                <w:color w:val="006100"/>
                <w:sz w:val="20"/>
                <w:szCs w:val="20"/>
              </w:rPr>
            </w:pPr>
            <w:r>
              <w:rPr>
                <w:noProof/>
                <w:color w:val="006100"/>
                <w:sz w:val="20"/>
              </w:rPr>
              <w:t>Investeering 5. Linnade integratsioonikavad - EIB Fund-Of-Fund</w:t>
            </w:r>
          </w:p>
        </w:tc>
        <w:tc>
          <w:tcPr>
            <w:tcW w:w="1498" w:type="dxa"/>
            <w:tcBorders>
              <w:top w:val="nil"/>
              <w:left w:val="nil"/>
              <w:bottom w:val="single" w:sz="4" w:space="0" w:color="auto"/>
              <w:right w:val="single" w:sz="4" w:space="0" w:color="auto"/>
            </w:tcBorders>
            <w:shd w:val="clear" w:color="auto" w:fill="C6EFCE"/>
            <w:noWrap/>
            <w:vAlign w:val="center"/>
          </w:tcPr>
          <w:p w14:paraId="55414F27"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458678F0" w14:textId="77777777" w:rsidR="00A612E2" w:rsidRPr="003B127D" w:rsidRDefault="00A612E2" w:rsidP="00742B81">
            <w:pPr>
              <w:jc w:val="center"/>
              <w:rPr>
                <w:noProof/>
                <w:color w:val="006100"/>
                <w:sz w:val="20"/>
                <w:szCs w:val="20"/>
              </w:rPr>
            </w:pPr>
            <w:r>
              <w:rPr>
                <w:noProof/>
                <w:color w:val="006100"/>
                <w:sz w:val="20"/>
              </w:rPr>
              <w:t>Temaatilise fondi toetuse rahaline väärtus ja linnaprojektide toetamine.</w:t>
            </w:r>
          </w:p>
        </w:tc>
      </w:tr>
      <w:tr w:rsidR="00A612E2" w:rsidRPr="00D90835" w14:paraId="1DA10E6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0945C5D" w14:textId="77777777" w:rsidR="00A612E2" w:rsidRPr="00246CC4" w:rsidRDefault="00A612E2" w:rsidP="00742B81">
            <w:pPr>
              <w:jc w:val="center"/>
              <w:rPr>
                <w:noProof/>
                <w:color w:val="006100"/>
                <w:sz w:val="20"/>
                <w:szCs w:val="20"/>
              </w:rPr>
            </w:pPr>
            <w:r>
              <w:rPr>
                <w:noProof/>
                <w:color w:val="006100"/>
                <w:sz w:val="20"/>
              </w:rPr>
              <w:t>M5C2-22</w:t>
            </w:r>
          </w:p>
        </w:tc>
        <w:tc>
          <w:tcPr>
            <w:tcW w:w="3090" w:type="dxa"/>
            <w:tcBorders>
              <w:top w:val="nil"/>
              <w:left w:val="nil"/>
              <w:bottom w:val="single" w:sz="4" w:space="0" w:color="auto"/>
              <w:right w:val="single" w:sz="4" w:space="0" w:color="auto"/>
            </w:tcBorders>
            <w:shd w:val="clear" w:color="auto" w:fill="C6EFCE"/>
            <w:noWrap/>
            <w:vAlign w:val="center"/>
          </w:tcPr>
          <w:p w14:paraId="76A81A92" w14:textId="77777777" w:rsidR="00A612E2" w:rsidRPr="003B127D" w:rsidRDefault="00A612E2" w:rsidP="008B3890">
            <w:pPr>
              <w:rPr>
                <w:noProof/>
                <w:color w:val="006100"/>
                <w:sz w:val="20"/>
                <w:szCs w:val="20"/>
              </w:rPr>
            </w:pPr>
            <w:r>
              <w:rPr>
                <w:noProof/>
                <w:color w:val="006100"/>
                <w:sz w:val="20"/>
              </w:rPr>
              <w:t>Investeering 7. Sport ja sotsiaalse kaasatuse projekt</w:t>
            </w:r>
          </w:p>
        </w:tc>
        <w:tc>
          <w:tcPr>
            <w:tcW w:w="1498" w:type="dxa"/>
            <w:tcBorders>
              <w:top w:val="nil"/>
              <w:left w:val="nil"/>
              <w:bottom w:val="single" w:sz="4" w:space="0" w:color="auto"/>
              <w:right w:val="single" w:sz="4" w:space="0" w:color="auto"/>
            </w:tcBorders>
            <w:shd w:val="clear" w:color="auto" w:fill="C6EFCE"/>
            <w:noWrap/>
            <w:vAlign w:val="center"/>
          </w:tcPr>
          <w:p w14:paraId="2A105B7C"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5092750B" w14:textId="77777777" w:rsidR="00A612E2" w:rsidRPr="003B127D" w:rsidRDefault="00A612E2" w:rsidP="00742B81">
            <w:pPr>
              <w:jc w:val="center"/>
              <w:rPr>
                <w:noProof/>
                <w:color w:val="006100"/>
                <w:sz w:val="20"/>
                <w:szCs w:val="20"/>
              </w:rPr>
            </w:pPr>
            <w:r>
              <w:rPr>
                <w:noProof/>
                <w:color w:val="006100"/>
                <w:sz w:val="20"/>
              </w:rPr>
              <w:t>Spordirajatisi käsitlevate lepingutega seotud sekkumised.</w:t>
            </w:r>
          </w:p>
        </w:tc>
      </w:tr>
      <w:tr w:rsidR="00A612E2" w:rsidRPr="00D90835" w14:paraId="1FC83131"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6B22C02" w14:textId="77777777" w:rsidR="00A612E2" w:rsidRPr="00246CC4" w:rsidRDefault="00A612E2" w:rsidP="00742B81">
            <w:pPr>
              <w:jc w:val="center"/>
              <w:rPr>
                <w:noProof/>
                <w:color w:val="006100"/>
                <w:sz w:val="20"/>
                <w:szCs w:val="20"/>
              </w:rPr>
            </w:pPr>
            <w:r>
              <w:rPr>
                <w:noProof/>
                <w:color w:val="006100"/>
                <w:sz w:val="20"/>
              </w:rPr>
              <w:t>M5C3-13</w:t>
            </w:r>
          </w:p>
        </w:tc>
        <w:tc>
          <w:tcPr>
            <w:tcW w:w="3090" w:type="dxa"/>
            <w:tcBorders>
              <w:top w:val="nil"/>
              <w:left w:val="nil"/>
              <w:bottom w:val="single" w:sz="4" w:space="0" w:color="auto"/>
              <w:right w:val="single" w:sz="4" w:space="0" w:color="auto"/>
            </w:tcBorders>
            <w:shd w:val="clear" w:color="auto" w:fill="C6EFCE"/>
            <w:noWrap/>
            <w:vAlign w:val="center"/>
          </w:tcPr>
          <w:p w14:paraId="3C4F111C" w14:textId="77777777" w:rsidR="00A612E2" w:rsidRPr="003B127D" w:rsidRDefault="00A612E2" w:rsidP="008B3890">
            <w:pPr>
              <w:rPr>
                <w:noProof/>
                <w:color w:val="006100"/>
                <w:sz w:val="20"/>
                <w:szCs w:val="20"/>
              </w:rPr>
            </w:pPr>
            <w:r>
              <w:rPr>
                <w:noProof/>
                <w:color w:val="006100"/>
                <w:sz w:val="20"/>
              </w:rPr>
              <w:t>Investeering 1.4. Taristuinvesteeringud erimajandustsoonides</w:t>
            </w:r>
          </w:p>
        </w:tc>
        <w:tc>
          <w:tcPr>
            <w:tcW w:w="1498" w:type="dxa"/>
            <w:tcBorders>
              <w:top w:val="nil"/>
              <w:left w:val="nil"/>
              <w:bottom w:val="single" w:sz="4" w:space="0" w:color="auto"/>
              <w:right w:val="single" w:sz="4" w:space="0" w:color="auto"/>
            </w:tcBorders>
            <w:shd w:val="clear" w:color="auto" w:fill="C6EFCE"/>
            <w:noWrap/>
            <w:vAlign w:val="center"/>
          </w:tcPr>
          <w:p w14:paraId="4050247B"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5D945D32" w14:textId="77777777" w:rsidR="00A612E2" w:rsidRPr="003B127D" w:rsidRDefault="00A612E2" w:rsidP="00742B81">
            <w:pPr>
              <w:jc w:val="center"/>
              <w:rPr>
                <w:noProof/>
                <w:color w:val="006100"/>
                <w:sz w:val="20"/>
                <w:szCs w:val="20"/>
              </w:rPr>
            </w:pPr>
            <w:r>
              <w:rPr>
                <w:noProof/>
                <w:color w:val="006100"/>
                <w:sz w:val="20"/>
              </w:rPr>
              <w:t>Taristumeetmete lõpuleviimine erimajandustsoonides.</w:t>
            </w:r>
          </w:p>
        </w:tc>
      </w:tr>
      <w:tr w:rsidR="00A612E2" w:rsidRPr="00D90835" w14:paraId="07D5B2BA"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E13D919" w14:textId="77777777" w:rsidR="00A612E2" w:rsidRPr="00246CC4" w:rsidRDefault="00A612E2" w:rsidP="00742B81">
            <w:pPr>
              <w:jc w:val="center"/>
              <w:rPr>
                <w:noProof/>
                <w:color w:val="006100"/>
                <w:sz w:val="20"/>
                <w:szCs w:val="20"/>
              </w:rPr>
            </w:pPr>
            <w:r>
              <w:rPr>
                <w:noProof/>
                <w:color w:val="006100"/>
                <w:sz w:val="20"/>
              </w:rPr>
              <w:t>M6C1-3</w:t>
            </w:r>
          </w:p>
        </w:tc>
        <w:tc>
          <w:tcPr>
            <w:tcW w:w="3090" w:type="dxa"/>
            <w:tcBorders>
              <w:top w:val="nil"/>
              <w:left w:val="nil"/>
              <w:bottom w:val="single" w:sz="4" w:space="0" w:color="auto"/>
              <w:right w:val="single" w:sz="4" w:space="0" w:color="auto"/>
            </w:tcBorders>
            <w:shd w:val="clear" w:color="auto" w:fill="C6EFCE"/>
            <w:noWrap/>
            <w:vAlign w:val="center"/>
          </w:tcPr>
          <w:p w14:paraId="3A7C8C0B" w14:textId="77777777" w:rsidR="00A612E2" w:rsidRPr="003B127D" w:rsidRDefault="00A612E2" w:rsidP="008B3890">
            <w:pPr>
              <w:rPr>
                <w:noProof/>
                <w:color w:val="006100"/>
                <w:sz w:val="20"/>
                <w:szCs w:val="20"/>
              </w:rPr>
            </w:pPr>
            <w:r>
              <w:rPr>
                <w:noProof/>
                <w:color w:val="006100"/>
                <w:sz w:val="20"/>
              </w:rPr>
              <w:t>Investeering 1.1. Kogukondlikud tervishoiukojad, et parandada piirkondlikku tervishoiuabi.</w:t>
            </w:r>
          </w:p>
        </w:tc>
        <w:tc>
          <w:tcPr>
            <w:tcW w:w="1498" w:type="dxa"/>
            <w:tcBorders>
              <w:top w:val="nil"/>
              <w:left w:val="nil"/>
              <w:bottom w:val="single" w:sz="4" w:space="0" w:color="auto"/>
              <w:right w:val="single" w:sz="4" w:space="0" w:color="auto"/>
            </w:tcBorders>
            <w:shd w:val="clear" w:color="auto" w:fill="C6EFCE"/>
            <w:noWrap/>
            <w:vAlign w:val="center"/>
          </w:tcPr>
          <w:p w14:paraId="5715546B"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68545F37" w14:textId="77777777" w:rsidR="00A612E2" w:rsidRPr="003B127D" w:rsidRDefault="00A612E2" w:rsidP="00742B81">
            <w:pPr>
              <w:jc w:val="center"/>
              <w:rPr>
                <w:noProof/>
                <w:color w:val="006100"/>
                <w:sz w:val="20"/>
                <w:szCs w:val="20"/>
              </w:rPr>
            </w:pPr>
            <w:r>
              <w:rPr>
                <w:noProof/>
                <w:color w:val="006100"/>
                <w:sz w:val="20"/>
              </w:rPr>
              <w:t>Kättesaadavaks tehtud ja tehnoloogiliselt varustatud kogukonna tervisemajad (esimene partii)</w:t>
            </w:r>
          </w:p>
        </w:tc>
      </w:tr>
      <w:tr w:rsidR="00A612E2" w:rsidRPr="00D90835" w14:paraId="3FF7E0B9"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C3632B5" w14:textId="77777777" w:rsidR="00A612E2" w:rsidRPr="00246CC4" w:rsidRDefault="00A612E2" w:rsidP="00742B81">
            <w:pPr>
              <w:jc w:val="center"/>
              <w:rPr>
                <w:noProof/>
                <w:color w:val="006100"/>
                <w:sz w:val="20"/>
                <w:szCs w:val="20"/>
              </w:rPr>
            </w:pPr>
            <w:r>
              <w:rPr>
                <w:noProof/>
                <w:color w:val="006100"/>
                <w:sz w:val="20"/>
              </w:rPr>
              <w:t>M6C1-6</w:t>
            </w:r>
          </w:p>
        </w:tc>
        <w:tc>
          <w:tcPr>
            <w:tcW w:w="3090" w:type="dxa"/>
            <w:tcBorders>
              <w:top w:val="nil"/>
              <w:left w:val="nil"/>
              <w:bottom w:val="single" w:sz="4" w:space="0" w:color="auto"/>
              <w:right w:val="single" w:sz="4" w:space="0" w:color="auto"/>
            </w:tcBorders>
            <w:shd w:val="clear" w:color="auto" w:fill="C6EFCE"/>
            <w:noWrap/>
            <w:vAlign w:val="center"/>
          </w:tcPr>
          <w:p w14:paraId="364418E1" w14:textId="77777777" w:rsidR="00A612E2" w:rsidRPr="003B127D" w:rsidRDefault="00A612E2" w:rsidP="008B3890">
            <w:pPr>
              <w:rPr>
                <w:noProof/>
                <w:color w:val="006100"/>
                <w:sz w:val="20"/>
                <w:szCs w:val="20"/>
              </w:rPr>
            </w:pPr>
            <w:r>
              <w:rPr>
                <w:noProof/>
                <w:color w:val="006100"/>
                <w:sz w:val="20"/>
              </w:rPr>
              <w:t>Investeering 1.2. Kodu kui esimene ravi- ja telemeditsiinikoht</w:t>
            </w:r>
          </w:p>
        </w:tc>
        <w:tc>
          <w:tcPr>
            <w:tcW w:w="1498" w:type="dxa"/>
            <w:tcBorders>
              <w:top w:val="nil"/>
              <w:left w:val="nil"/>
              <w:bottom w:val="single" w:sz="4" w:space="0" w:color="auto"/>
              <w:right w:val="single" w:sz="4" w:space="0" w:color="auto"/>
            </w:tcBorders>
            <w:shd w:val="clear" w:color="auto" w:fill="C6EFCE"/>
            <w:noWrap/>
            <w:vAlign w:val="center"/>
          </w:tcPr>
          <w:p w14:paraId="6D7B4262"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2CAE90DB" w14:textId="77777777" w:rsidR="00A612E2" w:rsidRPr="003B127D" w:rsidRDefault="00A612E2" w:rsidP="00742B81">
            <w:pPr>
              <w:jc w:val="center"/>
              <w:rPr>
                <w:noProof/>
                <w:color w:val="006100"/>
                <w:sz w:val="20"/>
                <w:szCs w:val="20"/>
              </w:rPr>
            </w:pPr>
            <w:r>
              <w:rPr>
                <w:noProof/>
                <w:color w:val="006100"/>
                <w:sz w:val="20"/>
              </w:rPr>
              <w:t>Lisaisikud, keda ravitakse kodus (esimene partii)</w:t>
            </w:r>
          </w:p>
        </w:tc>
      </w:tr>
      <w:tr w:rsidR="00A612E2" w:rsidRPr="00D90835" w14:paraId="49AD8FBE"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374F7C5" w14:textId="77777777" w:rsidR="00A612E2" w:rsidRPr="00246CC4" w:rsidRDefault="00A612E2" w:rsidP="00742B81">
            <w:pPr>
              <w:jc w:val="center"/>
              <w:rPr>
                <w:noProof/>
                <w:color w:val="006100"/>
                <w:sz w:val="20"/>
                <w:szCs w:val="20"/>
              </w:rPr>
            </w:pPr>
            <w:r>
              <w:rPr>
                <w:noProof/>
                <w:color w:val="006100"/>
                <w:sz w:val="20"/>
              </w:rPr>
              <w:t>M6C1-11</w:t>
            </w:r>
          </w:p>
        </w:tc>
        <w:tc>
          <w:tcPr>
            <w:tcW w:w="3090" w:type="dxa"/>
            <w:tcBorders>
              <w:top w:val="nil"/>
              <w:left w:val="nil"/>
              <w:bottom w:val="single" w:sz="4" w:space="0" w:color="auto"/>
              <w:right w:val="single" w:sz="4" w:space="0" w:color="auto"/>
            </w:tcBorders>
            <w:shd w:val="clear" w:color="auto" w:fill="C6EFCE"/>
            <w:noWrap/>
            <w:vAlign w:val="center"/>
          </w:tcPr>
          <w:p w14:paraId="5951FCE2" w14:textId="77777777" w:rsidR="00A612E2" w:rsidRPr="003B127D" w:rsidRDefault="00A612E2" w:rsidP="008B3890">
            <w:pPr>
              <w:rPr>
                <w:noProof/>
                <w:color w:val="006100"/>
                <w:sz w:val="20"/>
                <w:szCs w:val="20"/>
              </w:rPr>
            </w:pPr>
            <w:r>
              <w:rPr>
                <w:noProof/>
                <w:color w:val="006100"/>
                <w:sz w:val="20"/>
              </w:rPr>
              <w:t>Investeering 1.3. Vahetasandi tervishoiu ja selle rajatiste tugevdamine (kogukonnahaiglad)</w:t>
            </w:r>
          </w:p>
        </w:tc>
        <w:tc>
          <w:tcPr>
            <w:tcW w:w="1498" w:type="dxa"/>
            <w:tcBorders>
              <w:top w:val="nil"/>
              <w:left w:val="nil"/>
              <w:bottom w:val="single" w:sz="4" w:space="0" w:color="auto"/>
              <w:right w:val="single" w:sz="4" w:space="0" w:color="auto"/>
            </w:tcBorders>
            <w:shd w:val="clear" w:color="auto" w:fill="C6EFCE"/>
            <w:noWrap/>
            <w:vAlign w:val="center"/>
          </w:tcPr>
          <w:p w14:paraId="395F4C69"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1803179D" w14:textId="77777777" w:rsidR="00A612E2" w:rsidRPr="003B127D" w:rsidRDefault="00A612E2" w:rsidP="00742B81">
            <w:pPr>
              <w:jc w:val="center"/>
              <w:rPr>
                <w:noProof/>
                <w:color w:val="006100"/>
                <w:sz w:val="20"/>
                <w:szCs w:val="20"/>
              </w:rPr>
            </w:pPr>
            <w:r>
              <w:rPr>
                <w:noProof/>
                <w:color w:val="006100"/>
                <w:sz w:val="20"/>
              </w:rPr>
              <w:t>Renoveeritud, omavahel ühendatud ja tehnoloogiliselt varustatud kogukonnahaiglad (esimene partii)</w:t>
            </w:r>
          </w:p>
        </w:tc>
      </w:tr>
      <w:tr w:rsidR="00A612E2" w:rsidRPr="00246CC4" w14:paraId="2823737D"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2703E39" w14:textId="77777777" w:rsidR="00A612E2" w:rsidRPr="00246CC4" w:rsidRDefault="00A612E2" w:rsidP="00742B81">
            <w:pPr>
              <w:jc w:val="center"/>
              <w:rPr>
                <w:noProof/>
                <w:color w:val="006100"/>
                <w:sz w:val="20"/>
                <w:szCs w:val="20"/>
              </w:rPr>
            </w:pPr>
            <w:r>
              <w:rPr>
                <w:noProof/>
                <w:color w:val="006100"/>
                <w:sz w:val="20"/>
              </w:rPr>
              <w:t>M6C2-6</w:t>
            </w:r>
          </w:p>
        </w:tc>
        <w:tc>
          <w:tcPr>
            <w:tcW w:w="3090" w:type="dxa"/>
            <w:tcBorders>
              <w:top w:val="nil"/>
              <w:left w:val="nil"/>
              <w:bottom w:val="single" w:sz="4" w:space="0" w:color="auto"/>
              <w:right w:val="single" w:sz="4" w:space="0" w:color="auto"/>
            </w:tcBorders>
            <w:shd w:val="clear" w:color="auto" w:fill="C6EFCE"/>
            <w:noWrap/>
            <w:vAlign w:val="center"/>
          </w:tcPr>
          <w:p w14:paraId="470FCE26" w14:textId="77777777" w:rsidR="00A612E2" w:rsidRPr="003B127D" w:rsidRDefault="00A612E2" w:rsidP="008B3890">
            <w:pPr>
              <w:rPr>
                <w:noProof/>
                <w:color w:val="006600"/>
                <w:sz w:val="20"/>
                <w:szCs w:val="20"/>
              </w:rPr>
            </w:pPr>
            <w:r>
              <w:rPr>
                <w:noProof/>
                <w:color w:val="006600"/>
                <w:sz w:val="20"/>
              </w:rPr>
              <w:t>Investeering 1.1. Haiglate tehniliste seadmete digitaalne ajakohastamine.</w:t>
            </w:r>
          </w:p>
        </w:tc>
        <w:tc>
          <w:tcPr>
            <w:tcW w:w="1498" w:type="dxa"/>
            <w:tcBorders>
              <w:top w:val="nil"/>
              <w:left w:val="nil"/>
              <w:bottom w:val="single" w:sz="4" w:space="0" w:color="auto"/>
              <w:right w:val="single" w:sz="4" w:space="0" w:color="auto"/>
            </w:tcBorders>
            <w:shd w:val="clear" w:color="auto" w:fill="C6EFCE"/>
            <w:noWrap/>
            <w:vAlign w:val="center"/>
          </w:tcPr>
          <w:p w14:paraId="44645F8C" w14:textId="77777777" w:rsidR="00A612E2" w:rsidRPr="00246CC4" w:rsidRDefault="00A612E2" w:rsidP="00742B81">
            <w:pPr>
              <w:jc w:val="center"/>
              <w:rPr>
                <w:noProof/>
                <w:color w:val="006600"/>
                <w:sz w:val="20"/>
                <w:szCs w:val="20"/>
              </w:rPr>
            </w:pPr>
            <w:r>
              <w:rPr>
                <w:noProof/>
                <w:color w:val="0066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59B24C3C" w14:textId="77777777" w:rsidR="00A612E2" w:rsidRPr="00246CC4" w:rsidRDefault="00A612E2" w:rsidP="00742B81">
            <w:pPr>
              <w:jc w:val="center"/>
              <w:rPr>
                <w:noProof/>
                <w:color w:val="006600"/>
                <w:sz w:val="20"/>
                <w:szCs w:val="20"/>
              </w:rPr>
            </w:pPr>
            <w:r>
              <w:rPr>
                <w:noProof/>
                <w:color w:val="006600"/>
                <w:sz w:val="20"/>
              </w:rPr>
              <w:t>Kasutuses olevad suured sanitaarseadmed</w:t>
            </w:r>
          </w:p>
        </w:tc>
      </w:tr>
      <w:tr w:rsidR="00A612E2" w:rsidRPr="00D90835" w14:paraId="685D9AFC"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3124624" w14:textId="77777777" w:rsidR="00A612E2" w:rsidRPr="00246CC4" w:rsidRDefault="00A612E2" w:rsidP="00742B81">
            <w:pPr>
              <w:jc w:val="center"/>
              <w:rPr>
                <w:noProof/>
                <w:color w:val="006100"/>
                <w:sz w:val="20"/>
                <w:szCs w:val="20"/>
              </w:rPr>
            </w:pPr>
            <w:r>
              <w:rPr>
                <w:noProof/>
                <w:color w:val="006100"/>
                <w:sz w:val="20"/>
              </w:rPr>
              <w:t>M6C2-9</w:t>
            </w:r>
          </w:p>
        </w:tc>
        <w:tc>
          <w:tcPr>
            <w:tcW w:w="3090" w:type="dxa"/>
            <w:tcBorders>
              <w:top w:val="nil"/>
              <w:left w:val="nil"/>
              <w:bottom w:val="single" w:sz="4" w:space="0" w:color="auto"/>
              <w:right w:val="single" w:sz="4" w:space="0" w:color="auto"/>
            </w:tcBorders>
            <w:shd w:val="clear" w:color="auto" w:fill="C6EFCE"/>
            <w:noWrap/>
            <w:vAlign w:val="center"/>
          </w:tcPr>
          <w:p w14:paraId="1F19DB13" w14:textId="77777777" w:rsidR="00A612E2" w:rsidRPr="003B127D" w:rsidRDefault="00A612E2" w:rsidP="008B3890">
            <w:pPr>
              <w:rPr>
                <w:noProof/>
                <w:color w:val="006600"/>
                <w:sz w:val="20"/>
                <w:szCs w:val="20"/>
              </w:rPr>
            </w:pPr>
            <w:r>
              <w:rPr>
                <w:noProof/>
                <w:color w:val="006600"/>
                <w:sz w:val="20"/>
              </w:rPr>
              <w:t>Investeering 1.1. Haiglate tehniliste seadmete digitaalne ajakohastamine.</w:t>
            </w:r>
          </w:p>
        </w:tc>
        <w:tc>
          <w:tcPr>
            <w:tcW w:w="1498" w:type="dxa"/>
            <w:tcBorders>
              <w:top w:val="nil"/>
              <w:left w:val="nil"/>
              <w:bottom w:val="single" w:sz="4" w:space="0" w:color="auto"/>
              <w:right w:val="single" w:sz="4" w:space="0" w:color="auto"/>
            </w:tcBorders>
            <w:shd w:val="clear" w:color="auto" w:fill="C6EFCE"/>
            <w:noWrap/>
            <w:vAlign w:val="center"/>
          </w:tcPr>
          <w:p w14:paraId="3DF63574" w14:textId="77777777" w:rsidR="00A612E2" w:rsidRPr="00246CC4" w:rsidRDefault="00A612E2" w:rsidP="00742B81">
            <w:pPr>
              <w:jc w:val="center"/>
              <w:rPr>
                <w:noProof/>
                <w:color w:val="006600"/>
                <w:sz w:val="20"/>
                <w:szCs w:val="20"/>
              </w:rPr>
            </w:pPr>
            <w:r>
              <w:rPr>
                <w:noProof/>
                <w:color w:val="0066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296D7CE8" w14:textId="77777777" w:rsidR="00A612E2" w:rsidRPr="003B127D" w:rsidRDefault="00A612E2" w:rsidP="00742B81">
            <w:pPr>
              <w:jc w:val="center"/>
              <w:rPr>
                <w:noProof/>
                <w:color w:val="006600"/>
                <w:sz w:val="20"/>
                <w:szCs w:val="20"/>
              </w:rPr>
            </w:pPr>
            <w:r>
              <w:rPr>
                <w:noProof/>
                <w:color w:val="006600"/>
                <w:sz w:val="20"/>
              </w:rPr>
              <w:t>ICUdes ja alaintensiivravis pakutavad lisavoodid</w:t>
            </w:r>
          </w:p>
        </w:tc>
      </w:tr>
      <w:tr w:rsidR="00A612E2" w:rsidRPr="00D90835" w14:paraId="24682C59"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A0F930E" w14:textId="77777777" w:rsidR="00A612E2" w:rsidRPr="00246CC4" w:rsidRDefault="00A612E2" w:rsidP="00742B81">
            <w:pPr>
              <w:jc w:val="center"/>
              <w:rPr>
                <w:noProof/>
                <w:color w:val="006100"/>
                <w:sz w:val="20"/>
                <w:szCs w:val="20"/>
              </w:rPr>
            </w:pPr>
            <w:r>
              <w:rPr>
                <w:noProof/>
                <w:color w:val="006100"/>
                <w:sz w:val="20"/>
              </w:rPr>
              <w:t>M6C2-10</w:t>
            </w:r>
          </w:p>
        </w:tc>
        <w:tc>
          <w:tcPr>
            <w:tcW w:w="3090" w:type="dxa"/>
            <w:tcBorders>
              <w:top w:val="nil"/>
              <w:left w:val="nil"/>
              <w:bottom w:val="single" w:sz="4" w:space="0" w:color="auto"/>
              <w:right w:val="single" w:sz="4" w:space="0" w:color="auto"/>
            </w:tcBorders>
            <w:shd w:val="clear" w:color="auto" w:fill="C6EFCE"/>
            <w:noWrap/>
            <w:vAlign w:val="center"/>
          </w:tcPr>
          <w:p w14:paraId="7289744C" w14:textId="77777777" w:rsidR="00A612E2" w:rsidRPr="003B127D" w:rsidRDefault="00A612E2" w:rsidP="008B3890">
            <w:pPr>
              <w:rPr>
                <w:noProof/>
                <w:color w:val="006600"/>
                <w:sz w:val="20"/>
                <w:szCs w:val="20"/>
              </w:rPr>
            </w:pPr>
            <w:r>
              <w:rPr>
                <w:noProof/>
                <w:color w:val="006600"/>
                <w:sz w:val="20"/>
              </w:rPr>
              <w:t>Investeering 1.2. Ohutu ja jätkusuutliku haigla suunas</w:t>
            </w:r>
          </w:p>
        </w:tc>
        <w:tc>
          <w:tcPr>
            <w:tcW w:w="1498" w:type="dxa"/>
            <w:tcBorders>
              <w:top w:val="nil"/>
              <w:left w:val="nil"/>
              <w:bottom w:val="single" w:sz="4" w:space="0" w:color="auto"/>
              <w:right w:val="single" w:sz="4" w:space="0" w:color="auto"/>
            </w:tcBorders>
            <w:shd w:val="clear" w:color="auto" w:fill="C6EFCE"/>
            <w:noWrap/>
            <w:vAlign w:val="center"/>
          </w:tcPr>
          <w:p w14:paraId="1E3F7D40" w14:textId="77777777" w:rsidR="00A612E2" w:rsidRPr="00246CC4" w:rsidRDefault="00A612E2" w:rsidP="00742B81">
            <w:pPr>
              <w:jc w:val="center"/>
              <w:rPr>
                <w:noProof/>
                <w:color w:val="006600"/>
                <w:sz w:val="20"/>
                <w:szCs w:val="20"/>
              </w:rPr>
            </w:pPr>
            <w:r>
              <w:rPr>
                <w:noProof/>
                <w:color w:val="0066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04B4BAA0" w14:textId="77777777" w:rsidR="00A612E2" w:rsidRPr="003B127D" w:rsidRDefault="00A612E2" w:rsidP="00742B81">
            <w:pPr>
              <w:jc w:val="center"/>
              <w:rPr>
                <w:noProof/>
                <w:color w:val="006600"/>
                <w:sz w:val="20"/>
                <w:szCs w:val="20"/>
              </w:rPr>
            </w:pPr>
            <w:r>
              <w:rPr>
                <w:noProof/>
                <w:color w:val="006600"/>
                <w:sz w:val="20"/>
              </w:rPr>
              <w:t>Lõpule on viidud maavärinavastased sekkumised haiglates</w:t>
            </w:r>
          </w:p>
        </w:tc>
      </w:tr>
      <w:tr w:rsidR="00A612E2" w:rsidRPr="00D90835" w14:paraId="4696C39F"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B7A09DB" w14:textId="77777777" w:rsidR="00A612E2" w:rsidRPr="00246CC4" w:rsidRDefault="00A612E2" w:rsidP="00742B81">
            <w:pPr>
              <w:jc w:val="center"/>
              <w:rPr>
                <w:noProof/>
                <w:color w:val="006100"/>
                <w:sz w:val="20"/>
                <w:szCs w:val="20"/>
              </w:rPr>
            </w:pPr>
            <w:r>
              <w:rPr>
                <w:noProof/>
                <w:color w:val="006100"/>
                <w:sz w:val="20"/>
              </w:rPr>
              <w:t>M6C2–10bis</w:t>
            </w:r>
          </w:p>
        </w:tc>
        <w:tc>
          <w:tcPr>
            <w:tcW w:w="3090" w:type="dxa"/>
            <w:tcBorders>
              <w:top w:val="nil"/>
              <w:left w:val="nil"/>
              <w:bottom w:val="single" w:sz="4" w:space="0" w:color="auto"/>
              <w:right w:val="single" w:sz="4" w:space="0" w:color="auto"/>
            </w:tcBorders>
            <w:shd w:val="clear" w:color="auto" w:fill="C6EFCE"/>
            <w:noWrap/>
            <w:vAlign w:val="center"/>
          </w:tcPr>
          <w:p w14:paraId="23D8E0E4" w14:textId="77777777" w:rsidR="00A612E2" w:rsidRPr="003B127D" w:rsidRDefault="00A612E2" w:rsidP="008B3890">
            <w:pPr>
              <w:rPr>
                <w:noProof/>
                <w:color w:val="006600"/>
                <w:sz w:val="20"/>
                <w:szCs w:val="20"/>
              </w:rPr>
            </w:pPr>
            <w:r>
              <w:rPr>
                <w:noProof/>
                <w:color w:val="006600"/>
                <w:sz w:val="20"/>
              </w:rPr>
              <w:t>Investeering 1.2. Ohutu ja jätkusuutliku haigla suunas</w:t>
            </w:r>
          </w:p>
        </w:tc>
        <w:tc>
          <w:tcPr>
            <w:tcW w:w="1498" w:type="dxa"/>
            <w:tcBorders>
              <w:top w:val="nil"/>
              <w:left w:val="nil"/>
              <w:bottom w:val="single" w:sz="4" w:space="0" w:color="auto"/>
              <w:right w:val="single" w:sz="4" w:space="0" w:color="auto"/>
            </w:tcBorders>
            <w:shd w:val="clear" w:color="auto" w:fill="C6EFCE"/>
            <w:noWrap/>
            <w:vAlign w:val="center"/>
          </w:tcPr>
          <w:p w14:paraId="5238457F" w14:textId="77777777" w:rsidR="00A612E2" w:rsidRPr="00246CC4" w:rsidRDefault="00A612E2" w:rsidP="00742B81">
            <w:pPr>
              <w:jc w:val="center"/>
              <w:rPr>
                <w:noProof/>
                <w:color w:val="006600"/>
                <w:sz w:val="20"/>
                <w:szCs w:val="20"/>
              </w:rPr>
            </w:pPr>
            <w:r>
              <w:rPr>
                <w:noProof/>
                <w:color w:val="006600"/>
                <w:sz w:val="20"/>
              </w:rPr>
              <w:t xml:space="preserve">Siht </w:t>
            </w:r>
          </w:p>
        </w:tc>
        <w:tc>
          <w:tcPr>
            <w:tcW w:w="4091" w:type="dxa"/>
            <w:tcBorders>
              <w:top w:val="nil"/>
              <w:left w:val="nil"/>
              <w:bottom w:val="single" w:sz="4" w:space="0" w:color="auto"/>
              <w:right w:val="single" w:sz="4" w:space="0" w:color="auto"/>
            </w:tcBorders>
            <w:shd w:val="clear" w:color="auto" w:fill="C6EFCE"/>
            <w:noWrap/>
            <w:vAlign w:val="center"/>
          </w:tcPr>
          <w:p w14:paraId="53CEFB97" w14:textId="77777777" w:rsidR="00A612E2" w:rsidRPr="003B127D" w:rsidRDefault="00A612E2" w:rsidP="00742B81">
            <w:pPr>
              <w:jc w:val="center"/>
              <w:rPr>
                <w:noProof/>
                <w:color w:val="006600"/>
                <w:sz w:val="20"/>
                <w:szCs w:val="20"/>
              </w:rPr>
            </w:pPr>
            <w:r>
              <w:rPr>
                <w:noProof/>
                <w:color w:val="006600"/>
                <w:sz w:val="20"/>
              </w:rPr>
              <w:t>Taaste- ja vastupidavusrahastu vahendite väljamaksmine finantsseaduse 67/88 artikli 20 kohastele projektidele</w:t>
            </w:r>
          </w:p>
        </w:tc>
      </w:tr>
      <w:tr w:rsidR="00A612E2" w:rsidRPr="00D90835" w14:paraId="3EA8346C"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0DB7697" w14:textId="77777777" w:rsidR="00A612E2" w:rsidRPr="00246CC4" w:rsidRDefault="00A612E2" w:rsidP="00742B81">
            <w:pPr>
              <w:jc w:val="center"/>
              <w:rPr>
                <w:noProof/>
                <w:color w:val="006100"/>
                <w:sz w:val="20"/>
                <w:szCs w:val="20"/>
              </w:rPr>
            </w:pPr>
            <w:r>
              <w:rPr>
                <w:noProof/>
                <w:color w:val="006100"/>
                <w:sz w:val="20"/>
              </w:rPr>
              <w:t>M6C2-12</w:t>
            </w:r>
          </w:p>
        </w:tc>
        <w:tc>
          <w:tcPr>
            <w:tcW w:w="3090" w:type="dxa"/>
            <w:tcBorders>
              <w:top w:val="nil"/>
              <w:left w:val="nil"/>
              <w:bottom w:val="single" w:sz="4" w:space="0" w:color="auto"/>
              <w:right w:val="single" w:sz="4" w:space="0" w:color="auto"/>
            </w:tcBorders>
            <w:shd w:val="clear" w:color="auto" w:fill="C6EFCE"/>
            <w:noWrap/>
            <w:vAlign w:val="center"/>
          </w:tcPr>
          <w:p w14:paraId="1E6151CE" w14:textId="77777777" w:rsidR="00A612E2" w:rsidRPr="003B127D" w:rsidRDefault="00A612E2" w:rsidP="008B3890">
            <w:pPr>
              <w:rPr>
                <w:noProof/>
                <w:color w:val="006600"/>
                <w:sz w:val="20"/>
                <w:szCs w:val="20"/>
              </w:rPr>
            </w:pPr>
            <w:r>
              <w:rPr>
                <w:noProof/>
                <w:color w:val="006600"/>
                <w:sz w:val="20"/>
              </w:rPr>
              <w:t>Investeering 1.3. Tehnoloogilise infrastruktuuri ning andmete kogumise, töötlemise, analüüsimise ja modelleerimise vahendite tugevdamine.</w:t>
            </w:r>
          </w:p>
        </w:tc>
        <w:tc>
          <w:tcPr>
            <w:tcW w:w="1498" w:type="dxa"/>
            <w:tcBorders>
              <w:top w:val="nil"/>
              <w:left w:val="nil"/>
              <w:bottom w:val="single" w:sz="4" w:space="0" w:color="auto"/>
              <w:right w:val="single" w:sz="4" w:space="0" w:color="auto"/>
            </w:tcBorders>
            <w:shd w:val="clear" w:color="auto" w:fill="C6EFCE"/>
            <w:noWrap/>
            <w:vAlign w:val="center"/>
          </w:tcPr>
          <w:p w14:paraId="168C023D" w14:textId="77777777" w:rsidR="00A612E2" w:rsidRPr="00246CC4" w:rsidRDefault="00A612E2" w:rsidP="00742B81">
            <w:pPr>
              <w:jc w:val="center"/>
              <w:rPr>
                <w:noProof/>
                <w:color w:val="006600"/>
                <w:sz w:val="20"/>
                <w:szCs w:val="20"/>
              </w:rPr>
            </w:pPr>
            <w:r>
              <w:rPr>
                <w:noProof/>
                <w:color w:val="006600"/>
                <w:sz w:val="20"/>
              </w:rPr>
              <w:t>Eesmärk</w:t>
            </w:r>
          </w:p>
        </w:tc>
        <w:tc>
          <w:tcPr>
            <w:tcW w:w="4091" w:type="dxa"/>
            <w:tcBorders>
              <w:top w:val="nil"/>
              <w:left w:val="nil"/>
              <w:bottom w:val="single" w:sz="4" w:space="0" w:color="auto"/>
              <w:right w:val="single" w:sz="4" w:space="0" w:color="auto"/>
            </w:tcBorders>
            <w:shd w:val="clear" w:color="auto" w:fill="C6EFCE"/>
            <w:noWrap/>
            <w:vAlign w:val="center"/>
          </w:tcPr>
          <w:p w14:paraId="143E8CB2" w14:textId="77777777" w:rsidR="00A612E2" w:rsidRPr="003B127D" w:rsidRDefault="00A612E2" w:rsidP="00742B81">
            <w:pPr>
              <w:jc w:val="center"/>
              <w:rPr>
                <w:noProof/>
                <w:color w:val="006600"/>
                <w:sz w:val="20"/>
                <w:szCs w:val="20"/>
              </w:rPr>
            </w:pPr>
            <w:r>
              <w:rPr>
                <w:noProof/>
                <w:color w:val="006600"/>
                <w:sz w:val="20"/>
              </w:rPr>
              <w:t>Ravikindlustuskaardi süsteem ja elektrooniliste terviseandmete koostalitlusvõime infrastruktuur on täielikult toimivad.</w:t>
            </w:r>
          </w:p>
        </w:tc>
      </w:tr>
      <w:tr w:rsidR="00A612E2" w:rsidRPr="00D90835" w14:paraId="4E9C06EA"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5EFF012" w14:textId="77777777" w:rsidR="00A612E2" w:rsidRPr="00246CC4" w:rsidRDefault="00A612E2" w:rsidP="00742B81">
            <w:pPr>
              <w:jc w:val="center"/>
              <w:rPr>
                <w:noProof/>
                <w:color w:val="006100"/>
                <w:sz w:val="20"/>
                <w:szCs w:val="20"/>
              </w:rPr>
            </w:pPr>
            <w:r>
              <w:rPr>
                <w:noProof/>
                <w:color w:val="006100"/>
                <w:sz w:val="20"/>
              </w:rPr>
              <w:t>M6C2-13</w:t>
            </w:r>
          </w:p>
        </w:tc>
        <w:tc>
          <w:tcPr>
            <w:tcW w:w="3090" w:type="dxa"/>
            <w:tcBorders>
              <w:top w:val="nil"/>
              <w:left w:val="nil"/>
              <w:bottom w:val="single" w:sz="4" w:space="0" w:color="auto"/>
              <w:right w:val="single" w:sz="4" w:space="0" w:color="auto"/>
            </w:tcBorders>
            <w:shd w:val="clear" w:color="auto" w:fill="C6EFCE"/>
            <w:noWrap/>
            <w:vAlign w:val="center"/>
          </w:tcPr>
          <w:p w14:paraId="70D9BE66" w14:textId="77777777" w:rsidR="00A612E2" w:rsidRPr="003B127D" w:rsidRDefault="00A612E2" w:rsidP="008B3890">
            <w:pPr>
              <w:rPr>
                <w:noProof/>
                <w:color w:val="006600"/>
                <w:sz w:val="20"/>
                <w:szCs w:val="20"/>
              </w:rPr>
            </w:pPr>
            <w:r>
              <w:rPr>
                <w:noProof/>
                <w:color w:val="006600"/>
                <w:sz w:val="20"/>
              </w:rPr>
              <w:t>Investeering 1.3. Tehnoloogilise infrastruktuuri ning andmete kogumise, töötlemise, analüüsimise ja modelleerimise vahendite tugevdamine.</w:t>
            </w:r>
          </w:p>
        </w:tc>
        <w:tc>
          <w:tcPr>
            <w:tcW w:w="1498" w:type="dxa"/>
            <w:tcBorders>
              <w:top w:val="nil"/>
              <w:left w:val="nil"/>
              <w:bottom w:val="single" w:sz="4" w:space="0" w:color="auto"/>
              <w:right w:val="single" w:sz="4" w:space="0" w:color="auto"/>
            </w:tcBorders>
            <w:shd w:val="clear" w:color="auto" w:fill="C6EFCE"/>
            <w:noWrap/>
            <w:vAlign w:val="center"/>
          </w:tcPr>
          <w:p w14:paraId="6C6A436A" w14:textId="77777777" w:rsidR="00A612E2" w:rsidRPr="00246CC4" w:rsidRDefault="00A612E2" w:rsidP="00742B81">
            <w:pPr>
              <w:jc w:val="center"/>
              <w:rPr>
                <w:noProof/>
                <w:color w:val="006600"/>
                <w:sz w:val="20"/>
                <w:szCs w:val="20"/>
              </w:rPr>
            </w:pPr>
            <w:r>
              <w:rPr>
                <w:noProof/>
                <w:color w:val="0066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43A93D28" w14:textId="77777777" w:rsidR="00A612E2" w:rsidRPr="003B127D" w:rsidRDefault="00A612E2" w:rsidP="00742B81">
            <w:pPr>
              <w:jc w:val="center"/>
              <w:rPr>
                <w:noProof/>
                <w:color w:val="006600"/>
                <w:sz w:val="20"/>
                <w:szCs w:val="20"/>
              </w:rPr>
            </w:pPr>
            <w:r>
              <w:rPr>
                <w:noProof/>
                <w:color w:val="006600"/>
                <w:sz w:val="20"/>
              </w:rPr>
              <w:t>Kõik piirkonnad on Euroopa inimõiguste harta vastu võtnud ja kasutavad seda</w:t>
            </w:r>
          </w:p>
        </w:tc>
      </w:tr>
      <w:tr w:rsidR="00A612E2" w:rsidRPr="00D90835" w14:paraId="2FF214C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2C2219D" w14:textId="77777777" w:rsidR="00A612E2" w:rsidRPr="00246CC4" w:rsidRDefault="00A612E2" w:rsidP="00742B81">
            <w:pPr>
              <w:jc w:val="center"/>
              <w:rPr>
                <w:noProof/>
                <w:color w:val="006100"/>
                <w:sz w:val="20"/>
                <w:szCs w:val="20"/>
              </w:rPr>
            </w:pPr>
            <w:r>
              <w:rPr>
                <w:noProof/>
                <w:color w:val="006100"/>
                <w:sz w:val="20"/>
              </w:rPr>
              <w:t>M6C2-16</w:t>
            </w:r>
          </w:p>
        </w:tc>
        <w:tc>
          <w:tcPr>
            <w:tcW w:w="3090" w:type="dxa"/>
            <w:tcBorders>
              <w:top w:val="nil"/>
              <w:left w:val="nil"/>
              <w:bottom w:val="single" w:sz="4" w:space="0" w:color="auto"/>
              <w:right w:val="single" w:sz="4" w:space="0" w:color="auto"/>
            </w:tcBorders>
            <w:shd w:val="clear" w:color="auto" w:fill="C6EFCE"/>
            <w:noWrap/>
            <w:vAlign w:val="center"/>
          </w:tcPr>
          <w:p w14:paraId="7C905F5F" w14:textId="77777777" w:rsidR="00A612E2" w:rsidRPr="003B127D" w:rsidRDefault="00A612E2" w:rsidP="008B3890">
            <w:pPr>
              <w:rPr>
                <w:noProof/>
                <w:color w:val="006600"/>
                <w:sz w:val="20"/>
                <w:szCs w:val="20"/>
              </w:rPr>
            </w:pPr>
            <w:r>
              <w:rPr>
                <w:noProof/>
                <w:color w:val="006600"/>
                <w:sz w:val="20"/>
              </w:rPr>
              <w:t>Investeering 2.2. Tervishoiusüsteemi spetsialistide tehniliste, kutsealaste, digitaalsete ja juhtimisoskuste arendamine.</w:t>
            </w:r>
          </w:p>
        </w:tc>
        <w:tc>
          <w:tcPr>
            <w:tcW w:w="1498" w:type="dxa"/>
            <w:tcBorders>
              <w:top w:val="nil"/>
              <w:left w:val="nil"/>
              <w:bottom w:val="single" w:sz="4" w:space="0" w:color="auto"/>
              <w:right w:val="single" w:sz="4" w:space="0" w:color="auto"/>
            </w:tcBorders>
            <w:shd w:val="clear" w:color="auto" w:fill="C6EFCE"/>
            <w:noWrap/>
            <w:vAlign w:val="center"/>
          </w:tcPr>
          <w:p w14:paraId="49A7A976" w14:textId="77777777" w:rsidR="00A612E2" w:rsidRPr="00246CC4" w:rsidRDefault="00A612E2" w:rsidP="00742B81">
            <w:pPr>
              <w:jc w:val="center"/>
              <w:rPr>
                <w:noProof/>
                <w:color w:val="006600"/>
                <w:sz w:val="20"/>
                <w:szCs w:val="20"/>
              </w:rPr>
            </w:pPr>
            <w:r>
              <w:rPr>
                <w:noProof/>
                <w:color w:val="0066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401CE7B6" w14:textId="77777777" w:rsidR="00A612E2" w:rsidRPr="003B127D" w:rsidRDefault="00A612E2" w:rsidP="00742B81">
            <w:pPr>
              <w:jc w:val="center"/>
              <w:rPr>
                <w:noProof/>
                <w:color w:val="006600"/>
                <w:sz w:val="20"/>
                <w:szCs w:val="20"/>
              </w:rPr>
            </w:pPr>
            <w:r>
              <w:rPr>
                <w:noProof/>
                <w:color w:val="006600"/>
                <w:sz w:val="20"/>
              </w:rPr>
              <w:t>Riikliku tervishoiuteenistuse töötajatele pakutav juhtimis- ja digioskuste alane koolitus</w:t>
            </w:r>
          </w:p>
        </w:tc>
      </w:tr>
      <w:tr w:rsidR="00A612E2" w:rsidRPr="00D90835" w14:paraId="34564291"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513B9BB" w14:textId="77777777" w:rsidR="00A612E2" w:rsidRPr="00246CC4" w:rsidRDefault="00A612E2" w:rsidP="00742B81">
            <w:pPr>
              <w:jc w:val="center"/>
              <w:rPr>
                <w:noProof/>
                <w:color w:val="006600"/>
                <w:sz w:val="20"/>
                <w:szCs w:val="20"/>
              </w:rPr>
            </w:pPr>
            <w:r>
              <w:rPr>
                <w:noProof/>
                <w:color w:val="006600"/>
                <w:sz w:val="20"/>
              </w:rPr>
              <w:t>M6C2-17</w:t>
            </w:r>
          </w:p>
        </w:tc>
        <w:tc>
          <w:tcPr>
            <w:tcW w:w="3090" w:type="dxa"/>
            <w:tcBorders>
              <w:top w:val="nil"/>
              <w:left w:val="nil"/>
              <w:bottom w:val="single" w:sz="4" w:space="0" w:color="auto"/>
              <w:right w:val="single" w:sz="4" w:space="0" w:color="auto"/>
            </w:tcBorders>
            <w:shd w:val="clear" w:color="auto" w:fill="C6EFCE"/>
            <w:noWrap/>
            <w:vAlign w:val="center"/>
          </w:tcPr>
          <w:p w14:paraId="10C937EB" w14:textId="77777777" w:rsidR="00A612E2" w:rsidRPr="003B127D" w:rsidRDefault="00A612E2" w:rsidP="008B3890">
            <w:pPr>
              <w:rPr>
                <w:noProof/>
                <w:color w:val="006600"/>
                <w:sz w:val="20"/>
                <w:szCs w:val="20"/>
              </w:rPr>
            </w:pPr>
            <w:r>
              <w:rPr>
                <w:noProof/>
                <w:color w:val="006600"/>
                <w:sz w:val="20"/>
              </w:rPr>
              <w:t>Investeering 2.2. Tervishoiusüsteemi spetsialistide tehniliste, kutsealaste, digitaalsete ja juhtimisoskuste arendamine.</w:t>
            </w:r>
          </w:p>
        </w:tc>
        <w:tc>
          <w:tcPr>
            <w:tcW w:w="1498" w:type="dxa"/>
            <w:tcBorders>
              <w:top w:val="nil"/>
              <w:left w:val="nil"/>
              <w:bottom w:val="single" w:sz="4" w:space="0" w:color="auto"/>
              <w:right w:val="single" w:sz="4" w:space="0" w:color="auto"/>
            </w:tcBorders>
            <w:shd w:val="clear" w:color="auto" w:fill="C6EFCE"/>
            <w:noWrap/>
            <w:vAlign w:val="center"/>
          </w:tcPr>
          <w:p w14:paraId="1272E4F3" w14:textId="77777777" w:rsidR="00A612E2" w:rsidRPr="00246CC4" w:rsidRDefault="00A612E2" w:rsidP="00742B81">
            <w:pPr>
              <w:jc w:val="center"/>
              <w:rPr>
                <w:noProof/>
                <w:color w:val="006600"/>
                <w:sz w:val="20"/>
                <w:szCs w:val="20"/>
              </w:rPr>
            </w:pPr>
            <w:r>
              <w:rPr>
                <w:noProof/>
                <w:color w:val="0066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5CC6090E" w14:textId="77777777" w:rsidR="00A612E2" w:rsidRPr="003B127D" w:rsidRDefault="00A612E2" w:rsidP="00742B81">
            <w:pPr>
              <w:jc w:val="center"/>
              <w:rPr>
                <w:noProof/>
                <w:color w:val="006600"/>
                <w:sz w:val="20"/>
                <w:szCs w:val="20"/>
              </w:rPr>
            </w:pPr>
            <w:r>
              <w:rPr>
                <w:noProof/>
                <w:color w:val="006600"/>
                <w:sz w:val="20"/>
              </w:rPr>
              <w:t>Rahastatud meditsiini- ja erikoolituse lepingute arv</w:t>
            </w:r>
          </w:p>
        </w:tc>
      </w:tr>
      <w:tr w:rsidR="00A612E2" w:rsidRPr="00246CC4" w14:paraId="69554E05"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C447E67" w14:textId="77777777" w:rsidR="00A612E2" w:rsidRPr="00246CC4" w:rsidRDefault="00A612E2" w:rsidP="00742B81">
            <w:pPr>
              <w:jc w:val="center"/>
              <w:rPr>
                <w:noProof/>
                <w:color w:val="006100"/>
                <w:sz w:val="20"/>
                <w:szCs w:val="20"/>
              </w:rPr>
            </w:pPr>
            <w:r>
              <w:rPr>
                <w:noProof/>
                <w:color w:val="006100"/>
                <w:sz w:val="20"/>
              </w:rPr>
              <w:t>M7-37</w:t>
            </w:r>
          </w:p>
        </w:tc>
        <w:tc>
          <w:tcPr>
            <w:tcW w:w="3090" w:type="dxa"/>
            <w:tcBorders>
              <w:top w:val="nil"/>
              <w:left w:val="nil"/>
              <w:bottom w:val="single" w:sz="4" w:space="0" w:color="auto"/>
              <w:right w:val="single" w:sz="4" w:space="0" w:color="auto"/>
            </w:tcBorders>
            <w:shd w:val="clear" w:color="auto" w:fill="C6EFCE"/>
            <w:noWrap/>
            <w:vAlign w:val="center"/>
          </w:tcPr>
          <w:p w14:paraId="1AB22B6F" w14:textId="77777777" w:rsidR="00A612E2" w:rsidRPr="003B127D" w:rsidRDefault="00A612E2" w:rsidP="008B3890">
            <w:pPr>
              <w:rPr>
                <w:noProof/>
                <w:color w:val="006100"/>
                <w:sz w:val="20"/>
                <w:szCs w:val="20"/>
              </w:rPr>
            </w:pPr>
            <w:r>
              <w:rPr>
                <w:noProof/>
                <w:color w:val="006100"/>
                <w:sz w:val="20"/>
              </w:rPr>
              <w:t>Investeering 13. Aadria mere liini 1. etapp (Sulmona kompressorjaam ja Sestino-Minerbio gaasijuhe)</w:t>
            </w:r>
          </w:p>
        </w:tc>
        <w:tc>
          <w:tcPr>
            <w:tcW w:w="1498" w:type="dxa"/>
            <w:tcBorders>
              <w:top w:val="nil"/>
              <w:left w:val="nil"/>
              <w:bottom w:val="single" w:sz="4" w:space="0" w:color="auto"/>
              <w:right w:val="single" w:sz="4" w:space="0" w:color="auto"/>
            </w:tcBorders>
            <w:shd w:val="clear" w:color="auto" w:fill="C6EFCE"/>
            <w:noWrap/>
            <w:vAlign w:val="center"/>
          </w:tcPr>
          <w:p w14:paraId="4038F819" w14:textId="77777777" w:rsidR="00A612E2" w:rsidRPr="00246CC4" w:rsidRDefault="00A612E2" w:rsidP="00742B81">
            <w:pPr>
              <w:jc w:val="center"/>
              <w:rPr>
                <w:noProof/>
                <w:color w:val="006100"/>
                <w:sz w:val="20"/>
                <w:szCs w:val="20"/>
              </w:rPr>
            </w:pPr>
            <w:r>
              <w:rPr>
                <w:noProof/>
                <w:color w:val="006100"/>
                <w:sz w:val="20"/>
              </w:rPr>
              <w:t>Eesmärk</w:t>
            </w:r>
          </w:p>
        </w:tc>
        <w:tc>
          <w:tcPr>
            <w:tcW w:w="4091" w:type="dxa"/>
            <w:tcBorders>
              <w:top w:val="nil"/>
              <w:left w:val="nil"/>
              <w:bottom w:val="single" w:sz="4" w:space="0" w:color="auto"/>
              <w:right w:val="single" w:sz="4" w:space="0" w:color="auto"/>
            </w:tcBorders>
            <w:shd w:val="clear" w:color="auto" w:fill="C6EFCE"/>
            <w:noWrap/>
            <w:vAlign w:val="center"/>
          </w:tcPr>
          <w:p w14:paraId="6492A874" w14:textId="77777777" w:rsidR="00A612E2" w:rsidRPr="00246CC4" w:rsidRDefault="00A612E2" w:rsidP="00742B81">
            <w:pPr>
              <w:jc w:val="center"/>
              <w:rPr>
                <w:noProof/>
                <w:color w:val="006100"/>
                <w:sz w:val="20"/>
                <w:szCs w:val="20"/>
              </w:rPr>
            </w:pPr>
            <w:r>
              <w:rPr>
                <w:noProof/>
                <w:color w:val="006100"/>
                <w:sz w:val="20"/>
              </w:rPr>
              <w:t>Tööde lõpetamine</w:t>
            </w:r>
          </w:p>
        </w:tc>
      </w:tr>
      <w:tr w:rsidR="00A612E2" w:rsidRPr="00246CC4" w14:paraId="54593DD6"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89EF488" w14:textId="77777777" w:rsidR="00A612E2" w:rsidRPr="00246CC4" w:rsidRDefault="00A612E2" w:rsidP="00742B81">
            <w:pPr>
              <w:jc w:val="center"/>
              <w:rPr>
                <w:noProof/>
                <w:color w:val="006100"/>
                <w:sz w:val="20"/>
                <w:szCs w:val="20"/>
              </w:rPr>
            </w:pPr>
            <w:r>
              <w:rPr>
                <w:noProof/>
                <w:color w:val="006100"/>
                <w:sz w:val="20"/>
              </w:rPr>
              <w:t>M7-39</w:t>
            </w:r>
          </w:p>
        </w:tc>
        <w:tc>
          <w:tcPr>
            <w:tcW w:w="3090" w:type="dxa"/>
            <w:tcBorders>
              <w:top w:val="nil"/>
              <w:left w:val="nil"/>
              <w:bottom w:val="single" w:sz="4" w:space="0" w:color="auto"/>
              <w:right w:val="single" w:sz="4" w:space="0" w:color="auto"/>
            </w:tcBorders>
            <w:shd w:val="clear" w:color="auto" w:fill="C6EFCE"/>
            <w:noWrap/>
            <w:vAlign w:val="center"/>
          </w:tcPr>
          <w:p w14:paraId="5517A94C" w14:textId="77777777" w:rsidR="00A612E2" w:rsidRPr="00246CC4" w:rsidRDefault="00A612E2" w:rsidP="008B3890">
            <w:pPr>
              <w:rPr>
                <w:noProof/>
                <w:color w:val="006100"/>
                <w:sz w:val="20"/>
                <w:szCs w:val="20"/>
              </w:rPr>
            </w:pPr>
            <w:r>
              <w:rPr>
                <w:noProof/>
                <w:color w:val="006100"/>
                <w:sz w:val="20"/>
              </w:rPr>
              <w:t>Investeering 14. Piiriülene gaasiekspordi infrastruktuur</w:t>
            </w:r>
          </w:p>
        </w:tc>
        <w:tc>
          <w:tcPr>
            <w:tcW w:w="1498" w:type="dxa"/>
            <w:tcBorders>
              <w:top w:val="nil"/>
              <w:left w:val="nil"/>
              <w:bottom w:val="single" w:sz="4" w:space="0" w:color="auto"/>
              <w:right w:val="single" w:sz="4" w:space="0" w:color="auto"/>
            </w:tcBorders>
            <w:shd w:val="clear" w:color="auto" w:fill="C6EFCE"/>
            <w:noWrap/>
            <w:vAlign w:val="center"/>
          </w:tcPr>
          <w:p w14:paraId="07C6A2AD" w14:textId="77777777" w:rsidR="00A612E2" w:rsidRPr="00246CC4" w:rsidRDefault="00A612E2" w:rsidP="00742B81">
            <w:pPr>
              <w:jc w:val="center"/>
              <w:rPr>
                <w:noProof/>
                <w:color w:val="006100"/>
                <w:sz w:val="20"/>
                <w:szCs w:val="20"/>
              </w:rPr>
            </w:pPr>
            <w:r>
              <w:rPr>
                <w:noProof/>
                <w:color w:val="006100"/>
                <w:sz w:val="20"/>
              </w:rPr>
              <w:t>Eesmärk</w:t>
            </w:r>
          </w:p>
        </w:tc>
        <w:tc>
          <w:tcPr>
            <w:tcW w:w="4091" w:type="dxa"/>
            <w:tcBorders>
              <w:top w:val="nil"/>
              <w:left w:val="nil"/>
              <w:bottom w:val="single" w:sz="4" w:space="0" w:color="auto"/>
              <w:right w:val="single" w:sz="4" w:space="0" w:color="auto"/>
            </w:tcBorders>
            <w:shd w:val="clear" w:color="auto" w:fill="C6EFCE"/>
            <w:noWrap/>
            <w:vAlign w:val="center"/>
          </w:tcPr>
          <w:p w14:paraId="6A5B870F" w14:textId="77777777" w:rsidR="00A612E2" w:rsidRPr="00246CC4" w:rsidRDefault="00A612E2" w:rsidP="00742B81">
            <w:pPr>
              <w:jc w:val="center"/>
              <w:rPr>
                <w:noProof/>
                <w:color w:val="006100"/>
                <w:sz w:val="20"/>
                <w:szCs w:val="20"/>
              </w:rPr>
            </w:pPr>
            <w:r>
              <w:rPr>
                <w:noProof/>
                <w:color w:val="006100"/>
                <w:sz w:val="20"/>
              </w:rPr>
              <w:t>Tööde lõpetamine</w:t>
            </w:r>
          </w:p>
        </w:tc>
      </w:tr>
      <w:tr w:rsidR="00A612E2" w:rsidRPr="00246CC4" w14:paraId="2B98D864"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EA63073" w14:textId="77777777" w:rsidR="00A612E2" w:rsidRPr="00246CC4" w:rsidRDefault="00A612E2" w:rsidP="00742B81">
            <w:pPr>
              <w:jc w:val="center"/>
              <w:rPr>
                <w:noProof/>
                <w:color w:val="006100"/>
                <w:sz w:val="20"/>
                <w:szCs w:val="20"/>
              </w:rPr>
            </w:pPr>
            <w:r>
              <w:rPr>
                <w:noProof/>
                <w:color w:val="006100"/>
                <w:sz w:val="20"/>
              </w:rPr>
              <w:t>M7-41</w:t>
            </w:r>
          </w:p>
        </w:tc>
        <w:tc>
          <w:tcPr>
            <w:tcW w:w="3090" w:type="dxa"/>
            <w:tcBorders>
              <w:top w:val="nil"/>
              <w:left w:val="nil"/>
              <w:bottom w:val="single" w:sz="4" w:space="0" w:color="auto"/>
              <w:right w:val="single" w:sz="4" w:space="0" w:color="auto"/>
            </w:tcBorders>
            <w:shd w:val="clear" w:color="auto" w:fill="C6EFCE"/>
            <w:noWrap/>
            <w:vAlign w:val="center"/>
          </w:tcPr>
          <w:p w14:paraId="489DB9B1" w14:textId="77777777" w:rsidR="00A612E2" w:rsidRPr="00246CC4" w:rsidRDefault="00A612E2" w:rsidP="008B3890">
            <w:pPr>
              <w:rPr>
                <w:noProof/>
                <w:color w:val="006100"/>
                <w:sz w:val="20"/>
                <w:szCs w:val="20"/>
              </w:rPr>
            </w:pPr>
            <w:r>
              <w:rPr>
                <w:noProof/>
                <w:color w:val="006100"/>
                <w:sz w:val="20"/>
              </w:rPr>
              <w:t>Investeering 15. Transizione 5.0 Roheline</w:t>
            </w:r>
          </w:p>
        </w:tc>
        <w:tc>
          <w:tcPr>
            <w:tcW w:w="1498" w:type="dxa"/>
            <w:tcBorders>
              <w:top w:val="nil"/>
              <w:left w:val="nil"/>
              <w:bottom w:val="single" w:sz="4" w:space="0" w:color="auto"/>
              <w:right w:val="single" w:sz="4" w:space="0" w:color="auto"/>
            </w:tcBorders>
            <w:shd w:val="clear" w:color="auto" w:fill="C6EFCE"/>
            <w:noWrap/>
            <w:vAlign w:val="center"/>
          </w:tcPr>
          <w:p w14:paraId="65E99656"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4D3955AE" w14:textId="77777777" w:rsidR="00A612E2" w:rsidRPr="00246CC4" w:rsidRDefault="00A612E2" w:rsidP="00742B81">
            <w:pPr>
              <w:jc w:val="center"/>
              <w:rPr>
                <w:noProof/>
                <w:color w:val="006100"/>
                <w:sz w:val="20"/>
                <w:szCs w:val="20"/>
              </w:rPr>
            </w:pPr>
            <w:r>
              <w:rPr>
                <w:noProof/>
                <w:color w:val="006100"/>
                <w:sz w:val="20"/>
              </w:rPr>
              <w:t>Taaste- ja vastupidavusrahastu vahendite eraldamine</w:t>
            </w:r>
          </w:p>
        </w:tc>
      </w:tr>
      <w:tr w:rsidR="00A612E2" w:rsidRPr="00D90835" w14:paraId="521A5421"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1B2488D" w14:textId="77777777" w:rsidR="00A612E2" w:rsidRPr="00246CC4" w:rsidRDefault="00A612E2" w:rsidP="00742B81">
            <w:pPr>
              <w:jc w:val="center"/>
              <w:rPr>
                <w:noProof/>
                <w:color w:val="006100"/>
                <w:sz w:val="20"/>
                <w:szCs w:val="20"/>
              </w:rPr>
            </w:pPr>
            <w:r>
              <w:rPr>
                <w:noProof/>
                <w:color w:val="006100"/>
                <w:sz w:val="20"/>
              </w:rPr>
              <w:t>M7-42</w:t>
            </w:r>
          </w:p>
        </w:tc>
        <w:tc>
          <w:tcPr>
            <w:tcW w:w="3090" w:type="dxa"/>
            <w:tcBorders>
              <w:top w:val="nil"/>
              <w:left w:val="nil"/>
              <w:bottom w:val="single" w:sz="4" w:space="0" w:color="auto"/>
              <w:right w:val="single" w:sz="4" w:space="0" w:color="auto"/>
            </w:tcBorders>
            <w:shd w:val="clear" w:color="auto" w:fill="C6EFCE"/>
            <w:noWrap/>
            <w:vAlign w:val="center"/>
          </w:tcPr>
          <w:p w14:paraId="4F9602FE" w14:textId="77777777" w:rsidR="00A612E2" w:rsidRPr="00246CC4" w:rsidRDefault="00A612E2" w:rsidP="008B3890">
            <w:pPr>
              <w:rPr>
                <w:noProof/>
                <w:color w:val="006100"/>
                <w:sz w:val="20"/>
                <w:szCs w:val="20"/>
              </w:rPr>
            </w:pPr>
            <w:r>
              <w:rPr>
                <w:noProof/>
                <w:color w:val="006100"/>
                <w:sz w:val="20"/>
              </w:rPr>
              <w:t>Investeering 15. Transizione 5.0 Roheline</w:t>
            </w:r>
          </w:p>
        </w:tc>
        <w:tc>
          <w:tcPr>
            <w:tcW w:w="1498" w:type="dxa"/>
            <w:tcBorders>
              <w:top w:val="nil"/>
              <w:left w:val="nil"/>
              <w:bottom w:val="single" w:sz="4" w:space="0" w:color="auto"/>
              <w:right w:val="single" w:sz="4" w:space="0" w:color="auto"/>
            </w:tcBorders>
            <w:shd w:val="clear" w:color="auto" w:fill="C6EFCE"/>
            <w:noWrap/>
            <w:vAlign w:val="center"/>
          </w:tcPr>
          <w:p w14:paraId="48FDA5D6"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45CFDB3C" w14:textId="77777777" w:rsidR="00A612E2" w:rsidRPr="003B127D" w:rsidRDefault="00A612E2" w:rsidP="00742B81">
            <w:pPr>
              <w:jc w:val="center"/>
              <w:rPr>
                <w:noProof/>
                <w:color w:val="006100"/>
                <w:sz w:val="20"/>
                <w:szCs w:val="20"/>
              </w:rPr>
            </w:pPr>
            <w:r>
              <w:rPr>
                <w:noProof/>
                <w:color w:val="006100"/>
                <w:sz w:val="20"/>
              </w:rPr>
              <w:t>0,4 miljonit naftaekvivalenttonni energia lõpptarbimises ajavahemikul 2024–2026</w:t>
            </w:r>
          </w:p>
        </w:tc>
      </w:tr>
      <w:tr w:rsidR="00A612E2" w:rsidRPr="00D90835" w14:paraId="0E4C2005"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71A4CD4" w14:textId="77777777" w:rsidR="00A612E2" w:rsidRPr="00246CC4" w:rsidRDefault="00A612E2" w:rsidP="00742B81">
            <w:pPr>
              <w:jc w:val="center"/>
              <w:rPr>
                <w:noProof/>
                <w:color w:val="006100"/>
                <w:sz w:val="20"/>
                <w:szCs w:val="20"/>
              </w:rPr>
            </w:pPr>
            <w:r>
              <w:rPr>
                <w:noProof/>
                <w:color w:val="006100"/>
                <w:sz w:val="20"/>
              </w:rPr>
              <w:t>M7-45</w:t>
            </w:r>
          </w:p>
        </w:tc>
        <w:tc>
          <w:tcPr>
            <w:tcW w:w="3090" w:type="dxa"/>
            <w:tcBorders>
              <w:top w:val="nil"/>
              <w:left w:val="nil"/>
              <w:bottom w:val="single" w:sz="4" w:space="0" w:color="auto"/>
              <w:right w:val="single" w:sz="4" w:space="0" w:color="auto"/>
            </w:tcBorders>
            <w:shd w:val="clear" w:color="auto" w:fill="C6EFCE"/>
            <w:noWrap/>
            <w:vAlign w:val="center"/>
          </w:tcPr>
          <w:p w14:paraId="27024EDD" w14:textId="77777777" w:rsidR="00A612E2" w:rsidRPr="003B127D" w:rsidRDefault="00A612E2" w:rsidP="008B3890">
            <w:pPr>
              <w:rPr>
                <w:noProof/>
                <w:color w:val="006100"/>
                <w:sz w:val="20"/>
                <w:szCs w:val="20"/>
              </w:rPr>
            </w:pPr>
            <w:r>
              <w:rPr>
                <w:noProof/>
                <w:color w:val="006100"/>
                <w:sz w:val="20"/>
              </w:rPr>
              <w:t>Investeering 16. Toetus VKEdele taastuvatest energiaallikatest isetootmiseks</w:t>
            </w:r>
          </w:p>
        </w:tc>
        <w:tc>
          <w:tcPr>
            <w:tcW w:w="1498" w:type="dxa"/>
            <w:tcBorders>
              <w:top w:val="nil"/>
              <w:left w:val="nil"/>
              <w:bottom w:val="single" w:sz="4" w:space="0" w:color="auto"/>
              <w:right w:val="single" w:sz="4" w:space="0" w:color="auto"/>
            </w:tcBorders>
            <w:shd w:val="clear" w:color="auto" w:fill="C6EFCE"/>
            <w:noWrap/>
            <w:vAlign w:val="center"/>
          </w:tcPr>
          <w:p w14:paraId="1E9832B4"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4FDDE2A1" w14:textId="77777777" w:rsidR="00A612E2" w:rsidRPr="003B127D" w:rsidRDefault="00A612E2" w:rsidP="00742B81">
            <w:pPr>
              <w:jc w:val="center"/>
              <w:rPr>
                <w:noProof/>
                <w:color w:val="006100"/>
                <w:sz w:val="20"/>
                <w:szCs w:val="20"/>
              </w:rPr>
            </w:pPr>
            <w:r>
              <w:rPr>
                <w:noProof/>
                <w:color w:val="006100"/>
                <w:sz w:val="20"/>
              </w:rPr>
              <w:t>Õiguslikud kokkulepped lõplike abisaajatega</w:t>
            </w:r>
          </w:p>
        </w:tc>
      </w:tr>
      <w:tr w:rsidR="00A612E2" w:rsidRPr="00D90835" w14:paraId="3C213C2D"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9751804" w14:textId="77777777" w:rsidR="00A612E2" w:rsidRPr="00246CC4" w:rsidRDefault="00A612E2" w:rsidP="00742B81">
            <w:pPr>
              <w:jc w:val="center"/>
              <w:rPr>
                <w:noProof/>
                <w:color w:val="006100"/>
                <w:sz w:val="20"/>
                <w:szCs w:val="20"/>
              </w:rPr>
            </w:pPr>
            <w:r>
              <w:rPr>
                <w:noProof/>
                <w:color w:val="006100"/>
                <w:sz w:val="20"/>
              </w:rPr>
              <w:t>M7-49</w:t>
            </w:r>
          </w:p>
        </w:tc>
        <w:tc>
          <w:tcPr>
            <w:tcW w:w="3090" w:type="dxa"/>
            <w:tcBorders>
              <w:top w:val="nil"/>
              <w:left w:val="nil"/>
              <w:bottom w:val="single" w:sz="4" w:space="0" w:color="auto"/>
              <w:right w:val="single" w:sz="4" w:space="0" w:color="auto"/>
            </w:tcBorders>
            <w:shd w:val="clear" w:color="auto" w:fill="C6EFCE"/>
            <w:noWrap/>
            <w:vAlign w:val="center"/>
          </w:tcPr>
          <w:p w14:paraId="3C270DC5" w14:textId="77777777" w:rsidR="00A612E2" w:rsidRPr="003B127D" w:rsidRDefault="00A612E2" w:rsidP="008B3890">
            <w:pPr>
              <w:rPr>
                <w:noProof/>
                <w:color w:val="006100"/>
                <w:sz w:val="20"/>
                <w:szCs w:val="20"/>
              </w:rPr>
            </w:pPr>
            <w:r>
              <w:rPr>
                <w:noProof/>
                <w:color w:val="006100"/>
                <w:sz w:val="20"/>
              </w:rPr>
              <w:t>Investeering 17. Avaliku sektori ja sotsiaaleluruumide energiatõhusaks renoveerimise rahastamisvahend</w:t>
            </w:r>
          </w:p>
        </w:tc>
        <w:tc>
          <w:tcPr>
            <w:tcW w:w="1498" w:type="dxa"/>
            <w:tcBorders>
              <w:top w:val="nil"/>
              <w:left w:val="nil"/>
              <w:bottom w:val="single" w:sz="4" w:space="0" w:color="auto"/>
              <w:right w:val="single" w:sz="4" w:space="0" w:color="auto"/>
            </w:tcBorders>
            <w:shd w:val="clear" w:color="auto" w:fill="C6EFCE"/>
            <w:noWrap/>
            <w:vAlign w:val="center"/>
          </w:tcPr>
          <w:p w14:paraId="414820DF"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0721F0D8" w14:textId="77777777" w:rsidR="00A612E2" w:rsidRPr="003B127D" w:rsidRDefault="00A612E2" w:rsidP="00742B81">
            <w:pPr>
              <w:jc w:val="center"/>
              <w:rPr>
                <w:noProof/>
                <w:color w:val="006100"/>
                <w:sz w:val="20"/>
                <w:szCs w:val="20"/>
              </w:rPr>
            </w:pPr>
            <w:r>
              <w:rPr>
                <w:noProof/>
                <w:color w:val="006100"/>
                <w:sz w:val="20"/>
              </w:rPr>
              <w:t>Lõplike abisaajatega sõlmitud õiguslikud lepingud</w:t>
            </w:r>
          </w:p>
        </w:tc>
      </w:tr>
      <w:tr w:rsidR="00A612E2" w:rsidRPr="00D90835" w14:paraId="724D9A3F"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20E5C8B" w14:textId="77777777" w:rsidR="00A612E2" w:rsidRPr="00246CC4" w:rsidRDefault="00A612E2" w:rsidP="00742B81">
            <w:pPr>
              <w:jc w:val="center"/>
              <w:rPr>
                <w:noProof/>
                <w:color w:val="006100"/>
                <w:sz w:val="20"/>
                <w:szCs w:val="20"/>
              </w:rPr>
            </w:pPr>
            <w:r>
              <w:rPr>
                <w:noProof/>
                <w:color w:val="006100"/>
                <w:sz w:val="20"/>
              </w:rPr>
              <w:t>M1C3-29</w:t>
            </w:r>
          </w:p>
        </w:tc>
        <w:tc>
          <w:tcPr>
            <w:tcW w:w="3090" w:type="dxa"/>
            <w:tcBorders>
              <w:top w:val="nil"/>
              <w:left w:val="nil"/>
              <w:bottom w:val="single" w:sz="4" w:space="0" w:color="auto"/>
              <w:right w:val="single" w:sz="4" w:space="0" w:color="auto"/>
            </w:tcBorders>
            <w:shd w:val="clear" w:color="auto" w:fill="C6EFCE"/>
            <w:noWrap/>
            <w:vAlign w:val="center"/>
          </w:tcPr>
          <w:p w14:paraId="5C01244D" w14:textId="50A9F2BE" w:rsidR="00A612E2" w:rsidRPr="003B127D" w:rsidRDefault="00A612E2" w:rsidP="008B3890">
            <w:pPr>
              <w:rPr>
                <w:noProof/>
                <w:color w:val="006100"/>
                <w:sz w:val="20"/>
                <w:szCs w:val="20"/>
              </w:rPr>
            </w:pPr>
            <w:r>
              <w:rPr>
                <w:noProof/>
                <w:color w:val="006100"/>
                <w:sz w:val="20"/>
              </w:rPr>
              <w:t>Investeering 4.2. Turismiettevõtete konkurentsivõime fondid</w:t>
            </w:r>
          </w:p>
        </w:tc>
        <w:tc>
          <w:tcPr>
            <w:tcW w:w="1498" w:type="dxa"/>
            <w:tcBorders>
              <w:top w:val="nil"/>
              <w:left w:val="nil"/>
              <w:bottom w:val="single" w:sz="4" w:space="0" w:color="auto"/>
              <w:right w:val="single" w:sz="4" w:space="0" w:color="auto"/>
            </w:tcBorders>
            <w:shd w:val="clear" w:color="auto" w:fill="C6EFCE"/>
            <w:noWrap/>
            <w:vAlign w:val="center"/>
          </w:tcPr>
          <w:p w14:paraId="32DA75B7" w14:textId="77777777" w:rsidR="00A612E2" w:rsidRPr="00246CC4" w:rsidRDefault="00A612E2" w:rsidP="00742B81">
            <w:pPr>
              <w:jc w:val="center"/>
              <w:rPr>
                <w:noProof/>
                <w:color w:val="006100"/>
                <w:sz w:val="20"/>
                <w:szCs w:val="20"/>
              </w:rPr>
            </w:pPr>
            <w:r>
              <w:rPr>
                <w:noProof/>
                <w:color w:val="006100"/>
                <w:sz w:val="20"/>
              </w:rPr>
              <w:t>Siht</w:t>
            </w:r>
          </w:p>
        </w:tc>
        <w:tc>
          <w:tcPr>
            <w:tcW w:w="4091" w:type="dxa"/>
            <w:tcBorders>
              <w:top w:val="nil"/>
              <w:left w:val="nil"/>
              <w:bottom w:val="single" w:sz="4" w:space="0" w:color="auto"/>
              <w:right w:val="single" w:sz="4" w:space="0" w:color="auto"/>
            </w:tcBorders>
            <w:shd w:val="clear" w:color="auto" w:fill="C6EFCE"/>
            <w:noWrap/>
            <w:vAlign w:val="center"/>
          </w:tcPr>
          <w:p w14:paraId="01E2BBDC" w14:textId="77777777" w:rsidR="00A612E2" w:rsidRPr="003B127D" w:rsidRDefault="00A612E2" w:rsidP="00742B81">
            <w:pPr>
              <w:jc w:val="center"/>
              <w:rPr>
                <w:noProof/>
                <w:color w:val="006100"/>
                <w:sz w:val="20"/>
                <w:szCs w:val="20"/>
              </w:rPr>
            </w:pPr>
            <w:r>
              <w:rPr>
                <w:noProof/>
                <w:color w:val="006100"/>
                <w:sz w:val="20"/>
              </w:rPr>
              <w:t xml:space="preserve">Euroopa Investeerimispanga temaatiliste fondide kaudu toetatavate turismiprojektide arv </w:t>
            </w:r>
          </w:p>
        </w:tc>
      </w:tr>
      <w:tr w:rsidR="00A612E2" w:rsidRPr="00D90835" w14:paraId="6AEEC612" w14:textId="77777777" w:rsidTr="00742B81">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6234CFD" w14:textId="77777777" w:rsidR="00A612E2" w:rsidRPr="00246CC4" w:rsidRDefault="00A612E2" w:rsidP="00742B81">
            <w:pPr>
              <w:jc w:val="center"/>
              <w:rPr>
                <w:noProof/>
                <w:color w:val="006100"/>
                <w:sz w:val="20"/>
                <w:szCs w:val="20"/>
              </w:rPr>
            </w:pPr>
            <w:r>
              <w:rPr>
                <w:noProof/>
                <w:color w:val="006100"/>
                <w:sz w:val="20"/>
              </w:rPr>
              <w:t xml:space="preserve">M3C2-9 </w:t>
            </w:r>
          </w:p>
        </w:tc>
        <w:tc>
          <w:tcPr>
            <w:tcW w:w="3090" w:type="dxa"/>
            <w:tcBorders>
              <w:top w:val="nil"/>
              <w:left w:val="nil"/>
              <w:bottom w:val="single" w:sz="4" w:space="0" w:color="auto"/>
              <w:right w:val="single" w:sz="4" w:space="0" w:color="auto"/>
            </w:tcBorders>
            <w:shd w:val="clear" w:color="auto" w:fill="C6EFCE"/>
            <w:noWrap/>
            <w:vAlign w:val="center"/>
          </w:tcPr>
          <w:p w14:paraId="334D5842" w14:textId="77777777" w:rsidR="00A612E2" w:rsidRPr="003B127D" w:rsidRDefault="00A612E2" w:rsidP="008B3890">
            <w:pPr>
              <w:rPr>
                <w:noProof/>
                <w:color w:val="006100"/>
                <w:sz w:val="20"/>
                <w:szCs w:val="20"/>
              </w:rPr>
            </w:pPr>
            <w:r>
              <w:rPr>
                <w:noProof/>
                <w:color w:val="006100"/>
                <w:sz w:val="20"/>
              </w:rPr>
              <w:t xml:space="preserve">Investeering 1.1. Rohelised sadamad: taastuvenergia ja energiatõhususega seotud sekkumismeetmed sadamates </w:t>
            </w:r>
          </w:p>
        </w:tc>
        <w:tc>
          <w:tcPr>
            <w:tcW w:w="1498" w:type="dxa"/>
            <w:tcBorders>
              <w:top w:val="nil"/>
              <w:left w:val="nil"/>
              <w:bottom w:val="single" w:sz="4" w:space="0" w:color="auto"/>
              <w:right w:val="single" w:sz="4" w:space="0" w:color="auto"/>
            </w:tcBorders>
            <w:shd w:val="clear" w:color="auto" w:fill="C6EFCE"/>
            <w:noWrap/>
            <w:vAlign w:val="center"/>
          </w:tcPr>
          <w:p w14:paraId="393FA75B" w14:textId="77777777" w:rsidR="00A612E2" w:rsidRPr="00246CC4" w:rsidRDefault="00A612E2" w:rsidP="00742B81">
            <w:pPr>
              <w:jc w:val="center"/>
              <w:rPr>
                <w:noProof/>
                <w:color w:val="006100"/>
                <w:sz w:val="20"/>
                <w:szCs w:val="20"/>
              </w:rPr>
            </w:pPr>
            <w:r>
              <w:rPr>
                <w:noProof/>
                <w:color w:val="006100"/>
                <w:sz w:val="20"/>
              </w:rPr>
              <w:t xml:space="preserve">Siht </w:t>
            </w:r>
          </w:p>
        </w:tc>
        <w:tc>
          <w:tcPr>
            <w:tcW w:w="4091" w:type="dxa"/>
            <w:tcBorders>
              <w:top w:val="nil"/>
              <w:left w:val="nil"/>
              <w:bottom w:val="single" w:sz="4" w:space="0" w:color="auto"/>
              <w:right w:val="single" w:sz="4" w:space="0" w:color="auto"/>
            </w:tcBorders>
            <w:shd w:val="clear" w:color="auto" w:fill="C6EFCE"/>
            <w:noWrap/>
            <w:vAlign w:val="center"/>
          </w:tcPr>
          <w:p w14:paraId="5A041D8E" w14:textId="77777777" w:rsidR="00A612E2" w:rsidRPr="003B127D" w:rsidRDefault="00A612E2" w:rsidP="00742B81">
            <w:pPr>
              <w:jc w:val="center"/>
              <w:rPr>
                <w:noProof/>
                <w:color w:val="006100"/>
                <w:sz w:val="20"/>
                <w:szCs w:val="20"/>
              </w:rPr>
            </w:pPr>
            <w:r>
              <w:rPr>
                <w:noProof/>
                <w:color w:val="006100"/>
                <w:sz w:val="20"/>
              </w:rPr>
              <w:t>Rohelised sadamad: tööde lõpetamine</w:t>
            </w:r>
          </w:p>
        </w:tc>
      </w:tr>
      <w:tr w:rsidR="00A612E2" w:rsidRPr="00246CC4" w14:paraId="03408899" w14:textId="77777777" w:rsidTr="00742B81">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6531998C" w14:textId="77777777" w:rsidR="00A612E2" w:rsidRPr="003B127D" w:rsidRDefault="00A612E2" w:rsidP="00742B81">
            <w:pPr>
              <w:jc w:val="center"/>
              <w:rPr>
                <w:noProof/>
                <w:color w:val="006100"/>
                <w:sz w:val="20"/>
                <w:szCs w:val="20"/>
                <w:lang w:val="en-IE"/>
              </w:rPr>
            </w:pPr>
          </w:p>
        </w:tc>
        <w:tc>
          <w:tcPr>
            <w:tcW w:w="3090" w:type="dxa"/>
            <w:tcBorders>
              <w:top w:val="single" w:sz="4" w:space="0" w:color="auto"/>
              <w:left w:val="nil"/>
              <w:bottom w:val="single" w:sz="4" w:space="0" w:color="auto"/>
              <w:right w:val="single" w:sz="4" w:space="0" w:color="auto"/>
            </w:tcBorders>
            <w:shd w:val="clear" w:color="auto" w:fill="C6EFCE"/>
            <w:noWrap/>
            <w:vAlign w:val="bottom"/>
          </w:tcPr>
          <w:p w14:paraId="3ADC7730" w14:textId="77777777" w:rsidR="00A612E2" w:rsidRPr="003B127D" w:rsidRDefault="00A612E2" w:rsidP="008B3890">
            <w:pPr>
              <w:rPr>
                <w:noProof/>
                <w:color w:val="006100"/>
                <w:sz w:val="20"/>
                <w:szCs w:val="20"/>
                <w:lang w:val="en-IE"/>
              </w:rPr>
            </w:pPr>
          </w:p>
        </w:tc>
        <w:tc>
          <w:tcPr>
            <w:tcW w:w="1498" w:type="dxa"/>
            <w:tcBorders>
              <w:top w:val="single" w:sz="4" w:space="0" w:color="auto"/>
              <w:left w:val="nil"/>
              <w:bottom w:val="single" w:sz="4" w:space="0" w:color="auto"/>
              <w:right w:val="single" w:sz="4" w:space="0" w:color="auto"/>
            </w:tcBorders>
            <w:shd w:val="clear" w:color="auto" w:fill="C6EFCE"/>
            <w:noWrap/>
            <w:vAlign w:val="bottom"/>
          </w:tcPr>
          <w:p w14:paraId="36D5326C" w14:textId="77777777" w:rsidR="00A612E2" w:rsidRPr="00246CC4" w:rsidRDefault="00A612E2" w:rsidP="00742B81">
            <w:pPr>
              <w:rPr>
                <w:noProof/>
                <w:color w:val="006100"/>
                <w:sz w:val="20"/>
                <w:szCs w:val="20"/>
              </w:rPr>
            </w:pPr>
            <w:r>
              <w:rPr>
                <w:noProof/>
                <w:color w:val="006100"/>
                <w:sz w:val="20"/>
              </w:rPr>
              <w:t>Osamakse summa</w:t>
            </w:r>
          </w:p>
        </w:tc>
        <w:tc>
          <w:tcPr>
            <w:tcW w:w="4091" w:type="dxa"/>
            <w:tcBorders>
              <w:top w:val="single" w:sz="4" w:space="0" w:color="auto"/>
              <w:left w:val="nil"/>
              <w:bottom w:val="single" w:sz="4" w:space="0" w:color="auto"/>
              <w:right w:val="single" w:sz="4" w:space="0" w:color="auto"/>
            </w:tcBorders>
            <w:shd w:val="clear" w:color="auto" w:fill="C6EFCE"/>
            <w:noWrap/>
            <w:vAlign w:val="bottom"/>
          </w:tcPr>
          <w:p w14:paraId="2BFC25BD" w14:textId="77777777" w:rsidR="00A612E2" w:rsidRPr="00246CC4" w:rsidRDefault="00A612E2" w:rsidP="00742B81">
            <w:pPr>
              <w:rPr>
                <w:noProof/>
                <w:color w:val="006100"/>
                <w:sz w:val="20"/>
                <w:szCs w:val="20"/>
              </w:rPr>
            </w:pPr>
            <w:r>
              <w:rPr>
                <w:noProof/>
                <w:color w:val="006100"/>
                <w:sz w:val="20"/>
              </w:rPr>
              <w:t>19 919 595 964 eurot</w:t>
            </w:r>
          </w:p>
        </w:tc>
      </w:tr>
    </w:tbl>
    <w:p w14:paraId="19D0FD89" w14:textId="77777777" w:rsidR="00A612E2" w:rsidRPr="00246CC4" w:rsidRDefault="00A612E2" w:rsidP="00A612E2">
      <w:pPr>
        <w:spacing w:after="200" w:line="276" w:lineRule="auto"/>
        <w:rPr>
          <w:rFonts w:eastAsia="Calibri"/>
          <w:b/>
          <w:bCs/>
          <w:noProof/>
        </w:rPr>
      </w:pPr>
      <w:r>
        <w:rPr>
          <w:noProof/>
        </w:rPr>
        <w:br w:type="page"/>
      </w:r>
    </w:p>
    <w:p w14:paraId="019B248D" w14:textId="77777777" w:rsidR="00A612E2" w:rsidRPr="00246CC4" w:rsidRDefault="00A612E2" w:rsidP="00A612E2">
      <w:pPr>
        <w:spacing w:after="200" w:line="276" w:lineRule="auto"/>
        <w:rPr>
          <w:rFonts w:eastAsia="Calibri"/>
          <w:b/>
          <w:noProof/>
        </w:rPr>
      </w:pPr>
      <w:r>
        <w:rPr>
          <w:b/>
          <w:noProof/>
        </w:rPr>
        <w:t xml:space="preserve">3. JAGU: TÄIENDAV KORD </w:t>
      </w:r>
    </w:p>
    <w:p w14:paraId="37D5D60B" w14:textId="77777777" w:rsidR="00A612E2" w:rsidRPr="00246CC4" w:rsidRDefault="00A612E2" w:rsidP="00A612E2">
      <w:pPr>
        <w:pStyle w:val="NumPar1"/>
        <w:numPr>
          <w:ilvl w:val="0"/>
          <w:numId w:val="142"/>
        </w:numPr>
        <w:rPr>
          <w:rFonts w:eastAsia="Calibri"/>
          <w:b/>
          <w:noProof/>
        </w:rPr>
      </w:pPr>
      <w:r>
        <w:rPr>
          <w:b/>
          <w:noProof/>
        </w:rPr>
        <w:t>Taaste- ja vastupidavuskava seire ja rakendamise kord</w:t>
      </w:r>
    </w:p>
    <w:p w14:paraId="21812CE8" w14:textId="77777777" w:rsidR="00A612E2" w:rsidRPr="00246CC4" w:rsidRDefault="00A612E2" w:rsidP="00A612E2">
      <w:pPr>
        <w:spacing w:before="120" w:after="120"/>
        <w:jc w:val="both"/>
        <w:rPr>
          <w:rFonts w:eastAsia="Calibri"/>
          <w:noProof/>
        </w:rPr>
      </w:pPr>
      <w:r>
        <w:rPr>
          <w:noProof/>
        </w:rPr>
        <w:t>Itaalia taaste- ja vastupidavuskava seire ja rakendamine toimub vastavalt järgmisele korrale.</w:t>
      </w:r>
    </w:p>
    <w:p w14:paraId="73A4751A" w14:textId="77777777" w:rsidR="00A612E2" w:rsidRPr="00246CC4" w:rsidRDefault="00A612E2" w:rsidP="00A612E2">
      <w:pPr>
        <w:spacing w:before="120" w:after="120"/>
        <w:jc w:val="both"/>
        <w:rPr>
          <w:rFonts w:eastAsia="Calibri"/>
          <w:noProof/>
        </w:rPr>
      </w:pPr>
      <w:r>
        <w:rPr>
          <w:noProof/>
        </w:rPr>
        <w:t>24. veebruari 2023. aasta dekreetseadusega nr 13 muudetud 31. mai 2021. aasta dekreetseaduse nr 77 kohaselt luuakse kava seireks ja rakendamiseks mitu koordineerimisstruktuuri. Need on eelkõige järgmised: i) ministrite nõukogu eesistumise juures moodustatud juhtkomitee (cabina di regia), mille peamine ülesanne on juhtida ja koordineerida kava rakendamist; ii) ministrite nõukogu eesistumise juures vähemalt kava kestuse ajaks moodustatud missiooni struktuur, millele on antud volitused tegutseda keskse koordineerimisstruktuurina kava rakendamise ja seire eesmärgil; iii) majandus- ja rahandusministeeriumi juures asuv tehniline struktuur, mis tegeleb kava rakendamise operatiivseirega, menetluste, kulude ja aruandluse korrapärasuse kontrolliga ning osutab rakendamisetapis tehnilist ja operatiivtuge. Ministrite nõukogu eesistumise juures moodustatud missiooni struktuur toimib riiklikul tasandil Euroopa Komisjoni ühtse kontaktpunktina. Majandus- ja finantsministeerium tagab kava tulemuste hindamise. Sotsiaalpartnerid ja muud sidusrühmad osalevad „cabina di regia“ sihtpärastel kohtumistel, et tagada nende osalemine kava rakendamises. Lisaks määratakse iga kavas sisalduvate meetmete eest vastutava keskasutuse tasandil kindlaks koordineerimisstruktuurid, mille ülesandeks on asjaomaste sekkumiste juhtimine, seire, aruandlus ja kontroll, sealhulgas hõlmates rakendamise järelevalvet ning eesmärkide ja sihtide saavutamisel tehtud edusamme. Samuti on ette nähtud jõustamismehhanismid rakendamisprobleemide puhuks, sealhulgas asendusvolituste aktiveerimine kava meetmete eest vastutavate asutuste suhtes, et tagada projektide õigeaegne ja tõhus elluviimine ning eelmehhanismid konfliktide lahendamiseks.</w:t>
      </w:r>
    </w:p>
    <w:p w14:paraId="072D68D3" w14:textId="77777777" w:rsidR="00A612E2" w:rsidRPr="00246CC4" w:rsidRDefault="00A612E2" w:rsidP="00A612E2">
      <w:pPr>
        <w:spacing w:before="120" w:after="120"/>
        <w:jc w:val="both"/>
        <w:rPr>
          <w:rFonts w:eastAsia="Calibri"/>
          <w:noProof/>
        </w:rPr>
      </w:pPr>
      <w:r>
        <w:rPr>
          <w:noProof/>
        </w:rPr>
        <w:t xml:space="preserve">Seireks ja rakendamiseks vajaliku haldussuutlikkuse tugevdamiseks kavandatakse ajutiste töötajate töölevõtmist, sealhulgas seoses kava rakendamise eest vastutavate keskasutuste ning majandus- ja rahandusministeeriumiga (sealhulgas seoses keskse koordineerimisstruktuuri ja riigi raamatupidamisarvestuse osakonnaga), nagu on sätestatud 9. juuni 2021. aasta dekreetseaduses nr 80, ning seoses Lõuna-Itaalia ametiasutustega, mis eeldatavasti suurendavad töötajate arvu, kes tegelevad ELi vahendite kavandamise ja kasutamisega, nagu on sätestatud eelkõige 2020. aasta seaduses nr 178. Lisaks eraldatakse vahendeid ministrite nõukogu eesistumise juures moodustatud missiooni struktuurile, et tagada tõhus toimimine vastavalt 24. veebruari 2023. aasta dekreet-seaduses nr 13 sätestatule. Lisaks on projektide rakendamisel kesksetele ja kohalikele ametiasutustele ette nähtud tehniline ja operatiivtugi, sealhulgas kasutades avaliku sektori kapitaliühinguid, tehnilise abi eksperte ja vajaduse korral välisekspertide abi. Nende meetmetega kaasneb halduskoormust vähendavate ja haldusmenetlusi lihtsustavate meetmete rakendamine, nagu on sätestatud 31. mai 2021. aasta dekreetseaduses nr 77 ja 24. veebruari 2023. aasta dekreet-seaduses nr 13. </w:t>
      </w:r>
    </w:p>
    <w:p w14:paraId="741B1C39" w14:textId="77777777" w:rsidR="00A612E2" w:rsidRPr="00246CC4" w:rsidRDefault="00A612E2" w:rsidP="00A612E2">
      <w:pPr>
        <w:spacing w:before="120" w:after="120"/>
        <w:jc w:val="both"/>
        <w:rPr>
          <w:rFonts w:eastAsia="Calibri"/>
          <w:noProof/>
        </w:rPr>
      </w:pPr>
      <w:r>
        <w:rPr>
          <w:noProof/>
        </w:rPr>
        <w:t>Korraldusega nähakse ette ka integreeritud IT-süsteemi („Regis“) kasutamine. Majandus- ja rahandusministeeriumi juures tegutseva Euroopa Liiduga finantssuhete arendamise peainspektsiooni (IGRUE) ülesandeks on koordineerida auditisüsteeme ja teostada kontrolle riigi territoriaalse arvepidamise büroo (RTS) toel. Guardia di Finanza ja asjaomaste sõltumatute asutustega, nagu riiklik korruptsioonivastane amet ANAC sõlmitud tõhustatud kokkulepped jäävad kehtima, tugevdades seega rolli, mille Itaalia õigussüsteem kõnealustele asutustele seoses riigi rahanduse, sealhulgas EList pärit rahastuse kaitsega juba omistab.</w:t>
      </w:r>
    </w:p>
    <w:p w14:paraId="4F16B20A" w14:textId="77777777" w:rsidR="00A612E2" w:rsidRPr="00246CC4" w:rsidRDefault="00A612E2" w:rsidP="00A612E2">
      <w:pPr>
        <w:pStyle w:val="NumPar1"/>
        <w:numPr>
          <w:ilvl w:val="0"/>
          <w:numId w:val="142"/>
        </w:numPr>
        <w:rPr>
          <w:b/>
          <w:noProof/>
        </w:rPr>
      </w:pPr>
      <w:r>
        <w:rPr>
          <w:b/>
          <w:noProof/>
        </w:rPr>
        <w:t>Komisjonile vajalikele alusandmetele täieliku juurdepääsu andmise kord</w:t>
      </w:r>
    </w:p>
    <w:p w14:paraId="34B902E0" w14:textId="77777777" w:rsidR="00A612E2" w:rsidRPr="00246CC4" w:rsidRDefault="00A612E2" w:rsidP="00A612E2">
      <w:pPr>
        <w:spacing w:before="120" w:after="120"/>
        <w:jc w:val="both"/>
        <w:rPr>
          <w:rFonts w:eastAsia="Calibri"/>
          <w:noProof/>
        </w:rPr>
      </w:pPr>
      <w:r>
        <w:rPr>
          <w:noProof/>
        </w:rPr>
        <w:t>Selleks et anda komisjonile täielik juurdepääs asjakohastele alusandmetele, kehtestab Itaalia järgmise korra.</w:t>
      </w:r>
    </w:p>
    <w:p w14:paraId="38B00BAA" w14:textId="18F4A36D" w:rsidR="00A612E2" w:rsidRPr="003E0663" w:rsidRDefault="00A612E2" w:rsidP="00A612E2">
      <w:pPr>
        <w:spacing w:before="120" w:after="120"/>
        <w:jc w:val="both"/>
        <w:rPr>
          <w:rFonts w:eastAsia="Calibri"/>
          <w:noProof/>
        </w:rPr>
      </w:pPr>
      <w:r>
        <w:rPr>
          <w:noProof/>
        </w:rPr>
        <w:t>Majandus- ja rahandusministeerium tegutseb tehnilise struktuurina, mis teostab seiret, sealhulgas eesmärkide ja sihtide saavutamisel tehtud edusammude üle, ning vajaduse korral rakendab kontrolli- ja auditeerimistegevust, ning esitab aruandeid ja maksetaotlusi. Ta koordineerib aruandlust eesmärkide ja sihtide, asjakohaste näitajate, aga ka kvalitatiivse finantsteabe ja muude andmete, näiteks toetuse lõplike saajate kohta. Andmed kodeeritakse kava meetmete eest vastutavate keskasutuste tasandil, kes esitavad nõutud andmed majandus- ja rahandusministeeriumile. Kooskõlas määruse (EL) 2021/241 artikli 24 lõikega 2 esitab Itaalia pärast käesoleva lisa punktis 2.1 esitatud asjakohaste kokkulepitud eesmärkide ja sihtide saavutamist komisjonile nõuetekohaselt põhjendatud taotluse rahalise toetuse ja vajaduse korral laenu saamiseks. Itaalia tagab, et komisjonil on taotluse korral täielik juurdepääs asjaomastele alusandmetele, mis toetavad maksetaotluse nõuetekohast põhjendust, nii maksetaotluse hindamiseks vastavalt määruse (EL) 2021/241 artikli 24 lõikele 3 kui ka auditeerimise ja kontrolli eesmärgil.</w:t>
      </w:r>
    </w:p>
    <w:p w14:paraId="54BC4CC0" w14:textId="77777777" w:rsidR="00A612E2" w:rsidRPr="00F33804" w:rsidRDefault="00A612E2" w:rsidP="00A612E2">
      <w:pPr>
        <w:rPr>
          <w:noProof/>
        </w:rPr>
      </w:pPr>
    </w:p>
    <w:p w14:paraId="258E3BD0" w14:textId="77777777" w:rsidR="00ED4238" w:rsidRPr="00F33804" w:rsidRDefault="00ED4238" w:rsidP="0053545B">
      <w:pPr>
        <w:rPr>
          <w:noProof/>
        </w:rPr>
      </w:pPr>
    </w:p>
    <w:sectPr w:rsidR="00ED4238" w:rsidRPr="00F33804">
      <w:headerReference w:type="even" r:id="rId435"/>
      <w:headerReference w:type="default" r:id="rId436"/>
      <w:footerReference w:type="even" r:id="rId437"/>
      <w:footerReference w:type="default" r:id="rId438"/>
      <w:headerReference w:type="first" r:id="rId439"/>
      <w:footerReference w:type="first" r:id="rId44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7E5B4" w14:textId="77777777" w:rsidR="00A55868" w:rsidRDefault="00A55868" w:rsidP="0084326C">
      <w:r>
        <w:separator/>
      </w:r>
    </w:p>
  </w:endnote>
  <w:endnote w:type="continuationSeparator" w:id="0">
    <w:p w14:paraId="27A0CA2B" w14:textId="77777777" w:rsidR="00A55868" w:rsidRDefault="00A55868" w:rsidP="0084326C">
      <w:r>
        <w:continuationSeparator/>
      </w:r>
    </w:p>
  </w:endnote>
  <w:endnote w:type="continuationNotice" w:id="1">
    <w:p w14:paraId="55B4C446" w14:textId="77777777" w:rsidR="00A55868" w:rsidRDefault="00A55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Noto Sans Symbols">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EC Square Sans Pro">
    <w:charset w:val="00"/>
    <w:family w:val="swiss"/>
    <w:pitch w:val="variable"/>
    <w:sig w:usb0="2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5F74A" w14:textId="36133D49" w:rsidR="004F360D" w:rsidRPr="004F360D" w:rsidRDefault="004F360D" w:rsidP="004F360D">
    <w:pPr>
      <w:pStyle w:val="FooterCoverPage"/>
      <w:rPr>
        <w:rFonts w:ascii="Arial" w:hAnsi="Arial" w:cs="Arial"/>
        <w:b/>
        <w:sz w:val="48"/>
      </w:rPr>
    </w:pPr>
    <w:r w:rsidRPr="004F360D">
      <w:rPr>
        <w:rFonts w:ascii="Arial" w:hAnsi="Arial" w:cs="Arial"/>
        <w:b/>
        <w:sz w:val="48"/>
      </w:rPr>
      <w:t>ET</w:t>
    </w:r>
    <w:r w:rsidRPr="004F360D">
      <w:rPr>
        <w:rFonts w:ascii="Arial" w:hAnsi="Arial" w:cs="Arial"/>
        <w:b/>
        <w:sz w:val="48"/>
      </w:rPr>
      <w:tab/>
    </w:r>
    <w:r w:rsidRPr="004F360D">
      <w:rPr>
        <w:rFonts w:ascii="Arial" w:hAnsi="Arial" w:cs="Arial"/>
        <w:b/>
        <w:sz w:val="48"/>
      </w:rPr>
      <w:tab/>
    </w:r>
    <w:r w:rsidRPr="004F360D">
      <w:tab/>
    </w:r>
    <w:r w:rsidRPr="004F360D">
      <w:rPr>
        <w:rFonts w:ascii="Arial" w:hAnsi="Arial" w:cs="Arial"/>
        <w:b/>
        <w:sz w:val="48"/>
      </w:rPr>
      <w:t>ET</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15D41" w14:textId="77777777" w:rsidR="0084326C" w:rsidRDefault="0084326C">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66310" w14:textId="77777777" w:rsidR="0084326C" w:rsidRDefault="0084326C">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795532"/>
      <w:docPartObj>
        <w:docPartGallery w:val="Page Numbers (Bottom of Page)"/>
        <w:docPartUnique/>
      </w:docPartObj>
    </w:sdtPr>
    <w:sdtEndPr>
      <w:rPr>
        <w:noProof/>
      </w:rPr>
    </w:sdtEndPr>
    <w:sdtContent>
      <w:p w14:paraId="4CA5DDA3" w14:textId="409932BA" w:rsidR="00BB258E" w:rsidRDefault="00BB258E">
        <w:pPr>
          <w:pStyle w:val="Footer"/>
          <w:jc w:val="center"/>
        </w:pPr>
        <w:r>
          <w:fldChar w:fldCharType="begin"/>
        </w:r>
        <w:r>
          <w:instrText xml:space="preserve"> PAGE   \* MERGEFORMAT </w:instrText>
        </w:r>
        <w:r>
          <w:fldChar w:fldCharType="separate"/>
        </w:r>
        <w:r>
          <w:t>2</w:t>
        </w:r>
        <w:r>
          <w:fldChar w:fldCharType="end"/>
        </w:r>
      </w:p>
    </w:sdtContent>
  </w:sdt>
  <w:p w14:paraId="72762C1C" w14:textId="77777777" w:rsidR="0084326C" w:rsidRPr="004E4F62" w:rsidRDefault="0084326C">
    <w:pPr>
      <w:pStyle w:val="FooterCouncil"/>
    </w:pPr>
  </w:p>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3E867" w14:textId="77777777" w:rsidR="0084326C" w:rsidRDefault="0084326C">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C055B" w14:textId="77777777" w:rsidR="0084326C" w:rsidRDefault="0084326C">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0231685"/>
      <w:docPartObj>
        <w:docPartGallery w:val="Page Numbers (Bottom of Page)"/>
        <w:docPartUnique/>
      </w:docPartObj>
    </w:sdtPr>
    <w:sdtEndPr>
      <w:rPr>
        <w:noProof/>
      </w:rPr>
    </w:sdtEndPr>
    <w:sdtContent>
      <w:p w14:paraId="69FD7B71" w14:textId="2BAFA62A" w:rsidR="00BB258E" w:rsidRDefault="00BB258E">
        <w:pPr>
          <w:pStyle w:val="Footer"/>
          <w:jc w:val="center"/>
        </w:pPr>
        <w:r>
          <w:fldChar w:fldCharType="begin"/>
        </w:r>
        <w:r>
          <w:instrText xml:space="preserve"> PAGE   \* MERGEFORMAT </w:instrText>
        </w:r>
        <w:r>
          <w:fldChar w:fldCharType="separate"/>
        </w:r>
        <w:r>
          <w:t>2</w:t>
        </w:r>
        <w:r>
          <w:fldChar w:fldCharType="end"/>
        </w:r>
      </w:p>
    </w:sdtContent>
  </w:sdt>
  <w:p w14:paraId="27304A5B" w14:textId="77777777" w:rsidR="0084326C" w:rsidRPr="004E4F62" w:rsidRDefault="0084326C">
    <w:pPr>
      <w:pStyle w:val="FooterCouncil"/>
    </w:pPr>
  </w:p>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8EAD3" w14:textId="77777777" w:rsidR="0084326C" w:rsidRDefault="0084326C">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C7042" w14:textId="77777777" w:rsidR="0084326C" w:rsidRDefault="0084326C">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909044"/>
      <w:docPartObj>
        <w:docPartGallery w:val="Page Numbers (Bottom of Page)"/>
        <w:docPartUnique/>
      </w:docPartObj>
    </w:sdtPr>
    <w:sdtEndPr>
      <w:rPr>
        <w:noProof/>
      </w:rPr>
    </w:sdtEndPr>
    <w:sdtContent>
      <w:p w14:paraId="267E4C8B" w14:textId="4B600B12" w:rsidR="00BB258E" w:rsidRDefault="00BB258E">
        <w:pPr>
          <w:pStyle w:val="Footer"/>
          <w:jc w:val="center"/>
        </w:pPr>
        <w:r>
          <w:fldChar w:fldCharType="begin"/>
        </w:r>
        <w:r>
          <w:instrText xml:space="preserve"> PAGE   \* MERGEFORMAT </w:instrText>
        </w:r>
        <w:r>
          <w:fldChar w:fldCharType="separate"/>
        </w:r>
        <w:r>
          <w:t>2</w:t>
        </w:r>
        <w:r>
          <w:fldChar w:fldCharType="end"/>
        </w:r>
      </w:p>
    </w:sdtContent>
  </w:sdt>
  <w:p w14:paraId="4B24692D" w14:textId="77777777" w:rsidR="0084326C" w:rsidRPr="004E4F62" w:rsidRDefault="0084326C">
    <w:pPr>
      <w:pStyle w:val="FooterCouncil"/>
    </w:pPr>
  </w:p>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5D60A" w14:textId="77777777" w:rsidR="0084326C" w:rsidRDefault="0084326C">
    <w:pPr>
      <w:pStyle w:val="Footer"/>
    </w:pP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CA0D7" w14:textId="77777777" w:rsidR="0084326C" w:rsidRDefault="0084326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504340"/>
      <w:docPartObj>
        <w:docPartGallery w:val="Page Numbers (Bottom of Page)"/>
        <w:docPartUnique/>
      </w:docPartObj>
    </w:sdtPr>
    <w:sdtEndPr>
      <w:rPr>
        <w:noProof/>
      </w:rPr>
    </w:sdtEndPr>
    <w:sdtContent>
      <w:p w14:paraId="592095E8" w14:textId="0672994C" w:rsidR="00EB28C2" w:rsidRDefault="00EB28C2">
        <w:pPr>
          <w:pStyle w:val="Footer"/>
          <w:jc w:val="center"/>
        </w:pPr>
        <w:r>
          <w:fldChar w:fldCharType="begin"/>
        </w:r>
        <w:r>
          <w:instrText xml:space="preserve"> PAGE   \* MERGEFORMAT </w:instrText>
        </w:r>
        <w:r>
          <w:fldChar w:fldCharType="separate"/>
        </w:r>
        <w:r>
          <w:t>2</w:t>
        </w:r>
        <w:r>
          <w:fldChar w:fldCharType="end"/>
        </w:r>
      </w:p>
    </w:sdtContent>
  </w:sdt>
  <w:p w14:paraId="63A3D81A" w14:textId="77777777" w:rsidR="0084326C" w:rsidRPr="004E4F62" w:rsidRDefault="0084326C">
    <w:pPr>
      <w:pStyle w:val="FooterCouncil"/>
    </w:pPr>
  </w:p>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151712"/>
      <w:docPartObj>
        <w:docPartGallery w:val="Page Numbers (Bottom of Page)"/>
        <w:docPartUnique/>
      </w:docPartObj>
    </w:sdtPr>
    <w:sdtEndPr>
      <w:rPr>
        <w:noProof/>
      </w:rPr>
    </w:sdtEndPr>
    <w:sdtContent>
      <w:p w14:paraId="5A72AC44" w14:textId="444DC1DA" w:rsidR="00BB258E" w:rsidRDefault="00BB258E">
        <w:pPr>
          <w:pStyle w:val="Footer"/>
          <w:jc w:val="center"/>
        </w:pPr>
        <w:r>
          <w:fldChar w:fldCharType="begin"/>
        </w:r>
        <w:r>
          <w:instrText xml:space="preserve"> PAGE   \* MERGEFORMAT </w:instrText>
        </w:r>
        <w:r>
          <w:fldChar w:fldCharType="separate"/>
        </w:r>
        <w:r>
          <w:t>2</w:t>
        </w:r>
        <w:r>
          <w:fldChar w:fldCharType="end"/>
        </w:r>
      </w:p>
    </w:sdtContent>
  </w:sdt>
  <w:p w14:paraId="725618D8" w14:textId="77777777" w:rsidR="0084326C" w:rsidRPr="004E4F62" w:rsidRDefault="0084326C">
    <w:pPr>
      <w:pStyle w:val="FooterCouncil"/>
    </w:pPr>
  </w:p>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AC9DC" w14:textId="77777777" w:rsidR="0084326C" w:rsidRDefault="0084326C">
    <w:pPr>
      <w:pStyle w:val="Footer"/>
    </w:pPr>
  </w:p>
</w:ftr>
</file>

<file path=word/footer1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BFD57" w14:textId="77777777" w:rsidR="0084326C" w:rsidRDefault="0084326C">
    <w:pPr>
      <w:pStyle w:val="Footer"/>
    </w:pPr>
  </w:p>
</w:ftr>
</file>

<file path=word/footer1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9649965"/>
      <w:docPartObj>
        <w:docPartGallery w:val="Page Numbers (Bottom of Page)"/>
        <w:docPartUnique/>
      </w:docPartObj>
    </w:sdtPr>
    <w:sdtEndPr>
      <w:rPr>
        <w:noProof/>
      </w:rPr>
    </w:sdtEndPr>
    <w:sdtContent>
      <w:p w14:paraId="6D0CDAB7" w14:textId="3B657CF6" w:rsidR="00E37BE8" w:rsidRDefault="00E37BE8">
        <w:pPr>
          <w:pStyle w:val="Footer"/>
          <w:jc w:val="center"/>
        </w:pPr>
        <w:r>
          <w:fldChar w:fldCharType="begin"/>
        </w:r>
        <w:r>
          <w:instrText xml:space="preserve"> PAGE   \* MERGEFORMAT </w:instrText>
        </w:r>
        <w:r>
          <w:fldChar w:fldCharType="separate"/>
        </w:r>
        <w:r>
          <w:t>2</w:t>
        </w:r>
        <w:r>
          <w:fldChar w:fldCharType="end"/>
        </w:r>
      </w:p>
    </w:sdtContent>
  </w:sdt>
  <w:p w14:paraId="0D45C6BC" w14:textId="77777777" w:rsidR="0084326C" w:rsidRPr="004E4F62" w:rsidRDefault="0084326C">
    <w:pPr>
      <w:pStyle w:val="FooterCouncil"/>
    </w:pPr>
  </w:p>
</w:ftr>
</file>

<file path=word/footer1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1ADFE" w14:textId="77777777" w:rsidR="0084326C" w:rsidRDefault="0084326C">
    <w:pPr>
      <w:pStyle w:val="Footer"/>
    </w:pPr>
  </w:p>
</w:ftr>
</file>

<file path=word/footer1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14CDA" w14:textId="77777777" w:rsidR="0084326C" w:rsidRDefault="0084326C">
    <w:pPr>
      <w:pStyle w:val="Footer"/>
    </w:pPr>
  </w:p>
</w:ftr>
</file>

<file path=word/footer1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2535438"/>
      <w:docPartObj>
        <w:docPartGallery w:val="Page Numbers (Bottom of Page)"/>
        <w:docPartUnique/>
      </w:docPartObj>
    </w:sdtPr>
    <w:sdtEndPr>
      <w:rPr>
        <w:noProof/>
      </w:rPr>
    </w:sdtEndPr>
    <w:sdtContent>
      <w:p w14:paraId="06EC7DA3" w14:textId="11F3F55C" w:rsidR="00E37BE8" w:rsidRDefault="00E37BE8">
        <w:pPr>
          <w:pStyle w:val="Footer"/>
          <w:jc w:val="center"/>
        </w:pPr>
        <w:r>
          <w:fldChar w:fldCharType="begin"/>
        </w:r>
        <w:r>
          <w:instrText xml:space="preserve"> PAGE   \* MERGEFORMAT </w:instrText>
        </w:r>
        <w:r>
          <w:fldChar w:fldCharType="separate"/>
        </w:r>
        <w:r>
          <w:t>2</w:t>
        </w:r>
        <w:r>
          <w:fldChar w:fldCharType="end"/>
        </w:r>
      </w:p>
    </w:sdtContent>
  </w:sdt>
  <w:p w14:paraId="4074E1FB" w14:textId="77777777" w:rsidR="0084326C" w:rsidRPr="004E4F62" w:rsidRDefault="0084326C">
    <w:pPr>
      <w:pStyle w:val="FooterCouncil"/>
    </w:pPr>
  </w:p>
</w:ftr>
</file>

<file path=word/footer1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8B8A5" w14:textId="77777777" w:rsidR="0084326C" w:rsidRDefault="0084326C">
    <w:pPr>
      <w:pStyle w:val="Footer"/>
    </w:pPr>
  </w:p>
</w:ftr>
</file>

<file path=word/footer1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A7086" w14:textId="77777777" w:rsidR="0084326C" w:rsidRDefault="0084326C">
    <w:pPr>
      <w:pStyle w:val="Footer"/>
    </w:pPr>
  </w:p>
</w:ftr>
</file>

<file path=word/footer1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0378442"/>
      <w:docPartObj>
        <w:docPartGallery w:val="Page Numbers (Bottom of Page)"/>
        <w:docPartUnique/>
      </w:docPartObj>
    </w:sdtPr>
    <w:sdtEndPr>
      <w:rPr>
        <w:noProof/>
      </w:rPr>
    </w:sdtEndPr>
    <w:sdtContent>
      <w:p w14:paraId="5F9A315E" w14:textId="735BDC8B" w:rsidR="00E37BE8" w:rsidRDefault="00E37BE8">
        <w:pPr>
          <w:pStyle w:val="Footer"/>
          <w:jc w:val="center"/>
        </w:pPr>
        <w:r>
          <w:fldChar w:fldCharType="begin"/>
        </w:r>
        <w:r>
          <w:instrText xml:space="preserve"> PAGE   \* MERGEFORMAT </w:instrText>
        </w:r>
        <w:r>
          <w:fldChar w:fldCharType="separate"/>
        </w:r>
        <w:r>
          <w:t>2</w:t>
        </w:r>
        <w:r>
          <w:fldChar w:fldCharType="end"/>
        </w:r>
      </w:p>
    </w:sdtContent>
  </w:sdt>
  <w:p w14:paraId="65C0FEC4" w14:textId="77777777" w:rsidR="0084326C" w:rsidRPr="004E4F62" w:rsidRDefault="0084326C">
    <w:pPr>
      <w:pStyle w:val="FooterCouncil"/>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A9DBE" w14:textId="77777777" w:rsidR="0084326C" w:rsidRDefault="0084326C">
    <w:pPr>
      <w:pStyle w:val="Footer"/>
    </w:pPr>
  </w:p>
</w:ftr>
</file>

<file path=word/footer1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96599" w14:textId="77777777" w:rsidR="0084326C" w:rsidRDefault="0084326C">
    <w:pPr>
      <w:pStyle w:val="Footer"/>
    </w:pPr>
  </w:p>
</w:ftr>
</file>

<file path=word/footer1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FC085" w14:textId="77777777" w:rsidR="0084326C" w:rsidRDefault="0084326C">
    <w:pPr>
      <w:pStyle w:val="Footer"/>
    </w:pPr>
  </w:p>
</w:ftr>
</file>

<file path=word/footer1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8553045"/>
      <w:docPartObj>
        <w:docPartGallery w:val="Page Numbers (Bottom of Page)"/>
        <w:docPartUnique/>
      </w:docPartObj>
    </w:sdtPr>
    <w:sdtEndPr>
      <w:rPr>
        <w:noProof/>
      </w:rPr>
    </w:sdtEndPr>
    <w:sdtContent>
      <w:p w14:paraId="14699331" w14:textId="633749CB" w:rsidR="00E37BE8" w:rsidRDefault="00E37BE8">
        <w:pPr>
          <w:pStyle w:val="Footer"/>
          <w:jc w:val="center"/>
        </w:pPr>
        <w:r>
          <w:fldChar w:fldCharType="begin"/>
        </w:r>
        <w:r>
          <w:instrText xml:space="preserve"> PAGE   \* MERGEFORMAT </w:instrText>
        </w:r>
        <w:r>
          <w:fldChar w:fldCharType="separate"/>
        </w:r>
        <w:r>
          <w:t>2</w:t>
        </w:r>
        <w:r>
          <w:fldChar w:fldCharType="end"/>
        </w:r>
      </w:p>
    </w:sdtContent>
  </w:sdt>
  <w:p w14:paraId="62F69CC3" w14:textId="77777777" w:rsidR="0084326C" w:rsidRPr="004E4F62" w:rsidRDefault="0084326C">
    <w:pPr>
      <w:pStyle w:val="FooterCouncil"/>
    </w:pPr>
  </w:p>
</w:ftr>
</file>

<file path=word/footer1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BFCA2" w14:textId="77777777" w:rsidR="0084326C" w:rsidRDefault="0084326C">
    <w:pPr>
      <w:pStyle w:val="Footer"/>
    </w:pPr>
  </w:p>
</w:ftr>
</file>

<file path=word/footer1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EAF7" w14:textId="77777777" w:rsidR="0084326C" w:rsidRDefault="0084326C">
    <w:pPr>
      <w:pStyle w:val="Footer"/>
    </w:pPr>
  </w:p>
</w:ftr>
</file>

<file path=word/footer1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300025"/>
      <w:docPartObj>
        <w:docPartGallery w:val="Page Numbers (Bottom of Page)"/>
        <w:docPartUnique/>
      </w:docPartObj>
    </w:sdtPr>
    <w:sdtEndPr>
      <w:rPr>
        <w:noProof/>
      </w:rPr>
    </w:sdtEndPr>
    <w:sdtContent>
      <w:p w14:paraId="0B6D9E84" w14:textId="6B28B6CF" w:rsidR="00E37BE8" w:rsidRDefault="00E37BE8">
        <w:pPr>
          <w:pStyle w:val="Footer"/>
          <w:jc w:val="center"/>
        </w:pPr>
        <w:r>
          <w:fldChar w:fldCharType="begin"/>
        </w:r>
        <w:r>
          <w:instrText xml:space="preserve"> PAGE   \* MERGEFORMAT </w:instrText>
        </w:r>
        <w:r>
          <w:fldChar w:fldCharType="separate"/>
        </w:r>
        <w:r>
          <w:t>2</w:t>
        </w:r>
        <w:r>
          <w:fldChar w:fldCharType="end"/>
        </w:r>
      </w:p>
    </w:sdtContent>
  </w:sdt>
  <w:p w14:paraId="743C8B78" w14:textId="77777777" w:rsidR="0084326C" w:rsidRPr="004E4F62" w:rsidRDefault="0084326C">
    <w:pPr>
      <w:pStyle w:val="FooterCouncil"/>
    </w:pPr>
  </w:p>
</w:ftr>
</file>

<file path=word/footer1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9DE88" w14:textId="77777777" w:rsidR="0084326C" w:rsidRDefault="0084326C">
    <w:pPr>
      <w:pStyle w:val="Footer"/>
    </w:pPr>
  </w:p>
</w:ftr>
</file>

<file path=word/footer1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65EEB" w14:textId="77777777" w:rsidR="0084326C" w:rsidRDefault="0084326C">
    <w:pPr>
      <w:pStyle w:val="Footer"/>
    </w:pPr>
  </w:p>
</w:ftr>
</file>

<file path=word/footer1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09279"/>
      <w:docPartObj>
        <w:docPartGallery w:val="Page Numbers (Bottom of Page)"/>
        <w:docPartUnique/>
      </w:docPartObj>
    </w:sdtPr>
    <w:sdtEndPr>
      <w:rPr>
        <w:noProof/>
      </w:rPr>
    </w:sdtEndPr>
    <w:sdtContent>
      <w:p w14:paraId="5BE7BBE1" w14:textId="3A58F8A0" w:rsidR="00E37BE8" w:rsidRDefault="00E37BE8">
        <w:pPr>
          <w:pStyle w:val="Footer"/>
          <w:jc w:val="center"/>
        </w:pPr>
        <w:r>
          <w:fldChar w:fldCharType="begin"/>
        </w:r>
        <w:r>
          <w:instrText xml:space="preserve"> PAGE   \* MERGEFORMAT </w:instrText>
        </w:r>
        <w:r>
          <w:fldChar w:fldCharType="separate"/>
        </w:r>
        <w:r>
          <w:t>2</w:t>
        </w:r>
        <w:r>
          <w:fldChar w:fldCharType="end"/>
        </w:r>
      </w:p>
    </w:sdtContent>
  </w:sdt>
  <w:p w14:paraId="4719E035" w14:textId="77777777" w:rsidR="0084326C" w:rsidRPr="004E4F62" w:rsidRDefault="0084326C">
    <w:pPr>
      <w:pStyle w:val="FooterCouncil"/>
    </w:pPr>
  </w:p>
</w:ftr>
</file>

<file path=word/footer1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B46F5" w14:textId="77777777" w:rsidR="0084326C" w:rsidRDefault="0084326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6A5A3" w14:textId="77777777" w:rsidR="0084326C" w:rsidRDefault="0084326C">
    <w:pPr>
      <w:pStyle w:val="Footer"/>
    </w:pPr>
  </w:p>
</w:ftr>
</file>

<file path=word/footer1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F4272" w14:textId="77777777" w:rsidR="0084326C" w:rsidRDefault="0084326C">
    <w:pPr>
      <w:pStyle w:val="Footer"/>
    </w:pPr>
  </w:p>
</w:ftr>
</file>

<file path=word/footer1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2487318"/>
      <w:docPartObj>
        <w:docPartGallery w:val="Page Numbers (Bottom of Page)"/>
        <w:docPartUnique/>
      </w:docPartObj>
    </w:sdtPr>
    <w:sdtEndPr>
      <w:rPr>
        <w:noProof/>
      </w:rPr>
    </w:sdtEndPr>
    <w:sdtContent>
      <w:p w14:paraId="3DF018E1" w14:textId="7758FCAE" w:rsidR="00E37BE8" w:rsidRDefault="00E37BE8">
        <w:pPr>
          <w:pStyle w:val="Footer"/>
          <w:jc w:val="center"/>
        </w:pPr>
        <w:r>
          <w:fldChar w:fldCharType="begin"/>
        </w:r>
        <w:r>
          <w:instrText xml:space="preserve"> PAGE   \* MERGEFORMAT </w:instrText>
        </w:r>
        <w:r>
          <w:fldChar w:fldCharType="separate"/>
        </w:r>
        <w:r>
          <w:t>2</w:t>
        </w:r>
        <w:r>
          <w:fldChar w:fldCharType="end"/>
        </w:r>
      </w:p>
    </w:sdtContent>
  </w:sdt>
  <w:p w14:paraId="5472E61C" w14:textId="77777777" w:rsidR="0084326C" w:rsidRPr="004E4F62" w:rsidRDefault="0084326C">
    <w:pPr>
      <w:pStyle w:val="FooterCouncil"/>
    </w:pPr>
  </w:p>
</w:ftr>
</file>

<file path=word/footer1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DC640" w14:textId="77777777" w:rsidR="0084326C" w:rsidRDefault="0084326C">
    <w:pPr>
      <w:pStyle w:val="Footer"/>
    </w:pPr>
  </w:p>
</w:ftr>
</file>

<file path=word/footer1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C05E6" w14:textId="77777777" w:rsidR="0084326C" w:rsidRDefault="0084326C">
    <w:pPr>
      <w:pStyle w:val="Footer"/>
    </w:pPr>
  </w:p>
</w:ftr>
</file>

<file path=word/footer1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017778"/>
      <w:docPartObj>
        <w:docPartGallery w:val="Page Numbers (Bottom of Page)"/>
        <w:docPartUnique/>
      </w:docPartObj>
    </w:sdtPr>
    <w:sdtEndPr>
      <w:rPr>
        <w:noProof/>
      </w:rPr>
    </w:sdtEndPr>
    <w:sdtContent>
      <w:p w14:paraId="799F2089" w14:textId="6DE8D73F" w:rsidR="00E37BE8" w:rsidRDefault="00E37BE8">
        <w:pPr>
          <w:pStyle w:val="Footer"/>
          <w:jc w:val="center"/>
        </w:pPr>
        <w:r>
          <w:fldChar w:fldCharType="begin"/>
        </w:r>
        <w:r>
          <w:instrText xml:space="preserve"> PAGE   \* MERGEFORMAT </w:instrText>
        </w:r>
        <w:r>
          <w:fldChar w:fldCharType="separate"/>
        </w:r>
        <w:r>
          <w:t>2</w:t>
        </w:r>
        <w:r>
          <w:fldChar w:fldCharType="end"/>
        </w:r>
      </w:p>
    </w:sdtContent>
  </w:sdt>
  <w:p w14:paraId="63F51F1E" w14:textId="77777777" w:rsidR="0084326C" w:rsidRPr="004E4F62" w:rsidRDefault="0084326C">
    <w:pPr>
      <w:pStyle w:val="FooterCouncil"/>
    </w:pPr>
  </w:p>
</w:ftr>
</file>

<file path=word/footer1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99618" w14:textId="77777777" w:rsidR="0084326C" w:rsidRDefault="0084326C">
    <w:pPr>
      <w:pStyle w:val="Footer"/>
    </w:pPr>
  </w:p>
</w:ftr>
</file>

<file path=word/footer1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E45BF" w14:textId="77777777" w:rsidR="0084326C" w:rsidRDefault="0084326C">
    <w:pPr>
      <w:pStyle w:val="Footer"/>
    </w:pPr>
  </w:p>
</w:ftr>
</file>

<file path=word/footer1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604405"/>
      <w:docPartObj>
        <w:docPartGallery w:val="Page Numbers (Bottom of Page)"/>
        <w:docPartUnique/>
      </w:docPartObj>
    </w:sdtPr>
    <w:sdtEndPr>
      <w:rPr>
        <w:noProof/>
      </w:rPr>
    </w:sdtEndPr>
    <w:sdtContent>
      <w:p w14:paraId="4CA94273" w14:textId="68096B79" w:rsidR="00CD5533" w:rsidRDefault="00CD5533">
        <w:pPr>
          <w:pStyle w:val="Footer"/>
          <w:jc w:val="center"/>
        </w:pPr>
        <w:r>
          <w:fldChar w:fldCharType="begin"/>
        </w:r>
        <w:r>
          <w:instrText xml:space="preserve"> PAGE   \* MERGEFORMAT </w:instrText>
        </w:r>
        <w:r>
          <w:fldChar w:fldCharType="separate"/>
        </w:r>
        <w:r>
          <w:t>2</w:t>
        </w:r>
        <w:r>
          <w:fldChar w:fldCharType="end"/>
        </w:r>
      </w:p>
    </w:sdtContent>
  </w:sdt>
  <w:p w14:paraId="2337B80F" w14:textId="77777777" w:rsidR="0084326C" w:rsidRPr="004E4F62" w:rsidRDefault="0084326C">
    <w:pPr>
      <w:pStyle w:val="FooterCouncil"/>
    </w:pPr>
  </w:p>
</w:ftr>
</file>

<file path=word/footer1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D8E23" w14:textId="77777777" w:rsidR="0084326C" w:rsidRDefault="0084326C">
    <w:pPr>
      <w:pStyle w:val="Footer"/>
    </w:pPr>
  </w:p>
</w:ftr>
</file>

<file path=word/footer1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E3C83" w14:textId="77777777" w:rsidR="0084326C" w:rsidRDefault="0084326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844585"/>
      <w:docPartObj>
        <w:docPartGallery w:val="Page Numbers (Bottom of Page)"/>
        <w:docPartUnique/>
      </w:docPartObj>
    </w:sdtPr>
    <w:sdtEndPr>
      <w:rPr>
        <w:noProof/>
      </w:rPr>
    </w:sdtEndPr>
    <w:sdtContent>
      <w:p w14:paraId="4EF57810" w14:textId="265FF492" w:rsidR="00E63385" w:rsidRDefault="00E63385">
        <w:pPr>
          <w:pStyle w:val="Footer"/>
          <w:jc w:val="center"/>
        </w:pPr>
        <w:r>
          <w:fldChar w:fldCharType="begin"/>
        </w:r>
        <w:r>
          <w:instrText xml:space="preserve"> PAGE   \* MERGEFORMAT </w:instrText>
        </w:r>
        <w:r>
          <w:fldChar w:fldCharType="separate"/>
        </w:r>
        <w:r>
          <w:t>2</w:t>
        </w:r>
        <w:r>
          <w:fldChar w:fldCharType="end"/>
        </w:r>
      </w:p>
    </w:sdtContent>
  </w:sdt>
  <w:p w14:paraId="0C016703" w14:textId="77777777" w:rsidR="0084326C" w:rsidRPr="004E4F62" w:rsidRDefault="0084326C">
    <w:pPr>
      <w:pStyle w:val="FooterCouncil"/>
    </w:pPr>
  </w:p>
</w:ftr>
</file>

<file path=word/footer1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1250502"/>
      <w:docPartObj>
        <w:docPartGallery w:val="Page Numbers (Bottom of Page)"/>
        <w:docPartUnique/>
      </w:docPartObj>
    </w:sdtPr>
    <w:sdtEndPr>
      <w:rPr>
        <w:noProof/>
      </w:rPr>
    </w:sdtEndPr>
    <w:sdtContent>
      <w:p w14:paraId="2C052AB8" w14:textId="4D3490CC" w:rsidR="00CD5533" w:rsidRDefault="00CD5533">
        <w:pPr>
          <w:pStyle w:val="Footer"/>
          <w:jc w:val="center"/>
        </w:pPr>
        <w:r>
          <w:fldChar w:fldCharType="begin"/>
        </w:r>
        <w:r>
          <w:instrText xml:space="preserve"> PAGE   \* MERGEFORMAT </w:instrText>
        </w:r>
        <w:r>
          <w:fldChar w:fldCharType="separate"/>
        </w:r>
        <w:r>
          <w:t>2</w:t>
        </w:r>
        <w:r>
          <w:fldChar w:fldCharType="end"/>
        </w:r>
      </w:p>
    </w:sdtContent>
  </w:sdt>
  <w:p w14:paraId="3726E64B" w14:textId="77777777" w:rsidR="0084326C" w:rsidRPr="004E4F62" w:rsidRDefault="0084326C">
    <w:pPr>
      <w:pStyle w:val="FooterCouncil"/>
    </w:pPr>
  </w:p>
</w:ftr>
</file>

<file path=word/footer1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82C3D" w14:textId="77777777" w:rsidR="0084326C" w:rsidRDefault="0084326C">
    <w:pPr>
      <w:pStyle w:val="Footer"/>
    </w:pPr>
  </w:p>
</w:ftr>
</file>

<file path=word/footer1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984A8" w14:textId="77777777" w:rsidR="0084326C" w:rsidRDefault="0084326C">
    <w:pPr>
      <w:pStyle w:val="Footer"/>
    </w:pPr>
  </w:p>
</w:ftr>
</file>

<file path=word/footer1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333636"/>
      <w:docPartObj>
        <w:docPartGallery w:val="Page Numbers (Bottom of Page)"/>
        <w:docPartUnique/>
      </w:docPartObj>
    </w:sdtPr>
    <w:sdtEndPr>
      <w:rPr>
        <w:noProof/>
      </w:rPr>
    </w:sdtEndPr>
    <w:sdtContent>
      <w:p w14:paraId="78A1816F" w14:textId="23EA836D" w:rsidR="00CD5533" w:rsidRDefault="00CD5533">
        <w:pPr>
          <w:pStyle w:val="Footer"/>
          <w:jc w:val="center"/>
        </w:pPr>
        <w:r>
          <w:fldChar w:fldCharType="begin"/>
        </w:r>
        <w:r>
          <w:instrText xml:space="preserve"> PAGE   \* MERGEFORMAT </w:instrText>
        </w:r>
        <w:r>
          <w:fldChar w:fldCharType="separate"/>
        </w:r>
        <w:r>
          <w:t>2</w:t>
        </w:r>
        <w:r>
          <w:fldChar w:fldCharType="end"/>
        </w:r>
      </w:p>
    </w:sdtContent>
  </w:sdt>
  <w:p w14:paraId="7CE87CE0" w14:textId="77777777" w:rsidR="0084326C" w:rsidRPr="004E4F62" w:rsidRDefault="0084326C">
    <w:pPr>
      <w:pStyle w:val="FooterCouncil"/>
    </w:pPr>
  </w:p>
</w:ftr>
</file>

<file path=word/footer1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5433F" w14:textId="77777777" w:rsidR="0084326C" w:rsidRDefault="0084326C">
    <w:pPr>
      <w:pStyle w:val="Footer"/>
    </w:pPr>
  </w:p>
</w:ftr>
</file>

<file path=word/footer1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F0A62" w14:textId="77777777" w:rsidR="0084326C" w:rsidRDefault="0084326C">
    <w:pPr>
      <w:pStyle w:val="Footer"/>
    </w:pPr>
  </w:p>
</w:ftr>
</file>

<file path=word/footer1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582437"/>
      <w:docPartObj>
        <w:docPartGallery w:val="Page Numbers (Bottom of Page)"/>
        <w:docPartUnique/>
      </w:docPartObj>
    </w:sdtPr>
    <w:sdtEndPr>
      <w:rPr>
        <w:noProof/>
      </w:rPr>
    </w:sdtEndPr>
    <w:sdtContent>
      <w:p w14:paraId="12422BC7" w14:textId="6B034512" w:rsidR="00CD5533" w:rsidRDefault="00CD5533">
        <w:pPr>
          <w:pStyle w:val="Footer"/>
          <w:jc w:val="center"/>
        </w:pPr>
        <w:r>
          <w:fldChar w:fldCharType="begin"/>
        </w:r>
        <w:r>
          <w:instrText xml:space="preserve"> PAGE   \* MERGEFORMAT </w:instrText>
        </w:r>
        <w:r>
          <w:fldChar w:fldCharType="separate"/>
        </w:r>
        <w:r>
          <w:t>2</w:t>
        </w:r>
        <w:r>
          <w:fldChar w:fldCharType="end"/>
        </w:r>
      </w:p>
    </w:sdtContent>
  </w:sdt>
  <w:p w14:paraId="49C3272E" w14:textId="77777777" w:rsidR="0084326C" w:rsidRPr="004E4F62" w:rsidRDefault="0084326C">
    <w:pPr>
      <w:pStyle w:val="FooterCouncil"/>
    </w:pPr>
  </w:p>
</w:ftr>
</file>

<file path=word/footer1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98C72" w14:textId="77777777" w:rsidR="0084326C" w:rsidRDefault="0084326C">
    <w:pPr>
      <w:pStyle w:val="Footer"/>
    </w:pPr>
  </w:p>
</w:ftr>
</file>

<file path=word/footer1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617B6" w14:textId="77777777" w:rsidR="0084326C" w:rsidRDefault="0084326C">
    <w:pPr>
      <w:pStyle w:val="Footer"/>
    </w:pPr>
  </w:p>
</w:ftr>
</file>

<file path=word/footer1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987498"/>
      <w:docPartObj>
        <w:docPartGallery w:val="Page Numbers (Bottom of Page)"/>
        <w:docPartUnique/>
      </w:docPartObj>
    </w:sdtPr>
    <w:sdtEndPr>
      <w:rPr>
        <w:noProof/>
      </w:rPr>
    </w:sdtEndPr>
    <w:sdtContent>
      <w:p w14:paraId="05D9B66B" w14:textId="67B04F54" w:rsidR="003C2120" w:rsidRDefault="003C2120">
        <w:pPr>
          <w:pStyle w:val="Footer"/>
          <w:jc w:val="center"/>
        </w:pPr>
        <w:r>
          <w:fldChar w:fldCharType="begin"/>
        </w:r>
        <w:r>
          <w:instrText xml:space="preserve"> PAGE   \* MERGEFORMAT </w:instrText>
        </w:r>
        <w:r>
          <w:fldChar w:fldCharType="separate"/>
        </w:r>
        <w:r>
          <w:t>2</w:t>
        </w:r>
        <w:r>
          <w:fldChar w:fldCharType="end"/>
        </w:r>
      </w:p>
    </w:sdtContent>
  </w:sdt>
  <w:p w14:paraId="779E8A40" w14:textId="77777777" w:rsidR="0084326C" w:rsidRPr="004E4F62" w:rsidRDefault="0084326C">
    <w:pPr>
      <w:pStyle w:val="FooterCouncil"/>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FAE20" w14:textId="77777777" w:rsidR="0084326C" w:rsidRDefault="0084326C">
    <w:pPr>
      <w:pStyle w:val="Footer"/>
    </w:pPr>
  </w:p>
</w:ftr>
</file>

<file path=word/footer1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05141" w14:textId="77777777" w:rsidR="0084326C" w:rsidRDefault="0084326C">
    <w:pPr>
      <w:pStyle w:val="Footer"/>
    </w:pPr>
  </w:p>
</w:ftr>
</file>

<file path=word/footer1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BC75C" w14:textId="77777777" w:rsidR="0084326C" w:rsidRDefault="0084326C">
    <w:pPr>
      <w:pStyle w:val="Footer"/>
    </w:pPr>
  </w:p>
</w:ftr>
</file>

<file path=word/footer1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548900"/>
      <w:docPartObj>
        <w:docPartGallery w:val="Page Numbers (Bottom of Page)"/>
        <w:docPartUnique/>
      </w:docPartObj>
    </w:sdtPr>
    <w:sdtEndPr>
      <w:rPr>
        <w:noProof/>
      </w:rPr>
    </w:sdtEndPr>
    <w:sdtContent>
      <w:p w14:paraId="3DA24F96" w14:textId="23ADB462" w:rsidR="003C2120" w:rsidRDefault="003C2120">
        <w:pPr>
          <w:pStyle w:val="Footer"/>
          <w:jc w:val="center"/>
        </w:pPr>
        <w:r>
          <w:fldChar w:fldCharType="begin"/>
        </w:r>
        <w:r>
          <w:instrText xml:space="preserve"> PAGE   \* MERGEFORMAT </w:instrText>
        </w:r>
        <w:r>
          <w:fldChar w:fldCharType="separate"/>
        </w:r>
        <w:r>
          <w:t>2</w:t>
        </w:r>
        <w:r>
          <w:fldChar w:fldCharType="end"/>
        </w:r>
      </w:p>
    </w:sdtContent>
  </w:sdt>
  <w:p w14:paraId="44CE979F" w14:textId="77777777" w:rsidR="0084326C" w:rsidRPr="004E4F62" w:rsidRDefault="0084326C">
    <w:pPr>
      <w:pStyle w:val="FooterCouncil"/>
    </w:pPr>
  </w:p>
</w:ftr>
</file>

<file path=word/footer1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3894D" w14:textId="77777777" w:rsidR="0084326C" w:rsidRDefault="0084326C">
    <w:pPr>
      <w:pStyle w:val="Footer"/>
    </w:pPr>
  </w:p>
</w:ftr>
</file>

<file path=word/footer1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47000" w14:textId="77777777" w:rsidR="0084326C" w:rsidRDefault="0084326C">
    <w:pPr>
      <w:pStyle w:val="Footer"/>
    </w:pPr>
  </w:p>
</w:ftr>
</file>

<file path=word/footer1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180683"/>
      <w:docPartObj>
        <w:docPartGallery w:val="Page Numbers (Bottom of Page)"/>
        <w:docPartUnique/>
      </w:docPartObj>
    </w:sdtPr>
    <w:sdtEndPr>
      <w:rPr>
        <w:noProof/>
      </w:rPr>
    </w:sdtEndPr>
    <w:sdtContent>
      <w:p w14:paraId="42AF5211" w14:textId="0627AB8D" w:rsidR="003C2120" w:rsidRDefault="003C2120">
        <w:pPr>
          <w:pStyle w:val="Footer"/>
          <w:jc w:val="center"/>
        </w:pPr>
        <w:r>
          <w:fldChar w:fldCharType="begin"/>
        </w:r>
        <w:r>
          <w:instrText xml:space="preserve"> PAGE   \* MERGEFORMAT </w:instrText>
        </w:r>
        <w:r>
          <w:fldChar w:fldCharType="separate"/>
        </w:r>
        <w:r>
          <w:t>2</w:t>
        </w:r>
        <w:r>
          <w:fldChar w:fldCharType="end"/>
        </w:r>
      </w:p>
    </w:sdtContent>
  </w:sdt>
  <w:p w14:paraId="122F80AD" w14:textId="77777777" w:rsidR="0084326C" w:rsidRPr="004E4F62" w:rsidRDefault="0084326C">
    <w:pPr>
      <w:pStyle w:val="FooterCouncil"/>
    </w:pPr>
  </w:p>
</w:ftr>
</file>

<file path=word/footer1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D8CC8" w14:textId="77777777" w:rsidR="0084326C" w:rsidRDefault="0084326C">
    <w:pPr>
      <w:pStyle w:val="Footer"/>
    </w:pPr>
  </w:p>
</w:ftr>
</file>

<file path=word/footer1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93F77" w14:textId="77777777" w:rsidR="0084326C" w:rsidRDefault="0084326C">
    <w:pPr>
      <w:pStyle w:val="Footer"/>
    </w:pPr>
  </w:p>
</w:ftr>
</file>

<file path=word/footer1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031883"/>
      <w:docPartObj>
        <w:docPartGallery w:val="Page Numbers (Bottom of Page)"/>
        <w:docPartUnique/>
      </w:docPartObj>
    </w:sdtPr>
    <w:sdtEndPr>
      <w:rPr>
        <w:noProof/>
      </w:rPr>
    </w:sdtEndPr>
    <w:sdtContent>
      <w:p w14:paraId="5849E3A1" w14:textId="6222199C" w:rsidR="003C2120" w:rsidRDefault="003C2120">
        <w:pPr>
          <w:pStyle w:val="Footer"/>
          <w:jc w:val="center"/>
        </w:pPr>
        <w:r>
          <w:fldChar w:fldCharType="begin"/>
        </w:r>
        <w:r>
          <w:instrText xml:space="preserve"> PAGE   \* MERGEFORMAT </w:instrText>
        </w:r>
        <w:r>
          <w:fldChar w:fldCharType="separate"/>
        </w:r>
        <w:r>
          <w:t>2</w:t>
        </w:r>
        <w:r>
          <w:fldChar w:fldCharType="end"/>
        </w:r>
      </w:p>
    </w:sdtContent>
  </w:sdt>
  <w:p w14:paraId="0871E414" w14:textId="77777777" w:rsidR="0084326C" w:rsidRPr="004E4F62" w:rsidRDefault="0084326C">
    <w:pPr>
      <w:pStyle w:val="FooterCouncil"/>
    </w:pPr>
  </w:p>
</w:ftr>
</file>

<file path=word/footer1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FB72" w14:textId="77777777" w:rsidR="0084326C" w:rsidRDefault="0084326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92F67" w14:textId="77777777" w:rsidR="0084326C" w:rsidRDefault="0084326C">
    <w:pPr>
      <w:pStyle w:val="Footer"/>
    </w:pPr>
  </w:p>
</w:ftr>
</file>

<file path=word/footer1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38C0E" w14:textId="77777777" w:rsidR="0084326C" w:rsidRPr="000D3774" w:rsidRDefault="0084326C">
    <w:pPr>
      <w:pStyle w:val="Footer"/>
    </w:pPr>
  </w:p>
</w:ftr>
</file>

<file path=word/footer1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578663"/>
      <w:docPartObj>
        <w:docPartGallery w:val="Page Numbers (Bottom of Page)"/>
        <w:docPartUnique/>
      </w:docPartObj>
    </w:sdtPr>
    <w:sdtEndPr>
      <w:rPr>
        <w:noProof/>
      </w:rPr>
    </w:sdtEndPr>
    <w:sdtContent>
      <w:p w14:paraId="099EBCEC" w14:textId="0C83B38F" w:rsidR="003C2120" w:rsidRDefault="003C2120">
        <w:pPr>
          <w:pStyle w:val="Footer"/>
          <w:jc w:val="center"/>
        </w:pPr>
        <w:r>
          <w:fldChar w:fldCharType="begin"/>
        </w:r>
        <w:r>
          <w:instrText xml:space="preserve"> PAGE   \* MERGEFORMAT </w:instrText>
        </w:r>
        <w:r>
          <w:fldChar w:fldCharType="separate"/>
        </w:r>
        <w:r>
          <w:t>2</w:t>
        </w:r>
        <w:r>
          <w:fldChar w:fldCharType="end"/>
        </w:r>
      </w:p>
    </w:sdtContent>
  </w:sdt>
  <w:p w14:paraId="100D9787" w14:textId="77777777" w:rsidR="0084326C" w:rsidRPr="004E4F62" w:rsidRDefault="0084326C">
    <w:pPr>
      <w:pStyle w:val="FooterCouncil"/>
    </w:pPr>
  </w:p>
</w:ftr>
</file>

<file path=word/footer1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EC1A6" w14:textId="77777777" w:rsidR="0084326C" w:rsidRPr="000D3774" w:rsidRDefault="0084326C">
    <w:pPr>
      <w:pStyle w:val="Footer"/>
    </w:pPr>
  </w:p>
</w:ftr>
</file>

<file path=word/footer1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DC837" w14:textId="77777777" w:rsidR="0084326C" w:rsidRPr="000D3774" w:rsidRDefault="0084326C">
    <w:pPr>
      <w:pStyle w:val="Footer"/>
    </w:pPr>
  </w:p>
</w:ftr>
</file>

<file path=word/footer1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676152"/>
      <w:docPartObj>
        <w:docPartGallery w:val="Page Numbers (Bottom of Page)"/>
        <w:docPartUnique/>
      </w:docPartObj>
    </w:sdtPr>
    <w:sdtEndPr>
      <w:rPr>
        <w:noProof/>
      </w:rPr>
    </w:sdtEndPr>
    <w:sdtContent>
      <w:p w14:paraId="38B8AFDA" w14:textId="10425ACF" w:rsidR="0080087A" w:rsidRDefault="0080087A">
        <w:pPr>
          <w:pStyle w:val="Footer"/>
          <w:jc w:val="center"/>
        </w:pPr>
        <w:r>
          <w:fldChar w:fldCharType="begin"/>
        </w:r>
        <w:r>
          <w:instrText xml:space="preserve"> PAGE   \* MERGEFORMAT </w:instrText>
        </w:r>
        <w:r>
          <w:fldChar w:fldCharType="separate"/>
        </w:r>
        <w:r>
          <w:t>2</w:t>
        </w:r>
        <w:r>
          <w:fldChar w:fldCharType="end"/>
        </w:r>
      </w:p>
    </w:sdtContent>
  </w:sdt>
  <w:p w14:paraId="75327D74" w14:textId="77777777" w:rsidR="0084326C" w:rsidRPr="004E4F62" w:rsidRDefault="0084326C">
    <w:pPr>
      <w:pStyle w:val="FooterCouncil"/>
    </w:pPr>
  </w:p>
</w:ftr>
</file>

<file path=word/footer1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79BC7" w14:textId="77777777" w:rsidR="0084326C" w:rsidRPr="000D3774" w:rsidRDefault="0084326C">
    <w:pPr>
      <w:pStyle w:val="Footer"/>
    </w:pPr>
  </w:p>
</w:ftr>
</file>

<file path=word/footer1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DD72F" w14:textId="77777777" w:rsidR="0084326C" w:rsidRPr="000D3774" w:rsidRDefault="0084326C">
    <w:pPr>
      <w:pStyle w:val="Footer"/>
    </w:pPr>
  </w:p>
</w:ftr>
</file>

<file path=word/footer1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4835686"/>
      <w:docPartObj>
        <w:docPartGallery w:val="Page Numbers (Bottom of Page)"/>
        <w:docPartUnique/>
      </w:docPartObj>
    </w:sdtPr>
    <w:sdtEndPr>
      <w:rPr>
        <w:noProof/>
      </w:rPr>
    </w:sdtEndPr>
    <w:sdtContent>
      <w:p w14:paraId="37223423" w14:textId="4E4E02E8" w:rsidR="0080087A" w:rsidRDefault="0080087A">
        <w:pPr>
          <w:pStyle w:val="Footer"/>
          <w:jc w:val="center"/>
        </w:pPr>
        <w:r>
          <w:fldChar w:fldCharType="begin"/>
        </w:r>
        <w:r>
          <w:instrText xml:space="preserve"> PAGE   \* MERGEFORMAT </w:instrText>
        </w:r>
        <w:r>
          <w:fldChar w:fldCharType="separate"/>
        </w:r>
        <w:r>
          <w:t>2</w:t>
        </w:r>
        <w:r>
          <w:fldChar w:fldCharType="end"/>
        </w:r>
      </w:p>
    </w:sdtContent>
  </w:sdt>
  <w:p w14:paraId="0918FB4E" w14:textId="77777777" w:rsidR="0084326C" w:rsidRPr="004E4F62" w:rsidRDefault="0084326C">
    <w:pPr>
      <w:pStyle w:val="FooterCouncil"/>
    </w:pPr>
  </w:p>
</w:ftr>
</file>

<file path=word/footer1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C75FB" w14:textId="77777777" w:rsidR="0084326C" w:rsidRPr="000D3774" w:rsidRDefault="0084326C">
    <w:pPr>
      <w:pStyle w:val="Footer"/>
    </w:pPr>
  </w:p>
</w:ftr>
</file>

<file path=word/footer1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DF091" w14:textId="77777777" w:rsidR="0084326C" w:rsidRPr="000D3774" w:rsidRDefault="0084326C">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924729"/>
      <w:docPartObj>
        <w:docPartGallery w:val="Page Numbers (Bottom of Page)"/>
        <w:docPartUnique/>
      </w:docPartObj>
    </w:sdtPr>
    <w:sdtEndPr>
      <w:rPr>
        <w:noProof/>
      </w:rPr>
    </w:sdtEndPr>
    <w:sdtContent>
      <w:p w14:paraId="098EDE89" w14:textId="119A5EEA" w:rsidR="00E63385" w:rsidRDefault="00E63385">
        <w:pPr>
          <w:pStyle w:val="Footer"/>
          <w:jc w:val="center"/>
        </w:pPr>
        <w:r>
          <w:fldChar w:fldCharType="begin"/>
        </w:r>
        <w:r>
          <w:instrText xml:space="preserve"> PAGE   \* MERGEFORMAT </w:instrText>
        </w:r>
        <w:r>
          <w:fldChar w:fldCharType="separate"/>
        </w:r>
        <w:r>
          <w:t>2</w:t>
        </w:r>
        <w:r>
          <w:fldChar w:fldCharType="end"/>
        </w:r>
      </w:p>
    </w:sdtContent>
  </w:sdt>
  <w:p w14:paraId="333A1738" w14:textId="77777777" w:rsidR="0084326C" w:rsidRPr="004E4F62" w:rsidRDefault="0084326C">
    <w:pPr>
      <w:pStyle w:val="FooterCouncil"/>
    </w:pPr>
  </w:p>
</w:ftr>
</file>

<file path=word/footer1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979719"/>
      <w:docPartObj>
        <w:docPartGallery w:val="Page Numbers (Bottom of Page)"/>
        <w:docPartUnique/>
      </w:docPartObj>
    </w:sdtPr>
    <w:sdtEndPr>
      <w:rPr>
        <w:noProof/>
      </w:rPr>
    </w:sdtEndPr>
    <w:sdtContent>
      <w:p w14:paraId="0303F685" w14:textId="674A1FDA" w:rsidR="0080087A" w:rsidRDefault="0080087A">
        <w:pPr>
          <w:pStyle w:val="Footer"/>
          <w:jc w:val="center"/>
        </w:pPr>
        <w:r>
          <w:fldChar w:fldCharType="begin"/>
        </w:r>
        <w:r>
          <w:instrText xml:space="preserve"> PAGE   \* MERGEFORMAT </w:instrText>
        </w:r>
        <w:r>
          <w:fldChar w:fldCharType="separate"/>
        </w:r>
        <w:r>
          <w:t>2</w:t>
        </w:r>
        <w:r>
          <w:fldChar w:fldCharType="end"/>
        </w:r>
      </w:p>
    </w:sdtContent>
  </w:sdt>
  <w:p w14:paraId="2C981954" w14:textId="77777777" w:rsidR="0084326C" w:rsidRPr="004E4F62" w:rsidRDefault="0084326C">
    <w:pPr>
      <w:pStyle w:val="FooterCouncil"/>
    </w:pPr>
  </w:p>
</w:ftr>
</file>

<file path=word/footer1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67258" w14:textId="77777777" w:rsidR="0084326C" w:rsidRPr="000D3774" w:rsidRDefault="0084326C">
    <w:pPr>
      <w:pStyle w:val="Footer"/>
    </w:pPr>
  </w:p>
</w:ftr>
</file>

<file path=word/footer1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ADFF0" w14:textId="77777777" w:rsidR="0084326C" w:rsidRPr="000D3774" w:rsidRDefault="0084326C">
    <w:pPr>
      <w:pStyle w:val="Footer"/>
    </w:pPr>
  </w:p>
</w:ftr>
</file>

<file path=word/footer1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969950"/>
      <w:docPartObj>
        <w:docPartGallery w:val="Page Numbers (Bottom of Page)"/>
        <w:docPartUnique/>
      </w:docPartObj>
    </w:sdtPr>
    <w:sdtEndPr>
      <w:rPr>
        <w:noProof/>
      </w:rPr>
    </w:sdtEndPr>
    <w:sdtContent>
      <w:p w14:paraId="0BFAA725" w14:textId="456DBEDE" w:rsidR="0080087A" w:rsidRDefault="0080087A">
        <w:pPr>
          <w:pStyle w:val="Footer"/>
          <w:jc w:val="center"/>
        </w:pPr>
        <w:r>
          <w:fldChar w:fldCharType="begin"/>
        </w:r>
        <w:r>
          <w:instrText xml:space="preserve"> PAGE   \* MERGEFORMAT </w:instrText>
        </w:r>
        <w:r>
          <w:fldChar w:fldCharType="separate"/>
        </w:r>
        <w:r>
          <w:t>2</w:t>
        </w:r>
        <w:r>
          <w:fldChar w:fldCharType="end"/>
        </w:r>
      </w:p>
    </w:sdtContent>
  </w:sdt>
  <w:p w14:paraId="395F1554" w14:textId="77777777" w:rsidR="0084326C" w:rsidRPr="004E4F62" w:rsidRDefault="0084326C">
    <w:pPr>
      <w:pStyle w:val="FooterCouncil"/>
    </w:pPr>
  </w:p>
</w:ftr>
</file>

<file path=word/footer1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B674" w14:textId="77777777" w:rsidR="0084326C" w:rsidRPr="000D3774" w:rsidRDefault="0084326C">
    <w:pPr>
      <w:pStyle w:val="Footer"/>
    </w:pPr>
  </w:p>
</w:ftr>
</file>

<file path=word/footer1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742D9" w14:textId="77777777" w:rsidR="0084326C" w:rsidRPr="000D3774" w:rsidRDefault="0084326C">
    <w:pPr>
      <w:pStyle w:val="Footer"/>
    </w:pPr>
  </w:p>
</w:ftr>
</file>

<file path=word/footer1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572471"/>
      <w:docPartObj>
        <w:docPartGallery w:val="Page Numbers (Bottom of Page)"/>
        <w:docPartUnique/>
      </w:docPartObj>
    </w:sdtPr>
    <w:sdtEndPr>
      <w:rPr>
        <w:noProof/>
      </w:rPr>
    </w:sdtEndPr>
    <w:sdtContent>
      <w:p w14:paraId="4F681071" w14:textId="57D7F1E5" w:rsidR="00503A16" w:rsidRDefault="00503A16">
        <w:pPr>
          <w:pStyle w:val="Footer"/>
          <w:jc w:val="center"/>
        </w:pPr>
        <w:r>
          <w:fldChar w:fldCharType="begin"/>
        </w:r>
        <w:r>
          <w:instrText xml:space="preserve"> PAGE   \* MERGEFORMAT </w:instrText>
        </w:r>
        <w:r>
          <w:fldChar w:fldCharType="separate"/>
        </w:r>
        <w:r>
          <w:t>2</w:t>
        </w:r>
        <w:r>
          <w:fldChar w:fldCharType="end"/>
        </w:r>
      </w:p>
    </w:sdtContent>
  </w:sdt>
  <w:p w14:paraId="3C0960F7" w14:textId="77777777" w:rsidR="0084326C" w:rsidRPr="004E4F62" w:rsidRDefault="0084326C">
    <w:pPr>
      <w:pStyle w:val="FooterCouncil"/>
    </w:pPr>
  </w:p>
</w:ftr>
</file>

<file path=word/footer1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FA172" w14:textId="77777777" w:rsidR="0084326C" w:rsidRPr="000D3774" w:rsidRDefault="0084326C">
    <w:pPr>
      <w:pStyle w:val="Footer"/>
    </w:pPr>
  </w:p>
</w:ftr>
</file>

<file path=word/footer1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0BEC1" w14:textId="77777777" w:rsidR="0084326C" w:rsidRPr="000D3774" w:rsidRDefault="0084326C">
    <w:pPr>
      <w:pStyle w:val="Footer"/>
    </w:pPr>
  </w:p>
</w:ftr>
</file>

<file path=word/footer1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695283"/>
      <w:docPartObj>
        <w:docPartGallery w:val="Page Numbers (Bottom of Page)"/>
        <w:docPartUnique/>
      </w:docPartObj>
    </w:sdtPr>
    <w:sdtEndPr>
      <w:rPr>
        <w:noProof/>
      </w:rPr>
    </w:sdtEndPr>
    <w:sdtContent>
      <w:p w14:paraId="4F53D548" w14:textId="76DC19C7" w:rsidR="00503A16" w:rsidRDefault="00503A16">
        <w:pPr>
          <w:pStyle w:val="Footer"/>
          <w:jc w:val="center"/>
        </w:pPr>
        <w:r>
          <w:fldChar w:fldCharType="begin"/>
        </w:r>
        <w:r>
          <w:instrText xml:space="preserve"> PAGE   \* MERGEFORMAT </w:instrText>
        </w:r>
        <w:r>
          <w:fldChar w:fldCharType="separate"/>
        </w:r>
        <w:r>
          <w:t>2</w:t>
        </w:r>
        <w:r>
          <w:fldChar w:fldCharType="end"/>
        </w:r>
      </w:p>
    </w:sdtContent>
  </w:sdt>
  <w:p w14:paraId="0BC3D139" w14:textId="77777777" w:rsidR="0084326C" w:rsidRPr="004E4F62" w:rsidRDefault="0084326C">
    <w:pPr>
      <w:pStyle w:val="FooterCouncil"/>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A8EAE" w14:textId="77777777" w:rsidR="0084326C" w:rsidRDefault="0084326C">
    <w:pPr>
      <w:pStyle w:val="Footer"/>
    </w:pPr>
  </w:p>
</w:ftr>
</file>

<file path=word/footer1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F57F1" w14:textId="77777777" w:rsidR="0084326C" w:rsidRPr="000D3774" w:rsidRDefault="0084326C">
    <w:pPr>
      <w:pStyle w:val="Footer"/>
    </w:pPr>
  </w:p>
</w:ftr>
</file>

<file path=word/footer1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96B76" w14:textId="77777777" w:rsidR="0084326C" w:rsidRPr="000D3774" w:rsidRDefault="0084326C">
    <w:pPr>
      <w:pStyle w:val="Footer"/>
    </w:pPr>
  </w:p>
</w:ftr>
</file>

<file path=word/footer1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08887"/>
      <w:docPartObj>
        <w:docPartGallery w:val="Page Numbers (Bottom of Page)"/>
        <w:docPartUnique/>
      </w:docPartObj>
    </w:sdtPr>
    <w:sdtEndPr>
      <w:rPr>
        <w:noProof/>
      </w:rPr>
    </w:sdtEndPr>
    <w:sdtContent>
      <w:p w14:paraId="3F27C110" w14:textId="558FA981" w:rsidR="00503A16" w:rsidRDefault="00503A16">
        <w:pPr>
          <w:pStyle w:val="Footer"/>
          <w:jc w:val="center"/>
        </w:pPr>
        <w:r>
          <w:fldChar w:fldCharType="begin"/>
        </w:r>
        <w:r>
          <w:instrText xml:space="preserve"> PAGE   \* MERGEFORMAT </w:instrText>
        </w:r>
        <w:r>
          <w:fldChar w:fldCharType="separate"/>
        </w:r>
        <w:r>
          <w:t>2</w:t>
        </w:r>
        <w:r>
          <w:fldChar w:fldCharType="end"/>
        </w:r>
      </w:p>
    </w:sdtContent>
  </w:sdt>
  <w:p w14:paraId="0236945E" w14:textId="77777777" w:rsidR="0084326C" w:rsidRPr="004E4F62" w:rsidRDefault="0084326C">
    <w:pPr>
      <w:pStyle w:val="FooterCouncil"/>
    </w:pPr>
  </w:p>
</w:ftr>
</file>

<file path=word/footer1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2D708" w14:textId="77777777" w:rsidR="0084326C" w:rsidRPr="000D3774" w:rsidRDefault="0084326C">
    <w:pPr>
      <w:pStyle w:val="Footer"/>
    </w:pPr>
  </w:p>
</w:ftr>
</file>

<file path=word/footer1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B4DE6" w14:textId="77777777" w:rsidR="0084326C" w:rsidRPr="000D3774" w:rsidRDefault="0084326C">
    <w:pPr>
      <w:pStyle w:val="Footer"/>
    </w:pPr>
  </w:p>
</w:ftr>
</file>

<file path=word/footer1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245955"/>
      <w:docPartObj>
        <w:docPartGallery w:val="Page Numbers (Bottom of Page)"/>
        <w:docPartUnique/>
      </w:docPartObj>
    </w:sdtPr>
    <w:sdtEndPr>
      <w:rPr>
        <w:noProof/>
      </w:rPr>
    </w:sdtEndPr>
    <w:sdtContent>
      <w:p w14:paraId="55290BCF" w14:textId="2EE65E61" w:rsidR="00503A16" w:rsidRDefault="00503A16">
        <w:pPr>
          <w:pStyle w:val="Footer"/>
          <w:jc w:val="center"/>
        </w:pPr>
        <w:r>
          <w:fldChar w:fldCharType="begin"/>
        </w:r>
        <w:r>
          <w:instrText xml:space="preserve"> PAGE   \* MERGEFORMAT </w:instrText>
        </w:r>
        <w:r>
          <w:fldChar w:fldCharType="separate"/>
        </w:r>
        <w:r>
          <w:t>2</w:t>
        </w:r>
        <w:r>
          <w:fldChar w:fldCharType="end"/>
        </w:r>
      </w:p>
    </w:sdtContent>
  </w:sdt>
  <w:p w14:paraId="401A8984" w14:textId="77777777" w:rsidR="0084326C" w:rsidRPr="004E4F62" w:rsidRDefault="0084326C">
    <w:pPr>
      <w:pStyle w:val="FooterCouncil"/>
    </w:pPr>
  </w:p>
</w:ftr>
</file>

<file path=word/footer1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6236E" w14:textId="77777777" w:rsidR="0084326C" w:rsidRPr="000D3774" w:rsidRDefault="0084326C">
    <w:pPr>
      <w:pStyle w:val="Footer"/>
    </w:pPr>
  </w:p>
</w:ftr>
</file>

<file path=word/footer1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B1E48" w14:textId="77777777" w:rsidR="0084326C" w:rsidRPr="000D3774" w:rsidRDefault="0084326C">
    <w:pPr>
      <w:pStyle w:val="Footer"/>
    </w:pPr>
  </w:p>
</w:ftr>
</file>

<file path=word/footer1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1572551"/>
      <w:docPartObj>
        <w:docPartGallery w:val="Page Numbers (Bottom of Page)"/>
        <w:docPartUnique/>
      </w:docPartObj>
    </w:sdtPr>
    <w:sdtEndPr>
      <w:rPr>
        <w:noProof/>
      </w:rPr>
    </w:sdtEndPr>
    <w:sdtContent>
      <w:p w14:paraId="657940E3" w14:textId="3E2460A3" w:rsidR="00503A16" w:rsidRDefault="00503A16">
        <w:pPr>
          <w:pStyle w:val="Footer"/>
          <w:jc w:val="center"/>
        </w:pPr>
        <w:r>
          <w:fldChar w:fldCharType="begin"/>
        </w:r>
        <w:r>
          <w:instrText xml:space="preserve"> PAGE   \* MERGEFORMAT </w:instrText>
        </w:r>
        <w:r>
          <w:fldChar w:fldCharType="separate"/>
        </w:r>
        <w:r>
          <w:t>2</w:t>
        </w:r>
        <w:r>
          <w:fldChar w:fldCharType="end"/>
        </w:r>
      </w:p>
    </w:sdtContent>
  </w:sdt>
  <w:p w14:paraId="03C633A1" w14:textId="77777777" w:rsidR="0084326C" w:rsidRPr="004E4F62" w:rsidRDefault="0084326C">
    <w:pPr>
      <w:pStyle w:val="FooterCouncil"/>
    </w:pPr>
  </w:p>
</w:ftr>
</file>

<file path=word/footer1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FC9D6" w14:textId="77777777" w:rsidR="0084326C" w:rsidRPr="000D3774" w:rsidRDefault="0084326C">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843DD" w14:textId="77777777" w:rsidR="0084326C" w:rsidRDefault="0084326C">
    <w:pPr>
      <w:pStyle w:val="Footer"/>
    </w:pPr>
  </w:p>
</w:ftr>
</file>

<file path=word/footer1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61B69" w14:textId="77777777" w:rsidR="0084326C" w:rsidRPr="000D3774" w:rsidRDefault="0084326C">
    <w:pPr>
      <w:pStyle w:val="Footer"/>
    </w:pPr>
  </w:p>
</w:ftr>
</file>

<file path=word/footer1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122785"/>
      <w:docPartObj>
        <w:docPartGallery w:val="Page Numbers (Bottom of Page)"/>
        <w:docPartUnique/>
      </w:docPartObj>
    </w:sdtPr>
    <w:sdtEndPr>
      <w:rPr>
        <w:noProof/>
      </w:rPr>
    </w:sdtEndPr>
    <w:sdtContent>
      <w:p w14:paraId="6B949214" w14:textId="68886236" w:rsidR="00503A16" w:rsidRDefault="00503A16">
        <w:pPr>
          <w:pStyle w:val="Footer"/>
          <w:jc w:val="center"/>
        </w:pPr>
        <w:r>
          <w:fldChar w:fldCharType="begin"/>
        </w:r>
        <w:r>
          <w:instrText xml:space="preserve"> PAGE   \* MERGEFORMAT </w:instrText>
        </w:r>
        <w:r>
          <w:fldChar w:fldCharType="separate"/>
        </w:r>
        <w:r>
          <w:t>2</w:t>
        </w:r>
        <w:r>
          <w:fldChar w:fldCharType="end"/>
        </w:r>
      </w:p>
    </w:sdtContent>
  </w:sdt>
  <w:p w14:paraId="1A0FAD96" w14:textId="77777777" w:rsidR="0084326C" w:rsidRPr="004E4F62" w:rsidRDefault="0084326C">
    <w:pPr>
      <w:pStyle w:val="FooterCouncil"/>
    </w:pPr>
  </w:p>
</w:ftr>
</file>

<file path=word/footer1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C9669" w14:textId="77777777" w:rsidR="0084326C" w:rsidRPr="000D3774" w:rsidRDefault="0084326C">
    <w:pPr>
      <w:pStyle w:val="Footer"/>
    </w:pPr>
  </w:p>
</w:ftr>
</file>

<file path=word/footer1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C6EFB" w14:textId="77777777" w:rsidR="0084326C" w:rsidRPr="000D3774" w:rsidRDefault="0084326C">
    <w:pPr>
      <w:pStyle w:val="Footer"/>
    </w:pPr>
  </w:p>
</w:ftr>
</file>

<file path=word/footer1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580418"/>
      <w:docPartObj>
        <w:docPartGallery w:val="Page Numbers (Bottom of Page)"/>
        <w:docPartUnique/>
      </w:docPartObj>
    </w:sdtPr>
    <w:sdtEndPr>
      <w:rPr>
        <w:noProof/>
      </w:rPr>
    </w:sdtEndPr>
    <w:sdtContent>
      <w:p w14:paraId="06EE22C6" w14:textId="439B4D98" w:rsidR="00503A16" w:rsidRDefault="00503A16">
        <w:pPr>
          <w:pStyle w:val="Footer"/>
          <w:jc w:val="center"/>
        </w:pPr>
        <w:r>
          <w:fldChar w:fldCharType="begin"/>
        </w:r>
        <w:r>
          <w:instrText xml:space="preserve"> PAGE   \* MERGEFORMAT </w:instrText>
        </w:r>
        <w:r>
          <w:fldChar w:fldCharType="separate"/>
        </w:r>
        <w:r>
          <w:t>2</w:t>
        </w:r>
        <w:r>
          <w:fldChar w:fldCharType="end"/>
        </w:r>
      </w:p>
    </w:sdtContent>
  </w:sdt>
  <w:p w14:paraId="7652AEA2" w14:textId="77777777" w:rsidR="0084326C" w:rsidRPr="004E4F62" w:rsidRDefault="0084326C">
    <w:pPr>
      <w:pStyle w:val="FooterCouncil"/>
    </w:pPr>
  </w:p>
</w:ftr>
</file>

<file path=word/footer1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257FC" w14:textId="77777777" w:rsidR="0084326C" w:rsidRPr="000D3774" w:rsidRDefault="0084326C">
    <w:pPr>
      <w:pStyle w:val="Footer"/>
    </w:pPr>
  </w:p>
</w:ftr>
</file>

<file path=word/footer1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06F8B" w14:textId="77777777" w:rsidR="0084326C" w:rsidRDefault="0084326C">
    <w:pPr>
      <w:pStyle w:val="Footer"/>
    </w:pPr>
  </w:p>
</w:ftr>
</file>

<file path=word/footer1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876722"/>
      <w:docPartObj>
        <w:docPartGallery w:val="Page Numbers (Bottom of Page)"/>
        <w:docPartUnique/>
      </w:docPartObj>
    </w:sdtPr>
    <w:sdtEndPr>
      <w:rPr>
        <w:noProof/>
      </w:rPr>
    </w:sdtEndPr>
    <w:sdtContent>
      <w:p w14:paraId="2DAD2719" w14:textId="586BB2CA" w:rsidR="00503A16" w:rsidRDefault="00503A16">
        <w:pPr>
          <w:pStyle w:val="Footer"/>
          <w:jc w:val="center"/>
        </w:pPr>
        <w:r>
          <w:fldChar w:fldCharType="begin"/>
        </w:r>
        <w:r>
          <w:instrText xml:space="preserve"> PAGE   \* MERGEFORMAT </w:instrText>
        </w:r>
        <w:r>
          <w:fldChar w:fldCharType="separate"/>
        </w:r>
        <w:r>
          <w:t>2</w:t>
        </w:r>
        <w:r>
          <w:fldChar w:fldCharType="end"/>
        </w:r>
      </w:p>
    </w:sdtContent>
  </w:sdt>
  <w:p w14:paraId="36C87FD2" w14:textId="77777777" w:rsidR="0084326C" w:rsidRDefault="0084326C">
    <w:pPr>
      <w:pStyle w:val="Footer"/>
    </w:pPr>
  </w:p>
</w:ftr>
</file>

<file path=word/footer1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5ED93" w14:textId="77777777" w:rsidR="0084326C" w:rsidRDefault="0084326C">
    <w:pPr>
      <w:pStyle w:val="Footer"/>
    </w:pPr>
  </w:p>
</w:ftr>
</file>

<file path=word/footer1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EADB2" w14:textId="77777777" w:rsidR="0084326C" w:rsidRDefault="008432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88467" w14:textId="27FF8169" w:rsidR="004F360D" w:rsidRPr="004F360D" w:rsidRDefault="004F360D" w:rsidP="004F360D">
    <w:pPr>
      <w:pStyle w:val="FooterCoverPage"/>
      <w:rPr>
        <w:rFonts w:ascii="Arial" w:hAnsi="Arial" w:cs="Arial"/>
        <w:b/>
        <w:sz w:val="48"/>
      </w:rPr>
    </w:pPr>
    <w:r w:rsidRPr="004F360D">
      <w:rPr>
        <w:rFonts w:ascii="Arial" w:hAnsi="Arial" w:cs="Arial"/>
        <w:b/>
        <w:sz w:val="48"/>
      </w:rPr>
      <w:t>ET</w:t>
    </w:r>
    <w:r w:rsidRPr="004F360D">
      <w:rPr>
        <w:rFonts w:ascii="Arial" w:hAnsi="Arial" w:cs="Arial"/>
        <w:b/>
        <w:sz w:val="48"/>
      </w:rPr>
      <w:tab/>
    </w:r>
    <w:r w:rsidRPr="004F360D">
      <w:rPr>
        <w:rFonts w:ascii="Arial" w:hAnsi="Arial" w:cs="Arial"/>
        <w:b/>
        <w:sz w:val="48"/>
      </w:rPr>
      <w:tab/>
    </w:r>
    <w:r w:rsidRPr="004F360D">
      <w:tab/>
    </w:r>
    <w:r w:rsidRPr="004F360D">
      <w:rPr>
        <w:rFonts w:ascii="Arial" w:hAnsi="Arial" w:cs="Arial"/>
        <w:b/>
        <w:sz w:val="48"/>
      </w:rPr>
      <w:t>ET</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9438783"/>
      <w:docPartObj>
        <w:docPartGallery w:val="Page Numbers (Bottom of Page)"/>
        <w:docPartUnique/>
      </w:docPartObj>
    </w:sdtPr>
    <w:sdtEndPr>
      <w:rPr>
        <w:noProof/>
      </w:rPr>
    </w:sdtEndPr>
    <w:sdtContent>
      <w:p w14:paraId="4CF4F31A" w14:textId="0A2418BC" w:rsidR="00E63385" w:rsidRDefault="00E63385">
        <w:pPr>
          <w:pStyle w:val="Footer"/>
          <w:jc w:val="center"/>
        </w:pPr>
        <w:r>
          <w:fldChar w:fldCharType="begin"/>
        </w:r>
        <w:r>
          <w:instrText xml:space="preserve"> PAGE   \* MERGEFORMAT </w:instrText>
        </w:r>
        <w:r>
          <w:fldChar w:fldCharType="separate"/>
        </w:r>
        <w:r>
          <w:t>2</w:t>
        </w:r>
        <w:r>
          <w:fldChar w:fldCharType="end"/>
        </w:r>
      </w:p>
    </w:sdtContent>
  </w:sdt>
  <w:p w14:paraId="478DB6FF" w14:textId="77777777" w:rsidR="0084326C" w:rsidRPr="004E4F62" w:rsidRDefault="0084326C">
    <w:pPr>
      <w:pStyle w:val="FooterCouncil"/>
    </w:pPr>
  </w:p>
</w:ftr>
</file>

<file path=word/footer2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801561"/>
      <w:docPartObj>
        <w:docPartGallery w:val="Page Numbers (Bottom of Page)"/>
        <w:docPartUnique/>
      </w:docPartObj>
    </w:sdtPr>
    <w:sdtEndPr>
      <w:rPr>
        <w:noProof/>
      </w:rPr>
    </w:sdtEndPr>
    <w:sdtContent>
      <w:p w14:paraId="1BE64922" w14:textId="0DDC9C84" w:rsidR="00392579" w:rsidRDefault="00392579">
        <w:pPr>
          <w:pStyle w:val="Footer"/>
          <w:jc w:val="center"/>
        </w:pPr>
        <w:r>
          <w:fldChar w:fldCharType="begin"/>
        </w:r>
        <w:r>
          <w:instrText xml:space="preserve"> PAGE   \* MERGEFORMAT </w:instrText>
        </w:r>
        <w:r>
          <w:fldChar w:fldCharType="separate"/>
        </w:r>
        <w:r>
          <w:t>2</w:t>
        </w:r>
        <w:r>
          <w:fldChar w:fldCharType="end"/>
        </w:r>
      </w:p>
    </w:sdtContent>
  </w:sdt>
  <w:p w14:paraId="5F34FAA0" w14:textId="77777777" w:rsidR="0084326C" w:rsidRDefault="0084326C">
    <w:pPr>
      <w:pStyle w:val="Footer"/>
    </w:pPr>
  </w:p>
</w:ftr>
</file>

<file path=word/footer2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12A33" w14:textId="77777777" w:rsidR="0084326C" w:rsidRDefault="0084326C">
    <w:pPr>
      <w:pStyle w:val="Footer"/>
    </w:pPr>
  </w:p>
</w:ftr>
</file>

<file path=word/footer2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00B8B" w14:textId="77777777" w:rsidR="0084326C" w:rsidRDefault="0084326C">
    <w:pPr>
      <w:pStyle w:val="Footer"/>
    </w:pPr>
  </w:p>
</w:ftr>
</file>

<file path=word/footer2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5293921"/>
      <w:docPartObj>
        <w:docPartGallery w:val="Page Numbers (Bottom of Page)"/>
        <w:docPartUnique/>
      </w:docPartObj>
    </w:sdtPr>
    <w:sdtEndPr>
      <w:rPr>
        <w:noProof/>
      </w:rPr>
    </w:sdtEndPr>
    <w:sdtContent>
      <w:p w14:paraId="1C8BFF92" w14:textId="70AC9E7D" w:rsidR="00392579" w:rsidRDefault="00392579">
        <w:pPr>
          <w:pStyle w:val="Footer"/>
          <w:jc w:val="center"/>
        </w:pPr>
        <w:r>
          <w:fldChar w:fldCharType="begin"/>
        </w:r>
        <w:r>
          <w:instrText xml:space="preserve"> PAGE   \* MERGEFORMAT </w:instrText>
        </w:r>
        <w:r>
          <w:fldChar w:fldCharType="separate"/>
        </w:r>
        <w:r>
          <w:t>2</w:t>
        </w:r>
        <w:r>
          <w:fldChar w:fldCharType="end"/>
        </w:r>
      </w:p>
    </w:sdtContent>
  </w:sdt>
  <w:p w14:paraId="5FF7EDDD" w14:textId="77777777" w:rsidR="0084326C" w:rsidRPr="00386D5C" w:rsidRDefault="0084326C">
    <w:pPr>
      <w:pStyle w:val="FooterCouncil"/>
      <w:rPr>
        <w:lang w:val="en-US"/>
      </w:rPr>
    </w:pPr>
  </w:p>
</w:ftr>
</file>

<file path=word/footer2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957CF" w14:textId="77777777" w:rsidR="0084326C" w:rsidRDefault="0084326C">
    <w:pPr>
      <w:pStyle w:val="Footer"/>
    </w:pPr>
  </w:p>
</w:ftr>
</file>

<file path=word/footer2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51081" w14:textId="77777777" w:rsidR="0084326C" w:rsidRPr="001354D1" w:rsidRDefault="0084326C">
    <w:pPr>
      <w:pStyle w:val="Footer"/>
    </w:pPr>
  </w:p>
</w:ftr>
</file>

<file path=word/footer2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967449"/>
      <w:docPartObj>
        <w:docPartGallery w:val="Page Numbers (Bottom of Page)"/>
        <w:docPartUnique/>
      </w:docPartObj>
    </w:sdtPr>
    <w:sdtEndPr>
      <w:rPr>
        <w:noProof/>
      </w:rPr>
    </w:sdtEndPr>
    <w:sdtContent>
      <w:p w14:paraId="30526C62" w14:textId="589092CE" w:rsidR="00392579" w:rsidRDefault="00392579">
        <w:pPr>
          <w:pStyle w:val="Footer"/>
          <w:jc w:val="center"/>
        </w:pPr>
        <w:r>
          <w:fldChar w:fldCharType="begin"/>
        </w:r>
        <w:r>
          <w:instrText xml:space="preserve"> PAGE   \* MERGEFORMAT </w:instrText>
        </w:r>
        <w:r>
          <w:fldChar w:fldCharType="separate"/>
        </w:r>
        <w:r>
          <w:t>2</w:t>
        </w:r>
        <w:r>
          <w:fldChar w:fldCharType="end"/>
        </w:r>
      </w:p>
    </w:sdtContent>
  </w:sdt>
  <w:p w14:paraId="6BC9494B" w14:textId="77777777" w:rsidR="0084326C" w:rsidRPr="00386D5C" w:rsidRDefault="0084326C">
    <w:pPr>
      <w:pStyle w:val="FooterCouncil"/>
      <w:rPr>
        <w:lang w:val="en-US"/>
      </w:rPr>
    </w:pPr>
  </w:p>
</w:ftr>
</file>

<file path=word/footer2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57A10" w14:textId="77777777" w:rsidR="0084326C" w:rsidRPr="001354D1" w:rsidRDefault="0084326C">
    <w:pPr>
      <w:pStyle w:val="Footer"/>
    </w:pPr>
  </w:p>
</w:ftr>
</file>

<file path=word/footer2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29CF7" w14:textId="77777777" w:rsidR="0084326C" w:rsidRPr="001354D1" w:rsidRDefault="0084326C">
    <w:pPr>
      <w:pStyle w:val="Footer"/>
    </w:pPr>
  </w:p>
</w:ftr>
</file>

<file path=word/footer2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0390389"/>
      <w:docPartObj>
        <w:docPartGallery w:val="Page Numbers (Bottom of Page)"/>
        <w:docPartUnique/>
      </w:docPartObj>
    </w:sdtPr>
    <w:sdtEndPr>
      <w:rPr>
        <w:noProof/>
      </w:rPr>
    </w:sdtEndPr>
    <w:sdtContent>
      <w:p w14:paraId="3FF2F7B5" w14:textId="288D268A" w:rsidR="00392579" w:rsidRDefault="00392579">
        <w:pPr>
          <w:pStyle w:val="Footer"/>
          <w:jc w:val="center"/>
        </w:pPr>
        <w:r>
          <w:fldChar w:fldCharType="begin"/>
        </w:r>
        <w:r>
          <w:instrText xml:space="preserve"> PAGE   \* MERGEFORMAT </w:instrText>
        </w:r>
        <w:r>
          <w:fldChar w:fldCharType="separate"/>
        </w:r>
        <w:r>
          <w:t>2</w:t>
        </w:r>
        <w:r>
          <w:fldChar w:fldCharType="end"/>
        </w:r>
      </w:p>
    </w:sdtContent>
  </w:sdt>
  <w:p w14:paraId="267B033E" w14:textId="77777777" w:rsidR="0084326C" w:rsidRPr="00386D5C" w:rsidRDefault="0084326C">
    <w:pPr>
      <w:pStyle w:val="FooterCouncil"/>
      <w:rPr>
        <w:lang w:val="en-US"/>
      </w:rP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7DEF7" w14:textId="77777777" w:rsidR="0084326C" w:rsidRDefault="0084326C">
    <w:pPr>
      <w:pStyle w:val="Footer"/>
    </w:pPr>
  </w:p>
</w:ftr>
</file>

<file path=word/footer2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653B8" w14:textId="77777777" w:rsidR="0084326C" w:rsidRPr="001354D1" w:rsidRDefault="0084326C">
    <w:pPr>
      <w:pStyle w:val="Footer"/>
    </w:pPr>
  </w:p>
</w:ftr>
</file>

<file path=word/footer2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49117" w14:textId="77777777" w:rsidR="00F33804" w:rsidRPr="001354D1" w:rsidRDefault="00F33804">
    <w:pPr>
      <w:pStyle w:val="Footer"/>
    </w:pPr>
  </w:p>
</w:ftr>
</file>

<file path=word/footer2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5361919"/>
      <w:docPartObj>
        <w:docPartGallery w:val="Page Numbers (Bottom of Page)"/>
        <w:docPartUnique/>
      </w:docPartObj>
    </w:sdtPr>
    <w:sdtEndPr>
      <w:rPr>
        <w:noProof/>
      </w:rPr>
    </w:sdtEndPr>
    <w:sdtContent>
      <w:p w14:paraId="3A2C59B8" w14:textId="77777777" w:rsidR="00F33804" w:rsidRDefault="00F33804">
        <w:pPr>
          <w:pStyle w:val="Footer"/>
          <w:jc w:val="center"/>
        </w:pPr>
        <w:r>
          <w:fldChar w:fldCharType="begin"/>
        </w:r>
        <w:r>
          <w:instrText xml:space="preserve"> PAGE   \* MERGEFORMAT </w:instrText>
        </w:r>
        <w:r>
          <w:fldChar w:fldCharType="separate"/>
        </w:r>
        <w:r>
          <w:t>2</w:t>
        </w:r>
        <w:r>
          <w:fldChar w:fldCharType="end"/>
        </w:r>
      </w:p>
    </w:sdtContent>
  </w:sdt>
  <w:p w14:paraId="527AC38E" w14:textId="77777777" w:rsidR="00F33804" w:rsidRPr="00386D5C" w:rsidRDefault="00F33804">
    <w:pPr>
      <w:pStyle w:val="FooterCouncil"/>
      <w:rPr>
        <w:lang w:val="en-US"/>
      </w:rPr>
    </w:pPr>
  </w:p>
</w:ftr>
</file>

<file path=word/footer2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312A9" w14:textId="77777777" w:rsidR="00F33804" w:rsidRPr="001354D1" w:rsidRDefault="00F33804">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D313B" w14:textId="77777777" w:rsidR="0084326C" w:rsidRDefault="0084326C">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92641"/>
      <w:docPartObj>
        <w:docPartGallery w:val="Page Numbers (Bottom of Page)"/>
        <w:docPartUnique/>
      </w:docPartObj>
    </w:sdtPr>
    <w:sdtEndPr>
      <w:rPr>
        <w:noProof/>
      </w:rPr>
    </w:sdtEndPr>
    <w:sdtContent>
      <w:p w14:paraId="7DE04CBB" w14:textId="1D15B620" w:rsidR="00003A97" w:rsidRDefault="00003A97">
        <w:pPr>
          <w:pStyle w:val="Footer"/>
          <w:jc w:val="center"/>
        </w:pPr>
        <w:r>
          <w:fldChar w:fldCharType="begin"/>
        </w:r>
        <w:r>
          <w:instrText xml:space="preserve"> PAGE   \* MERGEFORMAT </w:instrText>
        </w:r>
        <w:r>
          <w:fldChar w:fldCharType="separate"/>
        </w:r>
        <w:r>
          <w:t>2</w:t>
        </w:r>
        <w:r>
          <w:fldChar w:fldCharType="end"/>
        </w:r>
      </w:p>
    </w:sdtContent>
  </w:sdt>
  <w:p w14:paraId="01EBFD07" w14:textId="77777777" w:rsidR="0084326C" w:rsidRPr="004E4F62" w:rsidRDefault="0084326C">
    <w:pPr>
      <w:pStyle w:val="FooterCouncil"/>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2D8C6" w14:textId="77777777" w:rsidR="0084326C" w:rsidRDefault="0084326C">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00792" w14:textId="77777777" w:rsidR="0084326C" w:rsidRDefault="0084326C">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186196"/>
      <w:docPartObj>
        <w:docPartGallery w:val="Page Numbers (Bottom of Page)"/>
        <w:docPartUnique/>
      </w:docPartObj>
    </w:sdtPr>
    <w:sdtEndPr>
      <w:rPr>
        <w:noProof/>
      </w:rPr>
    </w:sdtEndPr>
    <w:sdtContent>
      <w:p w14:paraId="5CE6DBDD" w14:textId="0E87DC61" w:rsidR="00003A97" w:rsidRDefault="00003A97">
        <w:pPr>
          <w:pStyle w:val="Footer"/>
          <w:jc w:val="center"/>
        </w:pPr>
        <w:r>
          <w:fldChar w:fldCharType="begin"/>
        </w:r>
        <w:r>
          <w:instrText xml:space="preserve"> PAGE   \* MERGEFORMAT </w:instrText>
        </w:r>
        <w:r>
          <w:fldChar w:fldCharType="separate"/>
        </w:r>
        <w:r>
          <w:t>2</w:t>
        </w:r>
        <w:r>
          <w:fldChar w:fldCharType="end"/>
        </w:r>
      </w:p>
    </w:sdtContent>
  </w:sdt>
  <w:p w14:paraId="04BEEEBC" w14:textId="77777777" w:rsidR="0084326C" w:rsidRPr="004E4F62" w:rsidRDefault="0084326C">
    <w:pPr>
      <w:pStyle w:val="FooterCouncil"/>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E0D92" w14:textId="77777777" w:rsidR="0084326C" w:rsidRDefault="0084326C">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4118A" w14:textId="77777777" w:rsidR="0084326C" w:rsidRDefault="0084326C">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504779"/>
      <w:docPartObj>
        <w:docPartGallery w:val="Page Numbers (Bottom of Page)"/>
        <w:docPartUnique/>
      </w:docPartObj>
    </w:sdtPr>
    <w:sdtEndPr>
      <w:rPr>
        <w:noProof/>
      </w:rPr>
    </w:sdtEndPr>
    <w:sdtContent>
      <w:p w14:paraId="46FE841F" w14:textId="03AC5029" w:rsidR="00003A97" w:rsidRDefault="00003A97">
        <w:pPr>
          <w:pStyle w:val="Footer"/>
          <w:jc w:val="center"/>
        </w:pPr>
        <w:r>
          <w:fldChar w:fldCharType="begin"/>
        </w:r>
        <w:r>
          <w:instrText xml:space="preserve"> PAGE   \* MERGEFORMAT </w:instrText>
        </w:r>
        <w:r>
          <w:fldChar w:fldCharType="separate"/>
        </w:r>
        <w:r>
          <w:t>2</w:t>
        </w:r>
        <w:r>
          <w:fldChar w:fldCharType="end"/>
        </w:r>
      </w:p>
    </w:sdtContent>
  </w:sdt>
  <w:p w14:paraId="6D220E50" w14:textId="77777777" w:rsidR="0084326C" w:rsidRPr="004E4F62" w:rsidRDefault="0084326C">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842A9" w14:textId="77777777" w:rsidR="004F360D" w:rsidRPr="004F360D" w:rsidRDefault="004F360D" w:rsidP="004F360D">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CC2FC" w14:textId="77777777" w:rsidR="0084326C" w:rsidRDefault="0084326C">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DBB0A" w14:textId="77777777" w:rsidR="00F33804" w:rsidRDefault="00F33804">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22055"/>
      <w:docPartObj>
        <w:docPartGallery w:val="Page Numbers (Bottom of Page)"/>
        <w:docPartUnique/>
      </w:docPartObj>
    </w:sdtPr>
    <w:sdtEndPr>
      <w:rPr>
        <w:noProof/>
      </w:rPr>
    </w:sdtEndPr>
    <w:sdtContent>
      <w:p w14:paraId="5154FDFE" w14:textId="77777777" w:rsidR="00F33804" w:rsidRDefault="00F33804">
        <w:pPr>
          <w:pStyle w:val="Footer"/>
          <w:jc w:val="center"/>
        </w:pPr>
        <w:r>
          <w:fldChar w:fldCharType="begin"/>
        </w:r>
        <w:r>
          <w:instrText xml:space="preserve"> PAGE   \* MERGEFORMAT </w:instrText>
        </w:r>
        <w:r>
          <w:fldChar w:fldCharType="separate"/>
        </w:r>
        <w:r>
          <w:t>2</w:t>
        </w:r>
        <w:r>
          <w:fldChar w:fldCharType="end"/>
        </w:r>
      </w:p>
    </w:sdtContent>
  </w:sdt>
  <w:p w14:paraId="44A0CA32" w14:textId="77777777" w:rsidR="00F33804" w:rsidRPr="004E4F62" w:rsidRDefault="00F33804">
    <w:pPr>
      <w:pStyle w:val="FooterCouncil"/>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F60BB" w14:textId="77777777" w:rsidR="00F33804" w:rsidRDefault="00F33804">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6D0CF" w14:textId="77777777" w:rsidR="00F33804" w:rsidRDefault="00F33804">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7518151"/>
      <w:docPartObj>
        <w:docPartGallery w:val="Page Numbers (Bottom of Page)"/>
        <w:docPartUnique/>
      </w:docPartObj>
    </w:sdtPr>
    <w:sdtEndPr>
      <w:rPr>
        <w:noProof/>
      </w:rPr>
    </w:sdtEndPr>
    <w:sdtContent>
      <w:p w14:paraId="1E83CD06" w14:textId="77777777" w:rsidR="00F33804" w:rsidRDefault="00F33804">
        <w:pPr>
          <w:pStyle w:val="Footer"/>
          <w:jc w:val="center"/>
        </w:pPr>
        <w:r>
          <w:fldChar w:fldCharType="begin"/>
        </w:r>
        <w:r>
          <w:instrText xml:space="preserve"> PAGE   \* MERGEFORMAT </w:instrText>
        </w:r>
        <w:r>
          <w:fldChar w:fldCharType="separate"/>
        </w:r>
        <w:r>
          <w:t>2</w:t>
        </w:r>
        <w:r>
          <w:fldChar w:fldCharType="end"/>
        </w:r>
      </w:p>
    </w:sdtContent>
  </w:sdt>
  <w:p w14:paraId="415D1B7F" w14:textId="77777777" w:rsidR="00F33804" w:rsidRPr="004E4F62" w:rsidRDefault="00F33804">
    <w:pPr>
      <w:pStyle w:val="FooterCouncil"/>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A6974" w14:textId="77777777" w:rsidR="00F33804" w:rsidRDefault="00F33804">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7D42C" w14:textId="77777777" w:rsidR="0084326C" w:rsidRDefault="0084326C">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365696"/>
      <w:docPartObj>
        <w:docPartGallery w:val="Page Numbers (Bottom of Page)"/>
        <w:docPartUnique/>
      </w:docPartObj>
    </w:sdtPr>
    <w:sdtEndPr>
      <w:rPr>
        <w:noProof/>
      </w:rPr>
    </w:sdtEndPr>
    <w:sdtContent>
      <w:p w14:paraId="32ED2812" w14:textId="06C7A40E" w:rsidR="00003A97" w:rsidRDefault="00003A97">
        <w:pPr>
          <w:pStyle w:val="Footer"/>
          <w:jc w:val="center"/>
        </w:pPr>
        <w:r>
          <w:fldChar w:fldCharType="begin"/>
        </w:r>
        <w:r>
          <w:instrText xml:space="preserve"> PAGE   \* MERGEFORMAT </w:instrText>
        </w:r>
        <w:r>
          <w:fldChar w:fldCharType="separate"/>
        </w:r>
        <w:r>
          <w:t>2</w:t>
        </w:r>
        <w:r>
          <w:fldChar w:fldCharType="end"/>
        </w:r>
      </w:p>
    </w:sdtContent>
  </w:sdt>
  <w:p w14:paraId="53B0D315" w14:textId="77777777" w:rsidR="0084326C" w:rsidRPr="004E4F62" w:rsidRDefault="0084326C">
    <w:pPr>
      <w:pStyle w:val="FooterCouncil"/>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50" w14:textId="77777777" w:rsidR="0084326C" w:rsidRDefault="008432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B9F4B" w14:textId="77777777" w:rsidR="00994F5E" w:rsidRDefault="00994F5E">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69EDE" w14:textId="77777777" w:rsidR="0084326C" w:rsidRDefault="0084326C">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905944"/>
      <w:docPartObj>
        <w:docPartGallery w:val="Page Numbers (Bottom of Page)"/>
        <w:docPartUnique/>
      </w:docPartObj>
    </w:sdtPr>
    <w:sdtEndPr>
      <w:rPr>
        <w:noProof/>
      </w:rPr>
    </w:sdtEndPr>
    <w:sdtContent>
      <w:p w14:paraId="496CB2D0" w14:textId="410625E6" w:rsidR="00003A97" w:rsidRDefault="00003A97">
        <w:pPr>
          <w:pStyle w:val="Footer"/>
          <w:jc w:val="center"/>
        </w:pPr>
        <w:r>
          <w:fldChar w:fldCharType="begin"/>
        </w:r>
        <w:r>
          <w:instrText xml:space="preserve"> PAGE   \* MERGEFORMAT </w:instrText>
        </w:r>
        <w:r>
          <w:fldChar w:fldCharType="separate"/>
        </w:r>
        <w:r>
          <w:t>2</w:t>
        </w:r>
        <w:r>
          <w:fldChar w:fldCharType="end"/>
        </w:r>
      </w:p>
    </w:sdtContent>
  </w:sdt>
  <w:p w14:paraId="79E5B333" w14:textId="77777777" w:rsidR="0084326C" w:rsidRPr="004E4F62" w:rsidRDefault="0084326C">
    <w:pPr>
      <w:pStyle w:val="FooterCouncil"/>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7490B" w14:textId="77777777" w:rsidR="0084326C" w:rsidRDefault="0084326C">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8D852" w14:textId="77777777" w:rsidR="00F33804" w:rsidRDefault="00F33804">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089533"/>
      <w:docPartObj>
        <w:docPartGallery w:val="Page Numbers (Bottom of Page)"/>
        <w:docPartUnique/>
      </w:docPartObj>
    </w:sdtPr>
    <w:sdtEndPr>
      <w:rPr>
        <w:noProof/>
      </w:rPr>
    </w:sdtEndPr>
    <w:sdtContent>
      <w:p w14:paraId="6FC8BEEB" w14:textId="77777777" w:rsidR="00F33804" w:rsidRDefault="00F33804">
        <w:pPr>
          <w:pStyle w:val="Footer"/>
          <w:jc w:val="center"/>
        </w:pPr>
        <w:r>
          <w:fldChar w:fldCharType="begin"/>
        </w:r>
        <w:r>
          <w:instrText xml:space="preserve"> PAGE   \* MERGEFORMAT </w:instrText>
        </w:r>
        <w:r>
          <w:fldChar w:fldCharType="separate"/>
        </w:r>
        <w:r>
          <w:t>2</w:t>
        </w:r>
        <w:r>
          <w:fldChar w:fldCharType="end"/>
        </w:r>
      </w:p>
    </w:sdtContent>
  </w:sdt>
  <w:p w14:paraId="035139E8" w14:textId="77777777" w:rsidR="00F33804" w:rsidRPr="004E4F62" w:rsidRDefault="00F33804">
    <w:pPr>
      <w:pStyle w:val="FooterCouncil"/>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9AA3B" w14:textId="77777777" w:rsidR="00F33804" w:rsidRDefault="00F33804">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26773" w14:textId="77777777" w:rsidR="0084326C" w:rsidRDefault="0084326C">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139167"/>
      <w:docPartObj>
        <w:docPartGallery w:val="Page Numbers (Bottom of Page)"/>
        <w:docPartUnique/>
      </w:docPartObj>
    </w:sdtPr>
    <w:sdtEndPr>
      <w:rPr>
        <w:noProof/>
      </w:rPr>
    </w:sdtEndPr>
    <w:sdtContent>
      <w:p w14:paraId="0240630C" w14:textId="55DC5C05" w:rsidR="00003A97" w:rsidRDefault="00003A97">
        <w:pPr>
          <w:pStyle w:val="Footer"/>
          <w:jc w:val="center"/>
        </w:pPr>
        <w:r>
          <w:fldChar w:fldCharType="begin"/>
        </w:r>
        <w:r>
          <w:instrText xml:space="preserve"> PAGE   \* MERGEFORMAT </w:instrText>
        </w:r>
        <w:r>
          <w:fldChar w:fldCharType="separate"/>
        </w:r>
        <w:r>
          <w:t>2</w:t>
        </w:r>
        <w:r>
          <w:fldChar w:fldCharType="end"/>
        </w:r>
      </w:p>
    </w:sdtContent>
  </w:sdt>
  <w:p w14:paraId="07FEACF2" w14:textId="77777777" w:rsidR="0084326C" w:rsidRPr="004E4F62" w:rsidRDefault="0084326C">
    <w:pPr>
      <w:pStyle w:val="FooterCouncil"/>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A216C" w14:textId="77777777" w:rsidR="0084326C" w:rsidRDefault="0084326C">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2D853" w14:textId="77777777" w:rsidR="0084326C" w:rsidRDefault="0084326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4518761"/>
      <w:docPartObj>
        <w:docPartGallery w:val="Page Numbers (Bottom of Page)"/>
        <w:docPartUnique/>
      </w:docPartObj>
    </w:sdtPr>
    <w:sdtEndPr>
      <w:rPr>
        <w:noProof/>
      </w:rPr>
    </w:sdtEndPr>
    <w:sdtContent>
      <w:p w14:paraId="28EF849A" w14:textId="62DB893E" w:rsidR="00003A97" w:rsidRDefault="00003A97">
        <w:pPr>
          <w:pStyle w:val="Footer"/>
          <w:jc w:val="center"/>
        </w:pPr>
        <w:r>
          <w:fldChar w:fldCharType="begin"/>
        </w:r>
        <w:r>
          <w:instrText xml:space="preserve"> PAGE   \* MERGEFORMAT </w:instrText>
        </w:r>
        <w:r>
          <w:fldChar w:fldCharType="separate"/>
        </w:r>
        <w:r w:rsidR="004F360D">
          <w:rPr>
            <w:noProof/>
          </w:rPr>
          <w:t>2</w:t>
        </w:r>
        <w:r>
          <w:fldChar w:fldCharType="end"/>
        </w:r>
      </w:p>
    </w:sdtContent>
  </w:sdt>
  <w:p w14:paraId="32AC24B9" w14:textId="77777777" w:rsidR="00994F5E" w:rsidRPr="004E4F62" w:rsidRDefault="00994F5E">
    <w:pPr>
      <w:pStyle w:val="FooterCouncil"/>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3752216"/>
      <w:docPartObj>
        <w:docPartGallery w:val="Page Numbers (Bottom of Page)"/>
        <w:docPartUnique/>
      </w:docPartObj>
    </w:sdtPr>
    <w:sdtEndPr>
      <w:rPr>
        <w:noProof/>
      </w:rPr>
    </w:sdtEndPr>
    <w:sdtContent>
      <w:p w14:paraId="4E4FFE67" w14:textId="263B88BE" w:rsidR="00003A97" w:rsidRDefault="00003A97">
        <w:pPr>
          <w:pStyle w:val="Footer"/>
          <w:jc w:val="center"/>
        </w:pPr>
        <w:r>
          <w:fldChar w:fldCharType="begin"/>
        </w:r>
        <w:r>
          <w:instrText xml:space="preserve"> PAGE   \* MERGEFORMAT </w:instrText>
        </w:r>
        <w:r>
          <w:fldChar w:fldCharType="separate"/>
        </w:r>
        <w:r>
          <w:t>2</w:t>
        </w:r>
        <w:r>
          <w:fldChar w:fldCharType="end"/>
        </w:r>
      </w:p>
    </w:sdtContent>
  </w:sdt>
  <w:p w14:paraId="4B1E101A" w14:textId="77777777" w:rsidR="0084326C" w:rsidRPr="004E4F62" w:rsidRDefault="0084326C">
    <w:pPr>
      <w:pStyle w:val="FooterCouncil"/>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17D6D" w14:textId="77777777" w:rsidR="0084326C" w:rsidRDefault="0084326C">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D6443" w14:textId="77777777" w:rsidR="00F33804" w:rsidRDefault="00F33804">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6305363"/>
      <w:docPartObj>
        <w:docPartGallery w:val="Page Numbers (Bottom of Page)"/>
        <w:docPartUnique/>
      </w:docPartObj>
    </w:sdtPr>
    <w:sdtEndPr>
      <w:rPr>
        <w:noProof/>
      </w:rPr>
    </w:sdtEndPr>
    <w:sdtContent>
      <w:p w14:paraId="36ADEC8F" w14:textId="77777777" w:rsidR="00F33804" w:rsidRDefault="00F33804">
        <w:pPr>
          <w:pStyle w:val="Footer"/>
          <w:jc w:val="center"/>
        </w:pPr>
        <w:r>
          <w:fldChar w:fldCharType="begin"/>
        </w:r>
        <w:r>
          <w:instrText xml:space="preserve"> PAGE   \* MERGEFORMAT </w:instrText>
        </w:r>
        <w:r>
          <w:fldChar w:fldCharType="separate"/>
        </w:r>
        <w:r>
          <w:t>2</w:t>
        </w:r>
        <w:r>
          <w:fldChar w:fldCharType="end"/>
        </w:r>
      </w:p>
    </w:sdtContent>
  </w:sdt>
  <w:p w14:paraId="4958FA0C" w14:textId="77777777" w:rsidR="00F33804" w:rsidRPr="004E4F62" w:rsidRDefault="00F33804">
    <w:pPr>
      <w:pStyle w:val="FooterCouncil"/>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C3AA9" w14:textId="77777777" w:rsidR="00F33804" w:rsidRDefault="00F33804">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57441" w14:textId="77777777" w:rsidR="0084326C" w:rsidRDefault="0084326C">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213657"/>
      <w:docPartObj>
        <w:docPartGallery w:val="Page Numbers (Bottom of Page)"/>
        <w:docPartUnique/>
      </w:docPartObj>
    </w:sdtPr>
    <w:sdtEndPr>
      <w:rPr>
        <w:noProof/>
      </w:rPr>
    </w:sdtEndPr>
    <w:sdtContent>
      <w:p w14:paraId="668423F1" w14:textId="12E2BDD3" w:rsidR="00003A97" w:rsidRDefault="00003A97">
        <w:pPr>
          <w:pStyle w:val="Footer"/>
          <w:jc w:val="center"/>
        </w:pPr>
        <w:r>
          <w:fldChar w:fldCharType="begin"/>
        </w:r>
        <w:r>
          <w:instrText xml:space="preserve"> PAGE   \* MERGEFORMAT </w:instrText>
        </w:r>
        <w:r>
          <w:fldChar w:fldCharType="separate"/>
        </w:r>
        <w:r>
          <w:t>2</w:t>
        </w:r>
        <w:r>
          <w:fldChar w:fldCharType="end"/>
        </w:r>
      </w:p>
    </w:sdtContent>
  </w:sdt>
  <w:p w14:paraId="7E878943" w14:textId="77777777" w:rsidR="0084326C" w:rsidRPr="004E4F62" w:rsidRDefault="0084326C">
    <w:pPr>
      <w:pStyle w:val="FooterCouncil"/>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25687" w14:textId="77777777" w:rsidR="0084326C" w:rsidRDefault="0084326C">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5A0DB" w14:textId="77777777" w:rsidR="0084326C" w:rsidRDefault="0084326C">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077321"/>
      <w:docPartObj>
        <w:docPartGallery w:val="Page Numbers (Bottom of Page)"/>
        <w:docPartUnique/>
      </w:docPartObj>
    </w:sdtPr>
    <w:sdtEndPr>
      <w:rPr>
        <w:noProof/>
      </w:rPr>
    </w:sdtEndPr>
    <w:sdtContent>
      <w:p w14:paraId="7FABCF92" w14:textId="192439B3" w:rsidR="00003A97" w:rsidRDefault="00003A97">
        <w:pPr>
          <w:pStyle w:val="Footer"/>
          <w:jc w:val="center"/>
        </w:pPr>
        <w:r>
          <w:fldChar w:fldCharType="begin"/>
        </w:r>
        <w:r>
          <w:instrText xml:space="preserve"> PAGE   \* MERGEFORMAT </w:instrText>
        </w:r>
        <w:r>
          <w:fldChar w:fldCharType="separate"/>
        </w:r>
        <w:r>
          <w:t>2</w:t>
        </w:r>
        <w:r>
          <w:fldChar w:fldCharType="end"/>
        </w:r>
      </w:p>
    </w:sdtContent>
  </w:sdt>
  <w:p w14:paraId="4658AD76" w14:textId="77777777" w:rsidR="0084326C" w:rsidRPr="004E4F62" w:rsidRDefault="0084326C">
    <w:pPr>
      <w:pStyle w:val="FooterCouncil"/>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F70A4" w14:textId="77777777" w:rsidR="00994F5E" w:rsidRDefault="00994F5E">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2503A" w14:textId="77777777" w:rsidR="0084326C" w:rsidRDefault="0084326C">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3AEAD" w14:textId="77777777" w:rsidR="0084326C" w:rsidRDefault="0084326C">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6282736"/>
      <w:docPartObj>
        <w:docPartGallery w:val="Page Numbers (Bottom of Page)"/>
        <w:docPartUnique/>
      </w:docPartObj>
    </w:sdtPr>
    <w:sdtEndPr>
      <w:rPr>
        <w:noProof/>
      </w:rPr>
    </w:sdtEndPr>
    <w:sdtContent>
      <w:p w14:paraId="4C105A93" w14:textId="24FAE64B" w:rsidR="00003A97" w:rsidRDefault="00003A97">
        <w:pPr>
          <w:pStyle w:val="Footer"/>
          <w:jc w:val="center"/>
        </w:pPr>
        <w:r>
          <w:fldChar w:fldCharType="begin"/>
        </w:r>
        <w:r>
          <w:instrText xml:space="preserve"> PAGE   \* MERGEFORMAT </w:instrText>
        </w:r>
        <w:r>
          <w:fldChar w:fldCharType="separate"/>
        </w:r>
        <w:r>
          <w:t>2</w:t>
        </w:r>
        <w:r>
          <w:fldChar w:fldCharType="end"/>
        </w:r>
      </w:p>
    </w:sdtContent>
  </w:sdt>
  <w:p w14:paraId="6A6F4E81" w14:textId="77777777" w:rsidR="0084326C" w:rsidRPr="004E4F62" w:rsidRDefault="0084326C">
    <w:pPr>
      <w:pStyle w:val="FooterCouncil"/>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42080" w14:textId="77777777" w:rsidR="0084326C" w:rsidRDefault="0084326C">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CDE18" w14:textId="77777777" w:rsidR="0084326C" w:rsidRDefault="0084326C">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821140"/>
      <w:docPartObj>
        <w:docPartGallery w:val="Page Numbers (Bottom of Page)"/>
        <w:docPartUnique/>
      </w:docPartObj>
    </w:sdtPr>
    <w:sdtEndPr>
      <w:rPr>
        <w:noProof/>
      </w:rPr>
    </w:sdtEndPr>
    <w:sdtContent>
      <w:p w14:paraId="04CB6771" w14:textId="071713AA" w:rsidR="00003A97" w:rsidRDefault="00003A97">
        <w:pPr>
          <w:pStyle w:val="Footer"/>
          <w:jc w:val="center"/>
        </w:pPr>
        <w:r>
          <w:fldChar w:fldCharType="begin"/>
        </w:r>
        <w:r>
          <w:instrText xml:space="preserve"> PAGE   \* MERGEFORMAT </w:instrText>
        </w:r>
        <w:r>
          <w:fldChar w:fldCharType="separate"/>
        </w:r>
        <w:r>
          <w:t>2</w:t>
        </w:r>
        <w:r>
          <w:fldChar w:fldCharType="end"/>
        </w:r>
      </w:p>
    </w:sdtContent>
  </w:sdt>
  <w:p w14:paraId="352071D9" w14:textId="77777777" w:rsidR="0084326C" w:rsidRPr="004E4F62" w:rsidRDefault="0084326C">
    <w:pPr>
      <w:pStyle w:val="FooterCouncil"/>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30BBF" w14:textId="77777777" w:rsidR="0084326C" w:rsidRDefault="0084326C">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2B1A9" w14:textId="77777777" w:rsidR="0084326C" w:rsidRDefault="0084326C">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251616"/>
      <w:docPartObj>
        <w:docPartGallery w:val="Page Numbers (Bottom of Page)"/>
        <w:docPartUnique/>
      </w:docPartObj>
    </w:sdtPr>
    <w:sdtEndPr>
      <w:rPr>
        <w:noProof/>
      </w:rPr>
    </w:sdtEndPr>
    <w:sdtContent>
      <w:p w14:paraId="5FFD4A9B" w14:textId="0AB3FD48" w:rsidR="00DA613F" w:rsidRDefault="00DA613F">
        <w:pPr>
          <w:pStyle w:val="Footer"/>
          <w:jc w:val="center"/>
        </w:pPr>
        <w:r>
          <w:fldChar w:fldCharType="begin"/>
        </w:r>
        <w:r>
          <w:instrText xml:space="preserve"> PAGE   \* MERGEFORMAT </w:instrText>
        </w:r>
        <w:r>
          <w:fldChar w:fldCharType="separate"/>
        </w:r>
        <w:r>
          <w:t>2</w:t>
        </w:r>
        <w:r>
          <w:fldChar w:fldCharType="end"/>
        </w:r>
      </w:p>
    </w:sdtContent>
  </w:sdt>
  <w:p w14:paraId="07893D0C" w14:textId="77777777" w:rsidR="0084326C" w:rsidRPr="004E4F62" w:rsidRDefault="0084326C">
    <w:pPr>
      <w:pStyle w:val="FooterCouncil"/>
    </w:pP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CB3C7" w14:textId="77777777" w:rsidR="0084326C" w:rsidRDefault="0084326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F8776" w14:textId="77777777" w:rsidR="0084326C" w:rsidRDefault="0084326C">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36B3D" w14:textId="77777777" w:rsidR="0084326C" w:rsidRDefault="0084326C">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387456"/>
      <w:docPartObj>
        <w:docPartGallery w:val="Page Numbers (Bottom of Page)"/>
        <w:docPartUnique/>
      </w:docPartObj>
    </w:sdtPr>
    <w:sdtEndPr>
      <w:rPr>
        <w:noProof/>
      </w:rPr>
    </w:sdtEndPr>
    <w:sdtContent>
      <w:p w14:paraId="10DCCBD8" w14:textId="45D5C05C" w:rsidR="00DA613F" w:rsidRDefault="00DA613F">
        <w:pPr>
          <w:pStyle w:val="Footer"/>
          <w:jc w:val="center"/>
        </w:pPr>
        <w:r>
          <w:fldChar w:fldCharType="begin"/>
        </w:r>
        <w:r>
          <w:instrText xml:space="preserve"> PAGE   \* MERGEFORMAT </w:instrText>
        </w:r>
        <w:r>
          <w:fldChar w:fldCharType="separate"/>
        </w:r>
        <w:r>
          <w:t>2</w:t>
        </w:r>
        <w:r>
          <w:fldChar w:fldCharType="end"/>
        </w:r>
      </w:p>
    </w:sdtContent>
  </w:sdt>
  <w:p w14:paraId="266BA6F7" w14:textId="77777777" w:rsidR="0084326C" w:rsidRPr="004E4F62" w:rsidRDefault="0084326C">
    <w:pPr>
      <w:pStyle w:val="FooterCouncil"/>
    </w:pP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C504F" w14:textId="77777777" w:rsidR="0084326C" w:rsidRDefault="0084326C">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42FC2" w14:textId="77777777" w:rsidR="0084326C" w:rsidRDefault="0084326C">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042029"/>
      <w:docPartObj>
        <w:docPartGallery w:val="Page Numbers (Bottom of Page)"/>
        <w:docPartUnique/>
      </w:docPartObj>
    </w:sdtPr>
    <w:sdtEndPr>
      <w:rPr>
        <w:noProof/>
      </w:rPr>
    </w:sdtEndPr>
    <w:sdtContent>
      <w:p w14:paraId="5DE9967A" w14:textId="05E5449D" w:rsidR="00DA613F" w:rsidRDefault="00DA613F">
        <w:pPr>
          <w:pStyle w:val="Footer"/>
          <w:jc w:val="center"/>
        </w:pPr>
        <w:r>
          <w:fldChar w:fldCharType="begin"/>
        </w:r>
        <w:r>
          <w:instrText xml:space="preserve"> PAGE   \* MERGEFORMAT </w:instrText>
        </w:r>
        <w:r>
          <w:fldChar w:fldCharType="separate"/>
        </w:r>
        <w:r>
          <w:t>2</w:t>
        </w:r>
        <w:r>
          <w:fldChar w:fldCharType="end"/>
        </w:r>
      </w:p>
    </w:sdtContent>
  </w:sdt>
  <w:p w14:paraId="6AB691AE" w14:textId="77777777" w:rsidR="0084326C" w:rsidRPr="004E4F62" w:rsidRDefault="0084326C">
    <w:pPr>
      <w:pStyle w:val="FooterCouncil"/>
    </w:pP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33923" w14:textId="77777777" w:rsidR="0084326C" w:rsidRDefault="0084326C">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FB2BD" w14:textId="77777777" w:rsidR="0084326C" w:rsidRDefault="0084326C">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437440"/>
      <w:docPartObj>
        <w:docPartGallery w:val="Page Numbers (Bottom of Page)"/>
        <w:docPartUnique/>
      </w:docPartObj>
    </w:sdtPr>
    <w:sdtEndPr>
      <w:rPr>
        <w:noProof/>
      </w:rPr>
    </w:sdtEndPr>
    <w:sdtContent>
      <w:p w14:paraId="61820F4E" w14:textId="2C696274" w:rsidR="00437BB4" w:rsidRDefault="00437BB4">
        <w:pPr>
          <w:pStyle w:val="Footer"/>
          <w:jc w:val="center"/>
        </w:pPr>
        <w:r>
          <w:fldChar w:fldCharType="begin"/>
        </w:r>
        <w:r>
          <w:instrText xml:space="preserve"> PAGE   \* MERGEFORMAT </w:instrText>
        </w:r>
        <w:r>
          <w:fldChar w:fldCharType="separate"/>
        </w:r>
        <w:r>
          <w:t>2</w:t>
        </w:r>
        <w:r>
          <w:fldChar w:fldCharType="end"/>
        </w:r>
      </w:p>
    </w:sdtContent>
  </w:sdt>
  <w:p w14:paraId="2AFBF061" w14:textId="77777777" w:rsidR="0084326C" w:rsidRPr="004E4F62" w:rsidRDefault="0084326C">
    <w:pPr>
      <w:pStyle w:val="FooterCouncil"/>
    </w:pP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90111" w14:textId="77777777" w:rsidR="0084326C" w:rsidRDefault="0084326C">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510D1" w14:textId="77777777" w:rsidR="0084326C" w:rsidRDefault="0084326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449238"/>
      <w:docPartObj>
        <w:docPartGallery w:val="Page Numbers (Bottom of Page)"/>
        <w:docPartUnique/>
      </w:docPartObj>
    </w:sdtPr>
    <w:sdtEndPr>
      <w:rPr>
        <w:noProof/>
      </w:rPr>
    </w:sdtEndPr>
    <w:sdtContent>
      <w:p w14:paraId="200EDAD0" w14:textId="7D6610F9" w:rsidR="00EB28C2" w:rsidRDefault="00EB28C2">
        <w:pPr>
          <w:pStyle w:val="Footer"/>
          <w:jc w:val="center"/>
        </w:pPr>
        <w:r>
          <w:fldChar w:fldCharType="begin"/>
        </w:r>
        <w:r>
          <w:instrText xml:space="preserve"> PAGE   \* MERGEFORMAT </w:instrText>
        </w:r>
        <w:r>
          <w:fldChar w:fldCharType="separate"/>
        </w:r>
        <w:r>
          <w:t>2</w:t>
        </w:r>
        <w:r>
          <w:fldChar w:fldCharType="end"/>
        </w:r>
      </w:p>
    </w:sdtContent>
  </w:sdt>
  <w:p w14:paraId="3A8BD159" w14:textId="77777777" w:rsidR="0084326C" w:rsidRPr="004E4F62" w:rsidRDefault="0084326C">
    <w:pPr>
      <w:pStyle w:val="FooterCouncil"/>
    </w:pP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3844078"/>
      <w:docPartObj>
        <w:docPartGallery w:val="Page Numbers (Bottom of Page)"/>
        <w:docPartUnique/>
      </w:docPartObj>
    </w:sdtPr>
    <w:sdtEndPr>
      <w:rPr>
        <w:noProof/>
      </w:rPr>
    </w:sdtEndPr>
    <w:sdtContent>
      <w:p w14:paraId="5B24D852" w14:textId="6C0C1308" w:rsidR="00437BB4" w:rsidRDefault="00437BB4">
        <w:pPr>
          <w:pStyle w:val="Footer"/>
          <w:jc w:val="center"/>
        </w:pPr>
        <w:r>
          <w:fldChar w:fldCharType="begin"/>
        </w:r>
        <w:r>
          <w:instrText xml:space="preserve"> PAGE   \* MERGEFORMAT </w:instrText>
        </w:r>
        <w:r>
          <w:fldChar w:fldCharType="separate"/>
        </w:r>
        <w:r>
          <w:t>2</w:t>
        </w:r>
        <w:r>
          <w:fldChar w:fldCharType="end"/>
        </w:r>
      </w:p>
    </w:sdtContent>
  </w:sdt>
  <w:p w14:paraId="031B4FA0" w14:textId="77777777" w:rsidR="0084326C" w:rsidRPr="004E4F62" w:rsidRDefault="0084326C">
    <w:pPr>
      <w:pStyle w:val="FooterCouncil"/>
    </w:pP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1053" w14:textId="77777777" w:rsidR="0084326C" w:rsidRDefault="0084326C">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CE6D8" w14:textId="77777777" w:rsidR="0084326C" w:rsidRDefault="0084326C">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001240"/>
      <w:docPartObj>
        <w:docPartGallery w:val="Page Numbers (Bottom of Page)"/>
        <w:docPartUnique/>
      </w:docPartObj>
    </w:sdtPr>
    <w:sdtEndPr>
      <w:rPr>
        <w:noProof/>
      </w:rPr>
    </w:sdtEndPr>
    <w:sdtContent>
      <w:p w14:paraId="3BCCBBA1" w14:textId="0F67AC9E" w:rsidR="00437BB4" w:rsidRDefault="00437BB4">
        <w:pPr>
          <w:pStyle w:val="Footer"/>
          <w:jc w:val="center"/>
        </w:pPr>
        <w:r>
          <w:fldChar w:fldCharType="begin"/>
        </w:r>
        <w:r>
          <w:instrText xml:space="preserve"> PAGE   \* MERGEFORMAT </w:instrText>
        </w:r>
        <w:r>
          <w:fldChar w:fldCharType="separate"/>
        </w:r>
        <w:r>
          <w:t>2</w:t>
        </w:r>
        <w:r>
          <w:fldChar w:fldCharType="end"/>
        </w:r>
      </w:p>
    </w:sdtContent>
  </w:sdt>
  <w:p w14:paraId="6A217DC3" w14:textId="77777777" w:rsidR="0084326C" w:rsidRPr="004E4F62" w:rsidRDefault="0084326C">
    <w:pPr>
      <w:pStyle w:val="FooterCouncil"/>
    </w:pP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63061" w14:textId="77777777" w:rsidR="0084326C" w:rsidRDefault="0084326C">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BDBE" w14:textId="77777777" w:rsidR="0084326C" w:rsidRDefault="0084326C">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0726519"/>
      <w:docPartObj>
        <w:docPartGallery w:val="Page Numbers (Bottom of Page)"/>
        <w:docPartUnique/>
      </w:docPartObj>
    </w:sdtPr>
    <w:sdtEndPr>
      <w:rPr>
        <w:noProof/>
      </w:rPr>
    </w:sdtEndPr>
    <w:sdtContent>
      <w:p w14:paraId="7DDAF6AD" w14:textId="3E3D0067" w:rsidR="00437BB4" w:rsidRDefault="00437BB4">
        <w:pPr>
          <w:pStyle w:val="Footer"/>
          <w:jc w:val="center"/>
        </w:pPr>
        <w:r>
          <w:fldChar w:fldCharType="begin"/>
        </w:r>
        <w:r>
          <w:instrText xml:space="preserve"> PAGE   \* MERGEFORMAT </w:instrText>
        </w:r>
        <w:r>
          <w:fldChar w:fldCharType="separate"/>
        </w:r>
        <w:r>
          <w:t>2</w:t>
        </w:r>
        <w:r>
          <w:fldChar w:fldCharType="end"/>
        </w:r>
      </w:p>
    </w:sdtContent>
  </w:sdt>
  <w:p w14:paraId="14333EA2" w14:textId="77777777" w:rsidR="0084326C" w:rsidRPr="004E4F62" w:rsidRDefault="0084326C">
    <w:pPr>
      <w:pStyle w:val="FooterCouncil"/>
    </w:pP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44831" w14:textId="77777777" w:rsidR="0084326C" w:rsidRDefault="0084326C">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5FF70" w14:textId="77777777" w:rsidR="0084326C" w:rsidRDefault="0084326C">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768562"/>
      <w:docPartObj>
        <w:docPartGallery w:val="Page Numbers (Bottom of Page)"/>
        <w:docPartUnique/>
      </w:docPartObj>
    </w:sdtPr>
    <w:sdtEndPr>
      <w:rPr>
        <w:noProof/>
      </w:rPr>
    </w:sdtEndPr>
    <w:sdtContent>
      <w:p w14:paraId="0FD36EF8" w14:textId="639F64D5" w:rsidR="003B2D1E" w:rsidRDefault="003B2D1E">
        <w:pPr>
          <w:pStyle w:val="Footer"/>
          <w:jc w:val="center"/>
        </w:pPr>
        <w:r>
          <w:fldChar w:fldCharType="begin"/>
        </w:r>
        <w:r>
          <w:instrText xml:space="preserve"> PAGE   \* MERGEFORMAT </w:instrText>
        </w:r>
        <w:r>
          <w:fldChar w:fldCharType="separate"/>
        </w:r>
        <w:r>
          <w:t>2</w:t>
        </w:r>
        <w:r>
          <w:fldChar w:fldCharType="end"/>
        </w:r>
      </w:p>
    </w:sdtContent>
  </w:sdt>
  <w:p w14:paraId="78213C37" w14:textId="77777777" w:rsidR="0084326C" w:rsidRPr="004E4F62" w:rsidRDefault="0084326C">
    <w:pPr>
      <w:pStyle w:val="FooterCouncil"/>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8437E" w14:textId="77777777" w:rsidR="0084326C" w:rsidRDefault="0084326C">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6D138" w14:textId="77777777" w:rsidR="0084326C" w:rsidRDefault="0084326C">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04D53" w14:textId="77777777" w:rsidR="0084326C" w:rsidRDefault="0084326C">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0093231"/>
      <w:docPartObj>
        <w:docPartGallery w:val="Page Numbers (Bottom of Page)"/>
        <w:docPartUnique/>
      </w:docPartObj>
    </w:sdtPr>
    <w:sdtEndPr>
      <w:rPr>
        <w:noProof/>
      </w:rPr>
    </w:sdtEndPr>
    <w:sdtContent>
      <w:p w14:paraId="2DAB4F73" w14:textId="5394FB33" w:rsidR="003B2D1E" w:rsidRDefault="003B2D1E">
        <w:pPr>
          <w:pStyle w:val="Footer"/>
          <w:jc w:val="center"/>
        </w:pPr>
        <w:r>
          <w:fldChar w:fldCharType="begin"/>
        </w:r>
        <w:r>
          <w:instrText xml:space="preserve"> PAGE   \* MERGEFORMAT </w:instrText>
        </w:r>
        <w:r>
          <w:fldChar w:fldCharType="separate"/>
        </w:r>
        <w:r>
          <w:t>2</w:t>
        </w:r>
        <w:r>
          <w:fldChar w:fldCharType="end"/>
        </w:r>
      </w:p>
    </w:sdtContent>
  </w:sdt>
  <w:p w14:paraId="2DEC267A" w14:textId="77777777" w:rsidR="0084326C" w:rsidRPr="004E4F62" w:rsidRDefault="0084326C">
    <w:pPr>
      <w:pStyle w:val="FooterCouncil"/>
    </w:pP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F3875" w14:textId="77777777" w:rsidR="0084326C" w:rsidRDefault="0084326C">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6EA33" w14:textId="77777777" w:rsidR="0084326C" w:rsidRDefault="0084326C">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578604"/>
      <w:docPartObj>
        <w:docPartGallery w:val="Page Numbers (Bottom of Page)"/>
        <w:docPartUnique/>
      </w:docPartObj>
    </w:sdtPr>
    <w:sdtEndPr>
      <w:rPr>
        <w:noProof/>
      </w:rPr>
    </w:sdtEndPr>
    <w:sdtContent>
      <w:p w14:paraId="01923803" w14:textId="1F191617" w:rsidR="003B2D1E" w:rsidRDefault="003B2D1E">
        <w:pPr>
          <w:pStyle w:val="Footer"/>
          <w:jc w:val="center"/>
        </w:pPr>
        <w:r>
          <w:fldChar w:fldCharType="begin"/>
        </w:r>
        <w:r>
          <w:instrText xml:space="preserve"> PAGE   \* MERGEFORMAT </w:instrText>
        </w:r>
        <w:r>
          <w:fldChar w:fldCharType="separate"/>
        </w:r>
        <w:r>
          <w:t>2</w:t>
        </w:r>
        <w:r>
          <w:fldChar w:fldCharType="end"/>
        </w:r>
      </w:p>
    </w:sdtContent>
  </w:sdt>
  <w:p w14:paraId="54ECBAAA" w14:textId="77777777" w:rsidR="0084326C" w:rsidRPr="004E4F62" w:rsidRDefault="0084326C">
    <w:pPr>
      <w:pStyle w:val="FooterCouncil"/>
    </w:pPr>
  </w:p>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40BC0" w14:textId="77777777" w:rsidR="0084326C" w:rsidRDefault="0084326C">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60C46" w14:textId="77777777" w:rsidR="0084326C" w:rsidRPr="001354D1" w:rsidRDefault="0084326C">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07440"/>
      <w:docPartObj>
        <w:docPartGallery w:val="Page Numbers (Bottom of Page)"/>
        <w:docPartUnique/>
      </w:docPartObj>
    </w:sdtPr>
    <w:sdtEndPr>
      <w:rPr>
        <w:noProof/>
      </w:rPr>
    </w:sdtEndPr>
    <w:sdtContent>
      <w:p w14:paraId="232475CE" w14:textId="5AE0F3FE" w:rsidR="00BB258E" w:rsidRDefault="00BB258E">
        <w:pPr>
          <w:pStyle w:val="Footer"/>
          <w:jc w:val="center"/>
        </w:pPr>
        <w:r>
          <w:fldChar w:fldCharType="begin"/>
        </w:r>
        <w:r>
          <w:instrText xml:space="preserve"> PAGE   \* MERGEFORMAT </w:instrText>
        </w:r>
        <w:r>
          <w:fldChar w:fldCharType="separate"/>
        </w:r>
        <w:r>
          <w:t>2</w:t>
        </w:r>
        <w:r>
          <w:fldChar w:fldCharType="end"/>
        </w:r>
      </w:p>
    </w:sdtContent>
  </w:sdt>
  <w:p w14:paraId="570A619A" w14:textId="77777777" w:rsidR="0084326C" w:rsidRPr="004E4F62" w:rsidRDefault="0084326C">
    <w:pPr>
      <w:pStyle w:val="FooterCouncil"/>
    </w:pPr>
  </w:p>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F9CCE" w14:textId="77777777" w:rsidR="0084326C" w:rsidRPr="001354D1" w:rsidRDefault="00843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A9336" w14:textId="77777777" w:rsidR="00A55868" w:rsidRDefault="00A55868" w:rsidP="0084326C">
      <w:r>
        <w:separator/>
      </w:r>
    </w:p>
  </w:footnote>
  <w:footnote w:type="continuationSeparator" w:id="0">
    <w:p w14:paraId="570782EA" w14:textId="77777777" w:rsidR="00A55868" w:rsidRDefault="00A55868" w:rsidP="0084326C">
      <w:r>
        <w:continuationSeparator/>
      </w:r>
    </w:p>
  </w:footnote>
  <w:footnote w:type="continuationNotice" w:id="1">
    <w:p w14:paraId="77FC6146" w14:textId="77777777" w:rsidR="00A55868" w:rsidRDefault="00A55868"/>
  </w:footnote>
  <w:footnote w:id="2">
    <w:p w14:paraId="1DCF3D9B" w14:textId="77777777" w:rsidR="0084326C" w:rsidRPr="005D68A0" w:rsidRDefault="0084326C" w:rsidP="0084326C">
      <w:pPr>
        <w:pStyle w:val="FootnoteText"/>
        <w:ind w:left="0" w:firstLine="0"/>
      </w:pPr>
      <w:r>
        <w:rPr>
          <w:rStyle w:val="FootnoteReference"/>
          <w:lang w:val="en-GB"/>
        </w:rPr>
        <w:footnoteRef/>
      </w:r>
      <w:r>
        <w:t xml:space="preserve"> Välja arvatud a) käesoleva meetme kohased projektid, mis käsitlevad elektri- ja/või soojusenergia tootmist ning nendega seotud maagaasi kasutavat ülekande- ja jaotustaristut, mis vastavad dokumendi „Ei kahjusta oluliselt“ tehniliste suuniste (2021/C58/01) III lisas sätestatud tingimustele, ning b) alapunkti ii kohased tegevused ja varad, mille puhul fossiilkütuste kasutamine on ajutine ja tehniliselt vältimatu õigeaegseks üleminekuks fossiilkütustevabale käitamisele.</w:t>
      </w:r>
    </w:p>
  </w:footnote>
  <w:footnote w:id="3">
    <w:p w14:paraId="327B22ED" w14:textId="77777777" w:rsidR="0084326C" w:rsidRPr="005D68A0" w:rsidRDefault="0084326C" w:rsidP="0084326C">
      <w:pPr>
        <w:pStyle w:val="FootnoteText"/>
        <w:ind w:left="0" w:firstLine="0"/>
      </w:pPr>
      <w:r>
        <w:rPr>
          <w:rStyle w:val="FootnoteReference"/>
          <w:lang w:val="en-GB"/>
        </w:rPr>
        <w:footnoteRef/>
      </w:r>
      <w:r>
        <w:t xml:space="preserve"> Kui toetatava tegevusega saavutatakse prognoositud kasvuhoonegaaside heide, mis ei ole oluliselt väiksem asjaomastest võrdlusalustest, tuleks esitada selgitus põhjuste kohta, miks see ei ole võimalik. Saastekvootide tasuta eraldamise võrdlusalused saastekvootidega kauplemise süsteemi kohaldamisalasse kuuluvate tegevuste jaoks on sätestatud komisjoni rakendusmääruses (EL) 2021/447.</w:t>
      </w:r>
    </w:p>
  </w:footnote>
  <w:footnote w:id="4">
    <w:p w14:paraId="38F799BE" w14:textId="77777777" w:rsidR="0084326C" w:rsidRPr="005D68A0" w:rsidRDefault="0084326C" w:rsidP="0084326C">
      <w:pPr>
        <w:pStyle w:val="FootnoteText"/>
        <w:ind w:left="0" w:firstLine="0"/>
      </w:pPr>
      <w:r>
        <w:rPr>
          <w:rStyle w:val="FootnoteReference"/>
        </w:rPr>
        <w:footnoteRef/>
      </w:r>
      <w:r>
        <w:t xml:space="preserve"> Seda erandit ei kohaldata tegevusele, mis toimub käesoleva meetme raames üksnes ringlussevõetamatute ohtlike jäätmete käitlemisega tegelevates jaamades, ega olemasolevatele jaamadele, kui käesoleva meetme kohase tegevuse eesmärk on suurendada energiatõhusust, koguda heitgaase ladustamiseks või kasutamiseks või taaskasutada materjale põletustuhast, tingimusel et käesoleva meetme kohane tegevus ei suurenda jaamade jäätmekäitlusvõimsust ega pikenda nende kasutusaega; selle kohta esitatakse tõendid jaama tasandil.</w:t>
      </w:r>
    </w:p>
  </w:footnote>
  <w:footnote w:id="5">
    <w:p w14:paraId="0DD1D7FB" w14:textId="77777777" w:rsidR="0084326C" w:rsidRPr="005D68A0" w:rsidRDefault="0084326C" w:rsidP="0084326C">
      <w:pPr>
        <w:pStyle w:val="FootnoteText"/>
        <w:ind w:left="0" w:firstLine="0"/>
      </w:pPr>
      <w:r>
        <w:rPr>
          <w:rStyle w:val="FootnoteReference"/>
          <w:lang w:val="en-GB"/>
        </w:rPr>
        <w:footnoteRef/>
      </w:r>
      <w:r>
        <w:t xml:space="preserve"> Seda erandit ei kohaldata käesoleva meetme kohasele tegevusele olemasolevates mehhaanilis-bioloogilise töötlemise käitistes, kui sellise tegevuse eesmärk on suurendada energiatõhusust või moderniseerida eraldatud jäätmete ringlussevõttu biojäätmete kompostimiseks ja nende anaeroobseks kääritamiseks, tingimusel et käesoleva meetme kohane tegevus ei suurenda käitiste jäätmekäitlusvõimsust ega pikenda nende kasutusaega; tõendid selle kohta tuleb esitada iga jaama kohta eraldi.</w:t>
      </w:r>
    </w:p>
  </w:footnote>
  <w:footnote w:id="6">
    <w:p w14:paraId="46577660" w14:textId="21827CB1" w:rsidR="0084326C" w:rsidRPr="005D68A0" w:rsidRDefault="0084326C" w:rsidP="0084326C">
      <w:pPr>
        <w:jc w:val="both"/>
      </w:pPr>
      <w:r>
        <w:rPr>
          <w:vertAlign w:val="superscript"/>
          <w:lang w:val="en-GB"/>
        </w:rPr>
        <w:footnoteRef/>
      </w:r>
      <w:r>
        <w:rPr>
          <w:vertAlign w:val="superscript"/>
        </w:rPr>
        <w:t xml:space="preserve"> </w:t>
      </w:r>
      <w:r>
        <w:rPr>
          <w:sz w:val="20"/>
        </w:rPr>
        <w:t>Välja arvatud käesoleva meetme kohased maagaasi kasutavad elektri- ja/või soojusenergia tootmise ning sellega seotud ülekande- ja jaotustaristu projektid, mis vastavad „Ei kahjusta oluliselt“ tehniliste suuniste (2021/C58/01) III lisas sätestatud tingimustele.</w:t>
      </w:r>
    </w:p>
  </w:footnote>
  <w:footnote w:id="7">
    <w:p w14:paraId="24651193" w14:textId="117E1E30" w:rsidR="0084326C" w:rsidRPr="005D68A0" w:rsidRDefault="0084326C" w:rsidP="0084326C">
      <w:pPr>
        <w:jc w:val="both"/>
        <w:rPr>
          <w:sz w:val="20"/>
          <w:szCs w:val="20"/>
        </w:rPr>
      </w:pPr>
      <w:r>
        <w:rPr>
          <w:vertAlign w:val="superscript"/>
          <w:lang w:val="en-GB"/>
        </w:rPr>
        <w:footnoteRef/>
      </w:r>
      <w:r>
        <w:rPr>
          <w:vertAlign w:val="superscript"/>
        </w:rPr>
        <w:t xml:space="preserve"> </w:t>
      </w:r>
      <w:r w:rsidR="00D819D7">
        <w:rPr>
          <w:vertAlign w:val="superscript"/>
        </w:rPr>
        <w:t xml:space="preserve"> </w:t>
      </w:r>
      <w:r>
        <w:rPr>
          <w:sz w:val="20"/>
        </w:rPr>
        <w:t>Kui toetatava tegevusega saavutatakse prognoositud kasvuhoonegaaside heide, mis ei ole oluliselt väiksem asjaomastest võrdlusalustest, tuleks esitada selgitus põhjuste kohta, miks see ei ole võimalik. Saastekvootide tasuta eraldamise võrdlusalused saastekvootidega kauplemise süsteemi kohaldamisalasse kuuluvate tegevuste jaoks on sätestatud komisjoni rakendusmääruses (EL) 2021/447.</w:t>
      </w:r>
    </w:p>
  </w:footnote>
  <w:footnote w:id="8">
    <w:p w14:paraId="545FFFEE" w14:textId="77777777" w:rsidR="0084326C" w:rsidRPr="005D68A0" w:rsidRDefault="0084326C" w:rsidP="0084326C">
      <w:pPr>
        <w:jc w:val="both"/>
        <w:rPr>
          <w:sz w:val="20"/>
          <w:szCs w:val="20"/>
        </w:rPr>
      </w:pPr>
      <w:r>
        <w:rPr>
          <w:vertAlign w:val="superscript"/>
          <w:lang w:val="en-GB"/>
        </w:rPr>
        <w:footnoteRef/>
      </w:r>
      <w:r>
        <w:rPr>
          <w:vertAlign w:val="superscript"/>
        </w:rPr>
        <w:t xml:space="preserve"> </w:t>
      </w:r>
      <w:r>
        <w:rPr>
          <w:sz w:val="20"/>
        </w:rPr>
        <w:t>Seda erandit ei kohaldata tegevusele, mis toimub käesoleva meetme raames üksnes ringlussevõetamatute ohtlike jäätmete käitlemisega tegelevates jaamades, ega olemasolevatele jaamadele, kui käesoleva meetme kohase tegevuse eesmärk on suurendada energiatõhusust, koguda heitgaase ladustamiseks või kasutamiseks või taaskasutada materjale põletustuhast, tingimusel et käesoleva meetme kohane tegevus ei suurenda jaamade jäätmekäitlusvõimsust ega pikenda nende kasutusaega; tõendid selle kohta tuleb esitada iga jaama kohta eraldi.</w:t>
      </w:r>
    </w:p>
  </w:footnote>
  <w:footnote w:id="9">
    <w:p w14:paraId="01EA2AE7" w14:textId="77777777" w:rsidR="0084326C" w:rsidRPr="005D68A0" w:rsidRDefault="0084326C" w:rsidP="0084326C">
      <w:pPr>
        <w:jc w:val="both"/>
        <w:rPr>
          <w:sz w:val="20"/>
          <w:szCs w:val="20"/>
        </w:rPr>
      </w:pPr>
      <w:r>
        <w:rPr>
          <w:vertAlign w:val="superscript"/>
          <w:lang w:val="en-GB"/>
        </w:rPr>
        <w:footnoteRef/>
      </w:r>
      <w:r>
        <w:rPr>
          <w:vertAlign w:val="superscript"/>
        </w:rPr>
        <w:t xml:space="preserve"> </w:t>
      </w:r>
      <w:r>
        <w:rPr>
          <w:sz w:val="20"/>
        </w:rPr>
        <w:t>Seda erandit ei kohaldata käesoleva meetme kohasele tegevusele olemasolevates mehhaanilis-bioloogilise töötlemise käitistes, kui sellise tegevuse eesmärk on suurendada energiatõhusust või moderniseerida eraldatud jäätmete ringlussevõttu biojäätmete kompostimiseks ja nende anaeroobseks kääritamiseks, tingimusel et käesoleva meetme kohane tegevus ei suurenda käitiste jäätmekäitlusvõimsust ega pikenda nende kasutusaega; tõendid selle kohta tuleb esitada iga jaama kohta eraldi.</w:t>
      </w:r>
    </w:p>
  </w:footnote>
  <w:footnote w:id="10">
    <w:p w14:paraId="0F7C8071" w14:textId="77777777" w:rsidR="0084326C" w:rsidRPr="005D68A0" w:rsidRDefault="0084326C" w:rsidP="0084326C">
      <w:pPr>
        <w:pStyle w:val="FootnoteText"/>
        <w:ind w:left="0" w:firstLine="0"/>
      </w:pPr>
      <w:r>
        <w:rPr>
          <w:rStyle w:val="FootnoteReference"/>
          <w:lang w:val="en-GB"/>
        </w:rPr>
        <w:footnoteRef/>
      </w:r>
      <w:r>
        <w:t xml:space="preserve"> Välja arvatud a) varad ja tegevused elektri- ja/või soojusenergia tootmises ning nendega seotud ülekande- ja jaotustaristus, milles kasutatakse maagaasi, mis vastavad dokumendi „Ei kahjusta oluliselt“ tehniliste suuniste (2021/C58/01) III lisas sätestatud tingimustele, ning b) alapunkti ii kohased tegevused ja varad, mille puhul fossiilkütuste kasutamine on ajutine ja tehniliselt vältimatu õigeaegseks üleminekuks fossiilkütuste tasuta kasutamisele.</w:t>
      </w:r>
    </w:p>
  </w:footnote>
  <w:footnote w:id="11">
    <w:p w14:paraId="36581C16" w14:textId="77777777" w:rsidR="0084326C" w:rsidRPr="005D68A0" w:rsidRDefault="0084326C" w:rsidP="0084326C">
      <w:pPr>
        <w:pStyle w:val="FootnoteText"/>
        <w:ind w:left="0" w:firstLine="0"/>
      </w:pPr>
      <w:r>
        <w:rPr>
          <w:rStyle w:val="FootnoteReference"/>
          <w:lang w:val="en-GB"/>
        </w:rPr>
        <w:footnoteRef/>
      </w:r>
      <w:r>
        <w:t xml:space="preserve"> Kui toetatava tegevuse prognoositav kasvuhoonegaaside heide ei ole asjaomasest võrdlusalusest oluliselt madalam, tuleb esitada selgitus põhjuste kohta, miks see ei ole võimalik. Saastekvootide tasuta eraldamise võrdlusalused saastekvootidega kauplemise süsteemi kohaldamisalasse kuuluvate tegevuste jaoks on sätestatud komisjoni rakendusmääruses (EL) 2021/447.</w:t>
      </w:r>
    </w:p>
  </w:footnote>
  <w:footnote w:id="12">
    <w:p w14:paraId="6D3A48D6" w14:textId="77777777" w:rsidR="0084326C" w:rsidRPr="005D68A0" w:rsidRDefault="0084326C" w:rsidP="0084326C">
      <w:pPr>
        <w:pStyle w:val="FootnoteText"/>
        <w:ind w:left="0" w:firstLine="0"/>
      </w:pPr>
      <w:r>
        <w:rPr>
          <w:rStyle w:val="FootnoteReference"/>
          <w:lang w:val="en-GB"/>
        </w:rPr>
        <w:footnoteRef/>
      </w:r>
      <w:r>
        <w:t xml:space="preserve"> Seda erandit ei kohaldata tegevusele, mis toimub käesoleva meetme raames üksnes ringlussevõetamatute ohtlike jäätmete käitlemisega tegelevates jaamades, ega olemasolevatele jaamadele, kui käesoleva meetme kohase tegevuse eesmärk on suurendada energiatõhusust, koguda heitgaase ladustamiseks või kasutamiseks või taaskasutada materjale põletustuhast, tingimusel et käesoleva meetme kohane tegevus ei suurenda jaamade jäätmekäitlusvõimsust ega pikenda nende kasutusaega; tõendid selle kohta tuleb esitada iga jaama kohta eraldi. </w:t>
      </w:r>
    </w:p>
  </w:footnote>
  <w:footnote w:id="13">
    <w:p w14:paraId="70093991" w14:textId="77777777" w:rsidR="0084326C" w:rsidRPr="005D68A0" w:rsidRDefault="0084326C" w:rsidP="0084326C">
      <w:pPr>
        <w:pStyle w:val="FootnoteText"/>
        <w:ind w:left="0" w:firstLine="0"/>
      </w:pPr>
      <w:r>
        <w:rPr>
          <w:rStyle w:val="FootnoteReference"/>
          <w:lang w:val="en-GB"/>
        </w:rPr>
        <w:footnoteRef/>
      </w:r>
      <w:r>
        <w:t xml:space="preserve"> Seda erandit ei kohaldata käesoleva meetme kohasele tegevusele olemasolevates mehhaanilis-bioloogilise töötlemise käitistes, kui sellise tegevuse eesmärk on suurendada energiatõhusust või moderniseerida eraldatud jäätmete ringlussevõttu biojäätmete kompostimiseks ja nende anaeroobseks kääritamiseks, tingimusel et käesoleva meetme kohane tegevus ei suurenda käitiste jäätmekäitlusvõimsust ega pikenda nende kasutusaega; tõendid selle kohta tuleb esitada iga jaama kohta eraldi. </w:t>
      </w:r>
    </w:p>
  </w:footnote>
  <w:footnote w:id="14">
    <w:p w14:paraId="2CF26B62" w14:textId="77777777" w:rsidR="0084326C" w:rsidRPr="005D68A0" w:rsidRDefault="0084326C" w:rsidP="0084326C">
      <w:pPr>
        <w:pStyle w:val="FootnoteText"/>
        <w:ind w:left="0" w:firstLine="0"/>
      </w:pPr>
      <w:r>
        <w:rPr>
          <w:rStyle w:val="FootnoteReference"/>
          <w:lang w:val="en-GB"/>
        </w:rPr>
        <w:footnoteRef/>
      </w:r>
      <w:r>
        <w:t xml:space="preserve"> Konkreetsete projektidega seotud lõplikud toetusesaajad peavad kliimaalase panuse arvutamiseks esitama iga toetatava projekti puhul valitud sekkumisvaldkonna põhjenduse koos projekti kirjeldusega.</w:t>
      </w:r>
    </w:p>
  </w:footnote>
  <w:footnote w:id="15">
    <w:p w14:paraId="6B0E643E" w14:textId="77777777" w:rsidR="0084326C" w:rsidRPr="005D68A0" w:rsidRDefault="0084326C" w:rsidP="0084326C">
      <w:pPr>
        <w:pStyle w:val="FootnoteText"/>
        <w:ind w:left="0" w:firstLine="0"/>
      </w:pPr>
      <w:r>
        <w:rPr>
          <w:rStyle w:val="FootnoteReference"/>
        </w:rPr>
        <w:footnoteRef/>
      </w:r>
      <w:r>
        <w:t xml:space="preserve"> Välja arvatud a) varad ja tegevused elektri- ja/või soojusenergia tootmises ning nendega seotud ülekande- ja jaotustaristus, milles kasutatakse maagaasi, mis vastavad dokumendi „Ei kahjusta oluliselt“ tehniliste suuniste (2021/C58/01) III lisas sätestatud tingimustele, ning b) alapunkti ii kohased tegevused ja varad, mille puhul fossiilkütuste kasutamine on ajutine ja tehniliselt vältimatu õigeaegseks üleminekuks fossiilkütuste tasuta kasutamisele.</w:t>
      </w:r>
    </w:p>
  </w:footnote>
  <w:footnote w:id="16">
    <w:p w14:paraId="22288FF8" w14:textId="77777777" w:rsidR="0084326C" w:rsidRPr="005D68A0" w:rsidRDefault="0084326C" w:rsidP="0084326C">
      <w:pPr>
        <w:pStyle w:val="FootnoteText"/>
        <w:ind w:left="0" w:firstLine="0"/>
      </w:pPr>
      <w:r>
        <w:rPr>
          <w:rStyle w:val="FootnoteReference"/>
        </w:rPr>
        <w:footnoteRef/>
      </w:r>
      <w:r>
        <w:t xml:space="preserve"> Kui toetatava tegevuse prognoositav kasvuhoonegaaside heide ei ole asjaomasest võrdlusalusest oluliselt madalam, tuleb esitada selgitus põhjuste kohta, miks see ei ole võimalik. Saastekvootide tasuta eraldamise võrdlusalused saastekvootidega kauplemise süsteemi kohaldamisalasse kuuluvate tegevuste jaoks on sätestatud komisjoni rakendusmääruses (EL) 2021/447.</w:t>
      </w:r>
    </w:p>
  </w:footnote>
  <w:footnote w:id="17">
    <w:p w14:paraId="0927D0DF" w14:textId="77777777" w:rsidR="0084326C" w:rsidRPr="005D68A0" w:rsidRDefault="0084326C" w:rsidP="0084326C">
      <w:pPr>
        <w:pStyle w:val="FootnoteText"/>
        <w:ind w:left="0" w:firstLine="0"/>
      </w:pPr>
      <w:r>
        <w:rPr>
          <w:rStyle w:val="FootnoteReference"/>
        </w:rPr>
        <w:footnoteRef/>
      </w:r>
      <w:r>
        <w:t xml:space="preserve"> Seda erandit ei kohaldata tegevusele, mis toimub käesoleva meetme raames üksnes ringlussevõetamatute ohtlike jäätmete käitlemisega tegelevates jaamades, ega olemasolevatele jaamadele, kui käesoleva meetme kohase tegevuse eesmärk on suurendada energiatõhusust, koguda heitgaase ladustamiseks või kasutamiseks või taaskasutada materjale põletustuhast, tingimusel et käesoleva meetme kohane tegevus ei suurenda jaamade jäätmekäitlusvõimsust ega pikenda nende kasutusaega; tõendid selle kohta tuleb esitada iga jaama kohta eraldi.</w:t>
      </w:r>
    </w:p>
  </w:footnote>
  <w:footnote w:id="18">
    <w:p w14:paraId="5784C231" w14:textId="77777777" w:rsidR="0084326C" w:rsidRPr="005D68A0" w:rsidRDefault="0084326C" w:rsidP="0084326C">
      <w:pPr>
        <w:pStyle w:val="FootnoteText"/>
        <w:ind w:left="0" w:firstLine="0"/>
      </w:pPr>
      <w:r>
        <w:rPr>
          <w:rStyle w:val="FootnoteReference"/>
        </w:rPr>
        <w:footnoteRef/>
      </w:r>
      <w:r>
        <w:t xml:space="preserve"> Seda erandit ei kohaldata käesoleva meetme kohasele tegevusele olemasolevates mehhaanilis-bioloogilise töötlemise käitistes, kui sellise tegevuse eesmärk on suurendada energiatõhusust või moderniseerida eraldatud jäätmete ringlussevõttu biojäätmete kompostimiseks ja nende anaeroobseks kääritamiseks, tingimusel et käesoleva meetme kohane tegevus ei suurenda käitiste jäätmekäitlusvõimsust ega pikenda nende kasutusaega; tõendid selle kohta tuleb esitada iga jaama kohta eraldi.</w:t>
      </w:r>
    </w:p>
  </w:footnote>
  <w:footnote w:id="19">
    <w:p w14:paraId="1B1AC112" w14:textId="77777777" w:rsidR="0084326C" w:rsidRPr="005D68A0" w:rsidRDefault="0084326C" w:rsidP="0084326C">
      <w:pPr>
        <w:pStyle w:val="FootnoteText"/>
        <w:ind w:left="0" w:firstLine="0"/>
      </w:pPr>
      <w:r>
        <w:rPr>
          <w:rStyle w:val="FootnoteReference"/>
          <w:lang w:val="en-GB"/>
        </w:rPr>
        <w:footnoteRef/>
      </w:r>
      <w:r>
        <w:t xml:space="preserve"> Välja arvatud a) käesoleva meetme kohased projektid, mis käsitlevad elektri- ja/või soojusenergia tootmist ning nendega seotud maagaasi kasutavat ülekande- ja jaotustaristut, mis vastavad dokumendi „Ei kahjusta oluliselt“ tehniliste suuniste (2021/C58/01) III lisas sätestatud tingimustele, ning b) alapunkti ii kohased tegevused ja varad, mille puhul fossiilkütuste kasutamine on ajutine ja tehniliselt vältimatu õigeaegseks üleminekuks fossiilkütustevabale käitamisele.</w:t>
      </w:r>
    </w:p>
  </w:footnote>
  <w:footnote w:id="20">
    <w:p w14:paraId="6C6D9F43" w14:textId="77777777" w:rsidR="0084326C" w:rsidRPr="005D68A0" w:rsidRDefault="0084326C" w:rsidP="0084326C">
      <w:pPr>
        <w:pStyle w:val="FootnoteText"/>
        <w:ind w:left="0" w:firstLine="0"/>
      </w:pPr>
      <w:r>
        <w:rPr>
          <w:rStyle w:val="FootnoteReference"/>
          <w:lang w:val="en-GB"/>
        </w:rPr>
        <w:footnoteRef/>
      </w:r>
      <w:r>
        <w:t xml:space="preserve"> Kui toetatava tegevusega saavutatakse prognoositud kasvuhoonegaaside heide, mis ei ole oluliselt väiksem asjaomastest võrdlusalustest, tuleks esitada selgitus põhjuste kohta, miks see ei ole võimalik. Saastekvootide tasuta eraldamise võrdlusalused saastekvootidega kauplemise süsteemi kohaldamisalasse kuuluvate tegevuste jaoks on sätestatud komisjoni rakendusmääruses (EL) 2021/447.</w:t>
      </w:r>
    </w:p>
  </w:footnote>
  <w:footnote w:id="21">
    <w:p w14:paraId="4483B15F" w14:textId="77777777" w:rsidR="0084326C" w:rsidRPr="005D68A0" w:rsidRDefault="0084326C" w:rsidP="0084326C">
      <w:pPr>
        <w:jc w:val="both"/>
      </w:pPr>
      <w:r>
        <w:rPr>
          <w:sz w:val="20"/>
          <w:vertAlign w:val="superscript"/>
        </w:rPr>
        <w:t>20</w:t>
      </w:r>
      <w:r>
        <w:rPr>
          <w:sz w:val="20"/>
        </w:rPr>
        <w:t xml:space="preserve"> Seda erandit ei kohaldata tegevusele, mis toimub käesoleva meetme raames üksnes ringlussevõetamatute ohtlike jäätmete käitlemisega tegelevates jaamades, ega olemasolevatele jaamadele, kui käesoleva meetme kohase tegevuse eesmärk on suurendada energiatõhusust, koguda heitgaase ladustamiseks või kasutamiseks või taaskasutada materjale põletustuhast, tingimusel et käesoleva meetme kohane tegevus ei suurenda jaamade jäätmekäitlusvõimsust ega pikenda nende kasutusaega; tõendid selle kohta tuleb esitada iga jaama kohta eraldi.</w:t>
      </w:r>
    </w:p>
  </w:footnote>
  <w:footnote w:id="22">
    <w:p w14:paraId="0B384FDF" w14:textId="77777777" w:rsidR="0084326C" w:rsidRPr="005D68A0" w:rsidRDefault="0084326C" w:rsidP="0084326C">
      <w:pPr>
        <w:pStyle w:val="FootnoteText"/>
        <w:ind w:left="0" w:firstLine="0"/>
      </w:pPr>
      <w:r>
        <w:rPr>
          <w:rStyle w:val="FootnoteReference"/>
          <w:lang w:val="en-GB"/>
        </w:rPr>
        <w:footnoteRef/>
      </w:r>
      <w:r>
        <w:t xml:space="preserve"> Seda erandit ei kohaldata käesoleva meetme kohasele tegevusele olemasolevates mehhaanilis-bioloogilise töötlemise käitistes, kui sellise tegevuse eesmärk on suurendada energiatõhusust või moderniseerida eraldatud jäätmete ringlussevõttu biojäätmete kompostimiseks ja nende anaeroobseks kääritamiseks, tingimusel et käesoleva meetme kohane tegevus ei suurenda käitiste jäätmekäitlusvõimsust ega pikenda nende kasutusaega; tõendid selle kohta tuleb esitada iga jaama kohta eraldi.</w:t>
      </w:r>
    </w:p>
  </w:footnote>
  <w:footnote w:id="23">
    <w:p w14:paraId="0A5CE6FF" w14:textId="77777777" w:rsidR="0084326C" w:rsidRPr="005D68A0" w:rsidRDefault="0084326C" w:rsidP="0084326C">
      <w:pPr>
        <w:pStyle w:val="FootnoteText"/>
        <w:ind w:left="0" w:firstLine="0"/>
      </w:pPr>
      <w:r>
        <w:rPr>
          <w:rStyle w:val="FootnoteReference"/>
          <w:lang w:val="en-GB"/>
        </w:rPr>
        <w:footnoteRef/>
      </w:r>
      <w:r>
        <w:t xml:space="preserve"> Välja arvatud a) käesoleva meetme kohased projektid, mis käsitlevad elektri- ja/või soojusenergia tootmist ning nendega seotud maagaasi kasutavat ülekande- ja jaotustaristut, mis vastavad dokumendi „Ei kahjusta oluliselt“ tehniliste suuniste (2021/C58/01) III lisas sätestatud tingimustele, ning b) alapunkti ii kohased tegevused ja varad, mille puhul fossiilkütuste kasutamine on ajutine ja tehniliselt vältimatu õigeaegseks üleminekuks fossiilkütustevabale käitamisele.</w:t>
      </w:r>
    </w:p>
  </w:footnote>
  <w:footnote w:id="24">
    <w:p w14:paraId="291674F8" w14:textId="77777777" w:rsidR="0084326C" w:rsidRPr="005D68A0" w:rsidRDefault="0084326C" w:rsidP="0084326C">
      <w:pPr>
        <w:pStyle w:val="FootnoteText"/>
        <w:ind w:left="0" w:firstLine="0"/>
      </w:pPr>
      <w:r>
        <w:rPr>
          <w:rStyle w:val="FootnoteReference"/>
          <w:lang w:val="en-GB"/>
        </w:rPr>
        <w:footnoteRef/>
      </w:r>
      <w:r>
        <w:t xml:space="preserve"> Kui toetatava tegevusega saavutatakse prognoositud kasvuhoonegaaside heide, mis ei ole oluliselt väiksem asjaomastest võrdlusalustest, tuleks esitada selgitus põhjuste kohta, miks see ei ole võimalik. Saastekvootide tasuta eraldamise võrdlusalused saastekvootidega kauplemise süsteemi kohaldamisalasse kuuluvate tegevuste jaoks on sätestatud komisjoni rakendusmääruses (EL) 2021/447.</w:t>
      </w:r>
    </w:p>
  </w:footnote>
  <w:footnote w:id="25">
    <w:p w14:paraId="5D9207A3" w14:textId="77777777" w:rsidR="0084326C" w:rsidRPr="005D68A0" w:rsidRDefault="0084326C" w:rsidP="0084326C">
      <w:pPr>
        <w:jc w:val="both"/>
      </w:pPr>
      <w:r>
        <w:rPr>
          <w:sz w:val="20"/>
          <w:vertAlign w:val="superscript"/>
        </w:rPr>
        <w:t>24</w:t>
      </w:r>
      <w:r>
        <w:rPr>
          <w:sz w:val="20"/>
        </w:rPr>
        <w:t xml:space="preserve"> Seda erandit ei kohaldata tegevusele, mis toimub käesoleva meetme raames üksnes ringlussevõetamatute ohtlike jäätmete käitlemisega tegelevates jaamades, ega olemasolevatele jaamadele, kui käesoleva meetme kohase tegevuse eesmärk on suurendada energiatõhusust, koguda heitgaase ladustamiseks või kasutamiseks või taaskasutada materjale põletustuhast, tingimusel et käesoleva meetme kohane tegevus ei suurenda jaamade jäätmekäitlusvõimsust ega pikenda nende kasutusaega; tõendid selle kohta tuleb esitada iga jaama kohta eraldi.</w:t>
      </w:r>
    </w:p>
  </w:footnote>
  <w:footnote w:id="26">
    <w:p w14:paraId="463BE53C" w14:textId="77777777" w:rsidR="0084326C" w:rsidRPr="005D68A0" w:rsidRDefault="0084326C" w:rsidP="0084326C">
      <w:pPr>
        <w:pStyle w:val="FootnoteText"/>
        <w:ind w:left="0" w:firstLine="0"/>
      </w:pPr>
      <w:r>
        <w:rPr>
          <w:rStyle w:val="FootnoteReference"/>
          <w:lang w:val="en-GB"/>
        </w:rPr>
        <w:footnoteRef/>
      </w:r>
      <w:r>
        <w:t xml:space="preserve"> Seda erandit ei kohaldata käesoleva meetme kohasele tegevusele olemasolevates mehhaanilis-bioloogilise töötlemise käitistes, kui sellise tegevuse eesmärk on suurendada energiatõhusust või moderniseerida eraldatud jäätmete ringlussevõttu biojäätmete kompostimiseks ja nende anaeroobseks kääritamiseks, tingimusel et käesoleva meetme kohane tegevus ei suurenda käitiste jäätmekäitlusvõimsust ega pikenda nende kasutusaega; tõendid selle kohta tuleb esitada iga jaama kohta eraldi.</w:t>
      </w:r>
    </w:p>
  </w:footnote>
  <w:footnote w:id="27">
    <w:p w14:paraId="02D613A8" w14:textId="77777777" w:rsidR="0084326C" w:rsidRPr="005D68A0" w:rsidRDefault="0084326C" w:rsidP="0084326C">
      <w:pPr>
        <w:pStyle w:val="FootnoteText"/>
        <w:ind w:left="0" w:firstLine="0"/>
      </w:pPr>
      <w:r>
        <w:rPr>
          <w:rStyle w:val="FootnoteReference"/>
          <w:lang w:val="en-GB"/>
        </w:rPr>
        <w:footnoteRef/>
      </w:r>
      <w:r>
        <w:t xml:space="preserve"> Välja arvatud a) käesoleva meetme kohased projektid, mis käsitlevad elektri- ja/või soojusenergia tootmist ning nendega seotud maagaasi kasutavat ülekande- ja jaotustaristut, mis vastavad dokumendi „Ei kahjusta oluliselt“ tehniliste suuniste (2021/C58/01) III lisas sätestatud tingimustele, ning b) alapunkti ii kohased tegevused ja varad, mille puhul fossiilkütuste kasutamine on ajutine ja tehniliselt vältimatu õigeaegseks üleminekuks fossiilkütustevabale käitamisele.</w:t>
      </w:r>
    </w:p>
  </w:footnote>
  <w:footnote w:id="28">
    <w:p w14:paraId="69BCB3E0" w14:textId="77777777" w:rsidR="0084326C" w:rsidRPr="005D68A0" w:rsidRDefault="0084326C" w:rsidP="0084326C">
      <w:pPr>
        <w:pStyle w:val="FootnoteText"/>
        <w:ind w:left="0" w:firstLine="0"/>
      </w:pPr>
      <w:r>
        <w:rPr>
          <w:rStyle w:val="FootnoteReference"/>
          <w:lang w:val="en-GB"/>
        </w:rPr>
        <w:footnoteRef/>
      </w:r>
      <w:r>
        <w:t xml:space="preserve"> Kui toetatava tegevusega saavutatakse prognoositud kasvuhoonegaaside heide, mis ei ole oluliselt väiksem asjaomastest võrdlusalustest, tuleks esitada selgitus põhjuste kohta, miks see ei ole võimalik. Saastekvootide tasuta eraldamise võrdlusalused saastekvootidega kauplemise süsteemi kohaldamisalasse kuuluvate tegevuste jaoks on sätestatud komisjoni rakendusmääruses (EL) 2021/447.</w:t>
      </w:r>
    </w:p>
  </w:footnote>
  <w:footnote w:id="29">
    <w:p w14:paraId="074D79CA" w14:textId="77777777" w:rsidR="0084326C" w:rsidRPr="005D68A0" w:rsidRDefault="0084326C" w:rsidP="0084326C">
      <w:pPr>
        <w:jc w:val="both"/>
      </w:pPr>
      <w:r>
        <w:rPr>
          <w:sz w:val="20"/>
        </w:rPr>
        <w:t>Seda erandit ei kohaldata tegevusele, mis toimub käesoleva meetme raames üksnes ringlussevõetamatute ohtlike jäätmete käitlemisega tegelevates jaamades, ega olemasolevatele jaamadele, kui käesoleva meetme kohase tegevuse eesmärk on suurendada energiatõhusust, koguda heitgaase ladustamiseks või kasutamiseks või taaskasutada materjale põletustuhast, tingimusel et käesoleva meetme kohane tegevus ei suurenda jaamade jäätmekäitlusvõimsust ega pikenda nende kasutusaega; tõendid selle kohta tuleb esitada iga jaama kohta eraldi.</w:t>
      </w:r>
    </w:p>
  </w:footnote>
  <w:footnote w:id="30">
    <w:p w14:paraId="4245E398" w14:textId="77777777" w:rsidR="0084326C" w:rsidRPr="005D68A0" w:rsidRDefault="0084326C" w:rsidP="0084326C">
      <w:pPr>
        <w:pStyle w:val="FootnoteText"/>
        <w:ind w:left="0" w:firstLine="0"/>
      </w:pPr>
      <w:r>
        <w:rPr>
          <w:rStyle w:val="FootnoteReference"/>
          <w:lang w:val="en-GB"/>
        </w:rPr>
        <w:footnoteRef/>
      </w:r>
      <w:r>
        <w:t xml:space="preserve"> Seda erandit ei kohaldata käesoleva meetme kohasele tegevusele olemasolevates mehhaanilis-bioloogilise töötlemise käitistes, kui sellise tegevuse eesmärk on suurendada energiatõhusust või moderniseerida eraldatud jäätmete ringlussevõttu biojäätmete kompostimiseks ja nende anaeroobseks kääritamiseks, tingimusel et käesoleva meetme kohane tegevus ei suurenda käitiste jäätmekäitlusvõimsust ega pikenda nende kasutusaega; tõendid selle kohta tuleb esitada iga jaama kohta eraldi.</w:t>
      </w:r>
    </w:p>
  </w:footnote>
  <w:footnote w:id="31">
    <w:p w14:paraId="0E391451" w14:textId="77777777" w:rsidR="0084326C" w:rsidRPr="005D68A0" w:rsidRDefault="0084326C" w:rsidP="0084326C">
      <w:pPr>
        <w:pStyle w:val="FootnoteText"/>
        <w:ind w:left="0" w:firstLine="0"/>
      </w:pPr>
      <w:r>
        <w:rPr>
          <w:rStyle w:val="FootnoteReference"/>
          <w:lang w:val="en-GB"/>
        </w:rPr>
        <w:footnoteRef/>
      </w:r>
      <w:r>
        <w:t xml:space="preserve"> Välja arvatud a) käesoleva meetme kohased projektid, mis käsitlevad elektri- ja/või soojusenergia tootmist ning nendega seotud maagaasi kasutavat ülekande- ja jaotustaristut, mis vastavad dokumendi „Ei kahjusta oluliselt“ tehniliste suuniste (2021/C58/01) III lisas sätestatud tingimustele, ning b) alapunkti ii kohased tegevused ja varad, mille puhul fossiilkütuste kasutamine on ajutine ja tehniliselt vältimatu õigeaegseks üleminekuks fossiilkütustevabale käitamisele.</w:t>
      </w:r>
    </w:p>
  </w:footnote>
  <w:footnote w:id="32">
    <w:p w14:paraId="3ECD0F96" w14:textId="77777777" w:rsidR="0084326C" w:rsidRPr="005D68A0" w:rsidRDefault="0084326C" w:rsidP="0084326C">
      <w:pPr>
        <w:pStyle w:val="FootnoteText"/>
        <w:ind w:left="0" w:firstLine="0"/>
      </w:pPr>
      <w:r>
        <w:rPr>
          <w:rStyle w:val="FootnoteReference"/>
          <w:lang w:val="en-GB"/>
        </w:rPr>
        <w:footnoteRef/>
      </w:r>
      <w:r>
        <w:t xml:space="preserve"> Kui toetatava tegevusega saavutatakse prognoositud kasvuhoonegaaside heide, mis ei ole oluliselt väiksem asjaomastest võrdlusalustest, tuleks esitada selgitus põhjuste kohta, miks see ei ole võimalik. Saastekvootide tasuta eraldamise võrdlusalused saastekvootidega kauplemise süsteemi kohaldamisalasse kuuluvate tegevuste jaoks on sätestatud komisjoni rakendusmääruses (EL) 2021/447.</w:t>
      </w:r>
    </w:p>
  </w:footnote>
  <w:footnote w:id="33">
    <w:p w14:paraId="5BDBD51E" w14:textId="77777777" w:rsidR="0084326C" w:rsidRPr="005D68A0" w:rsidRDefault="0084326C" w:rsidP="0084326C">
      <w:pPr>
        <w:pStyle w:val="FootnoteText"/>
        <w:ind w:left="0" w:firstLine="0"/>
      </w:pPr>
      <w:r>
        <w:rPr>
          <w:vertAlign w:val="superscript"/>
        </w:rPr>
        <w:t>32</w:t>
      </w:r>
      <w:r>
        <w:t xml:space="preserve"> Seda erandit ei kohaldata tegevusele, mis toimub käesoleva meetme raames üksnes ringlussevõetamatute ohtlike jäätmete käitlemisega tegelevates jaamades, ega olemasolevatele jaamadele, kui käesoleva meetme kohase tegevuse eesmärk on suurendada energiatõhusust, koguda heitgaase ladustamiseks või kasutamiseks või taaskasutada materjale põletustuhast, tingimusel et käesoleva meetme kohane tegevus ei suurenda jaamade jäätmekäitlusvõimsust ega pikenda nende kasutusaega; tõendid selle kohta tuleb esitada iga jaama kohta eraldi.</w:t>
      </w:r>
    </w:p>
  </w:footnote>
  <w:footnote w:id="34">
    <w:p w14:paraId="1B8BC1C2" w14:textId="77777777" w:rsidR="0084326C" w:rsidRPr="005D68A0" w:rsidRDefault="0084326C" w:rsidP="0084326C">
      <w:pPr>
        <w:pStyle w:val="FootnoteText"/>
        <w:ind w:left="0" w:firstLine="0"/>
      </w:pPr>
      <w:r>
        <w:rPr>
          <w:rStyle w:val="FootnoteReference"/>
          <w:lang w:val="en-GB"/>
        </w:rPr>
        <w:footnoteRef/>
      </w:r>
      <w:r>
        <w:t xml:space="preserve"> Seda erandit ei kohaldata käesoleva meetme kohasele tegevusele olemasolevates mehhaanilis-bioloogilise töötlemise käitistes, kui sellise tegevuse eesmärk on suurendada energiatõhusust või moderniseerida eraldatud jäätmete ringlussevõttu biojäätmete kompostimiseks ja nende anaeroobseks kääritamiseks, tingimusel et käesoleva meetme kohane tegevus ei suurenda käitiste jäätmekäitlusvõimsust ega pikenda nende kasutusaega; tõendid selle kohta tuleb esitada iga jaama kohta eraldi.</w:t>
      </w:r>
    </w:p>
  </w:footnote>
  <w:footnote w:id="35">
    <w:p w14:paraId="5B94EB7E" w14:textId="77777777" w:rsidR="0084326C" w:rsidRPr="005D68A0" w:rsidRDefault="0084326C" w:rsidP="0084326C">
      <w:pPr>
        <w:pStyle w:val="FootnoteText"/>
        <w:ind w:left="0" w:firstLine="0"/>
      </w:pPr>
      <w:r>
        <w:rPr>
          <w:rStyle w:val="FootnoteReference"/>
        </w:rPr>
        <w:footnoteRef/>
      </w:r>
      <w:r>
        <w:t xml:space="preserve"> Välja arvatud a) käesoleva meetme kohased projektid, mis käsitlevad elektri- ja/või soojusenergia tootmist ning nendega seotud maagaasi kasutavat ülekande- ja jaotustaristut, mis vastavad dokumendi „Ei kahjusta oluliselt“ tehniliste suuniste (2021/C58/01) III lisas sätestatud tingimustele, ning b) alapunkti ii kohased tegevused ja varad, mille puhul fossiilkütuste kasutamine on ajutine ja tehniliselt vältimatu õigeaegseks üleminekuks fossiilkütustevabale käitamisele.</w:t>
      </w:r>
    </w:p>
  </w:footnote>
  <w:footnote w:id="36">
    <w:p w14:paraId="7B1B2D91" w14:textId="77777777" w:rsidR="0084326C" w:rsidRPr="005D68A0" w:rsidRDefault="0084326C" w:rsidP="0084326C">
      <w:pPr>
        <w:pStyle w:val="FootnoteText"/>
        <w:ind w:left="0" w:firstLine="0"/>
      </w:pPr>
      <w:r>
        <w:rPr>
          <w:rStyle w:val="FootnoteReference"/>
        </w:rPr>
        <w:footnoteRef/>
      </w:r>
      <w:r>
        <w:t xml:space="preserve"> Kui toetatava tegevusega saavutatakse prognoositud kasvuhoonegaaside heide, mis ei ole oluliselt väiksem asjaomastest võrdlusalustest, tuleks esitada selgitus põhjuste kohta, miks see ei ole võimalik. Saastekvootide tasuta eraldamise võrdlusalused saastekvootidega kauplemise süsteemi kohaldamisalasse kuuluvate tegevuste jaoks on sätestatud komisjoni rakendusmääruses (EL) 2021/447.</w:t>
      </w:r>
    </w:p>
  </w:footnote>
  <w:footnote w:id="37">
    <w:p w14:paraId="5CB009FC" w14:textId="77777777" w:rsidR="0084326C" w:rsidRPr="005D68A0" w:rsidRDefault="0084326C" w:rsidP="0084326C">
      <w:pPr>
        <w:pStyle w:val="FootnoteText"/>
        <w:ind w:left="0" w:firstLine="0"/>
      </w:pPr>
      <w:r>
        <w:rPr>
          <w:rStyle w:val="FootnoteReference"/>
        </w:rPr>
        <w:footnoteRef/>
      </w:r>
      <w:r>
        <w:t xml:space="preserve"> Seda erandit ei kohaldata tegevusele, mis toimub käesoleva meetme raames üksnes ringlussevõetamatute ohtlike jäätmete käitlemisega tegelevates jaamades, ega olemasolevatele jaamadele, kui käesoleva meetme kohase tegevuse eesmärk on suurendada energiatõhusust, koguda heitgaase ladustamiseks või kasutamiseks või taaskasutada materjale põletustuhast, tingimusel et käesoleva meetme kohane tegevus ei suurenda jaamade jäätmekäitlusvõimsust ega pikenda nende kasutusaega; tõendid selle kohta tuleb esitada iga jaama kohta eraldi.</w:t>
      </w:r>
    </w:p>
  </w:footnote>
  <w:footnote w:id="38">
    <w:p w14:paraId="687C018E" w14:textId="77777777" w:rsidR="0084326C" w:rsidRPr="005D68A0" w:rsidRDefault="0084326C" w:rsidP="0084326C">
      <w:pPr>
        <w:pStyle w:val="FootnoteText"/>
        <w:ind w:left="0" w:firstLine="0"/>
      </w:pPr>
      <w:r>
        <w:rPr>
          <w:rStyle w:val="FootnoteReference"/>
        </w:rPr>
        <w:footnoteRef/>
      </w:r>
      <w:r>
        <w:t xml:space="preserve"> Seda erandit ei kohaldata käesoleva meetme kohasele tegevusele olemasolevates mehhaanilis-bioloogilise töötlemise käitistes, kui sellise tegevuse eesmärk on suurendada energiatõhusust või moderniseerida eraldatud jäätmete ringlussevõttu biojäätmete kompostimiseks ja nende anaeroobseks kääritamiseks, tingimusel et käesoleva meetme kohane tegevus ei suurenda käitiste jäätmekäitlusvõimsust ega pikenda nende kasutusaega; tõendid selle kohta tuleb esitada iga jaama kohta eraldi.</w:t>
      </w:r>
    </w:p>
  </w:footnote>
  <w:footnote w:id="39">
    <w:p w14:paraId="78548BD6" w14:textId="77777777" w:rsidR="0084326C" w:rsidRPr="005D68A0" w:rsidRDefault="0084326C" w:rsidP="0084326C">
      <w:pPr>
        <w:pStyle w:val="FootnoteText"/>
        <w:ind w:left="0" w:firstLine="0"/>
      </w:pPr>
      <w:r>
        <w:rPr>
          <w:rStyle w:val="FootnoteReference"/>
        </w:rPr>
        <w:footnoteRef/>
      </w:r>
      <w:r>
        <w:t xml:space="preserve"> Välja arvatud a) käesoleva meetme kohased projektid, mis käsitlevad elektri- ja/või soojusenergia tootmist ning nendega seotud maagaasi kasutavat ülekande- ja jaotustaristut, mis vastavad dokumendi „Ei kahjusta oluliselt“ tehniliste suuniste (2021/C58/01) III lisas sätestatud tingimustele, ning b) alapunkti ii kohased tegevused ja varad, mille puhul fossiilkütuste kasutamine on ajutine ja tehniliselt vältimatu õigeaegseks üleminekuks fossiilkütustevabale käitamisele.</w:t>
      </w:r>
    </w:p>
  </w:footnote>
  <w:footnote w:id="40">
    <w:p w14:paraId="5E85761E" w14:textId="77777777" w:rsidR="0084326C" w:rsidRPr="005D68A0" w:rsidRDefault="0084326C" w:rsidP="0084326C">
      <w:pPr>
        <w:pStyle w:val="FootnoteText"/>
        <w:ind w:left="0" w:firstLine="0"/>
      </w:pPr>
      <w:r>
        <w:rPr>
          <w:rStyle w:val="FootnoteReference"/>
        </w:rPr>
        <w:footnoteRef/>
      </w:r>
      <w:r>
        <w:t xml:space="preserve"> Kui toetatava tegevusega saavutatakse prognoositud kasvuhoonegaaside heide, mis ei ole oluliselt väiksem asjaomastest võrdlusalustest, tuleks esitada selgitus põhjuste kohta, miks see ei ole võimalik. Saastekvootide tasuta eraldamise võrdlusalused saastekvootidega kauplemise süsteemi kohaldamisalasse kuuluvate tegevuste jaoks on sätestatud komisjoni rakendusmääruses (EL) 2021/447.</w:t>
      </w:r>
    </w:p>
  </w:footnote>
  <w:footnote w:id="41">
    <w:p w14:paraId="411153F6" w14:textId="77777777" w:rsidR="0084326C" w:rsidRPr="005D68A0" w:rsidRDefault="0084326C" w:rsidP="0084326C">
      <w:pPr>
        <w:pStyle w:val="FootnoteText"/>
        <w:ind w:left="0" w:firstLine="0"/>
      </w:pPr>
      <w:r>
        <w:rPr>
          <w:rStyle w:val="FootnoteReference"/>
        </w:rPr>
        <w:footnoteRef/>
      </w:r>
      <w:r>
        <w:t xml:space="preserve"> Seda erandit ei kohaldata tegevusele, mis toimub käesoleva meetme raames üksnes ringlussevõetamatute ohtlike jäätmete käitlemisega tegelevates jaamades, ega olemasolevatele jaamadele, kui käesoleva meetme kohase tegevuse eesmärk on suurendada energiatõhusust, koguda heitgaase ladustamiseks või kasutamiseks või taaskasutada materjale põletustuhast, tingimusel et käesoleva meetme kohane tegevus ei suurenda jaamade jäätmekäitlusvõimsust ega pikenda nende kasutusaega; tõendid selle kohta tuleb esitada iga jaama kohta eraldi.</w:t>
      </w:r>
    </w:p>
  </w:footnote>
  <w:footnote w:id="42">
    <w:p w14:paraId="50CECFE5" w14:textId="77777777" w:rsidR="0084326C" w:rsidRPr="005D68A0" w:rsidRDefault="0084326C" w:rsidP="0084326C">
      <w:pPr>
        <w:pStyle w:val="FootnoteText"/>
        <w:ind w:left="0" w:firstLine="0"/>
      </w:pPr>
      <w:r>
        <w:rPr>
          <w:rStyle w:val="FootnoteReference"/>
        </w:rPr>
        <w:footnoteRef/>
      </w:r>
      <w:r>
        <w:t xml:space="preserve"> Seda erandit ei kohaldata käesoleva meetme kohasele tegevusele olemasolevates mehhaanilis-bioloogilise töötlemise käitistes, kui sellise tegevuse eesmärk on suurendada energiatõhusust või moderniseerida eraldatud jäätmete ringlussevõttu biojäätmete kompostimiseks ja nende anaeroobseks kääritamiseks, tingimusel et käesoleva meetme kohane tegevus ei suurenda käitiste jäätmekäitlusvõimsust ega pikenda nende kasutusaega; tõendid selle kohta tuleb esitada iga jaama kohta eraldi.</w:t>
      </w:r>
    </w:p>
  </w:footnote>
  <w:footnote w:id="43">
    <w:p w14:paraId="290A61A1" w14:textId="77777777" w:rsidR="0084326C" w:rsidRPr="005D68A0" w:rsidRDefault="0084326C" w:rsidP="0084326C">
      <w:pPr>
        <w:pStyle w:val="FootnoteText"/>
        <w:ind w:left="0" w:firstLine="0"/>
      </w:pPr>
      <w:r>
        <w:rPr>
          <w:rStyle w:val="FootnoteReference"/>
        </w:rPr>
        <w:footnoteRef/>
      </w:r>
      <w:r>
        <w:t xml:space="preserve"> Välja arvatud a) varad ja tegevused elektri- ja/või soojusenergia tootmises ning nendega seotud ülekande- ja jaotustaristus, milles kasutatakse maagaasi, mis vastavad dokumendi „Ei kahjusta oluliselt“ tehniliste suuniste (2021/C58/01) III lisas sätestatud tingimustele, ning b) alapunkti ii kohased tegevused ja varad, mille puhul fossiilkütuste kasutamine on ajutine ja tehniliselt vältimatu õigeaegseks üleminekuks fossiilkütuste tasuta kasutamisele.</w:t>
      </w:r>
    </w:p>
  </w:footnote>
  <w:footnote w:id="44">
    <w:p w14:paraId="0E502460" w14:textId="77777777" w:rsidR="0084326C" w:rsidRPr="005D68A0" w:rsidRDefault="0084326C" w:rsidP="0084326C">
      <w:pPr>
        <w:pStyle w:val="FootnoteText"/>
        <w:ind w:left="0" w:firstLine="0"/>
      </w:pPr>
      <w:r>
        <w:rPr>
          <w:rStyle w:val="FootnoteReference"/>
        </w:rPr>
        <w:footnoteRef/>
      </w:r>
      <w:r>
        <w:t xml:space="preserve"> Kui toetatava tegevuse prognoositav kasvuhoonegaaside heide ei ole asjaomasest võrdlusalusest oluliselt madalam, tuleb esitada selgitus põhjuste kohta, miks see ei ole võimalik. Saastekvootide tasuta eraldamise võrdlusalused saastekvootidega kauplemise süsteemi kohaldamisalasse kuuluvate tegevuste jaoks on sätestatud komisjoni rakendusmääruses (EL) 2021/447.</w:t>
      </w:r>
    </w:p>
  </w:footnote>
  <w:footnote w:id="45">
    <w:p w14:paraId="339023E8" w14:textId="77777777" w:rsidR="0084326C" w:rsidRPr="005D68A0" w:rsidRDefault="0084326C" w:rsidP="0084326C">
      <w:pPr>
        <w:pStyle w:val="FootnoteText"/>
        <w:ind w:left="0" w:firstLine="0"/>
      </w:pPr>
      <w:r>
        <w:rPr>
          <w:rStyle w:val="FootnoteReference"/>
        </w:rPr>
        <w:footnoteRef/>
      </w:r>
      <w:r>
        <w:t xml:space="preserve"> Seda erandit ei kohaldata tegevusele, mis toimub käesoleva meetme raames üksnes ringlussevõetamatute ohtlike jäätmete käitlemisega tegelevates jaamades, ega olemasolevatele jaamadele, kui käesoleva meetme kohase tegevuse eesmärk on suurendada energiatõhusust, koguda heitgaase ladustamiseks või kasutamiseks või taaskasutada materjale põletustuhast, tingimusel et käesoleva meetme kohane tegevus ei suurenda jaamade jäätmekäitlusvõimsust ega pikenda nende kasutusaega; tõendid selle kohta tuleb esitada iga jaama kohta eraldi. </w:t>
      </w:r>
    </w:p>
  </w:footnote>
  <w:footnote w:id="46">
    <w:p w14:paraId="3BBE5B7D" w14:textId="77777777" w:rsidR="0084326C" w:rsidRPr="005D68A0" w:rsidRDefault="0084326C" w:rsidP="0084326C">
      <w:pPr>
        <w:pStyle w:val="FootnoteText"/>
        <w:ind w:left="0" w:firstLine="0"/>
      </w:pPr>
      <w:r>
        <w:rPr>
          <w:rStyle w:val="FootnoteReference"/>
        </w:rPr>
        <w:footnoteRef/>
      </w:r>
      <w:r>
        <w:t xml:space="preserve"> Seda erandit ei kohaldata käesoleva meetme kohasele tegevusele olemasolevates mehhaanilis-bioloogilise töötlemise käitistes, kui sellise tegevuse eesmärk on suurendada energiatõhusust või moderniseerida eraldatud jäätmete ringlussevõttu biojäätmete kompostimiseks ja nende anaeroobseks kääritamiseks, tingimusel et käesoleva meetme kohane tegevus ei suurenda käitiste jäätmekäitlusvõimsust ega pikenda nende kasutusaega; tõendid selle kohta tuleb esitada iga jaama kohta eraldi. </w:t>
      </w:r>
    </w:p>
  </w:footnote>
  <w:footnote w:id="47">
    <w:p w14:paraId="10C8ACF2" w14:textId="77777777" w:rsidR="0084326C" w:rsidRPr="005D68A0" w:rsidRDefault="0084326C" w:rsidP="0084326C">
      <w:pPr>
        <w:pStyle w:val="FootnoteText"/>
        <w:ind w:left="0" w:firstLine="0"/>
      </w:pPr>
      <w:r>
        <w:rPr>
          <w:rStyle w:val="FootnoteReference"/>
        </w:rPr>
        <w:footnoteRef/>
      </w:r>
      <w:r>
        <w:t xml:space="preserve"> Konkreetsete projektidega seotud lõplikud toetusesaajad peavad kliimaalase panuse arvutamiseks esitama iga toetatava projekti puhul valitud sekkumisvaldkonna põhjenduse koos projekti kirjeldusega. Kliimatoetuse arvutamiseks esitavad lõplikud abisaajad omakapitalist, kvaasiomakapitalist, äriühingu võlakirjadest või samaväärsetest vahenditest, mis ei ole suunatud konkreetsetele projektidele, valitud sekkumisvaldkonna(te) kohta põhjenduse. Rakenduspartner peab samuti esitama liikmesriigile poolaastaaruande iga projekti/tegevuse rakendamise kohta.</w:t>
      </w:r>
    </w:p>
    <w:p w14:paraId="7D9F6DEB" w14:textId="77777777" w:rsidR="0084326C" w:rsidRPr="00F33804" w:rsidRDefault="0084326C" w:rsidP="0084326C">
      <w:pPr>
        <w:pStyle w:val="FootnoteText"/>
      </w:pPr>
    </w:p>
  </w:footnote>
  <w:footnote w:id="48">
    <w:p w14:paraId="6848BE70" w14:textId="77777777" w:rsidR="0084326C" w:rsidRPr="005D68A0" w:rsidRDefault="0084326C" w:rsidP="0084326C">
      <w:pPr>
        <w:pStyle w:val="FootnoteText"/>
        <w:ind w:left="0" w:firstLine="0"/>
      </w:pPr>
      <w:r>
        <w:rPr>
          <w:rStyle w:val="FootnoteReference"/>
          <w:lang w:val="en-GB"/>
        </w:rPr>
        <w:footnoteRef/>
      </w:r>
      <w:r>
        <w:t xml:space="preserve"> Suurlinnapiirkondade all mõeldakse selles meetmes „funktsionaalseid linnapiirkondi“, nagu on määratletud Euroopa Komisjoni ja OECD andmebaasis (Dijkstra, L., H. Poelman ja P. Veneri (2019), „The EU-OECD definition of a functional urban area“, OECD regionaalarengu töödokumendid, nr 2019/11, OECD Publishing, Pariis, https://doi.org/10.1787/d58cb34d-en). </w:t>
      </w:r>
    </w:p>
  </w:footnote>
  <w:footnote w:id="49">
    <w:p w14:paraId="49BEC872" w14:textId="77777777" w:rsidR="0084326C" w:rsidRPr="005D68A0" w:rsidRDefault="0084326C" w:rsidP="0084326C">
      <w:pPr>
        <w:pStyle w:val="FootnoteText"/>
      </w:pPr>
      <w:r>
        <w:rPr>
          <w:rStyle w:val="FootnoteReference"/>
          <w:lang w:val="en-GB"/>
        </w:rPr>
        <w:footnoteRef/>
      </w:r>
      <w:r>
        <w:t xml:space="preserve"> Kooskõlas määruse (EL) 2021/241 VI lisa sekkumisvaldkonnaga 72a kohaldatakse seda ka kaherežiimiliste rongide suhtes.</w:t>
      </w:r>
    </w:p>
  </w:footnote>
  <w:footnote w:id="50">
    <w:p w14:paraId="5F50ADCD" w14:textId="1B59682C" w:rsidR="00805132" w:rsidRPr="005D68A0" w:rsidRDefault="00805132" w:rsidP="00D83F17">
      <w:pPr>
        <w:pStyle w:val="FootnoteText"/>
        <w:ind w:left="0" w:firstLine="0"/>
      </w:pPr>
      <w:r>
        <w:rPr>
          <w:rStyle w:val="FootnoteReference"/>
        </w:rPr>
        <w:footnoteRef/>
      </w:r>
      <w:r>
        <w:t xml:space="preserve"> Suurlinnapiirkondade all mõeldakse selles meetmes „funktsionaalseid linnapiirkondi“, nagu on määratletud Euroopa Komisjoni ja OECD andmebaasis (Dijkstra, L., H. Poelman ja P. Veneri (2019).</w:t>
      </w:r>
    </w:p>
  </w:footnote>
  <w:footnote w:id="51">
    <w:p w14:paraId="371C9D9F" w14:textId="77777777" w:rsidR="0084326C" w:rsidRPr="005D68A0" w:rsidRDefault="0084326C" w:rsidP="0084326C">
      <w:pPr>
        <w:pStyle w:val="FootnoteText"/>
      </w:pPr>
      <w:r>
        <w:rPr>
          <w:rStyle w:val="FootnoteReference"/>
          <w:lang w:val="en-GB"/>
        </w:rPr>
        <w:footnoteRef/>
      </w:r>
      <w:r>
        <w:t xml:space="preserve"> Kooskõlas määruse (EL) 2021/241 VI lisa sekkumisvaldkonnaga 72a kohaldatakse seda ka kaherežiimiliste rongide suhtes.</w:t>
      </w:r>
    </w:p>
  </w:footnote>
  <w:footnote w:id="52">
    <w:p w14:paraId="5FD7BF4A" w14:textId="77777777" w:rsidR="0084326C" w:rsidRPr="005D68A0" w:rsidRDefault="0084326C" w:rsidP="0084326C">
      <w:pPr>
        <w:pStyle w:val="FootnoteText"/>
        <w:ind w:left="0" w:firstLine="0"/>
      </w:pPr>
      <w:r>
        <w:rPr>
          <w:rStyle w:val="FootnoteReference"/>
          <w:lang w:val="en-GB"/>
        </w:rPr>
        <w:footnoteRef/>
      </w:r>
      <w:r>
        <w:t xml:space="preserve"> Välja arvatud a) varad ja tegevused elektri- ja/või soojusenergia tootmises ning nendega seotud ülekande- ja jaotustaristus, milles kasutatakse maagaasi, mis vastavad dokumendi „Ei kahjusta oluliselt“ tehniliste suuniste (2021/C58/01) III lisas sätestatud tingimustele, ning b) alapunkti ii kohased tegevused ja varad, mille puhul fossiilkütuste kasutamine on ajutine ja tehniliselt vältimatu õigeaegseks üleminekuks fossiilkütuste tasuta kasutamisele.</w:t>
      </w:r>
    </w:p>
  </w:footnote>
  <w:footnote w:id="53">
    <w:p w14:paraId="72D2749D" w14:textId="77777777" w:rsidR="0084326C" w:rsidRPr="005D68A0" w:rsidRDefault="0084326C" w:rsidP="0084326C">
      <w:pPr>
        <w:pStyle w:val="FootnoteText"/>
        <w:ind w:left="0" w:firstLine="0"/>
      </w:pPr>
      <w:r>
        <w:rPr>
          <w:rStyle w:val="FootnoteReference"/>
          <w:lang w:val="en-GB"/>
        </w:rPr>
        <w:footnoteRef/>
      </w:r>
      <w:r>
        <w:t xml:space="preserve"> Kui toetatava tegevuse prognoositav kasvuhoonegaaside heide ei ole asjaomasest võrdlusalusest oluliselt madalam, tuleb esitada selgitus põhjuste kohta, miks see ei ole võimalik. Saastekvootide tasuta eraldamise võrdlusalused saastekvootidega kauplemise süsteemi kohaldamisalasse kuuluvate tegevuste jaoks on sätestatud komisjoni rakendusmääruses (EL) 2021/447.</w:t>
      </w:r>
    </w:p>
  </w:footnote>
  <w:footnote w:id="54">
    <w:p w14:paraId="0ED0991C" w14:textId="77777777" w:rsidR="0084326C" w:rsidRPr="005D68A0" w:rsidRDefault="0084326C" w:rsidP="0084326C">
      <w:pPr>
        <w:pStyle w:val="FootnoteText"/>
        <w:ind w:left="0" w:firstLine="0"/>
      </w:pPr>
      <w:r>
        <w:rPr>
          <w:rStyle w:val="FootnoteReference"/>
          <w:lang w:val="en-GB"/>
        </w:rPr>
        <w:footnoteRef/>
      </w:r>
      <w:r>
        <w:t xml:space="preserve"> Seda erandit ei kohaldata tegevusele, mis toimub käesoleva meetme raames üksnes ringlussevõetamatute ohtlike jäätmete käitlemisega tegelevates jaamades, ega olemasolevatele jaamadele, kui käesoleva meetme kohase tegevuse eesmärk on suurendada energiatõhusust, koguda heitgaase ladustamiseks või kasutamiseks või taaskasutada materjale põletustuhast, tingimusel et käesoleva meetme kohane tegevus ei suurenda jaamade jäätmekäitlusvõimsust ega pikenda nende kasutusaega; tõendid selle kohta tuleb esitada iga jaama kohta eraldi. </w:t>
      </w:r>
    </w:p>
  </w:footnote>
  <w:footnote w:id="55">
    <w:p w14:paraId="738E7433" w14:textId="77777777" w:rsidR="0084326C" w:rsidRPr="005D68A0" w:rsidRDefault="0084326C" w:rsidP="0084326C">
      <w:pPr>
        <w:pStyle w:val="FootnoteText"/>
        <w:ind w:left="0" w:firstLine="0"/>
      </w:pPr>
      <w:r>
        <w:rPr>
          <w:rStyle w:val="FootnoteReference"/>
          <w:lang w:val="en-GB"/>
        </w:rPr>
        <w:footnoteRef/>
      </w:r>
      <w:r>
        <w:t xml:space="preserve"> Seda erandit ei kohaldata käesoleva meetme kohasele tegevusele olemasolevates mehhaanilis-bioloogilise töötlemise käitistes, kui sellise tegevuse eesmärk on suurendada energiatõhusust või moderniseerida eraldatud jäätmete ringlussevõttu biojäätmete kompostimiseks ja nende anaeroobseks kääritamiseks, tingimusel et käesoleva meetme kohane tegevus ei suurenda käitiste jäätmekäitlusvõimsust ega pikenda nende kasutusaega; tõendid selle kohta tuleb esitada iga jaama kohta eraldi.</w:t>
      </w:r>
    </w:p>
  </w:footnote>
  <w:footnote w:id="56">
    <w:p w14:paraId="3B0CCF19" w14:textId="77777777" w:rsidR="0084326C" w:rsidRPr="005D68A0" w:rsidRDefault="0084326C" w:rsidP="0084326C">
      <w:pPr>
        <w:pStyle w:val="FootnoteText"/>
        <w:ind w:left="0" w:firstLine="0"/>
      </w:pPr>
      <w:r>
        <w:rPr>
          <w:rStyle w:val="FootnoteReference"/>
          <w:lang w:val="en-GB"/>
        </w:rPr>
        <w:footnoteRef/>
      </w:r>
      <w:r>
        <w:t xml:space="preserve"> Konkreetsete projektidega seotud lõplikud toetusesaajad peavad kliimaalase panuse arvutamiseks esitama iga toetatava projekti puhul valitud sekkumisvaldkonna põhjenduse koos projekti kirjeldusega. Kliimatoetuse arvutamiseks esitavad lõplikud abisaajad omakapitalist, kvaasiomakapitalist, äriühingu võlakirjadest või samaväärsetest vahenditest, mis ei ole suunatud konkreetsetele projektidele, valitud sekkumisvaldkonna(te) kohta põhjenduse. Rakenduspartner peab samuti esitama liikmesriigile poolaastaaruande iga projekti/tegevuse rakendamise kohta.</w:t>
      </w:r>
    </w:p>
  </w:footnote>
  <w:footnote w:id="57">
    <w:p w14:paraId="7571D49C" w14:textId="77777777" w:rsidR="0084326C" w:rsidRPr="005D68A0" w:rsidRDefault="0084326C" w:rsidP="0084326C">
      <w:pPr>
        <w:pStyle w:val="FootnoteText"/>
        <w:ind w:left="0" w:firstLine="0"/>
      </w:pPr>
      <w:r>
        <w:rPr>
          <w:rStyle w:val="FootnoteReference"/>
          <w:rFonts w:eastAsiaTheme="majorEastAsia"/>
          <w:lang w:val="en-GB"/>
        </w:rPr>
        <w:footnoteRef/>
      </w:r>
      <w:r>
        <w:t xml:space="preserve"> CDP riskikapitali SGR teostab valitsemistegevust kooskõlas alternatiivsete investeerimisfondide valitsejate direktiivis sätestatud sõltumatuse ja sõltumatuse põhimõtetega. </w:t>
      </w:r>
    </w:p>
  </w:footnote>
  <w:footnote w:id="58">
    <w:p w14:paraId="2AF65F68" w14:textId="77777777" w:rsidR="0084326C" w:rsidRPr="005D68A0" w:rsidRDefault="0084326C" w:rsidP="0084326C">
      <w:pPr>
        <w:pStyle w:val="FootnoteText"/>
        <w:ind w:left="0" w:firstLine="0"/>
      </w:pPr>
      <w:r>
        <w:rPr>
          <w:rStyle w:val="FootnoteReference"/>
          <w:rFonts w:eastAsiaTheme="majorEastAsia"/>
          <w:lang w:val="en-GB"/>
        </w:rPr>
        <w:footnoteRef/>
      </w:r>
      <w:r>
        <w:t xml:space="preserve"> Leitakse, et lõplik abisaaja keskendub „oluliselt“ sektorile või äritegevusele, kui see sektor või tegevus on lõpliku abisaaja äritegevuse oluline osa, võrreldes lõpliku abisaaja brutotulu, kasumi või kliendibaasiga. Piiratud sektorist või tegevusest saadav brutotulu ei tohi mingil juhul ületada 50 % brutotulust.</w:t>
      </w:r>
    </w:p>
  </w:footnote>
  <w:footnote w:id="59">
    <w:p w14:paraId="48B6E0A3" w14:textId="77777777" w:rsidR="0084326C" w:rsidRPr="005D68A0" w:rsidRDefault="0084326C" w:rsidP="0084326C">
      <w:pPr>
        <w:jc w:val="both"/>
        <w:rPr>
          <w:sz w:val="20"/>
          <w:szCs w:val="20"/>
        </w:rPr>
      </w:pPr>
      <w:r>
        <w:rPr>
          <w:rStyle w:val="FootnoteReference"/>
          <w:rFonts w:eastAsiaTheme="majorEastAsia"/>
          <w:lang w:val="en-GB"/>
        </w:rPr>
        <w:footnoteRef/>
      </w:r>
      <w:r>
        <w:t xml:space="preserve"> </w:t>
      </w:r>
      <w:r>
        <w:rPr>
          <w:sz w:val="20"/>
        </w:rPr>
        <w:t>Välja arvatud a) varad ja tegevused elektri- ja/või soojusenergia tootmises ning nendega seotud ülekande- ja jaotustaristus, milles kasutatakse maagaasi, mis vastavad dokumendi „Ei kahjusta oluliselt“ tehniliste suuniste (2021/C58/01) III lisas sätestatud tingimustele, ning b) alapunkti ii kohased tegevused ja varad, mille puhul fossiilkütuste kasutamine on ajutine ja tehniliselt vältimatu õigeaegseks üleminekuks fossiilkütuste tasuta kasutamisele.</w:t>
      </w:r>
    </w:p>
  </w:footnote>
  <w:footnote w:id="60">
    <w:p w14:paraId="2AD4AE79" w14:textId="77777777" w:rsidR="0084326C" w:rsidRPr="005D68A0" w:rsidRDefault="0084326C" w:rsidP="0084326C">
      <w:pPr>
        <w:jc w:val="both"/>
        <w:rPr>
          <w:sz w:val="20"/>
          <w:szCs w:val="20"/>
        </w:rPr>
      </w:pPr>
      <w:r>
        <w:rPr>
          <w:rStyle w:val="FootnoteReference"/>
          <w:rFonts w:eastAsiaTheme="majorEastAsia"/>
          <w:lang w:val="en-GB"/>
        </w:rPr>
        <w:footnoteRef/>
      </w:r>
      <w:r>
        <w:rPr>
          <w:sz w:val="20"/>
        </w:rPr>
        <w:t xml:space="preserve"> Sealhulgas ELi heitkogustega kauplemise süsteemi (HKS) raames toimuv tegevus ja varad, mille prognoositav kasvuhoonegaaside heide ei ole asjaomastest võrdlusalustest madalam; Kui toetatava tegevuse prognoositav kasvuhoonegaaside heide ei ole asjaomasest võrdlusalusest oluliselt madalam, tuleb esitada selgitus põhjuste kohta, miks see ei ole võimalik. Saastekvootide tasuta eraldamise võrdlusalused saastekvootidega kauplemise süsteemi kohaldamisalasse kuuluvate tegevuste jaoks on sätestatud komisjoni rakendusmääruses (EL) 2021/447.</w:t>
      </w:r>
    </w:p>
  </w:footnote>
  <w:footnote w:id="61">
    <w:p w14:paraId="3C3628F4" w14:textId="77777777" w:rsidR="0084326C" w:rsidRPr="005D68A0" w:rsidRDefault="0084326C" w:rsidP="0084326C">
      <w:pPr>
        <w:jc w:val="both"/>
        <w:rPr>
          <w:sz w:val="20"/>
          <w:szCs w:val="20"/>
        </w:rPr>
      </w:pPr>
      <w:r>
        <w:rPr>
          <w:rStyle w:val="FootnoteReference"/>
          <w:rFonts w:eastAsiaTheme="majorEastAsia"/>
          <w:lang w:val="en-GB"/>
        </w:rPr>
        <w:footnoteRef/>
      </w:r>
      <w:r>
        <w:rPr>
          <w:sz w:val="20"/>
        </w:rPr>
        <w:t xml:space="preserve"> Saastavad sõidukid on määratletud kui heitevabad sõidukid.</w:t>
      </w:r>
    </w:p>
  </w:footnote>
  <w:footnote w:id="62">
    <w:p w14:paraId="04CE000C" w14:textId="77777777" w:rsidR="0084326C" w:rsidRPr="005D68A0" w:rsidRDefault="0084326C" w:rsidP="0084326C">
      <w:pPr>
        <w:pStyle w:val="FootnoteText"/>
        <w:ind w:left="0" w:firstLine="0"/>
      </w:pPr>
      <w:r>
        <w:rPr>
          <w:rStyle w:val="FootnoteReference"/>
          <w:rFonts w:eastAsiaTheme="majorEastAsia"/>
          <w:lang w:val="en-GB"/>
        </w:rPr>
        <w:footnoteRef/>
      </w:r>
      <w:r>
        <w:t xml:space="preserve"> Seda erandit ei kohaldata tegevusele, mis toimub üksnes ringlussevõetamatute ohtlike jäätmete käitlemisega tegelevates jaamades, ega olemasolevatele jaamadele, kui käesoleva meetme kohase tegevuse eesmärk on suurendada energiatõhusust, koguda heitgaase ladustamiseks või kasutamiseks või taaskasutada materjale põletustuhast, tingimusel et käesoleva meetme kohane tegevus ei suurenda jaamade jäätmekäitlusvõimsust ega pikenda nende kasutusaega; tõendid selle kohta tuleb esitada iga jaama kohta eraldi.</w:t>
      </w:r>
    </w:p>
  </w:footnote>
  <w:footnote w:id="63">
    <w:p w14:paraId="6DE472F2" w14:textId="77777777" w:rsidR="0084326C" w:rsidRPr="005D68A0" w:rsidRDefault="0084326C" w:rsidP="0084326C">
      <w:pPr>
        <w:pStyle w:val="FootnoteText"/>
        <w:ind w:left="0" w:firstLine="0"/>
      </w:pPr>
      <w:r>
        <w:rPr>
          <w:rStyle w:val="FootnoteReference"/>
          <w:lang w:val="en-GB"/>
        </w:rPr>
        <w:footnoteRef/>
      </w:r>
      <w:r>
        <w:t xml:space="preserve"> Välja arvatud a) käesoleva meetme kohased projektid, mis käsitlevad elektri- ja/või soojusenergia tootmist ning nendega seotud maagaasi kasutavat ülekande- ja jaotustaristut, mis vastavad dokumendi „Ei kahjusta oluliselt“ tehniliste suuniste (2021/C58/01) III lisas sätestatud tingimustele, ning b) alapunkti ii kohased tegevused ja varad, mille puhul fossiilkütuste kasutamine on ajutine ja tehniliselt vältimatu õigeaegseks üleminekuks fossiilkütustevabale käitamisele.</w:t>
      </w:r>
    </w:p>
  </w:footnote>
  <w:footnote w:id="64">
    <w:p w14:paraId="701A9CA8" w14:textId="77777777" w:rsidR="0084326C" w:rsidRPr="005D68A0" w:rsidRDefault="0084326C" w:rsidP="0084326C">
      <w:pPr>
        <w:pStyle w:val="FootnoteText"/>
        <w:ind w:left="0" w:firstLine="0"/>
      </w:pPr>
      <w:r>
        <w:rPr>
          <w:rStyle w:val="FootnoteReference"/>
          <w:lang w:val="en-GB"/>
        </w:rPr>
        <w:footnoteRef/>
      </w:r>
      <w:r>
        <w:t xml:space="preserve"> Kui toetatava tegevusega saavutatakse prognoositud kasvuhoonegaaside heide, mis ei ole oluliselt väiksem asjaomastest võrdlusalustest, tuleks esitada selgitus põhjuste kohta, miks see ei ole võimalik. Saastekvootide tasuta eraldamise võrdlusalused saastekvootidega kauplemise süsteemi kohaldamisalasse kuuluvate tegevuste jaoks on sätestatud komisjoni rakendusmääruses (EL) 2021/447.</w:t>
      </w:r>
    </w:p>
  </w:footnote>
  <w:footnote w:id="65">
    <w:p w14:paraId="47F8C4DA" w14:textId="77777777" w:rsidR="0084326C" w:rsidRPr="005D68A0" w:rsidRDefault="0084326C" w:rsidP="0084326C">
      <w:pPr>
        <w:jc w:val="both"/>
      </w:pPr>
      <w:r>
        <w:rPr>
          <w:sz w:val="20"/>
          <w:vertAlign w:val="superscript"/>
        </w:rPr>
        <w:t>64</w:t>
      </w:r>
      <w:r>
        <w:rPr>
          <w:sz w:val="20"/>
        </w:rPr>
        <w:t xml:space="preserve"> Seda erandit ei kohaldata tegevusele, mis toimub käesoleva meetme raames üksnes ringlussevõetamatute ohtlike jäätmete käitlemisega tegelevates jaamades, ega olemasolevatele jaamadele, kui käesoleva meetme kohase tegevuse eesmärk on suurendada energiatõhusust, koguda heitgaase ladustamiseks või kasutamiseks või taaskasutada materjale põletustuhast, tingimusel et käesoleva meetme kohane tegevus ei suurenda jaamade jäätmekäitlusvõimsust ega pikenda nende kasutusaega; tõendid selle kohta tuleb esitada iga jaama kohta eraldi.</w:t>
      </w:r>
    </w:p>
  </w:footnote>
  <w:footnote w:id="66">
    <w:p w14:paraId="2DA4C7B9" w14:textId="77777777" w:rsidR="0084326C" w:rsidRPr="005D68A0" w:rsidRDefault="0084326C" w:rsidP="0084326C">
      <w:pPr>
        <w:pStyle w:val="FootnoteText"/>
        <w:ind w:left="0" w:firstLine="0"/>
      </w:pPr>
      <w:r>
        <w:rPr>
          <w:rStyle w:val="FootnoteReference"/>
          <w:lang w:val="en-GB"/>
        </w:rPr>
        <w:footnoteRef/>
      </w:r>
      <w:r>
        <w:t xml:space="preserve"> Seda erandit ei kohaldata käesoleva meetme kohasele tegevusele olemasolevates mehhaanilis-bioloogilise töötlemise käitistes, kui sellise tegevuse eesmärk on suurendada energiatõhusust või moderniseerida eraldatud jäätmete ringlussevõttu biojäätmete kompostimiseks ja nende anaeroobseks kääritamiseks, tingimusel et käesoleva meetme kohane tegevus ei suurenda käitiste jäätmekäitlusvõimsust ega pikenda nende kasutusaega; tõendid selle kohta tuleb esitada iga jaama kohta eraldi.</w:t>
      </w:r>
    </w:p>
  </w:footnote>
  <w:footnote w:id="67">
    <w:p w14:paraId="258EC698" w14:textId="77777777" w:rsidR="0084326C" w:rsidRPr="005D68A0" w:rsidRDefault="0084326C" w:rsidP="0084326C">
      <w:pPr>
        <w:pStyle w:val="FootnoteText"/>
        <w:ind w:left="0" w:firstLine="0"/>
      </w:pPr>
      <w:r>
        <w:rPr>
          <w:rStyle w:val="FootnoteReference"/>
          <w:lang w:val="en-GB"/>
        </w:rPr>
        <w:footnoteRef/>
      </w:r>
      <w:r>
        <w:t xml:space="preserve"> Välja arvatud a) käesoleva meetme kohased projektid, mis käsitlevad elektri- ja/või soojusenergia tootmist ning nendega seotud maagaasi kasutavat ülekande- ja jaotustaristut, mis vastavad dokumendi „Ei kahjusta oluliselt“ tehniliste suuniste (2021/C58/01) III lisas sätestatud tingimustele, ning b) alapunkti ii kohased tegevused ja varad, mille puhul fossiilkütuste kasutamine on ajutine ja tehniliselt vältimatu õigeaegseks üleminekuks fossiilkütustevabale käitamisele.</w:t>
      </w:r>
    </w:p>
  </w:footnote>
  <w:footnote w:id="68">
    <w:p w14:paraId="71658C82" w14:textId="77777777" w:rsidR="0084326C" w:rsidRPr="005D68A0" w:rsidRDefault="0084326C" w:rsidP="0084326C">
      <w:pPr>
        <w:pStyle w:val="FootnoteText"/>
        <w:ind w:left="0" w:firstLine="0"/>
      </w:pPr>
      <w:r>
        <w:rPr>
          <w:rStyle w:val="FootnoteReference"/>
          <w:lang w:val="en-GB"/>
        </w:rPr>
        <w:footnoteRef/>
      </w:r>
      <w:r>
        <w:t xml:space="preserve"> Kui toetatava tegevusega saavutatakse prognoositud kasvuhoonegaaside heide, mis ei ole oluliselt väiksem asjaomastest võrdlusalustest, tuleks esitada selgitus põhjuste kohta, miks see ei ole võimalik. Saastekvootide tasuta eraldamise võrdlusalused saastekvootidega kauplemise süsteemi kohaldamisalasse kuuluvate tegevuste jaoks on sätestatud komisjoni rakendusmääruses (EL) 2021/447.</w:t>
      </w:r>
    </w:p>
  </w:footnote>
  <w:footnote w:id="69">
    <w:p w14:paraId="5FCC4884" w14:textId="77777777" w:rsidR="0084326C" w:rsidRPr="005D68A0" w:rsidRDefault="0084326C" w:rsidP="0084326C">
      <w:pPr>
        <w:jc w:val="both"/>
      </w:pPr>
      <w:r>
        <w:rPr>
          <w:sz w:val="20"/>
        </w:rPr>
        <w:t>Seda erandit ei kohaldata tegevusele, mis toimub käesoleva meetme raames üksnes ringlussevõetamatute ohtlike jäätmete käitlemisega tegelevates jaamades, ega olemasolevatele jaamadele, kui käesoleva meetme kohase tegevuse eesmärk on suurendada energiatõhusust, koguda heitgaase ladustamiseks või kasutamiseks või taaskasutada materjale põletustuhast, tingimusel et käesoleva meetme kohane tegevus ei suurenda jaamade jäätmekäitlusvõimsust ega pikenda nende kasutusaega; tõendid selle kohta tuleb esitada iga jaama kohta eraldi.</w:t>
      </w:r>
    </w:p>
  </w:footnote>
  <w:footnote w:id="70">
    <w:p w14:paraId="3B06E25F" w14:textId="77777777" w:rsidR="0084326C" w:rsidRPr="005D68A0" w:rsidRDefault="0084326C" w:rsidP="0084326C">
      <w:pPr>
        <w:pStyle w:val="FootnoteText"/>
        <w:ind w:left="0" w:firstLine="0"/>
      </w:pPr>
      <w:r>
        <w:rPr>
          <w:rStyle w:val="FootnoteReference"/>
          <w:lang w:val="en-GB"/>
        </w:rPr>
        <w:footnoteRef/>
      </w:r>
      <w:r>
        <w:t xml:space="preserve"> Seda erandit ei kohaldata käesoleva meetme kohasele tegevusele olemasolevates mehhaanilis-bioloogilise töötlemise käitistes, kui sellise tegevuse eesmärk on suurendada energiatõhusust või moderniseerida eraldatud jäätmete ringlussevõttu biojäätmete kompostimiseks ja nende anaeroobseks kääritamiseks, tingimusel et käesoleva meetme kohane tegevus ei suurenda käitiste jäätmekäitlusvõimsust ega pikenda nende kasutusaega; tõendid selle kohta tuleb esitada iga jaama kohta eraldi.</w:t>
      </w:r>
    </w:p>
  </w:footnote>
  <w:footnote w:id="71">
    <w:p w14:paraId="12271801" w14:textId="77777777" w:rsidR="0084326C" w:rsidRPr="005D68A0" w:rsidRDefault="0084326C" w:rsidP="0084326C">
      <w:pPr>
        <w:pStyle w:val="FootnoteText"/>
        <w:ind w:left="0" w:firstLine="0"/>
      </w:pPr>
      <w:r>
        <w:rPr>
          <w:rStyle w:val="FootnoteReference"/>
          <w:lang w:val="en-GB"/>
        </w:rPr>
        <w:footnoteRef/>
      </w:r>
      <w:r>
        <w:t xml:space="preserve"> Välja arvatud käesoleva meetme kohased maagaasi kasutavad elektri- ja/või soojusenergia tootmise ning sellega seotud ülekande- ja jaotustaristu projektid, mis vastavad „Ei kahjusta oluliselt“ tehniliste suuniste (2021/C58/01) III lisas sätestatud tingimustele.</w:t>
      </w:r>
    </w:p>
  </w:footnote>
  <w:footnote w:id="72">
    <w:p w14:paraId="00D08867" w14:textId="77777777" w:rsidR="0084326C" w:rsidRPr="005D68A0" w:rsidRDefault="0084326C" w:rsidP="0084326C">
      <w:pPr>
        <w:pStyle w:val="FootnoteText"/>
        <w:ind w:left="0" w:firstLine="0"/>
      </w:pPr>
      <w:r>
        <w:rPr>
          <w:rStyle w:val="FootnoteReference"/>
          <w:lang w:val="en-GB"/>
        </w:rPr>
        <w:footnoteRef/>
      </w:r>
      <w:r>
        <w:t xml:space="preserve"> Kui toetatava tegevusega saavutatakse prognoositud kasvuhoonegaaside heide, mis ei ole oluliselt väiksem asjaomastest võrdlusalustest, tuleks esitada selgitus põhjuste kohta, miks see ei ole võimalik. Saastekvootide tasuta eraldamise võrdlusalused saastekvootidega kauplemise süsteemi kohaldamisalasse kuuluvate tegevuste jaoks on sätestatud komisjoni rakendusmääruses (EL) 2021/447.</w:t>
      </w:r>
    </w:p>
  </w:footnote>
  <w:footnote w:id="73">
    <w:p w14:paraId="5B0D8712" w14:textId="77777777" w:rsidR="0084326C" w:rsidRPr="005D68A0" w:rsidRDefault="0084326C" w:rsidP="0084326C">
      <w:pPr>
        <w:pStyle w:val="FootnoteText"/>
        <w:ind w:left="0" w:firstLine="0"/>
      </w:pPr>
      <w:r>
        <w:rPr>
          <w:rStyle w:val="FootnoteReference"/>
          <w:lang w:val="en-GB"/>
        </w:rPr>
        <w:footnoteRef/>
      </w:r>
      <w:r>
        <w:t xml:space="preserve"> Seda erandit ei kohaldata tegevusele, mis toimub käesoleva meetme raames üksnes ringlussevõetamatute ohtlike jäätmete käitlemisega tegelevates jaamades, ega olemasolevatele jaamadele, kui käesoleva meetme kohase tegevuse eesmärk on suurendada energiatõhusust, koguda heitgaase ladustamiseks või kasutamiseks või taaskasutada materjale põletustuhast, tingimusel et käesoleva meetme kohane tegevus ei suurenda jaamade jäätmekäitlusvõimsust ega pikenda nende kasutusaega; tõendid selle kohta tuleb esitada iga jaama kohta eraldi.</w:t>
      </w:r>
    </w:p>
  </w:footnote>
  <w:footnote w:id="74">
    <w:p w14:paraId="3103AB76" w14:textId="77777777" w:rsidR="0084326C" w:rsidRPr="005D68A0" w:rsidRDefault="0084326C" w:rsidP="0084326C">
      <w:pPr>
        <w:pStyle w:val="FootnoteText"/>
        <w:ind w:left="0" w:firstLine="0"/>
      </w:pPr>
      <w:r>
        <w:rPr>
          <w:rStyle w:val="FootnoteReference"/>
          <w:lang w:val="en-GB"/>
        </w:rPr>
        <w:footnoteRef/>
      </w:r>
      <w:r>
        <w:t xml:space="preserve"> Seda erandit ei kohaldata käesoleva meetme kohasele tegevusele olemasolevates mehhaanilis-bioloogilise töötlemise käitistes, kui sellise tegevuse eesmärk on suurendada energiatõhusust või moderniseerida eraldatud jäätmete ringlussevõttu biojäätmete kompostimiseks ja nende anaeroobseks kääritamiseks, tingimusel et käesoleva meetme kohane tegevus ei suurenda käitiste jäätmekäitlusvõimsust ega pikenda nende kasutusaega; tõendid selle kohta tuleb esitada iga jaama kohta eraldi.</w:t>
      </w:r>
    </w:p>
  </w:footnote>
  <w:footnote w:id="75">
    <w:p w14:paraId="2E401FB0" w14:textId="77777777" w:rsidR="0069061E" w:rsidRPr="005D68A0" w:rsidRDefault="0069061E" w:rsidP="0069061E">
      <w:pPr>
        <w:pStyle w:val="FootnoteText"/>
        <w:ind w:left="0" w:firstLine="0"/>
      </w:pPr>
      <w:r>
        <w:rPr>
          <w:rStyle w:val="FootnoteReference"/>
          <w:lang w:val="en-GB"/>
        </w:rPr>
        <w:footnoteRef/>
      </w:r>
      <w:r>
        <w:t xml:space="preserve"> Välja arvatud a) käesoleva meetme kohased projektid, mis käsitlevad elektri- ja/või soojusenergia tootmist ning nendega seotud maagaasi kasutavat ülekande- ja jaotustaristut, mis vastavad dokumendi „Ei kahjusta oluliselt“ tehniliste suuniste (2021/C58/01) III lisas sätestatud tingimustele, ning b) alapunkti ii kohased tegevused ja varad, mille puhul fossiilkütuste kasutamine on ajutine ja tehniliselt vältimatu õigeaegseks üleminekuks fossiilkütustevabale käitamisele.</w:t>
      </w:r>
    </w:p>
  </w:footnote>
  <w:footnote w:id="76">
    <w:p w14:paraId="6D0C5CB4" w14:textId="77777777" w:rsidR="0069061E" w:rsidRPr="005D68A0" w:rsidRDefault="0069061E" w:rsidP="0069061E">
      <w:pPr>
        <w:pStyle w:val="FootnoteText"/>
        <w:ind w:left="0" w:firstLine="0"/>
      </w:pPr>
      <w:r>
        <w:rPr>
          <w:rStyle w:val="FootnoteReference"/>
          <w:lang w:val="en-GB"/>
        </w:rPr>
        <w:footnoteRef/>
      </w:r>
      <w:r>
        <w:t xml:space="preserve"> Kui toetatava tegevusega saavutatakse prognoositud kasvuhoonegaaside heide, mis ei ole oluliselt väiksem asjaomastest võrdlusalustest, tuleks esitada selgitus põhjuste kohta, miks see ei ole võimalik. Saastekvootide tasuta eraldamise võrdlusalused saastekvootidega kauplemise süsteemi kohaldamisalasse kuuluvate tegevuste jaoks on sätestatud komisjoni rakendusmääruses (EL) 2021/447.</w:t>
      </w:r>
    </w:p>
  </w:footnote>
  <w:footnote w:id="77">
    <w:p w14:paraId="0E4D6752" w14:textId="77777777" w:rsidR="0069061E" w:rsidRPr="005D68A0" w:rsidRDefault="0069061E" w:rsidP="0069061E">
      <w:pPr>
        <w:pStyle w:val="FootnoteText"/>
        <w:ind w:left="0" w:firstLine="0"/>
      </w:pPr>
      <w:r>
        <w:rPr>
          <w:rStyle w:val="FootnoteReference"/>
        </w:rPr>
        <w:footnoteRef/>
      </w:r>
      <w:r>
        <w:t xml:space="preserve"> Seda erandit ei kohaldata tegevusele, mis toimub käesoleva meetme raames üksnes ringlussevõetamatute ohtlike jäätmete käitlemisega tegelevates jaamades, ega olemasolevatele jaamadele, kui käesoleva meetme kohase tegevuse eesmärk on suurendada energiatõhusust, koguda heitgaase ladustamiseks või kasutamiseks või taaskasutada materjale põletustuhast, tingimusel et käesoleva meetme kohane tegevus ei suurenda jaamade jäätmekäitlusvõimsust ega pikenda nende kasutusaega; tõendid selle kohta tuleb esitada iga jaama kohta eraldi.</w:t>
      </w:r>
    </w:p>
  </w:footnote>
  <w:footnote w:id="78">
    <w:p w14:paraId="4A816711" w14:textId="77777777" w:rsidR="0069061E" w:rsidRPr="005D68A0" w:rsidRDefault="0069061E" w:rsidP="0069061E">
      <w:pPr>
        <w:pStyle w:val="FootnoteText"/>
        <w:ind w:left="0" w:firstLine="0"/>
      </w:pPr>
      <w:r>
        <w:rPr>
          <w:rStyle w:val="FootnoteReference"/>
          <w:lang w:val="en-GB"/>
        </w:rPr>
        <w:footnoteRef/>
      </w:r>
      <w:r>
        <w:t xml:space="preserve"> Seda erandit ei kohaldata käesoleva meetme kohasele tegevusele olemasolevates mehhaanilis-bioloogilise töötlemise käitistes, kui sellise tegevuse eesmärk on suurendada energiatõhusust või moderniseerida eraldatud jäätmete ringlussevõttu biojäätmete kompostimiseks ja nende anaeroobseks kääritamiseks, tingimusel et käesoleva meetme kohane tegevus ei suurenda käitiste jäätmekäitlusvõimsust ega pikenda nende kasutusaega; tõendid selle kohta tuleb esitada iga jaama kohta eraldi.</w:t>
      </w:r>
    </w:p>
  </w:footnote>
  <w:footnote w:id="79">
    <w:p w14:paraId="0383EBF9" w14:textId="77777777" w:rsidR="0084326C" w:rsidRPr="005D68A0" w:rsidRDefault="0084326C" w:rsidP="0084326C">
      <w:pPr>
        <w:pStyle w:val="FootnoteText"/>
        <w:ind w:left="0" w:firstLine="0"/>
      </w:pPr>
      <w:r>
        <w:rPr>
          <w:rStyle w:val="FootnoteReference"/>
          <w:lang w:val="en-GB"/>
        </w:rPr>
        <w:footnoteRef/>
      </w:r>
      <w:r>
        <w:t xml:space="preserve"> Välja arvatud käesoleva meetme kohased maagaasi kasutavad elektri- ja/või soojusenergia tootmise ning sellega seotud ülekande- ja jaotustaristu projektid, mis vastavad „Ei kahjusta oluliselt“ tehniliste suuniste (2021/C58/01) III lisas sätestatud tingimustele.</w:t>
      </w:r>
    </w:p>
  </w:footnote>
  <w:footnote w:id="80">
    <w:p w14:paraId="77006733" w14:textId="77777777" w:rsidR="0084326C" w:rsidRPr="005D68A0" w:rsidRDefault="0084326C" w:rsidP="0084326C">
      <w:pPr>
        <w:pStyle w:val="FootnoteText"/>
        <w:ind w:left="0" w:firstLine="0"/>
      </w:pPr>
      <w:r>
        <w:rPr>
          <w:rStyle w:val="FootnoteReference"/>
          <w:lang w:val="en-GB"/>
        </w:rPr>
        <w:footnoteRef/>
      </w:r>
      <w:r>
        <w:t xml:space="preserve"> Kui toetatava tegevusega saavutatakse prognoositud kasvuhoonegaaside heide, mis ei ole oluliselt väiksem asjaomastest võrdlusalustest, tuleks esitada selgitus põhjuste kohta, miks see ei ole võimalik. Saastekvootide tasuta eraldamise võrdlusalused saastekvootidega kauplemise süsteemi kohaldamisalasse kuuluvate tegevuste jaoks on sätestatud komisjoni rakendusmääruses (EL) 2021/447.</w:t>
      </w:r>
    </w:p>
  </w:footnote>
  <w:footnote w:id="81">
    <w:p w14:paraId="6584151F" w14:textId="77777777" w:rsidR="0084326C" w:rsidRPr="005D68A0" w:rsidRDefault="0084326C" w:rsidP="0084326C">
      <w:pPr>
        <w:pStyle w:val="FootnoteText"/>
        <w:ind w:left="0" w:firstLine="0"/>
      </w:pPr>
      <w:r>
        <w:rPr>
          <w:rStyle w:val="FootnoteReference"/>
          <w:lang w:val="en-GB"/>
        </w:rPr>
        <w:footnoteRef/>
      </w:r>
      <w:r>
        <w:t xml:space="preserve"> Seda erandit ei kohaldata tegevusele, mis toimub käesoleva meetme raames üksnes ringlussevõetamatute ohtlike jäätmete käitlemisega tegelevates jaamades, ega olemasolevatele jaamadele, kui käesoleva meetme kohase tegevuse eesmärk on suurendada energiatõhusust, koguda heitgaase ladustamiseks või kasutamiseks või taaskasutada materjale põletustuhast, tingimusel et käesoleva meetme kohane tegevus ei suurenda jaamade jäätmekäitlusvõimsust ega pikenda nende kasutusaega; tõendid selle kohta tuleb esitada iga jaama kohta eraldi.</w:t>
      </w:r>
    </w:p>
  </w:footnote>
  <w:footnote w:id="82">
    <w:p w14:paraId="172B415F" w14:textId="77777777" w:rsidR="0084326C" w:rsidRPr="005D68A0" w:rsidRDefault="0084326C" w:rsidP="0084326C">
      <w:pPr>
        <w:pStyle w:val="FootnoteText"/>
        <w:ind w:left="0" w:firstLine="0"/>
      </w:pPr>
      <w:r>
        <w:rPr>
          <w:rStyle w:val="FootnoteReference"/>
          <w:lang w:val="en-GB"/>
        </w:rPr>
        <w:footnoteRef/>
      </w:r>
      <w:r>
        <w:t xml:space="preserve"> Seda erandit ei kohaldata käesoleva meetme kohasele tegevusele olemasolevates mehhaanilis-bioloogilise töötlemise käitistes, kui sellise tegevuse eesmärk on suurendada energiatõhusust või moderniseerida eraldatud jäätmete ringlussevõttu biojäätmete kompostimiseks ja nende anaeroobseks kääritamiseks, tingimusel et käesoleva meetme kohane tegevus ei suurenda käitiste jäätmekäitlusvõimsust ega pikenda nende kasutusaega; tõendid selle kohta tuleb esitada iga jaama kohta eraldi.</w:t>
      </w:r>
    </w:p>
  </w:footnote>
  <w:footnote w:id="83">
    <w:p w14:paraId="71779DB2" w14:textId="77777777" w:rsidR="0084326C" w:rsidRPr="005D68A0" w:rsidRDefault="0084326C" w:rsidP="0084326C">
      <w:pPr>
        <w:pStyle w:val="FootnoteText"/>
        <w:ind w:left="0" w:firstLine="0"/>
      </w:pPr>
      <w:r>
        <w:rPr>
          <w:rStyle w:val="FootnoteReference"/>
          <w:lang w:val="en-GB"/>
        </w:rPr>
        <w:footnoteRef/>
      </w:r>
      <w:r>
        <w:t xml:space="preserve"> </w:t>
      </w:r>
      <w:r>
        <w:rPr>
          <w:rStyle w:val="normaltextrun"/>
          <w:color w:val="000000"/>
          <w:shd w:val="clear" w:color="auto" w:fill="FFFFFF"/>
        </w:rPr>
        <w:t>OECD, oskuste uuringud „Ettevõtluse ja uuendustegevuse toetamine kõrghariduses Itaalias“</w:t>
      </w:r>
    </w:p>
  </w:footnote>
  <w:footnote w:id="84">
    <w:p w14:paraId="14E99ABF" w14:textId="77777777" w:rsidR="0084326C" w:rsidRPr="005D68A0" w:rsidRDefault="0084326C" w:rsidP="0084326C">
      <w:pPr>
        <w:pStyle w:val="FootnoteText"/>
        <w:ind w:left="0" w:firstLine="0"/>
      </w:pPr>
      <w:r>
        <w:rPr>
          <w:rStyle w:val="FootnoteReference"/>
          <w:lang w:val="en-GB"/>
        </w:rPr>
        <w:footnoteRef/>
      </w:r>
      <w:r>
        <w:t xml:space="preserve"> Välja arvatud käesoleva meetme kohased maagaasi kasutavad elektri- ja/või soojusenergia tootmise ning sellega seotud ülekande- ja jaotustaristu projektid, mis vastavad „Ei kahjusta oluliselt“ tehniliste suuniste (2021/C58/01) III lisas sätestatud tingimustele.</w:t>
      </w:r>
    </w:p>
  </w:footnote>
  <w:footnote w:id="85">
    <w:p w14:paraId="60E24636" w14:textId="77777777" w:rsidR="0084326C" w:rsidRPr="005D68A0" w:rsidRDefault="0084326C" w:rsidP="0084326C">
      <w:pPr>
        <w:pStyle w:val="FootnoteText"/>
        <w:ind w:left="0" w:firstLine="0"/>
      </w:pPr>
      <w:r>
        <w:rPr>
          <w:rStyle w:val="FootnoteReference"/>
          <w:lang w:val="en-GB"/>
        </w:rPr>
        <w:footnoteRef/>
      </w:r>
      <w:r>
        <w:t xml:space="preserve"> Kui toetatava tegevusega saavutatakse prognoositud kasvuhoonegaaside heide, mis ei ole oluliselt väiksem asjaomastest võrdlusalustest, tuleks esitada selgitus põhjuste kohta, miks see ei ole võimalik. Saastekvootide tasuta eraldamise võrdlusalused saastekvootidega kauplemise süsteemi kohaldamisalasse kuuluvate tegevuste jaoks on sätestatud komisjoni rakendusmääruses (EL) 2021/447.</w:t>
      </w:r>
    </w:p>
  </w:footnote>
  <w:footnote w:id="86">
    <w:p w14:paraId="63AC61A1" w14:textId="77777777" w:rsidR="0084326C" w:rsidRPr="005D68A0" w:rsidRDefault="0084326C" w:rsidP="0084326C">
      <w:pPr>
        <w:pStyle w:val="FootnoteText"/>
        <w:ind w:left="0" w:firstLine="0"/>
      </w:pPr>
      <w:r>
        <w:rPr>
          <w:rStyle w:val="FootnoteReference"/>
          <w:lang w:val="en-GB"/>
        </w:rPr>
        <w:footnoteRef/>
      </w:r>
      <w:r>
        <w:t xml:space="preserve"> Seda erandit ei kohaldata tegevusele, mis toimub käesoleva meetme raames üksnes ringlussevõetamatute ohtlike jäätmete käitlemisega tegelevates jaamades, ega olemasolevatele jaamadele, kui käesoleva meetme kohase tegevuse eesmärk on suurendada energiatõhusust, koguda heitgaase ladustamiseks või kasutamiseks või taaskasutada materjale põletustuhast, tingimusel et käesoleva meetme kohane tegevus ei suurenda jaamade jäätmekäitlusvõimsust ega pikenda nende kasutusaega; tõendid selle kohta tuleb esitada iga jaama kohta eraldi.</w:t>
      </w:r>
    </w:p>
  </w:footnote>
  <w:footnote w:id="87">
    <w:p w14:paraId="672A396C" w14:textId="77777777" w:rsidR="0084326C" w:rsidRPr="005D68A0" w:rsidRDefault="0084326C" w:rsidP="0084326C">
      <w:pPr>
        <w:pStyle w:val="FootnoteText"/>
        <w:ind w:left="0" w:firstLine="0"/>
      </w:pPr>
      <w:r>
        <w:rPr>
          <w:rStyle w:val="FootnoteReference"/>
          <w:lang w:val="en-GB"/>
        </w:rPr>
        <w:footnoteRef/>
      </w:r>
      <w:r>
        <w:t xml:space="preserve"> Seda erandit ei kohaldata käesoleva meetme kohasele tegevusele olemasolevates mehhaanilis-bioloogilise töötlemise käitistes, kui sellise tegevuse eesmärk on suurendada energiatõhusust või moderniseerida eraldatud jäätmete ringlussevõttu biojäätmete kompostimiseks ja nende anaeroobseks kääritamiseks, tingimusel et käesoleva meetme kohane tegevus ei suurenda käitiste jäätmekäitlusvõimsust ega pikenda nende kasutusaega; tõendid selle kohta tuleb esitada iga jaama kohta eraldi.</w:t>
      </w:r>
    </w:p>
  </w:footnote>
  <w:footnote w:id="88">
    <w:p w14:paraId="59E9DF91" w14:textId="77777777" w:rsidR="0084326C" w:rsidRPr="005D68A0" w:rsidRDefault="0084326C" w:rsidP="0084326C">
      <w:pPr>
        <w:pStyle w:val="FootnoteText"/>
        <w:ind w:left="0" w:firstLine="0"/>
      </w:pPr>
      <w:r>
        <w:rPr>
          <w:rStyle w:val="FootnoteReference"/>
        </w:rPr>
        <w:footnoteRef/>
      </w:r>
      <w:r>
        <w:t xml:space="preserve"> Välja arvatud käesoleva meetme kohased maagaasi kasutavad elektri- ja/või soojusenergia tootmise ning sellega seotud ülekande- ja jaotustaristu projektid, mis vastavad „Ei kahjusta oluliselt“ tehniliste suuniste (2021/C58/01) III lisas sätestatud tingimustele.</w:t>
      </w:r>
    </w:p>
  </w:footnote>
  <w:footnote w:id="89">
    <w:p w14:paraId="7C3296C3" w14:textId="77777777" w:rsidR="0084326C" w:rsidRPr="005D68A0" w:rsidRDefault="0084326C" w:rsidP="0084326C">
      <w:pPr>
        <w:pStyle w:val="FootnoteText"/>
        <w:ind w:left="0" w:firstLine="0"/>
      </w:pPr>
      <w:r>
        <w:rPr>
          <w:rStyle w:val="FootnoteReference"/>
        </w:rPr>
        <w:footnoteRef/>
      </w:r>
      <w:r>
        <w:t xml:space="preserve"> Kui toetatava tegevusega saavutatakse prognoositud kasvuhoonegaaside heide, mis ei ole oluliselt väiksem asjaomastest võrdlusalustest, tuleks esitada selgitus põhjuste kohta, miks see ei ole võimalik. Saastekvootide tasuta eraldamise võrdlusalused saastekvootidega kauplemise süsteemi kohaldamisalasse kuuluvate tegevuste jaoks on sätestatud komisjoni rakendusmääruses (EL) 2021/447.</w:t>
      </w:r>
    </w:p>
  </w:footnote>
  <w:footnote w:id="90">
    <w:p w14:paraId="3BCEB5EB" w14:textId="77777777" w:rsidR="0084326C" w:rsidRPr="005D68A0" w:rsidRDefault="0084326C" w:rsidP="0084326C">
      <w:pPr>
        <w:pStyle w:val="FootnoteText"/>
        <w:ind w:left="0" w:firstLine="0"/>
      </w:pPr>
      <w:r>
        <w:rPr>
          <w:rStyle w:val="FootnoteReference"/>
        </w:rPr>
        <w:footnoteRef/>
      </w:r>
      <w:r>
        <w:t xml:space="preserve"> Seda erandit ei kohaldata tegevusele, mis toimub käesoleva meetme raames üksnes ringlussevõetamatute ohtlike jäätmete käitlemisega tegelevates jaamades, ega olemasolevatele jaamadele, kui käesoleva meetme kohase tegevuse eesmärk on suurendada energiatõhusust, koguda heitgaase ladustamiseks või kasutamiseks või taaskasutada materjale põletustuhast, tingimusel et käesoleva meetme kohane tegevus ei suurenda jaamade jäätmekäitlusvõimsust ega pikenda nende kasutusaega; tõendid selle kohta tuleb esitada iga jaama kohta eraldi.</w:t>
      </w:r>
    </w:p>
  </w:footnote>
  <w:footnote w:id="91">
    <w:p w14:paraId="0425D49D" w14:textId="77777777" w:rsidR="0084326C" w:rsidRPr="005D68A0" w:rsidRDefault="0084326C" w:rsidP="0084326C">
      <w:pPr>
        <w:pStyle w:val="FootnoteText"/>
        <w:ind w:left="0" w:firstLine="0"/>
      </w:pPr>
      <w:r>
        <w:rPr>
          <w:rStyle w:val="FootnoteReference"/>
        </w:rPr>
        <w:footnoteRef/>
      </w:r>
      <w:r>
        <w:t xml:space="preserve"> Seda erandit ei kohaldata käesoleva meetme kohasele tegevusele olemasolevates mehhaanilis-bioloogilise töötlemise käitistes, kui sellise tegevuse eesmärk on suurendada energiatõhusust või moderniseerida eraldatud jäätmete ringlussevõttu biojäätmete kompostimiseks ja nende anaeroobseks kääritamiseks, tingimusel et käesoleva meetme kohane tegevus ei suurenda käitiste jäätmekäitlusvõimsust ega pikenda nende kasutusaega; tõendid selle kohta tuleb esitada iga jaama kohta eraldi.</w:t>
      </w:r>
    </w:p>
  </w:footnote>
  <w:footnote w:id="92">
    <w:p w14:paraId="3A5A2F27" w14:textId="77777777" w:rsidR="0084326C" w:rsidRPr="005D68A0" w:rsidRDefault="0084326C" w:rsidP="0084326C">
      <w:pPr>
        <w:pStyle w:val="FootnoteText"/>
        <w:ind w:left="0" w:firstLine="0"/>
      </w:pPr>
      <w:r>
        <w:rPr>
          <w:rStyle w:val="FootnoteReference"/>
        </w:rPr>
        <w:footnoteRef/>
      </w:r>
      <w:r>
        <w:t xml:space="preserve"> Välja arvatud käesoleva meetme kohased maagaasi kasutavad elektri- ja/või soojusenergia tootmise ning sellega seotud ülekande- ja jaotustaristu projektid, mis vastavad „Ei kahjusta oluliselt“ tehniliste suuniste (2021/C58/01) III lisas sätestatud tingimustele.</w:t>
      </w:r>
    </w:p>
  </w:footnote>
  <w:footnote w:id="93">
    <w:p w14:paraId="30CFB3C6" w14:textId="77777777" w:rsidR="0084326C" w:rsidRPr="005D68A0" w:rsidRDefault="0084326C" w:rsidP="0084326C">
      <w:pPr>
        <w:pStyle w:val="FootnoteText"/>
        <w:ind w:left="0" w:firstLine="0"/>
      </w:pPr>
      <w:r>
        <w:rPr>
          <w:rStyle w:val="FootnoteReference"/>
        </w:rPr>
        <w:footnoteRef/>
      </w:r>
      <w:r>
        <w:t xml:space="preserve"> Kui toetatava tegevusega saavutatakse prognoositud kasvuhoonegaaside heide, mis ei ole oluliselt väiksem asjaomastest võrdlusalustest, tuleks esitada selgitus põhjuste kohta, miks see ei ole võimalik. Saastekvootide tasuta eraldamise võrdlusalused saastekvootidega kauplemise süsteemi kohaldamisalasse kuuluvate tegevuste jaoks on sätestatud komisjoni rakendusmääruses (EL) 2021/447.</w:t>
      </w:r>
    </w:p>
  </w:footnote>
  <w:footnote w:id="94">
    <w:p w14:paraId="2B308D25" w14:textId="77777777" w:rsidR="0084326C" w:rsidRPr="005D68A0" w:rsidRDefault="0084326C" w:rsidP="0084326C">
      <w:pPr>
        <w:pStyle w:val="FootnoteText"/>
        <w:ind w:left="0" w:firstLine="0"/>
      </w:pPr>
      <w:r>
        <w:rPr>
          <w:rStyle w:val="FootnoteReference"/>
        </w:rPr>
        <w:footnoteRef/>
      </w:r>
      <w:r>
        <w:t xml:space="preserve"> Seda erandit ei kohaldata tegevusele, mis toimub käesoleva meetme raames üksnes ringlussevõetamatute ohtlike jäätmete käitlemisega tegelevates jaamades, ega olemasolevatele jaamadele, kui käesoleva meetme kohase tegevuse eesmärk on suurendada energiatõhusust, koguda heitgaase ladustamiseks või kasutamiseks või taaskasutada materjale põletustuhast, tingimusel et käesoleva meetme kohane tegevus ei suurenda jaamade jäätmekäitlusvõimsust ega pikenda nende kasutusaega; tõendid selle kohta tuleb esitada iga jaama kohta eraldi.</w:t>
      </w:r>
    </w:p>
  </w:footnote>
  <w:footnote w:id="95">
    <w:p w14:paraId="00A39299" w14:textId="77777777" w:rsidR="0084326C" w:rsidRPr="005D68A0" w:rsidRDefault="0084326C" w:rsidP="0084326C">
      <w:pPr>
        <w:pStyle w:val="FootnoteText"/>
        <w:ind w:left="0" w:firstLine="0"/>
      </w:pPr>
      <w:r>
        <w:rPr>
          <w:rStyle w:val="FootnoteReference"/>
        </w:rPr>
        <w:footnoteRef/>
      </w:r>
      <w:r>
        <w:t xml:space="preserve"> Seda erandit ei kohaldata käesoleva meetme kohasele tegevusele olemasolevates mehhaanilis-bioloogilise töötlemise käitistes, kui sellise tegevuse eesmärk on suurendada energiatõhusust või moderniseerida eraldatud jäätmete ringlussevõttu biojäätmete kompostimiseks ja nende anaeroobseks kääritamiseks, tingimusel et käesoleva meetme kohane tegevus ei suurenda käitiste jäätmekäitlusvõimsust ega pikenda nende kasutusaega; tõendid selle kohta tuleb esitada iga jaama kohta eraldi.</w:t>
      </w:r>
    </w:p>
  </w:footnote>
  <w:footnote w:id="96">
    <w:p w14:paraId="1E3B9601" w14:textId="77777777" w:rsidR="0084326C" w:rsidRPr="005D68A0" w:rsidRDefault="0084326C" w:rsidP="0084326C">
      <w:pPr>
        <w:pStyle w:val="FootnoteText"/>
        <w:ind w:left="0" w:firstLine="0"/>
      </w:pPr>
      <w:r>
        <w:rPr>
          <w:rStyle w:val="FootnoteReference"/>
          <w:lang w:val="en-GB"/>
        </w:rPr>
        <w:footnoteRef/>
      </w:r>
      <w:r>
        <w:t xml:space="preserve"> Välja arvatud käesoleva meetme kohased maagaasi kasutavad elektri- ja/või soojusenergia tootmise ning sellega seotud ülekande- ja jaotustaristu projektid, mis vastavad „Ei kahjusta oluliselt“ tehniliste suuniste (2021/C58/01) III lisas sätestatud tingimustele.</w:t>
      </w:r>
    </w:p>
  </w:footnote>
  <w:footnote w:id="97">
    <w:p w14:paraId="6EF67476" w14:textId="77777777" w:rsidR="0084326C" w:rsidRPr="005D68A0" w:rsidRDefault="0084326C" w:rsidP="0084326C">
      <w:pPr>
        <w:pStyle w:val="FootnoteText"/>
        <w:ind w:left="0" w:firstLine="0"/>
      </w:pPr>
      <w:r>
        <w:rPr>
          <w:rStyle w:val="FootnoteReference"/>
          <w:lang w:val="en-GB"/>
        </w:rPr>
        <w:footnoteRef/>
      </w:r>
      <w:r>
        <w:t xml:space="preserve"> Kui toetatava tegevusega saavutatakse prognoositud kasvuhoonegaaside heide, mis ei ole oluliselt väiksem asjaomastest võrdlusalustest, tuleks esitada selgitus põhjuste kohta, miks see ei ole võimalik. Saastekvootide tasuta eraldamise võrdlusalused saastekvootidega kauplemise süsteemi kohaldamisalasse kuuluvate tegevuste jaoks on sätestatud komisjoni rakendusmääruses (EL) 2021/447.</w:t>
      </w:r>
    </w:p>
  </w:footnote>
  <w:footnote w:id="98">
    <w:p w14:paraId="7FDEBEDF" w14:textId="77777777" w:rsidR="0084326C" w:rsidRPr="005D68A0" w:rsidRDefault="0084326C" w:rsidP="0084326C">
      <w:pPr>
        <w:jc w:val="both"/>
      </w:pPr>
      <w:r>
        <w:rPr>
          <w:rStyle w:val="FootnoteReference"/>
          <w:sz w:val="20"/>
          <w:szCs w:val="20"/>
          <w:lang w:val="en-GB"/>
        </w:rPr>
        <w:footnoteRef/>
      </w:r>
      <w:r>
        <w:rPr>
          <w:sz w:val="20"/>
        </w:rPr>
        <w:t xml:space="preserve"> Seda erandit ei kohaldata tegevusele, mis toimub käesoleva meetme raames üksnes ringlussevõetamatute ohtlike jäätmete käitlemisega tegelevates jaamades, ega olemasolevatele jaamadele, kui käesoleva meetme kohase tegevuse eesmärk on suurendada energiatõhusust, koguda heitgaase ladustamiseks või kasutamiseks või taaskasutada materjale põletustuhast, tingimusel et käesoleva meetme kohane tegevus ei suurenda jaamade jäätmekäitlusvõimsust ega pikenda nende kasutusaega; tõendid selle kohta tuleb esitada iga jaama kohta eraldi.</w:t>
      </w:r>
    </w:p>
  </w:footnote>
  <w:footnote w:id="99">
    <w:p w14:paraId="1F4D7E1B" w14:textId="77777777" w:rsidR="0084326C" w:rsidRPr="005D68A0" w:rsidRDefault="0084326C" w:rsidP="0084326C">
      <w:pPr>
        <w:pStyle w:val="FootnoteText"/>
        <w:ind w:left="0" w:firstLine="0"/>
      </w:pPr>
      <w:r>
        <w:rPr>
          <w:rStyle w:val="FootnoteReference"/>
          <w:lang w:val="en-GB"/>
        </w:rPr>
        <w:footnoteRef/>
      </w:r>
      <w:r>
        <w:t xml:space="preserve"> Seda erandit ei kohaldata käesoleva meetme kohasele tegevusele olemasolevates mehhaanilis-bioloogilise töötlemise käitistes, kui sellise tegevuse eesmärk on suurendada energiatõhusust või moderniseerida eraldatud jäätmete ringlussevõttu biojäätmete kompostimiseks ja nende anaeroobseks kääritamiseks, tingimusel et käesoleva meetme kohane tegevus ei suurenda käitiste jäätmekäitlusvõimsust ega pikenda nende kasutusaega; tõendid selle kohta tuleb esitada iga jaama kohta eraldi.</w:t>
      </w:r>
    </w:p>
  </w:footnote>
  <w:footnote w:id="100">
    <w:p w14:paraId="7AEB867B" w14:textId="77777777" w:rsidR="0084326C" w:rsidRPr="005D68A0" w:rsidRDefault="0084326C" w:rsidP="0084326C">
      <w:pPr>
        <w:pStyle w:val="FootnoteText"/>
        <w:ind w:left="0" w:firstLine="0"/>
      </w:pPr>
      <w:r>
        <w:rPr>
          <w:rStyle w:val="FootnoteReference"/>
          <w:lang w:val="en-GB"/>
        </w:rPr>
        <w:footnoteRef/>
      </w:r>
      <w:r>
        <w:t xml:space="preserve"> Tööpakett on osa projektitöö jaotusest, näiteks: testimine enne investeerimist, oskusi ja koolitust, projektijuhtimist ja koordineerimist. Tegemist on projektitöö rühmaga, mida kirjeldatakse tegevustes ja ülesannetes. Tööpakettidel peab olema selge ja loogiline seos projekti eesmärkide ja muude tööpakettidega. Iga tööpakett moodustab projekti alaosa, mis on samm projekti üldeesmärkide saavutamiseni. </w:t>
      </w:r>
    </w:p>
  </w:footnote>
  <w:footnote w:id="101">
    <w:p w14:paraId="3893111F" w14:textId="77777777" w:rsidR="0084326C" w:rsidRPr="005D68A0" w:rsidRDefault="0084326C" w:rsidP="0084326C">
      <w:pPr>
        <w:pStyle w:val="FootnoteText"/>
        <w:ind w:left="0" w:firstLine="0"/>
      </w:pPr>
      <w:r>
        <w:rPr>
          <w:rStyle w:val="FootnoteReference"/>
          <w:lang w:val="en-GB"/>
        </w:rPr>
        <w:footnoteRef/>
      </w:r>
      <w:r>
        <w:t xml:space="preserve"> Välja arvatud käesoleva meetme kohased maagaasi kasutavad elektri- ja/või soojusenergia tootmise ning sellega seotud ülekande- ja jaotustaristu projektid, mis vastavad „Ei kahjusta oluliselt“ tehniliste suuniste (2021/C58/01) III lisas sätestatud tingimustele.</w:t>
      </w:r>
    </w:p>
  </w:footnote>
  <w:footnote w:id="102">
    <w:p w14:paraId="7D04B696" w14:textId="77777777" w:rsidR="0084326C" w:rsidRPr="005D68A0" w:rsidRDefault="0084326C" w:rsidP="0084326C">
      <w:pPr>
        <w:pStyle w:val="FootnoteText"/>
        <w:ind w:left="0" w:firstLine="0"/>
      </w:pPr>
      <w:r>
        <w:rPr>
          <w:rStyle w:val="FootnoteReference"/>
          <w:lang w:val="en-GB"/>
        </w:rPr>
        <w:footnoteRef/>
      </w:r>
      <w:r>
        <w:t xml:space="preserve"> Kui toetatava tegevusega saavutatakse prognoositud kasvuhoonegaaside heide, mis ei ole oluliselt väiksem asjaomastest võrdlusalustest, tuleks esitada selgitus põhjuste kohta, miks see ei ole võimalik. Saastekvootide tasuta eraldamise võrdlusalused saastekvootidega kauplemise süsteemi kohaldamisalasse kuuluvate tegevuste jaoks on sätestatud komisjoni rakendusmääruses (EL) 2021/447.</w:t>
      </w:r>
    </w:p>
  </w:footnote>
  <w:footnote w:id="103">
    <w:p w14:paraId="38DDA103" w14:textId="77777777" w:rsidR="0084326C" w:rsidRPr="005D68A0" w:rsidRDefault="0084326C" w:rsidP="0084326C">
      <w:pPr>
        <w:jc w:val="both"/>
      </w:pPr>
      <w:r>
        <w:rPr>
          <w:rStyle w:val="FootnoteReference"/>
          <w:lang w:val="en-GB"/>
        </w:rPr>
        <w:footnoteRef/>
      </w:r>
      <w:r>
        <w:rPr>
          <w:sz w:val="20"/>
        </w:rPr>
        <w:t xml:space="preserve"> Seda erandit ei kohaldata tegevusele, mis toimub käesoleva meetme raames üksnes ringlussevõetamatute ohtlike jäätmete käitlemisega tegelevates jaamades, ega olemasolevatele jaamadele, kui käesoleva meetme kohase tegevuse eesmärk on suurendada energiatõhusust, koguda heitgaase ladustamiseks või kasutamiseks või taaskasutada materjale põletustuhast, tingimusel et käesoleva meetme kohane tegevus ei suurenda jaamade jäätmekäitlusvõimsust ega pikenda nende kasutusaega; tõendid selle kohta tuleb esitada iga jaama kohta eraldi.</w:t>
      </w:r>
    </w:p>
  </w:footnote>
  <w:footnote w:id="104">
    <w:p w14:paraId="2976C822" w14:textId="77777777" w:rsidR="0084326C" w:rsidRPr="005D68A0" w:rsidRDefault="0084326C" w:rsidP="0084326C">
      <w:pPr>
        <w:pStyle w:val="FootnoteText"/>
        <w:ind w:left="0" w:firstLine="0"/>
      </w:pPr>
      <w:r>
        <w:rPr>
          <w:rStyle w:val="FootnoteReference"/>
          <w:lang w:val="en-GB"/>
        </w:rPr>
        <w:footnoteRef/>
      </w:r>
      <w:r>
        <w:t xml:space="preserve"> Seda erandit ei kohaldata käesoleva meetme kohasele tegevusele olemasolevates mehhaanilis-bioloogilise töötlemise käitistes, kui sellise tegevuse eesmärk on suurendada energiatõhusust või moderniseerida eraldatud jäätmete ringlussevõttu biojäätmete kompostimiseks ja nende anaeroobseks kääritamiseks, tingimusel et käesoleva meetme kohane tegevus ei suurenda käitiste jäätmekäitlusvõimsust ega pikenda nende kasutusaega; tõendid selle kohta tuleb esitada iga jaama kohta eraldi.</w:t>
      </w:r>
    </w:p>
  </w:footnote>
  <w:footnote w:id="105">
    <w:p w14:paraId="4CE8843C" w14:textId="77777777" w:rsidR="0084326C" w:rsidRPr="005D68A0" w:rsidRDefault="0084326C" w:rsidP="0084326C">
      <w:pPr>
        <w:pStyle w:val="FootnoteText"/>
        <w:ind w:left="0" w:firstLine="0"/>
      </w:pPr>
      <w:r>
        <w:rPr>
          <w:rStyle w:val="FootnoteReference"/>
          <w:lang w:val="en-GB"/>
        </w:rPr>
        <w:footnoteRef/>
      </w:r>
      <w:r>
        <w:t xml:space="preserve"> Välja arvatud käesoleva meetme kohased maagaasi kasutavad elektri- ja/või soojusenergia tootmise ning sellega seotud ülekande- ja jaotustaristu projektid, mis vastavad „Ei kahjusta oluliselt“ tehniliste suuniste (2021/C58/01) III lisas sätestatud tingimustele.</w:t>
      </w:r>
    </w:p>
  </w:footnote>
  <w:footnote w:id="106">
    <w:p w14:paraId="0F25E15E" w14:textId="77777777" w:rsidR="0084326C" w:rsidRPr="005D68A0" w:rsidRDefault="0084326C" w:rsidP="0084326C">
      <w:pPr>
        <w:pStyle w:val="FootnoteText"/>
        <w:ind w:left="0" w:firstLine="0"/>
      </w:pPr>
      <w:r>
        <w:rPr>
          <w:rStyle w:val="FootnoteReference"/>
          <w:lang w:val="en-GB"/>
        </w:rPr>
        <w:footnoteRef/>
      </w:r>
      <w:r>
        <w:t xml:space="preserve"> Kui toetatava tegevusega saavutatakse prognoositud kasvuhoonegaaside heide, mis ei ole oluliselt väiksem asjaomastest võrdlusalustest, tuleks esitada selgitus põhjuste kohta, miks see ei ole võimalik. Saastekvootide tasuta eraldamise võrdlusalused saastekvootidega kauplemise süsteemi kohaldamisalasse kuuluvate tegevuste jaoks on sätestatud komisjoni rakendusmääruses (EL) 2021/447.</w:t>
      </w:r>
    </w:p>
  </w:footnote>
  <w:footnote w:id="107">
    <w:p w14:paraId="3B439862" w14:textId="77777777" w:rsidR="0084326C" w:rsidRPr="005D68A0" w:rsidRDefault="0084326C" w:rsidP="0084326C">
      <w:pPr>
        <w:jc w:val="both"/>
      </w:pPr>
      <w:r>
        <w:rPr>
          <w:rStyle w:val="FootnoteReference"/>
          <w:sz w:val="20"/>
          <w:szCs w:val="20"/>
          <w:lang w:val="en-GB"/>
        </w:rPr>
        <w:footnoteRef/>
      </w:r>
      <w:r>
        <w:rPr>
          <w:sz w:val="20"/>
        </w:rPr>
        <w:t xml:space="preserve"> Seda erandit ei kohaldata tegevusele, mis toimub käesoleva meetme raames üksnes ringlussevõetamatute ohtlike jäätmete käitlemisega tegelevates jaamades, ega olemasolevatele jaamadele, kui käesoleva meetme kohase tegevuse eesmärk on suurendada energiatõhusust, koguda heitgaase ladustamiseks või kasutamiseks või taaskasutada materjale põletustuhast, tingimusel et käesoleva meetme kohane tegevus ei suurenda jaamade jäätmekäitlusvõimsust ega pikenda nende kasutusaega; tõendid selle kohta tuleb esitada iga jaama kohta eraldi.</w:t>
      </w:r>
    </w:p>
  </w:footnote>
  <w:footnote w:id="108">
    <w:p w14:paraId="2B39BB26" w14:textId="77777777" w:rsidR="0084326C" w:rsidRPr="005D68A0" w:rsidRDefault="0084326C" w:rsidP="0084326C">
      <w:pPr>
        <w:pStyle w:val="FootnoteText"/>
        <w:ind w:left="0" w:firstLine="0"/>
      </w:pPr>
      <w:r>
        <w:rPr>
          <w:rStyle w:val="FootnoteReference"/>
          <w:lang w:val="en-GB"/>
        </w:rPr>
        <w:footnoteRef/>
      </w:r>
      <w:r>
        <w:t xml:space="preserve"> Seda erandit ei kohaldata käesoleva meetme kohasele tegevusele olemasolevates mehhaanilis-bioloogilise töötlemise käitistes, kui sellise tegevuse eesmärk on suurendada energiatõhusust või moderniseerida eraldatud jäätmete ringlussevõttu biojäätmete kompostimiseks ja nende anaeroobseks kääritamiseks, tingimusel et käesoleva meetme kohane tegevus ei suurenda käitiste jäätmekäitlusvõimsust ega pikenda nende kasutusaega; tõendid selle kohta tuleb esitada iga jaama kohta eraldi.</w:t>
      </w:r>
    </w:p>
  </w:footnote>
  <w:footnote w:id="109">
    <w:p w14:paraId="60CD6896" w14:textId="77777777" w:rsidR="0084326C" w:rsidRPr="005D68A0" w:rsidRDefault="0084326C" w:rsidP="0084326C">
      <w:pPr>
        <w:pStyle w:val="FootnoteText"/>
        <w:ind w:left="0" w:firstLine="0"/>
      </w:pPr>
      <w:r>
        <w:rPr>
          <w:rStyle w:val="FootnoteReference"/>
          <w:rFonts w:eastAsiaTheme="majorEastAsia"/>
          <w:lang w:val="en-GB"/>
        </w:rPr>
        <w:footnoteRef/>
      </w:r>
      <w:r>
        <w:t xml:space="preserve"> CDP riskikapitali SGR teostab valitsemistegevust kooskõlas alternatiivsete investeerimisfondide valitsejate direktiivis sätestatud sõltumatuse ja sõltumatuse põhimõtetega.</w:t>
      </w:r>
    </w:p>
  </w:footnote>
  <w:footnote w:id="110">
    <w:p w14:paraId="43321CC8" w14:textId="77777777" w:rsidR="0084326C" w:rsidRPr="005D68A0" w:rsidRDefault="0084326C" w:rsidP="0084326C">
      <w:pPr>
        <w:pStyle w:val="FootnoteText"/>
        <w:ind w:left="0" w:firstLine="0"/>
      </w:pPr>
      <w:r>
        <w:rPr>
          <w:rStyle w:val="FootnoteReference"/>
          <w:rFonts w:eastAsiaTheme="majorEastAsia"/>
          <w:lang w:val="en-GB"/>
        </w:rPr>
        <w:footnoteRef/>
      </w:r>
      <w:r>
        <w:t xml:space="preserve"> Leitakse, et lõplik abisaaja keskendub „oluliselt“ sektorile või äritegevusele, kui see sektor või tegevus on lõpliku abisaaja äritegevuse oluline osa, võrreldes lõpliku abisaaja brutotulu, kasumi või kliendibaasiga. Piiratud sektorist või tegevusest saadav brutotulu ei tohi mingil juhul ületada 50 % brutotulust.</w:t>
      </w:r>
    </w:p>
  </w:footnote>
  <w:footnote w:id="111">
    <w:p w14:paraId="7486F9C6" w14:textId="77777777" w:rsidR="0084326C" w:rsidRPr="005D68A0" w:rsidRDefault="0084326C" w:rsidP="0084326C">
      <w:pPr>
        <w:jc w:val="both"/>
        <w:rPr>
          <w:sz w:val="20"/>
          <w:szCs w:val="20"/>
        </w:rPr>
      </w:pPr>
      <w:r>
        <w:rPr>
          <w:rStyle w:val="FootnoteReference"/>
          <w:rFonts w:eastAsiaTheme="majorEastAsia"/>
          <w:lang w:val="en-GB"/>
        </w:rPr>
        <w:footnoteRef/>
      </w:r>
      <w:r>
        <w:t xml:space="preserve"> </w:t>
      </w:r>
      <w:r>
        <w:rPr>
          <w:sz w:val="20"/>
        </w:rPr>
        <w:t>Välja arvatud a) varad ja tegevused elektri- ja/või soojusenergia tootmises ning nendega seotud ülekande- ja jaotustaristus, milles kasutatakse maagaasi, mis vastavad dokumendi „Ei kahjusta oluliselt“ tehniliste suuniste (2021/C58/01) III lisas sätestatud tingimustele, ning b) alapunkti ii kohased tegevused ja varad, mille puhul fossiilkütuste kasutamine on ajutine ja tehniliselt vältimatu õigeaegseks üleminekuks fossiilkütuste tasuta kasutamisele.</w:t>
      </w:r>
    </w:p>
  </w:footnote>
  <w:footnote w:id="112">
    <w:p w14:paraId="792907F4" w14:textId="77777777" w:rsidR="0084326C" w:rsidRPr="005D68A0" w:rsidRDefault="0084326C" w:rsidP="0084326C">
      <w:pPr>
        <w:jc w:val="both"/>
        <w:rPr>
          <w:sz w:val="20"/>
          <w:szCs w:val="20"/>
        </w:rPr>
      </w:pPr>
      <w:r>
        <w:rPr>
          <w:rStyle w:val="FootnoteReference"/>
          <w:rFonts w:eastAsiaTheme="majorEastAsia"/>
          <w:lang w:val="en-GB"/>
        </w:rPr>
        <w:footnoteRef/>
      </w:r>
      <w:r>
        <w:rPr>
          <w:sz w:val="20"/>
        </w:rPr>
        <w:t xml:space="preserve"> Sealhulgas ELi heitkogustega kauplemise süsteemi (HKS) raames toimuv tegevus ja varad, mille prognoositav kasvuhoonegaaside heide ei ole asjaomastest võrdlusalustest madalam; Kui toetatava tegevuse prognoositav kasvuhoonegaaside heide ei ole asjaomasest võrdlusalusest oluliselt madalam, tuleb esitada selgitus põhjuste kohta, miks see ei ole võimalik. Saastekvootide tasuta eraldamise võrdlusalused saastekvootidega kauplemise süsteemi kohaldamisalasse kuuluvate tegevuste jaoks on sätestatud komisjoni rakendusmääruses (EL) 2021/447.</w:t>
      </w:r>
    </w:p>
  </w:footnote>
  <w:footnote w:id="113">
    <w:p w14:paraId="3623128E" w14:textId="77777777" w:rsidR="0084326C" w:rsidRPr="005D68A0" w:rsidRDefault="0084326C" w:rsidP="0084326C">
      <w:pPr>
        <w:jc w:val="both"/>
        <w:rPr>
          <w:sz w:val="20"/>
          <w:szCs w:val="20"/>
        </w:rPr>
      </w:pPr>
      <w:r>
        <w:rPr>
          <w:rStyle w:val="FootnoteReference"/>
          <w:rFonts w:eastAsiaTheme="majorEastAsia"/>
          <w:lang w:val="en-GB"/>
        </w:rPr>
        <w:footnoteRef/>
      </w:r>
      <w:r>
        <w:rPr>
          <w:sz w:val="20"/>
        </w:rPr>
        <w:t xml:space="preserve"> Saastavad sõidukid on määratletud kui heitevabad sõidukid.</w:t>
      </w:r>
    </w:p>
  </w:footnote>
  <w:footnote w:id="114">
    <w:p w14:paraId="7A8B8F40" w14:textId="77777777" w:rsidR="0084326C" w:rsidRPr="005D68A0" w:rsidRDefault="0084326C" w:rsidP="0084326C">
      <w:pPr>
        <w:pStyle w:val="FootnoteText"/>
        <w:ind w:left="0" w:firstLine="0"/>
      </w:pPr>
      <w:r>
        <w:rPr>
          <w:rStyle w:val="FootnoteReference"/>
          <w:rFonts w:eastAsiaTheme="majorEastAsia"/>
          <w:lang w:val="en-GB"/>
        </w:rPr>
        <w:footnoteRef/>
      </w:r>
      <w:r>
        <w:t xml:space="preserve"> Seda erandit ei kohaldata tegevusele, mis toimub üksnes ringlussevõetamatute ohtlike jäätmete käitlemisega tegelevates jaamades, ega olemasolevatele jaamadele, kui käesoleva meetme kohase tegevuse eesmärk on suurendada energiatõhusust, koguda heitgaase ladustamiseks või kasutamiseks või taaskasutada materjale põletustuhast, tingimusel et käesoleva meetme kohane tegevus ei suurenda jaamade jäätmekäitlusvõimsust ega pikenda nende kasutusaega; tõendid selle kohta tuleb esitada iga jaama kohta eraldi.</w:t>
      </w:r>
    </w:p>
  </w:footnote>
  <w:footnote w:id="115">
    <w:p w14:paraId="570376E5" w14:textId="77777777" w:rsidR="0084326C" w:rsidRPr="005D68A0" w:rsidRDefault="0084326C" w:rsidP="0084326C">
      <w:pPr>
        <w:pStyle w:val="FootnoteText"/>
        <w:ind w:left="0" w:firstLine="0"/>
      </w:pPr>
      <w:r>
        <w:rPr>
          <w:rStyle w:val="FootnoteReference"/>
          <w:lang w:val="en-GB"/>
        </w:rPr>
        <w:footnoteRef/>
      </w:r>
      <w:r>
        <w:t xml:space="preserve"> Välja arvatud käesoleva meetme kohased maagaasi kasutavad elektri- ja/või soojusenergia tootmise ning sellega seotud ülekande- ja jaotustaristu projektid, mis vastavad „Ei kahjusta oluliselt“ tehniliste suuniste (2021/C58/01) III lisas sätestatud tingimustele.</w:t>
      </w:r>
    </w:p>
  </w:footnote>
  <w:footnote w:id="116">
    <w:p w14:paraId="3AF517B8" w14:textId="77777777" w:rsidR="0084326C" w:rsidRPr="005D68A0" w:rsidRDefault="0084326C" w:rsidP="0084326C">
      <w:pPr>
        <w:pStyle w:val="FootnoteText"/>
        <w:ind w:left="0" w:firstLine="0"/>
      </w:pPr>
      <w:r>
        <w:rPr>
          <w:rStyle w:val="FootnoteReference"/>
          <w:lang w:val="en-GB"/>
        </w:rPr>
        <w:footnoteRef/>
      </w:r>
      <w:r>
        <w:t xml:space="preserve"> Kui toetatava tegevusega saavutatakse prognoositud kasvuhoonegaaside heide, mis ei ole oluliselt väiksem asjaomastest võrdlusalustest, tuleks esitada selgitus põhjuste kohta, miks see ei ole võimalik. Saastekvootide tasuta eraldamise võrdlusalused saastekvootidega kauplemise süsteemi kohaldamisalasse kuuluvate tegevuste jaoks on sätestatud komisjoni rakendusmääruses (EL) 2021/447.</w:t>
      </w:r>
    </w:p>
  </w:footnote>
  <w:footnote w:id="117">
    <w:p w14:paraId="679BB03A" w14:textId="77777777" w:rsidR="0084326C" w:rsidRPr="005D68A0" w:rsidRDefault="0084326C" w:rsidP="0084326C">
      <w:pPr>
        <w:jc w:val="both"/>
      </w:pPr>
      <w:r>
        <w:rPr>
          <w:rStyle w:val="FootnoteReference"/>
          <w:sz w:val="20"/>
          <w:szCs w:val="20"/>
          <w:lang w:val="en-GB"/>
        </w:rPr>
        <w:footnoteRef/>
      </w:r>
      <w:r>
        <w:rPr>
          <w:sz w:val="20"/>
        </w:rPr>
        <w:t xml:space="preserve"> Seda erandit ei kohaldata tegevusele, mis toimub käesoleva meetme raames üksnes ringlussevõetamatute ohtlike jäätmete käitlemisega tegelevates jaamades, ega olemasolevatele jaamadele, kui käesoleva meetme kohase tegevuse eesmärk on suurendada energiatõhusust, koguda heitgaase ladustamiseks või kasutamiseks või taaskasutada materjale põletustuhast, tingimusel et käesoleva meetme kohane tegevus ei suurenda jaamade jäätmekäitlusvõimsust ega pikenda nende kasutusaega; tõendid selle kohta tuleb esitada iga jaama kohta eraldi.</w:t>
      </w:r>
    </w:p>
  </w:footnote>
  <w:footnote w:id="118">
    <w:p w14:paraId="5AC49EB9" w14:textId="77777777" w:rsidR="0084326C" w:rsidRPr="005D68A0" w:rsidRDefault="0084326C" w:rsidP="0084326C">
      <w:pPr>
        <w:pStyle w:val="FootnoteText"/>
        <w:ind w:left="0" w:firstLine="0"/>
      </w:pPr>
      <w:r>
        <w:rPr>
          <w:rStyle w:val="FootnoteReference"/>
          <w:lang w:val="en-GB"/>
        </w:rPr>
        <w:footnoteRef/>
      </w:r>
      <w:r>
        <w:t xml:space="preserve"> Seda erandit ei kohaldata käesoleva meetme kohasele tegevusele olemasolevates mehhaanilis-bioloogilise töötlemise käitistes, kui sellise tegevuse eesmärk on suurendada energiatõhusust või moderniseerida eraldatud jäätmete ringlussevõttu biojäätmete kompostimiseks ja nende anaeroobseks kääritamiseks, tingimusel et käesoleva meetme kohane tegevus ei suurenda käitiste jäätmekäitlusvõimsust ega pikenda nende kasutusaega; tõendid selle kohta tuleb esitada iga jaama kohta eraldi.</w:t>
      </w:r>
    </w:p>
  </w:footnote>
  <w:footnote w:id="119">
    <w:p w14:paraId="440A1080" w14:textId="77777777" w:rsidR="0084326C" w:rsidRPr="005D68A0" w:rsidRDefault="0084326C" w:rsidP="0084326C">
      <w:pPr>
        <w:pStyle w:val="FootnoteText"/>
        <w:ind w:left="0" w:firstLine="0"/>
      </w:pPr>
      <w:r>
        <w:rPr>
          <w:rStyle w:val="FootnoteReference"/>
          <w:lang w:val="en-GB"/>
        </w:rPr>
        <w:footnoteRef/>
      </w:r>
      <w:r>
        <w:t xml:space="preserve"> Välja arvatud käesoleva meetme kohased maagaasi kasutavad elektri- ja/või soojusenergia tootmise ning sellega seotud ülekande- ja jaotustaristu projektid, mis vastavad „Ei kahjusta oluliselt“ tehniliste suuniste (2021/C58/01) III lisas sätestatud tingimustele.</w:t>
      </w:r>
    </w:p>
  </w:footnote>
  <w:footnote w:id="120">
    <w:p w14:paraId="5127CA8D" w14:textId="77777777" w:rsidR="0084326C" w:rsidRPr="005D68A0" w:rsidRDefault="0084326C" w:rsidP="0084326C">
      <w:pPr>
        <w:pStyle w:val="FootnoteText"/>
        <w:ind w:left="0" w:firstLine="0"/>
      </w:pPr>
      <w:r>
        <w:rPr>
          <w:rStyle w:val="FootnoteReference"/>
          <w:lang w:val="en-GB"/>
        </w:rPr>
        <w:footnoteRef/>
      </w:r>
      <w:r>
        <w:t xml:space="preserve"> Kui toetatava tegevusega saavutatakse prognoositud kasvuhoonegaaside heide, mis ei ole oluliselt väiksem asjaomastest võrdlusalustest, tuleks esitada selgitus põhjuste kohta, miks see ei ole võimalik. Saastekvootide tasuta eraldamise võrdlusalused saastekvootidega kauplemise süsteemi kohaldamisalasse kuuluvate tegevuste jaoks on sätestatud komisjoni rakendusmääruses (EL) 2021/447.</w:t>
      </w:r>
    </w:p>
  </w:footnote>
  <w:footnote w:id="121">
    <w:p w14:paraId="7E926B12" w14:textId="77777777" w:rsidR="0084326C" w:rsidRPr="005D68A0" w:rsidRDefault="0084326C" w:rsidP="0084326C">
      <w:pPr>
        <w:jc w:val="both"/>
      </w:pPr>
      <w:r>
        <w:rPr>
          <w:rStyle w:val="FootnoteReference"/>
          <w:sz w:val="20"/>
          <w:szCs w:val="20"/>
          <w:lang w:val="en-GB"/>
        </w:rPr>
        <w:footnoteRef/>
      </w:r>
      <w:r>
        <w:rPr>
          <w:sz w:val="20"/>
        </w:rPr>
        <w:t xml:space="preserve"> Seda erandit ei kohaldata tegevusele, mis toimub käesoleva meetme raames üksnes ringlussevõetamatute ohtlike jäätmete käitlemisega tegelevates jaamades, ega olemasolevatele jaamadele, kui käesoleva meetme kohase tegevuse eesmärk on suurendada energiatõhusust, koguda heitgaase ladustamiseks või kasutamiseks või taaskasutada materjale põletustuhast, tingimusel et käesoleva meetme kohane tegevus ei suurenda jaamade jäätmekäitlusvõimsust ega pikenda nende kasutusaega; tõendid selle kohta tuleb esitada iga jaama kohta eraldi.</w:t>
      </w:r>
    </w:p>
  </w:footnote>
  <w:footnote w:id="122">
    <w:p w14:paraId="5222884D" w14:textId="77777777" w:rsidR="0084326C" w:rsidRPr="005D68A0" w:rsidRDefault="0084326C" w:rsidP="0084326C">
      <w:pPr>
        <w:pStyle w:val="FootnoteText"/>
        <w:ind w:left="0" w:firstLine="0"/>
      </w:pPr>
      <w:r>
        <w:rPr>
          <w:rStyle w:val="FootnoteReference"/>
          <w:lang w:val="en-GB"/>
        </w:rPr>
        <w:footnoteRef/>
      </w:r>
      <w:r>
        <w:t xml:space="preserve"> Seda erandit ei kohaldata käesoleva meetme kohasele tegevusele olemasolevates mehhaanilis-bioloogilise töötlemise käitistes, kui sellise tegevuse eesmärk on suurendada energiatõhusust või moderniseerida eraldatud jäätmete ringlussevõttu biojäätmete kompostimiseks ja nende anaeroobseks kääritamiseks, tingimusel et käesoleva meetme kohane tegevus ei suurenda käitiste jäätmekäitlusvõimsust ega pikenda nende kasutusaega; tõendid selle kohta tuleb esitada iga jaama kohta eraldi.</w:t>
      </w:r>
    </w:p>
  </w:footnote>
  <w:footnote w:id="123">
    <w:p w14:paraId="11D3C812" w14:textId="77777777" w:rsidR="0084326C" w:rsidRPr="005D68A0" w:rsidRDefault="0084326C" w:rsidP="0084326C">
      <w:pPr>
        <w:pStyle w:val="FootnoteText"/>
        <w:ind w:left="0" w:firstLine="0"/>
      </w:pPr>
      <w:r>
        <w:rPr>
          <w:rStyle w:val="FootnoteReference"/>
        </w:rPr>
        <w:footnoteRef/>
      </w:r>
      <w:r>
        <w:t xml:space="preserve"> Välja arvatud a) varad ja tegevused elektri- ja/või soojusenergia tootmises ning nendega seotud ülekande- ja jaotustaristus, milles kasutatakse maagaasi, mis vastavad dokumendi „Ei kahjusta oluliselt“ tehniliste suuniste (2021/C58/01) III lisas sätestatud tingimustele, ning b) alapunkti ii kohased tegevused ja varad, mille puhul fossiilkütuste kasutamine on ajutine ja tehniliselt vältimatu õigeaegseks üleminekuks fossiilkütuste tasuta kasutamisele.</w:t>
      </w:r>
    </w:p>
  </w:footnote>
  <w:footnote w:id="124">
    <w:p w14:paraId="04AF02B4" w14:textId="77777777" w:rsidR="0084326C" w:rsidRPr="005D68A0" w:rsidRDefault="0084326C" w:rsidP="0084326C">
      <w:pPr>
        <w:pStyle w:val="FootnoteText"/>
        <w:ind w:left="0" w:firstLine="0"/>
        <w:rPr>
          <w:rFonts w:eastAsia="EC Square Sans Pro"/>
        </w:rPr>
      </w:pPr>
      <w:r>
        <w:rPr>
          <w:rStyle w:val="FootnoteReference"/>
          <w:rFonts w:eastAsiaTheme="majorEastAsia"/>
          <w:lang w:val="en-IE"/>
        </w:rPr>
        <w:footnoteRef/>
      </w:r>
      <w:r>
        <w:t xml:space="preserve"> Kui toetatava tegevuse prognoositav kasvuhoonegaaside heide ei ole asjaomasest võrdlusalusest oluliselt madalam, tuleb esitada selgitus põhjuste kohta, miks see ei ole võimalik. Saastekvootide tasuta eraldamise võrdlusalused saastekvootidega kauplemise süsteemi kohaldamisalasse kuuluvate tegevuste jaoks on sätestatud komisjoni rakendusmääruses (EL) 2021/447.</w:t>
      </w:r>
    </w:p>
  </w:footnote>
  <w:footnote w:id="125">
    <w:p w14:paraId="490774A7" w14:textId="77777777" w:rsidR="0084326C" w:rsidRPr="005D68A0" w:rsidRDefault="0084326C" w:rsidP="0084326C">
      <w:pPr>
        <w:pStyle w:val="FootnoteText"/>
        <w:ind w:left="0" w:firstLine="0"/>
      </w:pPr>
      <w:r>
        <w:rPr>
          <w:rStyle w:val="FootnoteReference"/>
          <w:rFonts w:eastAsiaTheme="majorEastAsia"/>
        </w:rPr>
        <w:footnoteRef/>
      </w:r>
      <w:r>
        <w:t xml:space="preserve"> Seda erandit ei kohaldata tegevusele, mis toimub käesoleva meetme raames üksnes ringlussevõetamatute ohtlike jäätmete käitlemisega tegelevates jaamades, ega olemasolevatele jaamadele, kui käesoleva meetme kohase tegevuse eesmärk on suurendada energiatõhusust, koguda heitgaase ladustamiseks või kasutamiseks või taaskasutada materjale põletustuhast, tingimusel et käesoleva meetme kohane tegevus ei suurenda jaamade jäätmekäitlusvõimsust ega pikenda nende kasutusaega; tõendid selle kohta tuleb esitada iga jaama kohta eraldi. </w:t>
      </w:r>
    </w:p>
  </w:footnote>
  <w:footnote w:id="126">
    <w:p w14:paraId="3E130C86" w14:textId="77777777" w:rsidR="0084326C" w:rsidRPr="005D68A0" w:rsidRDefault="0084326C" w:rsidP="0084326C">
      <w:pPr>
        <w:pStyle w:val="FootnoteText"/>
        <w:ind w:left="0" w:firstLine="0"/>
      </w:pPr>
      <w:r>
        <w:rPr>
          <w:rStyle w:val="FootnoteReference"/>
          <w:rFonts w:eastAsiaTheme="majorEastAsia"/>
          <w:lang w:val="en-GB"/>
        </w:rPr>
        <w:footnoteRef/>
      </w:r>
      <w:r>
        <w:t xml:space="preserve"> Seda erandit ei kohaldata käesoleva meetme kohasele tegevusele olemasolevates mehhaanilis-bioloogilise töötlemise käitistes, kui sellise tegevuse eesmärk on suurendada energiatõhusust või moderniseerida eraldatud jäätmete ringlussevõttu biojäätmete kompostimiseks ja nende anaeroobseks kääritamiseks, tingimusel et käesoleva meetme kohane tegevus ei suurenda käitiste jäätmekäitlusvõimsust ega pikenda nende kasutusaega; tõendid selle kohta tuleb esitada iga jaama kohta eraldi. </w:t>
      </w:r>
    </w:p>
  </w:footnote>
  <w:footnote w:id="127">
    <w:p w14:paraId="7BD4530F" w14:textId="77777777" w:rsidR="0084326C" w:rsidRPr="005D68A0" w:rsidRDefault="0084326C" w:rsidP="0084326C">
      <w:pPr>
        <w:pStyle w:val="FootnoteText"/>
        <w:ind w:left="0" w:firstLine="0"/>
      </w:pPr>
      <w:r>
        <w:rPr>
          <w:rStyle w:val="FootnoteReference"/>
        </w:rPr>
        <w:footnoteRef/>
      </w:r>
      <w:r>
        <w:t xml:space="preserve"> Välja arvatud a) varad ja tegevused elektri- ja/või soojusenergia tootmises ning nendega seotud ülekande- ja jaotustaristus, milles kasutatakse maagaasi, mis vastavad dokumendi „Ei kahjusta oluliselt“ tehniliste suuniste (2021/C58/01) III lisas sätestatud tingimustele, ning b) alapunkti ii kohased tegevused ja varad, mille puhul fossiilkütuste kasutamine on ajutine ja tehniliselt vältimatu õigeaegseks üleminekuks fossiilkütuste tasuta kasutamisele.</w:t>
      </w:r>
    </w:p>
  </w:footnote>
  <w:footnote w:id="128">
    <w:p w14:paraId="1B83533F" w14:textId="77777777" w:rsidR="0084326C" w:rsidRPr="005D68A0" w:rsidRDefault="0084326C" w:rsidP="0084326C">
      <w:pPr>
        <w:pStyle w:val="FootnoteText"/>
        <w:ind w:left="0" w:firstLine="0"/>
        <w:rPr>
          <w:rFonts w:eastAsia="EC Square Sans Pro"/>
        </w:rPr>
      </w:pPr>
      <w:r>
        <w:rPr>
          <w:rStyle w:val="FootnoteReference"/>
          <w:rFonts w:eastAsiaTheme="majorEastAsia"/>
          <w:lang w:val="en-IE"/>
        </w:rPr>
        <w:footnoteRef/>
      </w:r>
      <w:r>
        <w:t xml:space="preserve"> Kui toetatava tegevuse prognoositav kasvuhoonegaaside heide ei ole asjaomasest võrdlusalusest oluliselt madalam, tuleb esitada selgitus põhjuste kohta, miks see ei ole võimalik. Saastekvootide tasuta eraldamise võrdlusalused saastekvootidega kauplemise süsteemi kohaldamisalasse kuuluvate tegevuste jaoks on sätestatud komisjoni rakendusmääruses (EL) 2021/447. </w:t>
      </w:r>
    </w:p>
  </w:footnote>
  <w:footnote w:id="129">
    <w:p w14:paraId="181D67D7" w14:textId="77777777" w:rsidR="0084326C" w:rsidRPr="005D68A0" w:rsidRDefault="0084326C" w:rsidP="0084326C">
      <w:pPr>
        <w:pStyle w:val="FootnoteText"/>
        <w:ind w:left="0" w:firstLine="0"/>
      </w:pPr>
      <w:r>
        <w:rPr>
          <w:rStyle w:val="FootnoteReference"/>
          <w:rFonts w:eastAsiaTheme="majorEastAsia"/>
        </w:rPr>
        <w:footnoteRef/>
      </w:r>
      <w:r>
        <w:t xml:space="preserve"> Seda erandit ei kohaldata tegevusele, mis toimub käesoleva meetme raames üksnes ringlussevõetamatute ohtlike jäätmete käitlemisega tegelevates jaamades, ega olemasolevatele jaamadele, kui käesoleva meetme kohase tegevuse eesmärk on suurendada energiatõhusust, koguda heitgaase ladustamiseks või kasutamiseks või taaskasutada materjale põletustuhast, tingimusel et käesoleva meetme kohane tegevus ei suurenda jaamade jäätmekäitlusvõimsust ega pikenda nende kasutusaega; tõendid selle kohta tuleb esitada iga jaama kohta eraldi. </w:t>
      </w:r>
    </w:p>
  </w:footnote>
  <w:footnote w:id="130">
    <w:p w14:paraId="3B254F50" w14:textId="77777777" w:rsidR="0084326C" w:rsidRPr="005D68A0" w:rsidRDefault="0084326C" w:rsidP="0084326C">
      <w:pPr>
        <w:pStyle w:val="FootnoteText"/>
        <w:ind w:left="0" w:firstLine="0"/>
      </w:pPr>
      <w:r>
        <w:rPr>
          <w:rStyle w:val="FootnoteReference"/>
          <w:rFonts w:eastAsiaTheme="majorEastAsia"/>
          <w:lang w:val="en-GB"/>
        </w:rPr>
        <w:footnoteRef/>
      </w:r>
      <w:r>
        <w:t xml:space="preserve"> Seda erandit ei kohaldata käesoleva meetme kohasele tegevusele olemasolevates mehhaanilis-bioloogilise töötlemise käitistes, kui sellise tegevuse eesmärk on suurendada energiatõhusust või moderniseerida eraldatud jäätmete ringlussevõttu biojäätmete kompostimiseks ja nende anaeroobseks kääritamiseks, tingimusel et käesoleva meetme kohane tegevus ei suurenda käitiste jäätmekäitlusvõimsust ega pikenda nende kasutusaega; tõendid selle kohta tuleb esitada iga jaama kohta eraldi. </w:t>
      </w:r>
    </w:p>
  </w:footnote>
  <w:footnote w:id="131">
    <w:p w14:paraId="21609059" w14:textId="77777777" w:rsidR="0084326C" w:rsidRPr="005D68A0" w:rsidRDefault="0084326C" w:rsidP="0084326C">
      <w:pPr>
        <w:rPr>
          <w:sz w:val="20"/>
          <w:szCs w:val="20"/>
        </w:rPr>
      </w:pPr>
      <w:r>
        <w:rPr>
          <w:sz w:val="16"/>
          <w:szCs w:val="16"/>
          <w:vertAlign w:val="superscript"/>
        </w:rPr>
        <w:footnoteRef/>
      </w:r>
      <w:r>
        <w:t xml:space="preserve"> </w:t>
      </w:r>
      <w:r>
        <w:rPr>
          <w:sz w:val="20"/>
        </w:rPr>
        <w:t>Välja arvatud a) varad ja tegevused elektri- ja/või soojusenergia tootmises ning nendega seotud ülekande- ja jaotustaristus, milles kasutatakse maagaasi, mis vastavad dokumendi „Ei kahjusta oluliselt“ tehniliste suuniste (2021/C58/01) III lisas sätestatud tingimustele, ning b) alapunkti ii kohased tegevused ja varad, mille puhul fossiilkütuste kasutamine on ajutine ja tehniliselt vältimatu õigeaegseks üleminekuks fossiilkütuste tasuta kasutamisele.</w:t>
      </w:r>
    </w:p>
  </w:footnote>
  <w:footnote w:id="132">
    <w:p w14:paraId="108E6979" w14:textId="77777777" w:rsidR="0084326C" w:rsidRPr="005D68A0" w:rsidRDefault="0084326C" w:rsidP="0084326C">
      <w:pPr>
        <w:rPr>
          <w:sz w:val="20"/>
          <w:szCs w:val="20"/>
        </w:rPr>
      </w:pPr>
      <w:r>
        <w:rPr>
          <w:sz w:val="20"/>
          <w:szCs w:val="20"/>
          <w:vertAlign w:val="superscript"/>
        </w:rPr>
        <w:footnoteRef/>
      </w:r>
      <w:r>
        <w:rPr>
          <w:sz w:val="20"/>
        </w:rPr>
        <w:t xml:space="preserve"> Kui toetatava tegevuse prognoositav kasvuhoonegaaside heide ei ole asjaomasest võrdlusalusest oluliselt madalam, tuleb esitada selgitus põhjuste kohta, miks see ei ole võimalik. Saastekvootide tasuta eraldamise võrdlusalused saastekvootidega kauplemise süsteemi kohaldamisalasse kuuluvate tegevuste jaoks on sätestatud komisjoni rakendusmääruses (EL) 2021/447.</w:t>
      </w:r>
    </w:p>
  </w:footnote>
  <w:footnote w:id="133">
    <w:p w14:paraId="4270F0D8" w14:textId="77777777" w:rsidR="0084326C" w:rsidRPr="005D68A0" w:rsidRDefault="0084326C" w:rsidP="0084326C">
      <w:pPr>
        <w:rPr>
          <w:sz w:val="18"/>
          <w:szCs w:val="18"/>
        </w:rPr>
      </w:pPr>
      <w:r>
        <w:rPr>
          <w:sz w:val="20"/>
          <w:szCs w:val="20"/>
          <w:vertAlign w:val="superscript"/>
        </w:rPr>
        <w:footnoteRef/>
      </w:r>
      <w:r>
        <w:rPr>
          <w:sz w:val="20"/>
        </w:rPr>
        <w:t xml:space="preserve"> Seda erandit ei kohaldata tegevusele, mis toimub käesoleva meetme raames üksnes ringlussevõetamatute ohtlike jäätmete käitlemisega tegelevates jaamades, ega olemasolevatele jaamadele, kui käesoleva meetme kohase tegevuse eesmärk on suurendada energiatõhusust, koguda heitgaase ladustamiseks või kasutamiseks või taaskasutada materjale põletustuhast, tingimusel et käesoleva meetme kohane tegevus ei suurenda jaamade jäätmekäitlusvõimsust ega pikenda nende kasutusaega; tõendid selle kohta tuleb esitada iga jaama kohta eraldi. </w:t>
      </w:r>
    </w:p>
  </w:footnote>
  <w:footnote w:id="134">
    <w:p w14:paraId="01D4568E" w14:textId="77777777" w:rsidR="0084326C" w:rsidRPr="005D68A0" w:rsidRDefault="0084326C" w:rsidP="0084326C">
      <w:pPr>
        <w:rPr>
          <w:sz w:val="18"/>
          <w:szCs w:val="18"/>
        </w:rPr>
      </w:pPr>
      <w:r>
        <w:rPr>
          <w:sz w:val="20"/>
          <w:szCs w:val="20"/>
          <w:vertAlign w:val="superscript"/>
        </w:rPr>
        <w:footnoteRef/>
      </w:r>
      <w:r>
        <w:rPr>
          <w:sz w:val="20"/>
        </w:rPr>
        <w:t xml:space="preserve"> Seda erandit ei kohaldata käesoleva meetme kohasele tegevusele olemasolevates mehhaanilis-bioloogilise töötlemise käitistes, kui sellise tegevuse eesmärk on suurendada energiatõhusust või moderniseerida eraldatud jäätmete ringlussevõttu biojäätmete kompostimiseks ja nende anaeroobseks kääritamiseks, tingimusel et käesoleva meetme kohane tegevus ei suurenda käitiste jäätmekäitlusvõimsust ega pikenda nende kasutusaega; tõendid selle kohta tuleb esitada iga jaama kohta eraldi. </w:t>
      </w:r>
    </w:p>
  </w:footnote>
  <w:footnote w:id="135">
    <w:p w14:paraId="4A092F05" w14:textId="77777777" w:rsidR="0084326C" w:rsidRPr="005D68A0" w:rsidRDefault="0084326C" w:rsidP="0084326C">
      <w:pPr>
        <w:rPr>
          <w:sz w:val="18"/>
          <w:szCs w:val="18"/>
        </w:rPr>
      </w:pPr>
      <w:r>
        <w:rPr>
          <w:sz w:val="20"/>
          <w:szCs w:val="20"/>
          <w:vertAlign w:val="superscript"/>
        </w:rPr>
        <w:footnoteRef/>
      </w:r>
      <w:r>
        <w:t xml:space="preserve"> </w:t>
      </w:r>
      <w:r>
        <w:rPr>
          <w:sz w:val="20"/>
        </w:rPr>
        <w:t>Konkreetsete projektidega seotud lõplikud toetusesaajad peavad kliimaalase panuse arvutamiseks esitama iga toetatava projekti puhul valitud sekkumisvaldkonna põhjenduse koos projekti kirjeldusega. Rakenduspartner peab samuti esitama liikmesriigile poolaastaaruande iga projekti/tegevuse rakendamise kohta.</w:t>
      </w:r>
    </w:p>
  </w:footnote>
  <w:footnote w:id="136">
    <w:p w14:paraId="5D5DBDD1" w14:textId="77777777" w:rsidR="0084326C" w:rsidRPr="005D68A0" w:rsidRDefault="0084326C" w:rsidP="0084326C">
      <w:pPr>
        <w:pStyle w:val="FootnoteText"/>
        <w:rPr>
          <w:rFonts w:eastAsiaTheme="majorEastAsia"/>
        </w:rPr>
      </w:pPr>
      <w:r>
        <w:rPr>
          <w:rStyle w:val="FootnoteReference"/>
          <w:lang w:val="en-GB"/>
        </w:rPr>
        <w:footnoteRef/>
      </w:r>
      <w:r>
        <w:rPr>
          <w:rStyle w:val="normaltextrun"/>
        </w:rPr>
        <w:t xml:space="preserve"> Eelkõige viitab see kord 11. detsembri 2016. aasta seaduse A ja B lisale nr 232.</w:t>
      </w:r>
    </w:p>
  </w:footnote>
  <w:footnote w:id="137">
    <w:p w14:paraId="7047D416" w14:textId="77777777" w:rsidR="0084326C" w:rsidRPr="005D68A0" w:rsidRDefault="0084326C" w:rsidP="0084326C">
      <w:pPr>
        <w:pStyle w:val="FootnoteText"/>
        <w:ind w:left="0" w:firstLine="0"/>
      </w:pPr>
      <w:r>
        <w:rPr>
          <w:rStyle w:val="FootnoteReference"/>
          <w:lang w:val="en-GB"/>
        </w:rPr>
        <w:footnoteRef/>
      </w:r>
      <w:r>
        <w:t xml:space="preserve"> Äsja asutatud äriühingute puhul tuleks energiasäästu mõõta samas sektoris tegutsevate sarnaste omadustega (suurusega) äriühingu keskmise aastase tarbimise alusel (ATECO kood).</w:t>
      </w:r>
    </w:p>
  </w:footnote>
  <w:footnote w:id="138">
    <w:p w14:paraId="0EA0560B" w14:textId="77777777" w:rsidR="0084326C" w:rsidRPr="00F33804" w:rsidRDefault="0084326C" w:rsidP="0084326C">
      <w:pPr>
        <w:pStyle w:val="FootnoteText"/>
      </w:pPr>
    </w:p>
  </w:footnote>
  <w:footnote w:id="139">
    <w:p w14:paraId="381195D3" w14:textId="77777777" w:rsidR="0084326C" w:rsidRPr="005D68A0" w:rsidRDefault="0084326C" w:rsidP="0084326C">
      <w:pPr>
        <w:pStyle w:val="FootnoteText"/>
        <w:ind w:left="0" w:firstLine="0"/>
      </w:pPr>
      <w:r>
        <w:rPr>
          <w:rStyle w:val="FootnoteReference"/>
          <w:rFonts w:eastAsiaTheme="majorEastAsia"/>
          <w:lang w:val="en-GB"/>
        </w:rPr>
        <w:footnoteRef/>
      </w:r>
      <w:r>
        <w:t xml:space="preserve"> Leitakse, et lõplik abisaaja keskendub „oluliselt“ sektorile või äritegevusele, kui see sektor või tegevus on lõpliku abisaaja äritegevuse oluline osa, võrreldes lõpliku abisaaja brutotulu, kasumi või kliendibaasiga. Piiratud sektorist või tegevusest saadav brutotulu ei tohi mingil juhul ületada 50 % brutotulust.</w:t>
      </w:r>
    </w:p>
  </w:footnote>
  <w:footnote w:id="140">
    <w:p w14:paraId="15AD917A" w14:textId="77777777" w:rsidR="0084326C" w:rsidRPr="005D68A0" w:rsidRDefault="0084326C" w:rsidP="0084326C">
      <w:pPr>
        <w:jc w:val="both"/>
        <w:rPr>
          <w:sz w:val="20"/>
          <w:szCs w:val="20"/>
        </w:rPr>
      </w:pPr>
      <w:r>
        <w:rPr>
          <w:rStyle w:val="FootnoteReference"/>
          <w:rFonts w:eastAsiaTheme="majorEastAsia"/>
          <w:sz w:val="20"/>
          <w:szCs w:val="20"/>
          <w:lang w:val="en-GB"/>
        </w:rPr>
        <w:footnoteRef/>
      </w:r>
      <w:r>
        <w:t xml:space="preserve"> </w:t>
      </w:r>
      <w:r>
        <w:rPr>
          <w:sz w:val="20"/>
        </w:rPr>
        <w:t>Välja arvatud a) varad ja tegevused elektri- ja/või soojusenergia tootmises ning nendega seotud ülekande- ja jaotustaristus, milles kasutatakse maagaasi, mis vastavad dokumendi „Ei kahjusta oluliselt“ tehniliste suuniste (2021/C58/01) III lisas sätestatud tingimustele, ning b) alapunkti ii kohased tegevused ja varad, mille puhul fossiilkütuste kasutamine on ajutine ja tehniliselt vältimatu õigeaegseks üleminekuks fossiilkütuste tasuta kasutamisele.</w:t>
      </w:r>
    </w:p>
  </w:footnote>
  <w:footnote w:id="141">
    <w:p w14:paraId="3EB2B649" w14:textId="77777777" w:rsidR="0084326C" w:rsidRPr="005D68A0" w:rsidRDefault="0084326C" w:rsidP="0084326C">
      <w:pPr>
        <w:jc w:val="both"/>
        <w:rPr>
          <w:sz w:val="20"/>
          <w:szCs w:val="20"/>
        </w:rPr>
      </w:pPr>
      <w:r>
        <w:rPr>
          <w:rStyle w:val="FootnoteReference"/>
          <w:rFonts w:eastAsiaTheme="majorEastAsia"/>
          <w:sz w:val="20"/>
          <w:szCs w:val="20"/>
          <w:lang w:val="en-GB"/>
        </w:rPr>
        <w:footnoteRef/>
      </w:r>
      <w:r>
        <w:rPr>
          <w:sz w:val="20"/>
        </w:rPr>
        <w:t xml:space="preserve"> Sealhulgas ELi heitkogustega kauplemise süsteemi (HKS) raames toimuv tegevus ja varad, mille prognoositav kasvuhoonegaaside heide ei ole asjaomastest võrdlusalustest madalam; Kui toetatava tegevuse prognoositav kasvuhoonegaaside heide ei ole asjaomasest võrdlusalusest oluliselt madalam, tuleb esitada selgitus põhjuste kohta, miks see ei ole võimalik. Saastekvootide tasuta eraldamise võrdlusalused saastekvootidega kauplemise süsteemi kohaldamisalasse kuuluvate tegevuste jaoks on sätestatud komisjoni rakendusmääruses (EL) 2021/447.</w:t>
      </w:r>
    </w:p>
  </w:footnote>
  <w:footnote w:id="142">
    <w:p w14:paraId="6907D480" w14:textId="77777777" w:rsidR="0084326C" w:rsidRPr="005D68A0" w:rsidRDefault="0084326C" w:rsidP="0084326C">
      <w:pPr>
        <w:jc w:val="both"/>
        <w:rPr>
          <w:sz w:val="20"/>
          <w:szCs w:val="20"/>
        </w:rPr>
      </w:pPr>
      <w:r>
        <w:rPr>
          <w:rStyle w:val="FootnoteReference"/>
          <w:rFonts w:eastAsiaTheme="majorEastAsia"/>
          <w:sz w:val="20"/>
          <w:szCs w:val="20"/>
          <w:lang w:val="en-GB"/>
        </w:rPr>
        <w:footnoteRef/>
      </w:r>
      <w:r>
        <w:rPr>
          <w:sz w:val="20"/>
        </w:rPr>
        <w:t xml:space="preserve"> Saastavad sõidukid on määratletud kui heitevabad sõidukid.</w:t>
      </w:r>
    </w:p>
  </w:footnote>
  <w:footnote w:id="143">
    <w:p w14:paraId="6C70255D" w14:textId="77777777" w:rsidR="0084326C" w:rsidRPr="005D68A0" w:rsidRDefault="0084326C" w:rsidP="0084326C">
      <w:pPr>
        <w:pStyle w:val="FootnoteText"/>
        <w:ind w:left="0" w:firstLine="0"/>
      </w:pPr>
      <w:r>
        <w:rPr>
          <w:rStyle w:val="FootnoteReference"/>
          <w:rFonts w:eastAsiaTheme="majorEastAsia"/>
          <w:lang w:val="en-GB"/>
        </w:rPr>
        <w:footnoteRef/>
      </w:r>
      <w:r>
        <w:t xml:space="preserve"> Seda erandit ei kohaldata tegevusele, mis toimub üksnes ringlussevõetamatute ohtlike jäätmete käitlemisega tegelevates jaamades, ega olemasolevatele jaamadele, kui käesoleva meetme kohase tegevuse eesmärk on suurendada energiatõhusust, koguda heitgaase ladustamiseks või kasutamiseks või taaskasutada materjale põletustuhast, tingimusel et käesoleva meetme kohane tegevus ei suurenda jaamade jäätmekäitlusvõimsust ega pikenda nende kasutusaega; tõendid selle kohta tuleb esitada iga jaama kohta eraldi.</w:t>
      </w:r>
    </w:p>
  </w:footnote>
  <w:footnote w:id="144">
    <w:p w14:paraId="25564C16" w14:textId="77777777" w:rsidR="0084326C" w:rsidRPr="005D68A0" w:rsidRDefault="0084326C" w:rsidP="0084326C">
      <w:pPr>
        <w:pStyle w:val="FootnoteText"/>
        <w:ind w:left="0" w:firstLine="0"/>
      </w:pPr>
      <w:r>
        <w:rPr>
          <w:rStyle w:val="FootnoteReference"/>
        </w:rPr>
        <w:footnoteRef/>
      </w:r>
      <w:r>
        <w:t xml:space="preserve"> Konkreetsete projektidega seotud lõplikud toetusesaajad peavad kliimaalase panuse arvutamiseks esitama iga toetatava projekti puhul valitud sekkumisvaldkonna põhjenduse koos projekti kirjeldusega. </w:t>
      </w:r>
    </w:p>
    <w:p w14:paraId="7AB19FA9" w14:textId="77777777" w:rsidR="0084326C" w:rsidRPr="00F33804" w:rsidRDefault="0084326C" w:rsidP="0084326C">
      <w:pPr>
        <w:pStyle w:val="FootnoteText"/>
      </w:pPr>
    </w:p>
  </w:footnote>
  <w:footnote w:id="145">
    <w:p w14:paraId="0B471507" w14:textId="77777777" w:rsidR="0084326C" w:rsidRPr="005D68A0" w:rsidRDefault="0084326C" w:rsidP="0084326C">
      <w:pPr>
        <w:pStyle w:val="FootnoteText"/>
        <w:ind w:left="0" w:firstLine="0"/>
      </w:pPr>
      <w:r>
        <w:rPr>
          <w:rStyle w:val="FootnoteReference"/>
        </w:rPr>
        <w:footnoteRef/>
      </w:r>
      <w:r>
        <w:t xml:space="preserve"> Konkreetsete projektidega seotud lõplikud toetusesaajad peavad kliimaalase panuse arvutamiseks esitama iga toetatava projekti puhul valitud sekkumisvaldkonna põhjenduse koos projekti kirjeldusega.</w:t>
      </w:r>
    </w:p>
  </w:footnote>
  <w:footnote w:id="146">
    <w:p w14:paraId="40FE601F" w14:textId="77777777" w:rsidR="0084326C" w:rsidRPr="005D68A0" w:rsidRDefault="0084326C" w:rsidP="0084326C">
      <w:pPr>
        <w:pStyle w:val="FootnoteText"/>
        <w:ind w:left="0" w:firstLine="0"/>
      </w:pPr>
      <w:r>
        <w:rPr>
          <w:rStyle w:val="FootnoteReference"/>
        </w:rPr>
        <w:footnoteRef/>
      </w:r>
      <w:r>
        <w:t xml:space="preserve"> Välja arvatud a) varad ja tegevused elektri- ja/või soojusenergia tootmises ning nendega seotud ülekande- ja jaotustaristus, milles kasutatakse maagaasi, mis vastavad dokumendi „Ei kahjusta oluliselt“ tehniliste suuniste (2021/C58/01) III lisas sätestatud tingimustele, ning b) alapunkti ii kohased tegevused ja varad, mille puhul fossiilkütuste kasutamine on ajutine ja tehniliselt vältimatu õigeaegseks üleminekuks fossiilkütuste tasuta kasutamisele.</w:t>
      </w:r>
    </w:p>
  </w:footnote>
  <w:footnote w:id="147">
    <w:p w14:paraId="79BA5009" w14:textId="77777777" w:rsidR="0084326C" w:rsidRPr="005D68A0" w:rsidRDefault="0084326C" w:rsidP="0084326C">
      <w:pPr>
        <w:pStyle w:val="FootnoteText"/>
        <w:ind w:left="0" w:firstLine="0"/>
        <w:rPr>
          <w:rFonts w:eastAsia="EC Square Sans Pro"/>
        </w:rPr>
      </w:pPr>
      <w:r>
        <w:rPr>
          <w:rStyle w:val="FootnoteReference"/>
          <w:rFonts w:eastAsiaTheme="majorEastAsia"/>
          <w:lang w:val="en-IE"/>
        </w:rPr>
        <w:footnoteRef/>
      </w:r>
      <w:r>
        <w:t xml:space="preserve"> Kui toetatava tegevuse prognoositav kasvuhoonegaaside heide ei ole asjaomasest võrdlusalusest oluliselt madalam, tuleb esitada selgitus põhjuste kohta, miks see ei ole võimalik. Saastekvootide tasuta eraldamise võrdlusalused saastekvootidega kauplemise süsteemi kohaldamisalasse kuuluvate tegevuste jaoks on sätestatud komisjoni rakendusmääruses (EL) 2021/447. </w:t>
      </w:r>
    </w:p>
  </w:footnote>
  <w:footnote w:id="148">
    <w:p w14:paraId="7B9D741C" w14:textId="77777777" w:rsidR="0084326C" w:rsidRPr="005D68A0" w:rsidRDefault="0084326C" w:rsidP="0084326C">
      <w:pPr>
        <w:pStyle w:val="FootnoteText"/>
        <w:ind w:left="0" w:firstLine="0"/>
      </w:pPr>
      <w:r>
        <w:rPr>
          <w:rStyle w:val="FootnoteReference"/>
          <w:rFonts w:eastAsiaTheme="majorEastAsia"/>
        </w:rPr>
        <w:footnoteRef/>
      </w:r>
      <w:r>
        <w:t xml:space="preserve"> Seda erandit ei kohaldata tegevusele, mis toimub käesoleva meetme raames üksnes ringlussevõetamatute ohtlike jäätmete käitlemisega tegelevates jaamades, ega olemasolevatele jaamadele, kui käesoleva meetme kohase tegevuse eesmärk on suurendada energiatõhusust, koguda heitgaase ladustamiseks või kasutamiseks või taaskasutada materjale põletustuhast, tingimusel et käesoleva meetme kohane tegevus ei suurenda jaamade jäätmekäitlusvõimsust ega pikenda nende kasutusaega; tõendid selle kohta tuleb esitada iga jaama kohta eraldi. </w:t>
      </w:r>
    </w:p>
  </w:footnote>
  <w:footnote w:id="149">
    <w:p w14:paraId="627C4656" w14:textId="77777777" w:rsidR="0084326C" w:rsidRPr="005D68A0" w:rsidRDefault="0084326C" w:rsidP="0084326C">
      <w:pPr>
        <w:pStyle w:val="FootnoteText"/>
        <w:ind w:left="0" w:firstLine="0"/>
      </w:pPr>
      <w:r>
        <w:rPr>
          <w:rStyle w:val="FootnoteReference"/>
          <w:rFonts w:eastAsiaTheme="majorEastAsia"/>
          <w:lang w:val="en-GB"/>
        </w:rPr>
        <w:footnoteRef/>
      </w:r>
      <w:r>
        <w:t xml:space="preserve"> Seda erandit ei kohaldata käesoleva meetme kohasele tegevusele olemasolevates mehhaanilis-bioloogilise töötlemise käitistes, kui sellise tegevuse eesmärk on suurendada energiatõhusust või moderniseerida eraldatud jäätmete ringlussevõttu biojäätmete kompostimiseks ja nende anaeroobseks kääritamiseks, tingimusel et käesoleva meetme kohane tegevus ei suurenda käitiste jäätmekäitlusvõimsust ega pikenda nende kasutusaega; tõendid selle kohta tuleb esitada iga jaama kohta eraldi. </w:t>
      </w:r>
    </w:p>
  </w:footnote>
  <w:footnote w:id="150">
    <w:p w14:paraId="54A34E4C" w14:textId="77777777" w:rsidR="0084326C" w:rsidRPr="005D68A0" w:rsidRDefault="0084326C" w:rsidP="0084326C">
      <w:pPr>
        <w:pStyle w:val="FootnoteText"/>
        <w:ind w:left="0" w:firstLine="0"/>
      </w:pPr>
      <w:r>
        <w:rPr>
          <w:rStyle w:val="FootnoteReference"/>
        </w:rPr>
        <w:footnoteRef/>
      </w:r>
      <w:r>
        <w:t xml:space="preserve"> Konkreetsete projektidega seotud lõplikud toetusesaajad peavad kliimaalase panuse arvutamiseks esitama iga toetatava projekti puhul valitud sekkumisvaldkonna põhjenduse koos projekti kirjeldusega. </w:t>
      </w:r>
    </w:p>
    <w:p w14:paraId="17FF9985" w14:textId="77777777" w:rsidR="0084326C" w:rsidRPr="00F33804" w:rsidRDefault="0084326C" w:rsidP="0084326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EC324" w14:textId="77777777" w:rsidR="004F360D" w:rsidRPr="004F360D" w:rsidRDefault="004F360D" w:rsidP="004F360D">
    <w:pPr>
      <w:pStyle w:val="HeaderCoverPag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CAECF" w14:textId="77777777" w:rsidR="0084326C" w:rsidRDefault="0084326C">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1A6E3" w14:textId="77777777" w:rsidR="0084326C" w:rsidRDefault="0084326C">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0A967" w14:textId="77777777" w:rsidR="0084326C" w:rsidRDefault="0084326C">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07A86" w14:textId="77777777" w:rsidR="0084326C" w:rsidRDefault="0084326C">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A4160" w14:textId="77777777" w:rsidR="0084326C" w:rsidRDefault="0084326C">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0AF8C" w14:textId="77777777" w:rsidR="0084326C" w:rsidRDefault="0084326C">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CA516" w14:textId="77777777" w:rsidR="0084326C" w:rsidRDefault="0084326C">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05089" w14:textId="77777777" w:rsidR="0084326C" w:rsidRDefault="0084326C">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82BA2" w14:textId="77777777" w:rsidR="0084326C" w:rsidRDefault="0084326C">
    <w:pPr>
      <w:pStyle w:val="Header"/>
      <w:rPr>
        <w:rFonts w:eastAsia="Calibri"/>
      </w:rP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350E6" w14:textId="77777777" w:rsidR="0084326C" w:rsidRDefault="0084326C">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9AEE7" w14:textId="77777777" w:rsidR="0084326C" w:rsidRDefault="0084326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26B86" w14:textId="77777777" w:rsidR="0084326C" w:rsidRDefault="0084326C">
    <w:pPr>
      <w:pStyle w:val="Header"/>
      <w:rPr>
        <w:sz w:val="10"/>
      </w:rPr>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A1039" w14:textId="77777777" w:rsidR="0084326C" w:rsidRDefault="0084326C">
    <w:pPr>
      <w:pStyle w:val="Header"/>
      <w:rPr>
        <w:rFonts w:eastAsia="Calibri"/>
      </w:rPr>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4CA12" w14:textId="77777777" w:rsidR="0084326C" w:rsidRDefault="0084326C">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644C8" w14:textId="77777777" w:rsidR="0084326C" w:rsidRDefault="0084326C">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EC6EC" w14:textId="77777777" w:rsidR="0084326C" w:rsidRDefault="0084326C">
    <w:pPr>
      <w:pStyle w:val="Header"/>
      <w:rPr>
        <w:rFonts w:eastAsia="Calibri"/>
      </w:rPr>
    </w:pPr>
  </w:p>
</w:hdr>
</file>

<file path=word/header1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B4C97" w14:textId="77777777" w:rsidR="0084326C" w:rsidRDefault="0084326C">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46F4A" w14:textId="77777777" w:rsidR="0084326C" w:rsidRDefault="0084326C">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7BD9C" w14:textId="77777777" w:rsidR="0084326C" w:rsidRDefault="0084326C">
    <w:pPr>
      <w:pStyle w:val="Header"/>
      <w:rPr>
        <w:rFonts w:eastAsia="Calibri"/>
      </w:rPr>
    </w:pPr>
  </w:p>
</w:hdr>
</file>

<file path=word/header1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D1629" w14:textId="77777777" w:rsidR="0084326C" w:rsidRDefault="0084326C">
    <w:pPr>
      <w:pStyle w:val="Header"/>
    </w:pPr>
  </w:p>
</w:hdr>
</file>

<file path=word/header1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E0672" w14:textId="77777777" w:rsidR="0084326C" w:rsidRDefault="0084326C">
    <w:pPr>
      <w:pStyle w:val="Header"/>
    </w:pPr>
  </w:p>
</w:hdr>
</file>

<file path=word/header1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A0483" w14:textId="77777777" w:rsidR="0084326C" w:rsidRDefault="0084326C">
    <w:pPr>
      <w:pStyle w:val="Header"/>
      <w:rPr>
        <w:rFonts w:eastAsia="Calibri"/>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A6523" w14:textId="77777777" w:rsidR="0084326C" w:rsidRDefault="0084326C">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6E352" w14:textId="77777777" w:rsidR="0084326C" w:rsidRDefault="0084326C">
    <w:pPr>
      <w:pStyle w:val="Header"/>
    </w:pPr>
  </w:p>
</w:hdr>
</file>

<file path=word/header1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18225" w14:textId="77777777" w:rsidR="0084326C" w:rsidRDefault="0084326C">
    <w:pPr>
      <w:pStyle w:val="Header"/>
    </w:pPr>
  </w:p>
</w:hdr>
</file>

<file path=word/header1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61966" w14:textId="77777777" w:rsidR="0084326C" w:rsidRDefault="0084326C">
    <w:pPr>
      <w:pStyle w:val="Header"/>
      <w:rPr>
        <w:rFonts w:eastAsia="Calibri"/>
      </w:rPr>
    </w:pPr>
  </w:p>
</w:hdr>
</file>

<file path=word/header1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37299" w14:textId="77777777" w:rsidR="0084326C" w:rsidRDefault="0084326C">
    <w:pPr>
      <w:pStyle w:val="Header"/>
    </w:pPr>
  </w:p>
</w:hdr>
</file>

<file path=word/header1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1EFF6" w14:textId="77777777" w:rsidR="0084326C" w:rsidRDefault="0084326C">
    <w:pPr>
      <w:pStyle w:val="Header"/>
    </w:pPr>
  </w:p>
</w:hdr>
</file>

<file path=word/header1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E9958" w14:textId="77777777" w:rsidR="0084326C" w:rsidRDefault="0084326C">
    <w:pPr>
      <w:pStyle w:val="Header"/>
      <w:rPr>
        <w:rFonts w:eastAsia="Calibri"/>
      </w:rPr>
    </w:pPr>
  </w:p>
</w:hdr>
</file>

<file path=word/header1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4E9B3" w14:textId="77777777" w:rsidR="0084326C" w:rsidRDefault="0084326C">
    <w:pPr>
      <w:pStyle w:val="Header"/>
    </w:pPr>
  </w:p>
</w:hdr>
</file>

<file path=word/header1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6BC63" w14:textId="77777777" w:rsidR="0084326C" w:rsidRDefault="0084326C">
    <w:pPr>
      <w:pStyle w:val="Header"/>
    </w:pPr>
  </w:p>
</w:hdr>
</file>

<file path=word/header1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32D29" w14:textId="77777777" w:rsidR="0084326C" w:rsidRDefault="0084326C">
    <w:pPr>
      <w:pStyle w:val="Header"/>
      <w:rPr>
        <w:rFonts w:eastAsia="Calibri"/>
      </w:rPr>
    </w:pPr>
  </w:p>
</w:hdr>
</file>

<file path=word/header1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DD281" w14:textId="77777777" w:rsidR="0084326C" w:rsidRDefault="0084326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15C2F" w14:textId="77777777" w:rsidR="0084326C" w:rsidRDefault="0084326C">
    <w:pPr>
      <w:pStyle w:val="Header"/>
    </w:pPr>
  </w:p>
</w:hdr>
</file>

<file path=word/header1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F9C89" w14:textId="77777777" w:rsidR="0084326C" w:rsidRDefault="0084326C">
    <w:pPr>
      <w:pStyle w:val="Header"/>
    </w:pPr>
  </w:p>
</w:hdr>
</file>

<file path=word/header1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9FDF8" w14:textId="77777777" w:rsidR="0084326C" w:rsidRDefault="0084326C">
    <w:pPr>
      <w:pStyle w:val="Header"/>
      <w:rPr>
        <w:rFonts w:eastAsia="Calibri"/>
      </w:rPr>
    </w:pPr>
  </w:p>
</w:hdr>
</file>

<file path=word/header1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0C097" w14:textId="77777777" w:rsidR="0084326C" w:rsidRDefault="0084326C">
    <w:pPr>
      <w:pStyle w:val="Header"/>
    </w:pPr>
  </w:p>
</w:hdr>
</file>

<file path=word/header1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CE0E4" w14:textId="77777777" w:rsidR="0084326C" w:rsidRDefault="0084326C">
    <w:pPr>
      <w:pStyle w:val="Header"/>
    </w:pPr>
  </w:p>
</w:hdr>
</file>

<file path=word/header1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66693" w14:textId="77777777" w:rsidR="0084326C" w:rsidRDefault="0084326C">
    <w:pPr>
      <w:pStyle w:val="Header"/>
      <w:rPr>
        <w:rFonts w:eastAsia="Calibri"/>
      </w:rPr>
    </w:pPr>
  </w:p>
</w:hdr>
</file>

<file path=word/header1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B1B56" w14:textId="77777777" w:rsidR="0084326C" w:rsidRDefault="0084326C">
    <w:pPr>
      <w:pStyle w:val="Header"/>
    </w:pPr>
  </w:p>
</w:hdr>
</file>

<file path=word/header1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31977" w14:textId="77777777" w:rsidR="0084326C" w:rsidRDefault="0084326C">
    <w:pPr>
      <w:pStyle w:val="Header"/>
    </w:pPr>
  </w:p>
</w:hdr>
</file>

<file path=word/header1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2C2C3" w14:textId="77777777" w:rsidR="0084326C" w:rsidRDefault="0084326C">
    <w:pPr>
      <w:pStyle w:val="Header"/>
      <w:rPr>
        <w:rFonts w:eastAsia="Calibri"/>
      </w:rPr>
    </w:pPr>
  </w:p>
</w:hdr>
</file>

<file path=word/header1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196AA" w14:textId="77777777" w:rsidR="0084326C" w:rsidRDefault="0084326C">
    <w:pPr>
      <w:pStyle w:val="Header"/>
    </w:pPr>
  </w:p>
</w:hdr>
</file>

<file path=word/header1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2C676" w14:textId="77777777" w:rsidR="0084326C" w:rsidRDefault="0084326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5E12B" w14:textId="77777777" w:rsidR="0084326C" w:rsidRDefault="0084326C">
    <w:pPr>
      <w:pStyle w:val="Header"/>
    </w:pPr>
  </w:p>
</w:hdr>
</file>

<file path=word/header1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EA1E7" w14:textId="77777777" w:rsidR="0084326C" w:rsidRDefault="0084326C">
    <w:pPr>
      <w:jc w:val="both"/>
      <w:rPr>
        <w:sz w:val="20"/>
        <w:szCs w:val="20"/>
      </w:rPr>
    </w:pPr>
  </w:p>
</w:hdr>
</file>

<file path=word/header1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B1D18" w14:textId="77777777" w:rsidR="0084326C" w:rsidRDefault="0084326C">
    <w:pPr>
      <w:pStyle w:val="Header"/>
    </w:pPr>
  </w:p>
</w:hdr>
</file>

<file path=word/header1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8FED4" w14:textId="77777777" w:rsidR="0084326C" w:rsidRDefault="0084326C">
    <w:pPr>
      <w:pStyle w:val="Header"/>
    </w:pPr>
  </w:p>
</w:hdr>
</file>

<file path=word/header1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15305" w14:textId="77777777" w:rsidR="0084326C" w:rsidRDefault="0084326C">
    <w:pPr>
      <w:pStyle w:val="Header"/>
      <w:rPr>
        <w:rFonts w:eastAsia="Calibri"/>
      </w:rPr>
    </w:pPr>
  </w:p>
</w:hdr>
</file>

<file path=word/header1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5D18D" w14:textId="77777777" w:rsidR="0084326C" w:rsidRDefault="0084326C">
    <w:pPr>
      <w:pStyle w:val="Header"/>
    </w:pPr>
  </w:p>
</w:hdr>
</file>

<file path=word/header1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E19BD" w14:textId="77777777" w:rsidR="0084326C" w:rsidRDefault="0084326C">
    <w:pPr>
      <w:pStyle w:val="Header"/>
    </w:pPr>
  </w:p>
</w:hdr>
</file>

<file path=word/header1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802BB" w14:textId="77777777" w:rsidR="0084326C" w:rsidRDefault="0084326C">
    <w:pPr>
      <w:pStyle w:val="Header"/>
      <w:rPr>
        <w:rFonts w:eastAsia="Calibri"/>
      </w:rPr>
    </w:pPr>
  </w:p>
</w:hdr>
</file>

<file path=word/header1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1C681" w14:textId="77777777" w:rsidR="0084326C" w:rsidRDefault="0084326C">
    <w:pPr>
      <w:pStyle w:val="Header"/>
    </w:pPr>
  </w:p>
</w:hdr>
</file>

<file path=word/header1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70FFB" w14:textId="77777777" w:rsidR="0084326C" w:rsidRDefault="0084326C">
    <w:pPr>
      <w:pStyle w:val="Header"/>
    </w:pPr>
  </w:p>
</w:hdr>
</file>

<file path=word/header1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0D4DE" w14:textId="77777777" w:rsidR="0084326C" w:rsidRDefault="0084326C">
    <w:pPr>
      <w:pStyle w:val="Header"/>
      <w:rPr>
        <w:rFonts w:eastAsia="Calibri"/>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0D904" w14:textId="77777777" w:rsidR="0084326C" w:rsidRDefault="0084326C">
    <w:pPr>
      <w:pStyle w:val="Header"/>
    </w:pPr>
  </w:p>
</w:hdr>
</file>

<file path=word/header1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F49BD" w14:textId="77777777" w:rsidR="0084326C" w:rsidRDefault="0084326C">
    <w:pPr>
      <w:pStyle w:val="Header"/>
    </w:pPr>
  </w:p>
</w:hdr>
</file>

<file path=word/header1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D4A87" w14:textId="77777777" w:rsidR="0084326C" w:rsidRDefault="0084326C">
    <w:pPr>
      <w:pStyle w:val="Header"/>
    </w:pPr>
  </w:p>
</w:hdr>
</file>

<file path=word/header1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35D9B" w14:textId="77777777" w:rsidR="0084326C" w:rsidRDefault="0084326C">
    <w:pPr>
      <w:pStyle w:val="Header"/>
      <w:rPr>
        <w:rFonts w:eastAsia="Calibri"/>
      </w:rPr>
    </w:pPr>
  </w:p>
</w:hdr>
</file>

<file path=word/header1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2ED4A" w14:textId="77777777" w:rsidR="0084326C" w:rsidRDefault="0084326C">
    <w:pPr>
      <w:pStyle w:val="Header"/>
    </w:pPr>
  </w:p>
</w:hdr>
</file>

<file path=word/header1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3DA2F" w14:textId="77777777" w:rsidR="0084326C" w:rsidRDefault="0084326C">
    <w:pPr>
      <w:pStyle w:val="Header"/>
    </w:pPr>
  </w:p>
</w:hdr>
</file>

<file path=word/header1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8D247" w14:textId="77777777" w:rsidR="0084326C" w:rsidRDefault="0084326C">
    <w:pPr>
      <w:pStyle w:val="Header"/>
      <w:rPr>
        <w:rFonts w:eastAsia="Calibri"/>
      </w:rPr>
    </w:pPr>
  </w:p>
</w:hdr>
</file>

<file path=word/header1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07E64" w14:textId="77777777" w:rsidR="0084326C" w:rsidRDefault="0084326C">
    <w:pPr>
      <w:pStyle w:val="Header"/>
    </w:pPr>
  </w:p>
</w:hdr>
</file>

<file path=word/header1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C7236" w14:textId="77777777" w:rsidR="0084326C" w:rsidRDefault="0084326C">
    <w:pPr>
      <w:pStyle w:val="Header"/>
    </w:pPr>
  </w:p>
</w:hdr>
</file>

<file path=word/header1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B8625" w14:textId="77777777" w:rsidR="0084326C" w:rsidRDefault="0084326C">
    <w:pPr>
      <w:pStyle w:val="Header"/>
      <w:rPr>
        <w:rFonts w:eastAsia="Calibri"/>
      </w:rPr>
    </w:pPr>
  </w:p>
</w:hdr>
</file>

<file path=word/header1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8EE4C" w14:textId="77777777" w:rsidR="0084326C" w:rsidRDefault="0084326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98ADB" w14:textId="77777777" w:rsidR="0084326C" w:rsidRDefault="0084326C">
    <w:pPr>
      <w:pStyle w:val="Header"/>
    </w:pPr>
  </w:p>
</w:hdr>
</file>

<file path=word/header1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59587" w14:textId="77777777" w:rsidR="0084326C" w:rsidRPr="000D3774" w:rsidRDefault="0084326C">
    <w:pPr>
      <w:pStyle w:val="Header"/>
    </w:pPr>
  </w:p>
</w:hdr>
</file>

<file path=word/header1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90ED5" w14:textId="77777777" w:rsidR="0084326C" w:rsidRPr="000D3774" w:rsidRDefault="0084326C">
    <w:pPr>
      <w:pStyle w:val="Header"/>
      <w:rPr>
        <w:rFonts w:eastAsia="Calibri"/>
      </w:rPr>
    </w:pPr>
  </w:p>
</w:hdr>
</file>

<file path=word/header1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DA5E5" w14:textId="77777777" w:rsidR="0084326C" w:rsidRPr="000D3774" w:rsidRDefault="0084326C">
    <w:pPr>
      <w:pStyle w:val="Header"/>
    </w:pPr>
  </w:p>
</w:hdr>
</file>

<file path=word/header1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CACFE" w14:textId="77777777" w:rsidR="0084326C" w:rsidRPr="000D3774" w:rsidRDefault="0084326C">
    <w:pPr>
      <w:pStyle w:val="Header"/>
    </w:pPr>
  </w:p>
</w:hdr>
</file>

<file path=word/header1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B48C3" w14:textId="77777777" w:rsidR="0084326C" w:rsidRPr="000D3774" w:rsidRDefault="0084326C">
    <w:pPr>
      <w:pStyle w:val="Header"/>
      <w:rPr>
        <w:rFonts w:eastAsia="Calibri"/>
      </w:rPr>
    </w:pPr>
  </w:p>
</w:hdr>
</file>

<file path=word/header1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A4245" w14:textId="77777777" w:rsidR="0084326C" w:rsidRPr="000D3774" w:rsidRDefault="0084326C">
    <w:pPr>
      <w:pStyle w:val="Header"/>
    </w:pPr>
  </w:p>
</w:hdr>
</file>

<file path=word/header1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989F8" w14:textId="77777777" w:rsidR="0084326C" w:rsidRPr="000D3774" w:rsidRDefault="0084326C">
    <w:pPr>
      <w:pStyle w:val="Header"/>
    </w:pPr>
  </w:p>
</w:hdr>
</file>

<file path=word/header1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B8892" w14:textId="77777777" w:rsidR="0084326C" w:rsidRPr="000D3774" w:rsidRDefault="0084326C">
    <w:pPr>
      <w:pStyle w:val="Header"/>
      <w:rPr>
        <w:rFonts w:eastAsia="Calibri"/>
      </w:rPr>
    </w:pPr>
  </w:p>
</w:hdr>
</file>

<file path=word/header1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C1DFE" w14:textId="77777777" w:rsidR="0084326C" w:rsidRPr="000D3774" w:rsidRDefault="0084326C">
    <w:pPr>
      <w:pStyle w:val="Header"/>
    </w:pPr>
  </w:p>
</w:hdr>
</file>

<file path=word/header1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FA008" w14:textId="77777777" w:rsidR="0084326C" w:rsidRPr="000D3774" w:rsidRDefault="0084326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3BC13" w14:textId="77777777" w:rsidR="0084326C" w:rsidRDefault="0084326C">
    <w:pPr>
      <w:pStyle w:val="Header"/>
    </w:pPr>
  </w:p>
</w:hdr>
</file>

<file path=word/header1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48601" w14:textId="77777777" w:rsidR="0084326C" w:rsidRPr="000D3774" w:rsidRDefault="0084326C">
    <w:pPr>
      <w:pStyle w:val="Header"/>
      <w:rPr>
        <w:rFonts w:eastAsia="Calibri"/>
      </w:rPr>
    </w:pPr>
  </w:p>
</w:hdr>
</file>

<file path=word/header1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2D63B" w14:textId="77777777" w:rsidR="0084326C" w:rsidRPr="000D3774" w:rsidRDefault="0084326C">
    <w:pPr>
      <w:pStyle w:val="Header"/>
    </w:pPr>
  </w:p>
</w:hdr>
</file>

<file path=word/header1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43C56" w14:textId="77777777" w:rsidR="0084326C" w:rsidRPr="000D3774" w:rsidRDefault="0084326C">
    <w:pPr>
      <w:pStyle w:val="Header"/>
    </w:pPr>
  </w:p>
</w:hdr>
</file>

<file path=word/header1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E2389" w14:textId="77777777" w:rsidR="0084326C" w:rsidRPr="000D3774" w:rsidRDefault="0084326C">
    <w:pPr>
      <w:pStyle w:val="Header"/>
      <w:rPr>
        <w:rFonts w:eastAsia="Calibri"/>
      </w:rPr>
    </w:pPr>
  </w:p>
</w:hdr>
</file>

<file path=word/header1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DAD0F" w14:textId="77777777" w:rsidR="0084326C" w:rsidRPr="000D3774" w:rsidRDefault="0084326C">
    <w:pPr>
      <w:pStyle w:val="Header"/>
    </w:pPr>
  </w:p>
</w:hdr>
</file>

<file path=word/header1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D4C98" w14:textId="77777777" w:rsidR="0084326C" w:rsidRPr="000D3774" w:rsidRDefault="0084326C">
    <w:pPr>
      <w:pStyle w:val="Header"/>
    </w:pPr>
  </w:p>
</w:hdr>
</file>

<file path=word/header1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365A2" w14:textId="77777777" w:rsidR="0084326C" w:rsidRPr="000D3774" w:rsidRDefault="0084326C">
    <w:pPr>
      <w:pStyle w:val="Header"/>
      <w:rPr>
        <w:rFonts w:eastAsia="Calibri"/>
      </w:rPr>
    </w:pPr>
  </w:p>
</w:hdr>
</file>

<file path=word/header1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0EEDB" w14:textId="77777777" w:rsidR="0084326C" w:rsidRPr="000D3774" w:rsidRDefault="0084326C">
    <w:pPr>
      <w:pStyle w:val="Header"/>
    </w:pPr>
  </w:p>
</w:hdr>
</file>

<file path=word/header1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4FF04" w14:textId="77777777" w:rsidR="0084326C" w:rsidRPr="000D3774" w:rsidRDefault="0084326C">
    <w:pPr>
      <w:pStyle w:val="Header"/>
    </w:pPr>
  </w:p>
</w:hdr>
</file>

<file path=word/header1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28F81" w14:textId="77777777" w:rsidR="0084326C" w:rsidRPr="000D3774" w:rsidRDefault="0084326C">
    <w:pPr>
      <w:pStyle w:val="Header"/>
      <w:rPr>
        <w:rFonts w:eastAsia="Calibri"/>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E338E" w14:textId="77777777" w:rsidR="0084326C" w:rsidRDefault="0084326C">
    <w:pPr>
      <w:pStyle w:val="Header"/>
    </w:pPr>
  </w:p>
</w:hdr>
</file>

<file path=word/header1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A9DF2" w14:textId="77777777" w:rsidR="0084326C" w:rsidRPr="000D3774" w:rsidRDefault="0084326C">
    <w:pPr>
      <w:pStyle w:val="Header"/>
    </w:pPr>
  </w:p>
</w:hdr>
</file>

<file path=word/header1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4524F" w14:textId="77777777" w:rsidR="0084326C" w:rsidRPr="000D3774" w:rsidRDefault="0084326C">
    <w:pPr>
      <w:pStyle w:val="Header"/>
    </w:pPr>
  </w:p>
</w:hdr>
</file>

<file path=word/header1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90079" w14:textId="77777777" w:rsidR="0084326C" w:rsidRPr="000D3774" w:rsidRDefault="0084326C">
    <w:pPr>
      <w:pStyle w:val="Header"/>
      <w:rPr>
        <w:rFonts w:eastAsia="Calibri"/>
      </w:rPr>
    </w:pPr>
  </w:p>
</w:hdr>
</file>

<file path=word/header1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22816" w14:textId="77777777" w:rsidR="0084326C" w:rsidRPr="000D3774" w:rsidRDefault="0084326C">
    <w:pPr>
      <w:pStyle w:val="Header"/>
    </w:pPr>
  </w:p>
</w:hdr>
</file>

<file path=word/header1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ECCBD" w14:textId="77777777" w:rsidR="0084326C" w:rsidRPr="000D3774" w:rsidRDefault="0084326C">
    <w:pPr>
      <w:pStyle w:val="Header"/>
    </w:pPr>
  </w:p>
</w:hdr>
</file>

<file path=word/header1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3D02D" w14:textId="77777777" w:rsidR="0084326C" w:rsidRPr="000D3774" w:rsidRDefault="0084326C">
    <w:pPr>
      <w:pStyle w:val="Header"/>
      <w:rPr>
        <w:rFonts w:eastAsia="Calibri"/>
      </w:rPr>
    </w:pPr>
  </w:p>
</w:hdr>
</file>

<file path=word/header1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9C29F" w14:textId="77777777" w:rsidR="0084326C" w:rsidRPr="000D3774" w:rsidRDefault="0084326C">
    <w:pPr>
      <w:pStyle w:val="Header"/>
    </w:pPr>
  </w:p>
</w:hdr>
</file>

<file path=word/header1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46278" w14:textId="77777777" w:rsidR="0084326C" w:rsidRPr="000D3774" w:rsidRDefault="0084326C">
    <w:pPr>
      <w:pStyle w:val="Header"/>
    </w:pPr>
  </w:p>
</w:hdr>
</file>

<file path=word/header1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E0732" w14:textId="77777777" w:rsidR="0084326C" w:rsidRPr="000D3774" w:rsidRDefault="0084326C">
    <w:pPr>
      <w:pStyle w:val="Header"/>
      <w:rPr>
        <w:rFonts w:eastAsia="Calibri"/>
      </w:rPr>
    </w:pPr>
  </w:p>
</w:hdr>
</file>

<file path=word/header1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3FD93" w14:textId="77777777" w:rsidR="0084326C" w:rsidRPr="000D3774" w:rsidRDefault="0084326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7A0D3" w14:textId="77777777" w:rsidR="0084326C" w:rsidRDefault="0084326C">
    <w:pPr>
      <w:pStyle w:val="Header"/>
    </w:pPr>
  </w:p>
</w:hdr>
</file>

<file path=word/header1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66C90" w14:textId="77777777" w:rsidR="0084326C" w:rsidRPr="000D3774" w:rsidRDefault="0084326C">
    <w:pPr>
      <w:pStyle w:val="Header"/>
    </w:pPr>
  </w:p>
</w:hdr>
</file>

<file path=word/header1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432D3" w14:textId="77777777" w:rsidR="0084326C" w:rsidRPr="000D3774" w:rsidRDefault="0084326C">
    <w:pPr>
      <w:pStyle w:val="Header"/>
      <w:rPr>
        <w:rFonts w:eastAsia="Calibri"/>
      </w:rPr>
    </w:pPr>
  </w:p>
</w:hdr>
</file>

<file path=word/header1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8612" w14:textId="77777777" w:rsidR="0084326C" w:rsidRPr="000D3774" w:rsidRDefault="0084326C">
    <w:pPr>
      <w:pStyle w:val="Header"/>
    </w:pPr>
  </w:p>
</w:hdr>
</file>

<file path=word/header1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7AAC7" w14:textId="77777777" w:rsidR="0084326C" w:rsidRPr="000D3774" w:rsidRDefault="0084326C">
    <w:pPr>
      <w:pStyle w:val="Header"/>
    </w:pPr>
  </w:p>
</w:hdr>
</file>

<file path=word/header1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CB686" w14:textId="77777777" w:rsidR="0084326C" w:rsidRPr="000D3774" w:rsidRDefault="0084326C">
    <w:pPr>
      <w:pStyle w:val="Header"/>
      <w:rPr>
        <w:rFonts w:eastAsia="Calibri"/>
      </w:rPr>
    </w:pPr>
  </w:p>
</w:hdr>
</file>

<file path=word/header1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C4114" w14:textId="77777777" w:rsidR="0084326C" w:rsidRPr="000D3774" w:rsidRDefault="0084326C">
    <w:pPr>
      <w:pStyle w:val="Header"/>
    </w:pPr>
  </w:p>
</w:hdr>
</file>

<file path=word/header1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F179A" w14:textId="77777777" w:rsidR="0084326C" w:rsidRDefault="0084326C">
    <w:pPr>
      <w:pStyle w:val="Header"/>
    </w:pPr>
  </w:p>
</w:hdr>
</file>

<file path=word/header1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D2E79" w14:textId="77777777" w:rsidR="0084326C" w:rsidRDefault="0084326C">
    <w:pPr>
      <w:pStyle w:val="Header"/>
    </w:pPr>
  </w:p>
</w:hdr>
</file>

<file path=word/header1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FAD44" w14:textId="77777777" w:rsidR="0084326C" w:rsidRDefault="0084326C">
    <w:pPr>
      <w:pStyle w:val="Header"/>
    </w:pPr>
  </w:p>
</w:hdr>
</file>

<file path=word/header1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E4FC0" w14:textId="77777777" w:rsidR="0084326C" w:rsidRDefault="008432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54DED" w14:textId="77777777" w:rsidR="004F360D" w:rsidRPr="004F360D" w:rsidRDefault="004F360D" w:rsidP="004F360D">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3CA69" w14:textId="77777777" w:rsidR="0084326C" w:rsidRDefault="0084326C">
    <w:pPr>
      <w:pStyle w:val="Header"/>
    </w:pPr>
  </w:p>
</w:hdr>
</file>

<file path=word/header2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FE88E" w14:textId="77777777" w:rsidR="0084326C" w:rsidRDefault="0084326C">
    <w:pPr>
      <w:pStyle w:val="Header"/>
    </w:pPr>
  </w:p>
</w:hdr>
</file>

<file path=word/header2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3A231" w14:textId="77777777" w:rsidR="0084326C" w:rsidRDefault="0084326C">
    <w:pPr>
      <w:pStyle w:val="Header"/>
    </w:pPr>
  </w:p>
</w:hdr>
</file>

<file path=word/header2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52C7A" w14:textId="77777777" w:rsidR="0084326C" w:rsidRDefault="0084326C">
    <w:pPr>
      <w:pStyle w:val="Header"/>
    </w:pPr>
  </w:p>
</w:hdr>
</file>

<file path=word/header2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AE5E2" w14:textId="77777777" w:rsidR="0084326C" w:rsidRDefault="0084326C">
    <w:pPr>
      <w:pStyle w:val="Header"/>
      <w:rPr>
        <w:sz w:val="10"/>
      </w:rPr>
    </w:pPr>
  </w:p>
</w:hdr>
</file>

<file path=word/header2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23314" w14:textId="77777777" w:rsidR="0084326C" w:rsidRDefault="0084326C">
    <w:pPr>
      <w:pStyle w:val="Header"/>
    </w:pPr>
  </w:p>
</w:hdr>
</file>

<file path=word/header2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9E8AE" w14:textId="77777777" w:rsidR="0084326C" w:rsidRPr="001354D1" w:rsidRDefault="0084326C">
    <w:pPr>
      <w:pStyle w:val="Header"/>
    </w:pPr>
  </w:p>
</w:hdr>
</file>

<file path=word/header2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3C312" w14:textId="77777777" w:rsidR="0084326C" w:rsidRPr="001354D1" w:rsidRDefault="0084326C">
    <w:pPr>
      <w:pStyle w:val="Header"/>
      <w:rPr>
        <w:rFonts w:eastAsia="Calibri"/>
      </w:rPr>
    </w:pPr>
  </w:p>
</w:hdr>
</file>

<file path=word/header2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C421D" w14:textId="77777777" w:rsidR="0084326C" w:rsidRPr="001354D1" w:rsidRDefault="0084326C">
    <w:pPr>
      <w:pStyle w:val="Header"/>
    </w:pPr>
  </w:p>
</w:hdr>
</file>

<file path=word/header2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D8863" w14:textId="77777777" w:rsidR="0084326C" w:rsidRPr="001354D1" w:rsidRDefault="0084326C">
    <w:pPr>
      <w:pStyle w:val="Header"/>
    </w:pPr>
  </w:p>
</w:hdr>
</file>

<file path=word/header2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EA4EA" w14:textId="77777777" w:rsidR="0084326C" w:rsidRPr="001354D1" w:rsidRDefault="0084326C">
    <w:pPr>
      <w:pStyle w:val="Header"/>
      <w:rPr>
        <w:rFonts w:eastAsia="Calibri"/>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F3494" w14:textId="77777777" w:rsidR="0084326C" w:rsidRDefault="0084326C">
    <w:pPr>
      <w:pStyle w:val="Header"/>
    </w:pPr>
  </w:p>
</w:hdr>
</file>

<file path=word/header2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554AA" w14:textId="77777777" w:rsidR="0084326C" w:rsidRPr="001354D1" w:rsidRDefault="0084326C">
    <w:pPr>
      <w:pStyle w:val="Header"/>
    </w:pPr>
  </w:p>
</w:hdr>
</file>

<file path=word/header2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7BDEA" w14:textId="77777777" w:rsidR="00F33804" w:rsidRPr="001354D1" w:rsidRDefault="00F33804">
    <w:pPr>
      <w:pStyle w:val="Header"/>
    </w:pPr>
  </w:p>
</w:hdr>
</file>

<file path=word/header2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A08D0" w14:textId="77777777" w:rsidR="00F33804" w:rsidRPr="001354D1" w:rsidRDefault="00F33804">
    <w:pPr>
      <w:pStyle w:val="Header"/>
      <w:rPr>
        <w:rFonts w:eastAsia="Calibri"/>
      </w:rPr>
    </w:pPr>
  </w:p>
</w:hdr>
</file>

<file path=word/header2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D4319" w14:textId="77777777" w:rsidR="00F33804" w:rsidRPr="001354D1" w:rsidRDefault="00F3380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E07BA" w14:textId="77777777" w:rsidR="0084326C" w:rsidRDefault="0084326C">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2F42A" w14:textId="77777777" w:rsidR="0084326C" w:rsidRDefault="0084326C">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900D5" w14:textId="77777777" w:rsidR="0084326C" w:rsidRDefault="0084326C">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B605D" w14:textId="77777777" w:rsidR="0084326C" w:rsidRDefault="0084326C">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3A831" w14:textId="77777777" w:rsidR="0084326C" w:rsidRDefault="0084326C">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2B07A" w14:textId="77777777" w:rsidR="0084326C" w:rsidRDefault="0084326C">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A301D" w14:textId="77777777" w:rsidR="0084326C" w:rsidRDefault="0084326C">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970F3" w14:textId="77777777" w:rsidR="0084326C" w:rsidRDefault="008432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4D05A" w14:textId="77777777" w:rsidR="004F360D" w:rsidRPr="004F360D" w:rsidRDefault="004F360D" w:rsidP="004F360D">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3AB42" w14:textId="77777777" w:rsidR="0084326C" w:rsidRDefault="0084326C">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8C9B6" w14:textId="77777777" w:rsidR="00F33804" w:rsidRDefault="00F33804">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800D4" w14:textId="77777777" w:rsidR="00F33804" w:rsidRDefault="00F33804">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E3A5B" w14:textId="77777777" w:rsidR="00F33804" w:rsidRDefault="00F33804">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DBCC7" w14:textId="77777777" w:rsidR="00F33804" w:rsidRDefault="00F33804">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DE58A" w14:textId="77777777" w:rsidR="00F33804" w:rsidRDefault="00F33804">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AE3C6" w14:textId="77777777" w:rsidR="00F33804" w:rsidRDefault="00F33804">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0E9A3" w14:textId="77777777" w:rsidR="0084326C" w:rsidRDefault="0084326C">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90936" w14:textId="77777777" w:rsidR="0084326C" w:rsidRDefault="0084326C">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F80E3" w14:textId="77777777" w:rsidR="0084326C" w:rsidRDefault="008432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4AA70" w14:textId="77777777" w:rsidR="00994F5E" w:rsidRDefault="00994F5E">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14F39" w14:textId="77777777" w:rsidR="0084326C" w:rsidRDefault="0084326C">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C98BC" w14:textId="77777777" w:rsidR="0084326C" w:rsidRDefault="0084326C">
    <w:pPr>
      <w:pStyle w:val="Header"/>
      <w:rPr>
        <w:rFonts w:eastAsia="Calibri"/>
      </w:rP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26BD1" w14:textId="77777777" w:rsidR="0084326C" w:rsidRDefault="0084326C">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3949D" w14:textId="77777777" w:rsidR="00F33804" w:rsidRDefault="00F33804">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5BA92" w14:textId="77777777" w:rsidR="00F33804" w:rsidRDefault="00F33804">
    <w:pPr>
      <w:pStyle w:val="Header"/>
      <w:rPr>
        <w:rFonts w:eastAsia="Calibri"/>
      </w:rP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AECE0" w14:textId="77777777" w:rsidR="00F33804" w:rsidRDefault="00F33804">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B2094" w14:textId="77777777" w:rsidR="0084326C" w:rsidRDefault="0084326C">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D59C0" w14:textId="77777777" w:rsidR="0084326C" w:rsidRDefault="0084326C">
    <w:pPr>
      <w:pStyle w:val="Header"/>
      <w:rPr>
        <w:rFonts w:eastAsia="Calibri"/>
      </w:rP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591E5" w14:textId="77777777" w:rsidR="0084326C" w:rsidRDefault="0084326C">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B7E56" w14:textId="77777777" w:rsidR="0084326C" w:rsidRDefault="008432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AACCA" w14:textId="77777777" w:rsidR="00994F5E" w:rsidRDefault="00994F5E">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47682" w14:textId="77777777" w:rsidR="0084326C" w:rsidRDefault="0084326C">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28271" w14:textId="77777777" w:rsidR="0084326C" w:rsidRDefault="0084326C">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CFD93" w14:textId="77777777" w:rsidR="00F33804" w:rsidRDefault="00F33804">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3C52D" w14:textId="77777777" w:rsidR="00F33804" w:rsidRDefault="00F33804">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06819" w14:textId="77777777" w:rsidR="00F33804" w:rsidRDefault="00F33804">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01D05" w14:textId="77777777" w:rsidR="0084326C" w:rsidRDefault="0084326C">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0673F" w14:textId="77777777" w:rsidR="0084326C" w:rsidRDefault="0084326C">
    <w:pPr>
      <w:pStyle w:val="Header"/>
      <w:rPr>
        <w:rFonts w:eastAsia="Calibri"/>
      </w:rP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6A66E" w14:textId="77777777" w:rsidR="0084326C" w:rsidRDefault="0084326C">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75B9A" w14:textId="77777777" w:rsidR="0084326C" w:rsidRDefault="0084326C">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FF2CE" w14:textId="77777777" w:rsidR="0084326C" w:rsidRDefault="0084326C">
    <w:pPr>
      <w:pStyle w:val="Header"/>
      <w:rPr>
        <w:rFonts w:eastAsia="Calibri"/>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16249" w14:textId="77777777" w:rsidR="00994F5E" w:rsidRDefault="00994F5E">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7D768" w14:textId="77777777" w:rsidR="0084326C" w:rsidRDefault="0084326C">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EDAEA" w14:textId="77777777" w:rsidR="0084326C" w:rsidRDefault="0084326C">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44891" w14:textId="77777777" w:rsidR="0084326C" w:rsidRDefault="0084326C">
    <w:pPr>
      <w:pStyle w:val="Header"/>
      <w:rPr>
        <w:rFonts w:eastAsia="Calibri"/>
      </w:rP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47687" w14:textId="77777777" w:rsidR="0084326C" w:rsidRDefault="0084326C">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7567A" w14:textId="77777777" w:rsidR="0084326C" w:rsidRDefault="0084326C">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92D88" w14:textId="77777777" w:rsidR="0084326C" w:rsidRDefault="0084326C">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F667E" w14:textId="77777777" w:rsidR="0084326C" w:rsidRDefault="0084326C">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24B7C" w14:textId="77777777" w:rsidR="0084326C" w:rsidRDefault="0084326C">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5DCA9" w14:textId="77777777" w:rsidR="0084326C" w:rsidRDefault="0084326C">
    <w:pPr>
      <w:pStyle w:val="Header"/>
      <w:rPr>
        <w:rFonts w:eastAsia="Calibri"/>
      </w:rP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4AF59" w14:textId="77777777" w:rsidR="0084326C" w:rsidRDefault="0084326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539CE" w14:textId="77777777" w:rsidR="0084326C" w:rsidRDefault="0084326C">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601B1" w14:textId="77777777" w:rsidR="0084326C" w:rsidRDefault="0084326C">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0F57B" w14:textId="77777777" w:rsidR="0084326C" w:rsidRDefault="0084326C">
    <w:pPr>
      <w:pStyle w:val="Header"/>
      <w:rPr>
        <w:rFonts w:eastAsia="Calibri"/>
      </w:rP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D1DCF" w14:textId="77777777" w:rsidR="0084326C" w:rsidRDefault="0084326C">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843F1" w14:textId="77777777" w:rsidR="0084326C" w:rsidRDefault="0084326C">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5C7CE" w14:textId="77777777" w:rsidR="0084326C" w:rsidRDefault="0084326C">
    <w:pPr>
      <w:pStyle w:val="Header"/>
      <w:rPr>
        <w:rFonts w:eastAsia="Calibri"/>
      </w:rP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6011E" w14:textId="77777777" w:rsidR="0084326C" w:rsidRDefault="0084326C">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16CE7" w14:textId="77777777" w:rsidR="0084326C" w:rsidRDefault="0084326C">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8A59B" w14:textId="77777777" w:rsidR="0084326C" w:rsidRDefault="0084326C">
    <w:pPr>
      <w:pStyle w:val="Header"/>
      <w:rPr>
        <w:rFonts w:eastAsia="Calibri"/>
      </w:rP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EDBD1" w14:textId="77777777" w:rsidR="0084326C" w:rsidRDefault="0084326C">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16444" w14:textId="77777777" w:rsidR="0084326C" w:rsidRDefault="0084326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4AD90" w14:textId="77777777" w:rsidR="0084326C" w:rsidRDefault="0084326C">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D34E4" w14:textId="77777777" w:rsidR="0084326C" w:rsidRDefault="0084326C">
    <w:pPr>
      <w:pStyle w:val="Header"/>
      <w:rPr>
        <w:rFonts w:eastAsia="Calibri"/>
      </w:rP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01573" w14:textId="77777777" w:rsidR="0084326C" w:rsidRDefault="0084326C">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DBF05" w14:textId="77777777" w:rsidR="0084326C" w:rsidRDefault="0084326C">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42312" w14:textId="77777777" w:rsidR="0084326C" w:rsidRDefault="0084326C">
    <w:pPr>
      <w:pStyle w:val="Header"/>
      <w:rPr>
        <w:rFonts w:eastAsia="Calibri"/>
      </w:rP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D6B9F" w14:textId="77777777" w:rsidR="0084326C" w:rsidRDefault="0084326C">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97F1F" w14:textId="77777777" w:rsidR="0084326C" w:rsidRDefault="0084326C">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40D8E" w14:textId="77777777" w:rsidR="0084326C" w:rsidRDefault="0084326C">
    <w:pPr>
      <w:pStyle w:val="Header"/>
      <w:rPr>
        <w:rFonts w:eastAsia="Calibri"/>
      </w:rP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12134" w14:textId="77777777" w:rsidR="0084326C" w:rsidRDefault="0084326C">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88FB8" w14:textId="77777777" w:rsidR="0084326C" w:rsidRDefault="0084326C">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11A24" w14:textId="77777777" w:rsidR="0084326C" w:rsidRDefault="0084326C">
    <w:pPr>
      <w:pStyle w:val="Header"/>
      <w:rPr>
        <w:rFonts w:eastAsia="Calibri"/>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E4EE7" w14:textId="77777777" w:rsidR="0084326C" w:rsidRDefault="0084326C">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EFE4E" w14:textId="77777777" w:rsidR="0084326C" w:rsidRDefault="0084326C">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BC983" w14:textId="77777777" w:rsidR="0084326C" w:rsidRDefault="0084326C">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8F81B" w14:textId="77777777" w:rsidR="0084326C" w:rsidRDefault="0084326C">
    <w:pPr>
      <w:pStyle w:val="Header"/>
      <w:rPr>
        <w:rFonts w:eastAsia="Calibri"/>
      </w:rP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FA3FB" w14:textId="77777777" w:rsidR="0084326C" w:rsidRDefault="0084326C">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FA117" w14:textId="77777777" w:rsidR="0084326C" w:rsidRDefault="0084326C">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60A3C" w14:textId="77777777" w:rsidR="0084326C" w:rsidRDefault="0084326C">
    <w:pPr>
      <w:pStyle w:val="Header"/>
      <w:rPr>
        <w:rFonts w:eastAsia="Calibri"/>
      </w:rP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E687E" w14:textId="77777777" w:rsidR="0084326C" w:rsidRDefault="0084326C">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F8E1D" w14:textId="77777777" w:rsidR="0084326C" w:rsidRPr="001354D1" w:rsidRDefault="0084326C">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52B3D" w14:textId="77777777" w:rsidR="0084326C" w:rsidRPr="001354D1" w:rsidRDefault="0084326C">
    <w:pPr>
      <w:pStyle w:val="Header"/>
      <w:rPr>
        <w:rFonts w:eastAsia="Calibri"/>
      </w:rP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D5C31" w14:textId="77777777" w:rsidR="0084326C" w:rsidRPr="001354D1" w:rsidRDefault="008432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E140CA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5A6272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C20270C"/>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AD788A4A"/>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3FE8279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003373"/>
    <w:multiLevelType w:val="hybridMultilevel"/>
    <w:tmpl w:val="F3802738"/>
    <w:lvl w:ilvl="0" w:tplc="FC26DA30">
      <w:start w:val="1"/>
      <w:numFmt w:val="bullet"/>
      <w:lvlText w:val="-"/>
      <w:lvlJc w:val="left"/>
      <w:pPr>
        <w:ind w:left="720" w:hanging="360"/>
      </w:pPr>
      <w:rPr>
        <w:rFonts w:ascii="Symbol" w:hAnsi="Symbol" w:hint="default"/>
      </w:rPr>
    </w:lvl>
    <w:lvl w:ilvl="1" w:tplc="0462880E">
      <w:start w:val="1"/>
      <w:numFmt w:val="bullet"/>
      <w:lvlText w:val="o"/>
      <w:lvlJc w:val="left"/>
      <w:pPr>
        <w:ind w:left="1440" w:hanging="360"/>
      </w:pPr>
      <w:rPr>
        <w:rFonts w:ascii="Courier New" w:hAnsi="Courier New" w:hint="default"/>
      </w:rPr>
    </w:lvl>
    <w:lvl w:ilvl="2" w:tplc="F90A8E8E">
      <w:start w:val="1"/>
      <w:numFmt w:val="bullet"/>
      <w:lvlText w:val=""/>
      <w:lvlJc w:val="left"/>
      <w:pPr>
        <w:ind w:left="2160" w:hanging="360"/>
      </w:pPr>
      <w:rPr>
        <w:rFonts w:ascii="Wingdings" w:hAnsi="Wingdings" w:hint="default"/>
      </w:rPr>
    </w:lvl>
    <w:lvl w:ilvl="3" w:tplc="6D4420D6">
      <w:start w:val="1"/>
      <w:numFmt w:val="bullet"/>
      <w:lvlText w:val=""/>
      <w:lvlJc w:val="left"/>
      <w:pPr>
        <w:ind w:left="2880" w:hanging="360"/>
      </w:pPr>
      <w:rPr>
        <w:rFonts w:ascii="Symbol" w:hAnsi="Symbol" w:hint="default"/>
      </w:rPr>
    </w:lvl>
    <w:lvl w:ilvl="4" w:tplc="16727DC8">
      <w:start w:val="1"/>
      <w:numFmt w:val="bullet"/>
      <w:lvlText w:val="o"/>
      <w:lvlJc w:val="left"/>
      <w:pPr>
        <w:ind w:left="3600" w:hanging="360"/>
      </w:pPr>
      <w:rPr>
        <w:rFonts w:ascii="Courier New" w:hAnsi="Courier New" w:hint="default"/>
      </w:rPr>
    </w:lvl>
    <w:lvl w:ilvl="5" w:tplc="C7B4C740">
      <w:start w:val="1"/>
      <w:numFmt w:val="bullet"/>
      <w:lvlText w:val=""/>
      <w:lvlJc w:val="left"/>
      <w:pPr>
        <w:ind w:left="4320" w:hanging="360"/>
      </w:pPr>
      <w:rPr>
        <w:rFonts w:ascii="Wingdings" w:hAnsi="Wingdings" w:hint="default"/>
      </w:rPr>
    </w:lvl>
    <w:lvl w:ilvl="6" w:tplc="6172E3C4">
      <w:start w:val="1"/>
      <w:numFmt w:val="bullet"/>
      <w:lvlText w:val=""/>
      <w:lvlJc w:val="left"/>
      <w:pPr>
        <w:ind w:left="5040" w:hanging="360"/>
      </w:pPr>
      <w:rPr>
        <w:rFonts w:ascii="Symbol" w:hAnsi="Symbol" w:hint="default"/>
      </w:rPr>
    </w:lvl>
    <w:lvl w:ilvl="7" w:tplc="778A8E7C">
      <w:start w:val="1"/>
      <w:numFmt w:val="bullet"/>
      <w:lvlText w:val="o"/>
      <w:lvlJc w:val="left"/>
      <w:pPr>
        <w:ind w:left="5760" w:hanging="360"/>
      </w:pPr>
      <w:rPr>
        <w:rFonts w:ascii="Courier New" w:hAnsi="Courier New" w:hint="default"/>
      </w:rPr>
    </w:lvl>
    <w:lvl w:ilvl="8" w:tplc="B5700FD6">
      <w:start w:val="1"/>
      <w:numFmt w:val="bullet"/>
      <w:lvlText w:val=""/>
      <w:lvlJc w:val="left"/>
      <w:pPr>
        <w:ind w:left="6480" w:hanging="360"/>
      </w:pPr>
      <w:rPr>
        <w:rFonts w:ascii="Wingdings" w:hAnsi="Wingdings" w:hint="default"/>
      </w:rPr>
    </w:lvl>
  </w:abstractNum>
  <w:abstractNum w:abstractNumId="6" w15:restartNumberingAfterBreak="0">
    <w:nsid w:val="03E93C56"/>
    <w:multiLevelType w:val="hybridMultilevel"/>
    <w:tmpl w:val="013A6670"/>
    <w:lvl w:ilvl="0" w:tplc="D8CCA47E">
      <w:start w:val="1"/>
      <w:numFmt w:val="bullet"/>
      <w:lvlText w:val="-"/>
      <w:lvlJc w:val="left"/>
      <w:pPr>
        <w:ind w:left="1440" w:hanging="360"/>
      </w:pPr>
      <w:rPr>
        <w:rFonts w:ascii="&quot;Times New Roman&quot;,serif" w:hAnsi="&quot;Times New Roman&quot;,serif"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52F1D3B"/>
    <w:multiLevelType w:val="hybridMultilevel"/>
    <w:tmpl w:val="38A2126E"/>
    <w:lvl w:ilvl="0" w:tplc="218C80C4">
      <w:start w:val="1"/>
      <w:numFmt w:val="bullet"/>
      <w:lvlText w:val="-"/>
      <w:lvlJc w:val="left"/>
      <w:pPr>
        <w:ind w:left="696" w:hanging="360"/>
      </w:pPr>
      <w:rPr>
        <w:rFonts w:ascii="Calibri" w:hAnsi="Calibri" w:hint="default"/>
      </w:rPr>
    </w:lvl>
    <w:lvl w:ilvl="1" w:tplc="08090003" w:tentative="1">
      <w:start w:val="1"/>
      <w:numFmt w:val="bullet"/>
      <w:lvlText w:val="o"/>
      <w:lvlJc w:val="left"/>
      <w:pPr>
        <w:ind w:left="1416" w:hanging="360"/>
      </w:pPr>
      <w:rPr>
        <w:rFonts w:ascii="Courier New" w:hAnsi="Courier New" w:cs="Courier New" w:hint="default"/>
      </w:rPr>
    </w:lvl>
    <w:lvl w:ilvl="2" w:tplc="08090005" w:tentative="1">
      <w:start w:val="1"/>
      <w:numFmt w:val="bullet"/>
      <w:lvlText w:val=""/>
      <w:lvlJc w:val="left"/>
      <w:pPr>
        <w:ind w:left="2136" w:hanging="360"/>
      </w:pPr>
      <w:rPr>
        <w:rFonts w:ascii="Wingdings" w:hAnsi="Wingdings" w:hint="default"/>
      </w:rPr>
    </w:lvl>
    <w:lvl w:ilvl="3" w:tplc="08090001" w:tentative="1">
      <w:start w:val="1"/>
      <w:numFmt w:val="bullet"/>
      <w:lvlText w:val=""/>
      <w:lvlJc w:val="left"/>
      <w:pPr>
        <w:ind w:left="2856" w:hanging="360"/>
      </w:pPr>
      <w:rPr>
        <w:rFonts w:ascii="Symbol" w:hAnsi="Symbol" w:hint="default"/>
      </w:rPr>
    </w:lvl>
    <w:lvl w:ilvl="4" w:tplc="08090003" w:tentative="1">
      <w:start w:val="1"/>
      <w:numFmt w:val="bullet"/>
      <w:lvlText w:val="o"/>
      <w:lvlJc w:val="left"/>
      <w:pPr>
        <w:ind w:left="3576" w:hanging="360"/>
      </w:pPr>
      <w:rPr>
        <w:rFonts w:ascii="Courier New" w:hAnsi="Courier New" w:cs="Courier New" w:hint="default"/>
      </w:rPr>
    </w:lvl>
    <w:lvl w:ilvl="5" w:tplc="08090005" w:tentative="1">
      <w:start w:val="1"/>
      <w:numFmt w:val="bullet"/>
      <w:lvlText w:val=""/>
      <w:lvlJc w:val="left"/>
      <w:pPr>
        <w:ind w:left="4296" w:hanging="360"/>
      </w:pPr>
      <w:rPr>
        <w:rFonts w:ascii="Wingdings" w:hAnsi="Wingdings" w:hint="default"/>
      </w:rPr>
    </w:lvl>
    <w:lvl w:ilvl="6" w:tplc="08090001" w:tentative="1">
      <w:start w:val="1"/>
      <w:numFmt w:val="bullet"/>
      <w:lvlText w:val=""/>
      <w:lvlJc w:val="left"/>
      <w:pPr>
        <w:ind w:left="5016" w:hanging="360"/>
      </w:pPr>
      <w:rPr>
        <w:rFonts w:ascii="Symbol" w:hAnsi="Symbol" w:hint="default"/>
      </w:rPr>
    </w:lvl>
    <w:lvl w:ilvl="7" w:tplc="08090003" w:tentative="1">
      <w:start w:val="1"/>
      <w:numFmt w:val="bullet"/>
      <w:lvlText w:val="o"/>
      <w:lvlJc w:val="left"/>
      <w:pPr>
        <w:ind w:left="5736" w:hanging="360"/>
      </w:pPr>
      <w:rPr>
        <w:rFonts w:ascii="Courier New" w:hAnsi="Courier New" w:cs="Courier New" w:hint="default"/>
      </w:rPr>
    </w:lvl>
    <w:lvl w:ilvl="8" w:tplc="08090005" w:tentative="1">
      <w:start w:val="1"/>
      <w:numFmt w:val="bullet"/>
      <w:lvlText w:val=""/>
      <w:lvlJc w:val="left"/>
      <w:pPr>
        <w:ind w:left="6456" w:hanging="360"/>
      </w:pPr>
      <w:rPr>
        <w:rFonts w:ascii="Wingdings" w:hAnsi="Wingdings" w:hint="default"/>
      </w:rPr>
    </w:lvl>
  </w:abstractNum>
  <w:abstractNum w:abstractNumId="8" w15:restartNumberingAfterBreak="0">
    <w:nsid w:val="06331374"/>
    <w:multiLevelType w:val="hybridMultilevel"/>
    <w:tmpl w:val="F94A11DC"/>
    <w:lvl w:ilvl="0" w:tplc="18090015">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06F47115"/>
    <w:multiLevelType w:val="hybridMultilevel"/>
    <w:tmpl w:val="523AD6C6"/>
    <w:lvl w:ilvl="0" w:tplc="E4E01FB6">
      <w:start w:val="1"/>
      <w:numFmt w:val="lowerRoman"/>
      <w:lvlText w:val="%1."/>
      <w:lvlJc w:val="right"/>
      <w:pPr>
        <w:ind w:left="720" w:hanging="360"/>
      </w:pPr>
    </w:lvl>
    <w:lvl w:ilvl="1" w:tplc="CC14CE30">
      <w:start w:val="1"/>
      <w:numFmt w:val="lowerLetter"/>
      <w:lvlText w:val="%2."/>
      <w:lvlJc w:val="left"/>
      <w:pPr>
        <w:ind w:left="1440" w:hanging="360"/>
      </w:pPr>
    </w:lvl>
    <w:lvl w:ilvl="2" w:tplc="7C30A1AA">
      <w:start w:val="1"/>
      <w:numFmt w:val="lowerRoman"/>
      <w:lvlText w:val="%3."/>
      <w:lvlJc w:val="right"/>
      <w:pPr>
        <w:ind w:left="2160" w:hanging="180"/>
      </w:pPr>
    </w:lvl>
    <w:lvl w:ilvl="3" w:tplc="A5343F08">
      <w:start w:val="1"/>
      <w:numFmt w:val="decimal"/>
      <w:lvlText w:val="%4."/>
      <w:lvlJc w:val="left"/>
      <w:pPr>
        <w:ind w:left="2880" w:hanging="360"/>
      </w:pPr>
    </w:lvl>
    <w:lvl w:ilvl="4" w:tplc="A412B3A4">
      <w:start w:val="1"/>
      <w:numFmt w:val="lowerLetter"/>
      <w:lvlText w:val="%5."/>
      <w:lvlJc w:val="left"/>
      <w:pPr>
        <w:ind w:left="3600" w:hanging="360"/>
      </w:pPr>
    </w:lvl>
    <w:lvl w:ilvl="5" w:tplc="2D3A5EC6">
      <w:start w:val="1"/>
      <w:numFmt w:val="lowerRoman"/>
      <w:lvlText w:val="%6."/>
      <w:lvlJc w:val="right"/>
      <w:pPr>
        <w:ind w:left="4320" w:hanging="180"/>
      </w:pPr>
    </w:lvl>
    <w:lvl w:ilvl="6" w:tplc="442A8E74">
      <w:start w:val="1"/>
      <w:numFmt w:val="decimal"/>
      <w:lvlText w:val="%7."/>
      <w:lvlJc w:val="left"/>
      <w:pPr>
        <w:ind w:left="5040" w:hanging="360"/>
      </w:pPr>
    </w:lvl>
    <w:lvl w:ilvl="7" w:tplc="978A2838">
      <w:start w:val="1"/>
      <w:numFmt w:val="lowerLetter"/>
      <w:lvlText w:val="%8."/>
      <w:lvlJc w:val="left"/>
      <w:pPr>
        <w:ind w:left="5760" w:hanging="360"/>
      </w:pPr>
    </w:lvl>
    <w:lvl w:ilvl="8" w:tplc="5EC4DE44">
      <w:start w:val="1"/>
      <w:numFmt w:val="lowerRoman"/>
      <w:lvlText w:val="%9."/>
      <w:lvlJc w:val="right"/>
      <w:pPr>
        <w:ind w:left="6480" w:hanging="180"/>
      </w:pPr>
    </w:lvl>
  </w:abstractNum>
  <w:abstractNum w:abstractNumId="10" w15:restartNumberingAfterBreak="0">
    <w:nsid w:val="07D98546"/>
    <w:multiLevelType w:val="hybridMultilevel"/>
    <w:tmpl w:val="6D76B0A6"/>
    <w:lvl w:ilvl="0" w:tplc="3D16F5F8">
      <w:start w:val="1"/>
      <w:numFmt w:val="bullet"/>
      <w:lvlText w:val=""/>
      <w:lvlJc w:val="left"/>
      <w:pPr>
        <w:ind w:left="720" w:hanging="360"/>
      </w:pPr>
      <w:rPr>
        <w:rFonts w:ascii="Symbol" w:hAnsi="Symbol" w:hint="default"/>
      </w:rPr>
    </w:lvl>
    <w:lvl w:ilvl="1" w:tplc="F5CE726E">
      <w:start w:val="1"/>
      <w:numFmt w:val="bullet"/>
      <w:lvlText w:val="o"/>
      <w:lvlJc w:val="left"/>
      <w:pPr>
        <w:ind w:left="1440" w:hanging="360"/>
      </w:pPr>
      <w:rPr>
        <w:rFonts w:ascii="Courier New" w:hAnsi="Courier New" w:hint="default"/>
      </w:rPr>
    </w:lvl>
    <w:lvl w:ilvl="2" w:tplc="4DE4A18C">
      <w:start w:val="1"/>
      <w:numFmt w:val="bullet"/>
      <w:lvlText w:val=""/>
      <w:lvlJc w:val="left"/>
      <w:pPr>
        <w:ind w:left="2160" w:hanging="360"/>
      </w:pPr>
      <w:rPr>
        <w:rFonts w:ascii="Wingdings" w:hAnsi="Wingdings" w:hint="default"/>
      </w:rPr>
    </w:lvl>
    <w:lvl w:ilvl="3" w:tplc="28FC9676">
      <w:start w:val="1"/>
      <w:numFmt w:val="bullet"/>
      <w:lvlText w:val=""/>
      <w:lvlJc w:val="left"/>
      <w:pPr>
        <w:ind w:left="2880" w:hanging="360"/>
      </w:pPr>
      <w:rPr>
        <w:rFonts w:ascii="Symbol" w:hAnsi="Symbol" w:hint="default"/>
      </w:rPr>
    </w:lvl>
    <w:lvl w:ilvl="4" w:tplc="948E80A8">
      <w:start w:val="1"/>
      <w:numFmt w:val="bullet"/>
      <w:lvlText w:val="o"/>
      <w:lvlJc w:val="left"/>
      <w:pPr>
        <w:ind w:left="3600" w:hanging="360"/>
      </w:pPr>
      <w:rPr>
        <w:rFonts w:ascii="Courier New" w:hAnsi="Courier New" w:hint="default"/>
      </w:rPr>
    </w:lvl>
    <w:lvl w:ilvl="5" w:tplc="20D04130">
      <w:start w:val="1"/>
      <w:numFmt w:val="bullet"/>
      <w:lvlText w:val=""/>
      <w:lvlJc w:val="left"/>
      <w:pPr>
        <w:ind w:left="4320" w:hanging="360"/>
      </w:pPr>
      <w:rPr>
        <w:rFonts w:ascii="Wingdings" w:hAnsi="Wingdings" w:hint="default"/>
      </w:rPr>
    </w:lvl>
    <w:lvl w:ilvl="6" w:tplc="3A4C0894">
      <w:start w:val="1"/>
      <w:numFmt w:val="bullet"/>
      <w:lvlText w:val=""/>
      <w:lvlJc w:val="left"/>
      <w:pPr>
        <w:ind w:left="5040" w:hanging="360"/>
      </w:pPr>
      <w:rPr>
        <w:rFonts w:ascii="Symbol" w:hAnsi="Symbol" w:hint="default"/>
      </w:rPr>
    </w:lvl>
    <w:lvl w:ilvl="7" w:tplc="94BEA838">
      <w:start w:val="1"/>
      <w:numFmt w:val="bullet"/>
      <w:lvlText w:val="o"/>
      <w:lvlJc w:val="left"/>
      <w:pPr>
        <w:ind w:left="5760" w:hanging="360"/>
      </w:pPr>
      <w:rPr>
        <w:rFonts w:ascii="Courier New" w:hAnsi="Courier New" w:hint="default"/>
      </w:rPr>
    </w:lvl>
    <w:lvl w:ilvl="8" w:tplc="F59CF7E0">
      <w:start w:val="1"/>
      <w:numFmt w:val="bullet"/>
      <w:lvlText w:val=""/>
      <w:lvlJc w:val="left"/>
      <w:pPr>
        <w:ind w:left="6480" w:hanging="360"/>
      </w:pPr>
      <w:rPr>
        <w:rFonts w:ascii="Wingdings" w:hAnsi="Wingdings" w:hint="default"/>
      </w:rPr>
    </w:lvl>
  </w:abstractNum>
  <w:abstractNum w:abstractNumId="11" w15:restartNumberingAfterBreak="0">
    <w:nsid w:val="0869CDD7"/>
    <w:multiLevelType w:val="hybridMultilevel"/>
    <w:tmpl w:val="E6F60F72"/>
    <w:lvl w:ilvl="0" w:tplc="CC5A35A2">
      <w:start w:val="1"/>
      <w:numFmt w:val="bullet"/>
      <w:lvlText w:val="-"/>
      <w:lvlJc w:val="left"/>
      <w:pPr>
        <w:ind w:left="720" w:hanging="360"/>
      </w:pPr>
      <w:rPr>
        <w:rFonts w:ascii="Symbol" w:hAnsi="Symbol" w:hint="default"/>
      </w:rPr>
    </w:lvl>
    <w:lvl w:ilvl="1" w:tplc="E90CF390">
      <w:start w:val="1"/>
      <w:numFmt w:val="bullet"/>
      <w:lvlText w:val="o"/>
      <w:lvlJc w:val="left"/>
      <w:pPr>
        <w:ind w:left="1440" w:hanging="360"/>
      </w:pPr>
      <w:rPr>
        <w:rFonts w:ascii="Courier New" w:hAnsi="Courier New" w:hint="default"/>
      </w:rPr>
    </w:lvl>
    <w:lvl w:ilvl="2" w:tplc="62C827A8">
      <w:start w:val="1"/>
      <w:numFmt w:val="bullet"/>
      <w:lvlText w:val=""/>
      <w:lvlJc w:val="left"/>
      <w:pPr>
        <w:ind w:left="2160" w:hanging="360"/>
      </w:pPr>
      <w:rPr>
        <w:rFonts w:ascii="Wingdings" w:hAnsi="Wingdings" w:hint="default"/>
      </w:rPr>
    </w:lvl>
    <w:lvl w:ilvl="3" w:tplc="C6AC6B24">
      <w:start w:val="1"/>
      <w:numFmt w:val="bullet"/>
      <w:lvlText w:val=""/>
      <w:lvlJc w:val="left"/>
      <w:pPr>
        <w:ind w:left="2880" w:hanging="360"/>
      </w:pPr>
      <w:rPr>
        <w:rFonts w:ascii="Symbol" w:hAnsi="Symbol" w:hint="default"/>
      </w:rPr>
    </w:lvl>
    <w:lvl w:ilvl="4" w:tplc="DF44F6A4">
      <w:start w:val="1"/>
      <w:numFmt w:val="bullet"/>
      <w:lvlText w:val="o"/>
      <w:lvlJc w:val="left"/>
      <w:pPr>
        <w:ind w:left="3600" w:hanging="360"/>
      </w:pPr>
      <w:rPr>
        <w:rFonts w:ascii="Courier New" w:hAnsi="Courier New" w:hint="default"/>
      </w:rPr>
    </w:lvl>
    <w:lvl w:ilvl="5" w:tplc="8126F19E">
      <w:start w:val="1"/>
      <w:numFmt w:val="bullet"/>
      <w:lvlText w:val=""/>
      <w:lvlJc w:val="left"/>
      <w:pPr>
        <w:ind w:left="4320" w:hanging="360"/>
      </w:pPr>
      <w:rPr>
        <w:rFonts w:ascii="Wingdings" w:hAnsi="Wingdings" w:hint="default"/>
      </w:rPr>
    </w:lvl>
    <w:lvl w:ilvl="6" w:tplc="E4401EFE">
      <w:start w:val="1"/>
      <w:numFmt w:val="bullet"/>
      <w:lvlText w:val=""/>
      <w:lvlJc w:val="left"/>
      <w:pPr>
        <w:ind w:left="5040" w:hanging="360"/>
      </w:pPr>
      <w:rPr>
        <w:rFonts w:ascii="Symbol" w:hAnsi="Symbol" w:hint="default"/>
      </w:rPr>
    </w:lvl>
    <w:lvl w:ilvl="7" w:tplc="57C0F16C">
      <w:start w:val="1"/>
      <w:numFmt w:val="bullet"/>
      <w:lvlText w:val="o"/>
      <w:lvlJc w:val="left"/>
      <w:pPr>
        <w:ind w:left="5760" w:hanging="360"/>
      </w:pPr>
      <w:rPr>
        <w:rFonts w:ascii="Courier New" w:hAnsi="Courier New" w:hint="default"/>
      </w:rPr>
    </w:lvl>
    <w:lvl w:ilvl="8" w:tplc="59DA7ED4">
      <w:start w:val="1"/>
      <w:numFmt w:val="bullet"/>
      <w:lvlText w:val=""/>
      <w:lvlJc w:val="left"/>
      <w:pPr>
        <w:ind w:left="6480" w:hanging="360"/>
      </w:pPr>
      <w:rPr>
        <w:rFonts w:ascii="Wingdings" w:hAnsi="Wingdings" w:hint="default"/>
      </w:rPr>
    </w:lvl>
  </w:abstractNum>
  <w:abstractNum w:abstractNumId="12" w15:restartNumberingAfterBreak="0">
    <w:nsid w:val="08AF58AF"/>
    <w:multiLevelType w:val="hybridMultilevel"/>
    <w:tmpl w:val="DB0CF5D2"/>
    <w:lvl w:ilvl="0" w:tplc="218C80C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F41E71"/>
    <w:multiLevelType w:val="hybridMultilevel"/>
    <w:tmpl w:val="8BBC1E6E"/>
    <w:lvl w:ilvl="0" w:tplc="7C1A5438">
      <w:start w:val="17"/>
      <w:numFmt w:val="bullet"/>
      <w:lvlText w:val="-"/>
      <w:lvlJc w:val="left"/>
      <w:pPr>
        <w:ind w:left="720" w:hanging="360"/>
      </w:pPr>
      <w:rPr>
        <w:rFonts w:ascii="Times New Roman" w:eastAsia="Times New Roman" w:hAnsi="Times New Roman"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0B41762F"/>
    <w:multiLevelType w:val="hybridMultilevel"/>
    <w:tmpl w:val="75860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34378D"/>
    <w:multiLevelType w:val="hybridMultilevel"/>
    <w:tmpl w:val="DC28A7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0F34087D"/>
    <w:multiLevelType w:val="hybridMultilevel"/>
    <w:tmpl w:val="EEA26554"/>
    <w:lvl w:ilvl="0" w:tplc="9C18E2D8">
      <w:start w:val="3"/>
      <w:numFmt w:val="decimal"/>
      <w:lvlText w:val="%1."/>
      <w:lvlJc w:val="left"/>
      <w:pPr>
        <w:ind w:left="720" w:hanging="360"/>
      </w:pPr>
    </w:lvl>
    <w:lvl w:ilvl="1" w:tplc="2E4EAE98">
      <w:start w:val="1"/>
      <w:numFmt w:val="lowerLetter"/>
      <w:lvlText w:val="%2."/>
      <w:lvlJc w:val="left"/>
      <w:pPr>
        <w:ind w:left="1440" w:hanging="360"/>
      </w:pPr>
    </w:lvl>
    <w:lvl w:ilvl="2" w:tplc="A11E6626">
      <w:start w:val="1"/>
      <w:numFmt w:val="lowerRoman"/>
      <w:lvlText w:val="%3."/>
      <w:lvlJc w:val="right"/>
      <w:pPr>
        <w:ind w:left="2160" w:hanging="180"/>
      </w:pPr>
    </w:lvl>
    <w:lvl w:ilvl="3" w:tplc="29CE4106">
      <w:start w:val="1"/>
      <w:numFmt w:val="decimal"/>
      <w:lvlText w:val="%4."/>
      <w:lvlJc w:val="left"/>
      <w:pPr>
        <w:ind w:left="2880" w:hanging="360"/>
      </w:pPr>
    </w:lvl>
    <w:lvl w:ilvl="4" w:tplc="D444D812">
      <w:start w:val="1"/>
      <w:numFmt w:val="lowerLetter"/>
      <w:lvlText w:val="%5."/>
      <w:lvlJc w:val="left"/>
      <w:pPr>
        <w:ind w:left="3600" w:hanging="360"/>
      </w:pPr>
    </w:lvl>
    <w:lvl w:ilvl="5" w:tplc="CF42B4F0">
      <w:start w:val="1"/>
      <w:numFmt w:val="lowerRoman"/>
      <w:lvlText w:val="%6."/>
      <w:lvlJc w:val="right"/>
      <w:pPr>
        <w:ind w:left="4320" w:hanging="180"/>
      </w:pPr>
    </w:lvl>
    <w:lvl w:ilvl="6" w:tplc="0700C77A">
      <w:start w:val="1"/>
      <w:numFmt w:val="decimal"/>
      <w:lvlText w:val="%7."/>
      <w:lvlJc w:val="left"/>
      <w:pPr>
        <w:ind w:left="5040" w:hanging="360"/>
      </w:pPr>
    </w:lvl>
    <w:lvl w:ilvl="7" w:tplc="17E63D3A">
      <w:start w:val="1"/>
      <w:numFmt w:val="lowerLetter"/>
      <w:lvlText w:val="%8."/>
      <w:lvlJc w:val="left"/>
      <w:pPr>
        <w:ind w:left="5760" w:hanging="360"/>
      </w:pPr>
    </w:lvl>
    <w:lvl w:ilvl="8" w:tplc="4482C260">
      <w:start w:val="1"/>
      <w:numFmt w:val="lowerRoman"/>
      <w:lvlText w:val="%9."/>
      <w:lvlJc w:val="right"/>
      <w:pPr>
        <w:ind w:left="6480" w:hanging="180"/>
      </w:pPr>
    </w:lvl>
  </w:abstractNum>
  <w:abstractNum w:abstractNumId="17" w15:restartNumberingAfterBreak="0">
    <w:nsid w:val="0FFB5314"/>
    <w:multiLevelType w:val="hybridMultilevel"/>
    <w:tmpl w:val="0B088D8A"/>
    <w:lvl w:ilvl="0" w:tplc="18090011">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100D6C98"/>
    <w:multiLevelType w:val="hybridMultilevel"/>
    <w:tmpl w:val="C1183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0E31054"/>
    <w:multiLevelType w:val="hybridMultilevel"/>
    <w:tmpl w:val="56EE6114"/>
    <w:lvl w:ilvl="0" w:tplc="CFA0E118">
      <w:start w:val="1"/>
      <w:numFmt w:val="decimal"/>
      <w:lvlText w:val="%1."/>
      <w:lvlJc w:val="left"/>
      <w:pPr>
        <w:ind w:left="720" w:hanging="360"/>
      </w:pPr>
    </w:lvl>
    <w:lvl w:ilvl="1" w:tplc="FB12925A">
      <w:start w:val="1"/>
      <w:numFmt w:val="lowerLetter"/>
      <w:lvlText w:val="%2."/>
      <w:lvlJc w:val="left"/>
      <w:pPr>
        <w:ind w:left="1440" w:hanging="360"/>
      </w:pPr>
    </w:lvl>
    <w:lvl w:ilvl="2" w:tplc="20E2E64E">
      <w:start w:val="1"/>
      <w:numFmt w:val="lowerRoman"/>
      <w:lvlText w:val="%3."/>
      <w:lvlJc w:val="right"/>
      <w:pPr>
        <w:ind w:left="2160" w:hanging="180"/>
      </w:pPr>
    </w:lvl>
    <w:lvl w:ilvl="3" w:tplc="FB6E4BF0">
      <w:start w:val="1"/>
      <w:numFmt w:val="decimal"/>
      <w:lvlText w:val="%4."/>
      <w:lvlJc w:val="left"/>
      <w:pPr>
        <w:ind w:left="2880" w:hanging="360"/>
      </w:pPr>
    </w:lvl>
    <w:lvl w:ilvl="4" w:tplc="918E96C4">
      <w:start w:val="1"/>
      <w:numFmt w:val="lowerLetter"/>
      <w:lvlText w:val="%5."/>
      <w:lvlJc w:val="left"/>
      <w:pPr>
        <w:ind w:left="3600" w:hanging="360"/>
      </w:pPr>
    </w:lvl>
    <w:lvl w:ilvl="5" w:tplc="5AF2756E">
      <w:start w:val="1"/>
      <w:numFmt w:val="lowerRoman"/>
      <w:lvlText w:val="%6."/>
      <w:lvlJc w:val="right"/>
      <w:pPr>
        <w:ind w:left="4320" w:hanging="180"/>
      </w:pPr>
    </w:lvl>
    <w:lvl w:ilvl="6" w:tplc="863E6374">
      <w:start w:val="1"/>
      <w:numFmt w:val="decimal"/>
      <w:lvlText w:val="%7."/>
      <w:lvlJc w:val="left"/>
      <w:pPr>
        <w:ind w:left="5040" w:hanging="360"/>
      </w:pPr>
    </w:lvl>
    <w:lvl w:ilvl="7" w:tplc="DC2066C6">
      <w:start w:val="1"/>
      <w:numFmt w:val="lowerLetter"/>
      <w:lvlText w:val="%8."/>
      <w:lvlJc w:val="left"/>
      <w:pPr>
        <w:ind w:left="5760" w:hanging="360"/>
      </w:pPr>
    </w:lvl>
    <w:lvl w:ilvl="8" w:tplc="591E6DF6">
      <w:start w:val="1"/>
      <w:numFmt w:val="lowerRoman"/>
      <w:lvlText w:val="%9."/>
      <w:lvlJc w:val="right"/>
      <w:pPr>
        <w:ind w:left="6480" w:hanging="180"/>
      </w:pPr>
    </w:lvl>
  </w:abstractNum>
  <w:abstractNum w:abstractNumId="20" w15:restartNumberingAfterBreak="0">
    <w:nsid w:val="13281B67"/>
    <w:multiLevelType w:val="hybridMultilevel"/>
    <w:tmpl w:val="A6605D12"/>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1" w15:restartNumberingAfterBreak="0">
    <w:nsid w:val="14244ED7"/>
    <w:multiLevelType w:val="multilevel"/>
    <w:tmpl w:val="98069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4ED7B12"/>
    <w:multiLevelType w:val="hybridMultilevel"/>
    <w:tmpl w:val="29EA5478"/>
    <w:lvl w:ilvl="0" w:tplc="7AACA2A8">
      <w:start w:val="1"/>
      <w:numFmt w:val="lowerRoman"/>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3" w15:restartNumberingAfterBreak="0">
    <w:nsid w:val="15E226B0"/>
    <w:multiLevelType w:val="multilevel"/>
    <w:tmpl w:val="C5D2BA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165622D8"/>
    <w:multiLevelType w:val="hybridMultilevel"/>
    <w:tmpl w:val="E6E46808"/>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165C3F6D"/>
    <w:multiLevelType w:val="hybridMultilevel"/>
    <w:tmpl w:val="4EDE002A"/>
    <w:lvl w:ilvl="0" w:tplc="9E1AC07E">
      <w:start w:val="1"/>
      <w:numFmt w:val="bullet"/>
      <w:lvlText w:val="·"/>
      <w:lvlJc w:val="left"/>
      <w:pPr>
        <w:ind w:left="720" w:hanging="360"/>
      </w:pPr>
      <w:rPr>
        <w:rFonts w:ascii="Symbol" w:hAnsi="Symbol" w:hint="default"/>
      </w:rPr>
    </w:lvl>
    <w:lvl w:ilvl="1" w:tplc="508224BC">
      <w:start w:val="1"/>
      <w:numFmt w:val="bullet"/>
      <w:lvlText w:val="o"/>
      <w:lvlJc w:val="left"/>
      <w:pPr>
        <w:ind w:left="1440" w:hanging="360"/>
      </w:pPr>
      <w:rPr>
        <w:rFonts w:ascii="Courier New" w:hAnsi="Courier New" w:hint="default"/>
      </w:rPr>
    </w:lvl>
    <w:lvl w:ilvl="2" w:tplc="9F481042">
      <w:start w:val="1"/>
      <w:numFmt w:val="bullet"/>
      <w:lvlText w:val=""/>
      <w:lvlJc w:val="left"/>
      <w:pPr>
        <w:ind w:left="2160" w:hanging="360"/>
      </w:pPr>
      <w:rPr>
        <w:rFonts w:ascii="Wingdings" w:hAnsi="Wingdings" w:hint="default"/>
      </w:rPr>
    </w:lvl>
    <w:lvl w:ilvl="3" w:tplc="23665F78">
      <w:start w:val="1"/>
      <w:numFmt w:val="bullet"/>
      <w:lvlText w:val=""/>
      <w:lvlJc w:val="left"/>
      <w:pPr>
        <w:ind w:left="2880" w:hanging="360"/>
      </w:pPr>
      <w:rPr>
        <w:rFonts w:ascii="Symbol" w:hAnsi="Symbol" w:hint="default"/>
      </w:rPr>
    </w:lvl>
    <w:lvl w:ilvl="4" w:tplc="F2821104">
      <w:start w:val="1"/>
      <w:numFmt w:val="bullet"/>
      <w:lvlText w:val="o"/>
      <w:lvlJc w:val="left"/>
      <w:pPr>
        <w:ind w:left="3600" w:hanging="360"/>
      </w:pPr>
      <w:rPr>
        <w:rFonts w:ascii="Courier New" w:hAnsi="Courier New" w:hint="default"/>
      </w:rPr>
    </w:lvl>
    <w:lvl w:ilvl="5" w:tplc="1A8256D0">
      <w:start w:val="1"/>
      <w:numFmt w:val="bullet"/>
      <w:lvlText w:val=""/>
      <w:lvlJc w:val="left"/>
      <w:pPr>
        <w:ind w:left="4320" w:hanging="360"/>
      </w:pPr>
      <w:rPr>
        <w:rFonts w:ascii="Wingdings" w:hAnsi="Wingdings" w:hint="default"/>
      </w:rPr>
    </w:lvl>
    <w:lvl w:ilvl="6" w:tplc="EB802166">
      <w:start w:val="1"/>
      <w:numFmt w:val="bullet"/>
      <w:lvlText w:val=""/>
      <w:lvlJc w:val="left"/>
      <w:pPr>
        <w:ind w:left="5040" w:hanging="360"/>
      </w:pPr>
      <w:rPr>
        <w:rFonts w:ascii="Symbol" w:hAnsi="Symbol" w:hint="default"/>
      </w:rPr>
    </w:lvl>
    <w:lvl w:ilvl="7" w:tplc="CA1E5EAC">
      <w:start w:val="1"/>
      <w:numFmt w:val="bullet"/>
      <w:lvlText w:val="o"/>
      <w:lvlJc w:val="left"/>
      <w:pPr>
        <w:ind w:left="5760" w:hanging="360"/>
      </w:pPr>
      <w:rPr>
        <w:rFonts w:ascii="Courier New" w:hAnsi="Courier New" w:hint="default"/>
      </w:rPr>
    </w:lvl>
    <w:lvl w:ilvl="8" w:tplc="5F70D53E">
      <w:start w:val="1"/>
      <w:numFmt w:val="bullet"/>
      <w:lvlText w:val=""/>
      <w:lvlJc w:val="left"/>
      <w:pPr>
        <w:ind w:left="6480" w:hanging="360"/>
      </w:pPr>
      <w:rPr>
        <w:rFonts w:ascii="Wingdings" w:hAnsi="Wingdings" w:hint="default"/>
      </w:rPr>
    </w:lvl>
  </w:abstractNum>
  <w:abstractNum w:abstractNumId="26" w15:restartNumberingAfterBreak="0">
    <w:nsid w:val="17280188"/>
    <w:multiLevelType w:val="hybridMultilevel"/>
    <w:tmpl w:val="E94EFBCE"/>
    <w:lvl w:ilvl="0" w:tplc="28B87E4A">
      <w:start w:val="1"/>
      <w:numFmt w:val="bullet"/>
      <w:lvlText w:val="-"/>
      <w:lvlJc w:val="left"/>
      <w:pPr>
        <w:ind w:left="720" w:hanging="360"/>
      </w:pPr>
      <w:rPr>
        <w:rFonts w:ascii="Times New Roman" w:eastAsia="Times New Roman" w:hAnsi="Times New Roman" w:cs="Times New Roman" w:hint="default"/>
      </w:rPr>
    </w:lvl>
    <w:lvl w:ilvl="1" w:tplc="D820F8FC">
      <w:numFmt w:val="bullet"/>
      <w:lvlText w:val="-"/>
      <w:lvlJc w:val="left"/>
      <w:pPr>
        <w:ind w:left="1440" w:hanging="360"/>
      </w:pPr>
      <w:rPr>
        <w:rFonts w:ascii="Calibri" w:eastAsiaTheme="minorHAnsi" w:hAnsi="Calibri" w:cs="Calibri"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18220F9B"/>
    <w:multiLevelType w:val="hybridMultilevel"/>
    <w:tmpl w:val="BCACA684"/>
    <w:lvl w:ilvl="0" w:tplc="18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43AF22"/>
    <w:multiLevelType w:val="hybridMultilevel"/>
    <w:tmpl w:val="FFFFFFFF"/>
    <w:lvl w:ilvl="0" w:tplc="F2F688FA">
      <w:start w:val="1"/>
      <w:numFmt w:val="decimal"/>
      <w:lvlText w:val="%1."/>
      <w:lvlJc w:val="left"/>
      <w:pPr>
        <w:ind w:left="720" w:hanging="360"/>
      </w:pPr>
    </w:lvl>
    <w:lvl w:ilvl="1" w:tplc="8562956E">
      <w:start w:val="1"/>
      <w:numFmt w:val="lowerLetter"/>
      <w:lvlText w:val="%2."/>
      <w:lvlJc w:val="left"/>
      <w:pPr>
        <w:ind w:left="1440" w:hanging="360"/>
      </w:pPr>
    </w:lvl>
    <w:lvl w:ilvl="2" w:tplc="48623FFC">
      <w:start w:val="1"/>
      <w:numFmt w:val="lowerRoman"/>
      <w:lvlText w:val="%3."/>
      <w:lvlJc w:val="right"/>
      <w:pPr>
        <w:ind w:left="2160" w:hanging="180"/>
      </w:pPr>
    </w:lvl>
    <w:lvl w:ilvl="3" w:tplc="131EE938">
      <w:start w:val="1"/>
      <w:numFmt w:val="decimal"/>
      <w:lvlText w:val="%4."/>
      <w:lvlJc w:val="left"/>
      <w:pPr>
        <w:ind w:left="2880" w:hanging="360"/>
      </w:pPr>
    </w:lvl>
    <w:lvl w:ilvl="4" w:tplc="B178D99A">
      <w:start w:val="1"/>
      <w:numFmt w:val="lowerLetter"/>
      <w:lvlText w:val="%5."/>
      <w:lvlJc w:val="left"/>
      <w:pPr>
        <w:ind w:left="3600" w:hanging="360"/>
      </w:pPr>
    </w:lvl>
    <w:lvl w:ilvl="5" w:tplc="9EE2F188">
      <w:start w:val="1"/>
      <w:numFmt w:val="lowerRoman"/>
      <w:lvlText w:val="%6."/>
      <w:lvlJc w:val="right"/>
      <w:pPr>
        <w:ind w:left="4320" w:hanging="180"/>
      </w:pPr>
    </w:lvl>
    <w:lvl w:ilvl="6" w:tplc="9EB049AA">
      <w:start w:val="1"/>
      <w:numFmt w:val="decimal"/>
      <w:lvlText w:val="%7."/>
      <w:lvlJc w:val="left"/>
      <w:pPr>
        <w:ind w:left="5040" w:hanging="360"/>
      </w:pPr>
    </w:lvl>
    <w:lvl w:ilvl="7" w:tplc="66D67C22">
      <w:start w:val="1"/>
      <w:numFmt w:val="lowerLetter"/>
      <w:lvlText w:val="%8."/>
      <w:lvlJc w:val="left"/>
      <w:pPr>
        <w:ind w:left="5760" w:hanging="360"/>
      </w:pPr>
    </w:lvl>
    <w:lvl w:ilvl="8" w:tplc="8EF6D5DA">
      <w:start w:val="1"/>
      <w:numFmt w:val="lowerRoman"/>
      <w:lvlText w:val="%9."/>
      <w:lvlJc w:val="right"/>
      <w:pPr>
        <w:ind w:left="6480" w:hanging="180"/>
      </w:pPr>
    </w:lvl>
  </w:abstractNum>
  <w:abstractNum w:abstractNumId="29" w15:restartNumberingAfterBreak="0">
    <w:nsid w:val="19811323"/>
    <w:multiLevelType w:val="hybridMultilevel"/>
    <w:tmpl w:val="D428AE04"/>
    <w:lvl w:ilvl="0" w:tplc="D8CCA47E">
      <w:start w:val="1"/>
      <w:numFmt w:val="bullet"/>
      <w:lvlText w:val="-"/>
      <w:lvlJc w:val="left"/>
      <w:pPr>
        <w:ind w:left="1429" w:hanging="360"/>
      </w:pPr>
      <w:rPr>
        <w:rFonts w:ascii="&quot;Times New Roman&quot;,serif" w:hAnsi="&quot;Times New Roman&quot;,serif"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3number"/>
      <w:lvlText w:val="(%2)"/>
      <w:lvlJc w:val="left"/>
      <w:pPr>
        <w:tabs>
          <w:tab w:val="num" w:pos="850"/>
        </w:tabs>
        <w:ind w:left="850" w:hanging="850"/>
      </w:pPr>
    </w:lvl>
    <w:lvl w:ilvl="2">
      <w:start w:val="1"/>
      <w:numFmt w:val="decimal"/>
      <w:pStyle w:val="Point0number"/>
      <w:lvlText w:val="(%3)"/>
      <w:lvlJc w:val="left"/>
      <w:pPr>
        <w:tabs>
          <w:tab w:val="num" w:pos="1417"/>
        </w:tabs>
        <w:ind w:left="1417" w:hanging="567"/>
      </w:pPr>
    </w:lvl>
    <w:lvl w:ilvl="3">
      <w:start w:val="1"/>
      <w:numFmt w:val="lowerLetter"/>
      <w:pStyle w:val="Point0letter"/>
      <w:lvlText w:val="(%4)"/>
      <w:lvlJc w:val="left"/>
      <w:pPr>
        <w:tabs>
          <w:tab w:val="num" w:pos="1417"/>
        </w:tabs>
        <w:ind w:left="1417" w:hanging="567"/>
      </w:pPr>
    </w:lvl>
    <w:lvl w:ilvl="4">
      <w:start w:val="1"/>
      <w:numFmt w:val="decimal"/>
      <w:pStyle w:val="Point1number"/>
      <w:lvlText w:val="(%5)"/>
      <w:lvlJc w:val="left"/>
      <w:pPr>
        <w:tabs>
          <w:tab w:val="num" w:pos="1984"/>
        </w:tabs>
        <w:ind w:left="1984" w:hanging="567"/>
      </w:pPr>
    </w:lvl>
    <w:lvl w:ilvl="5">
      <w:start w:val="1"/>
      <w:numFmt w:val="lowerLetter"/>
      <w:pStyle w:val="Point1letter"/>
      <w:lvlText w:val="(%6)"/>
      <w:lvlJc w:val="left"/>
      <w:pPr>
        <w:tabs>
          <w:tab w:val="num" w:pos="1984"/>
        </w:tabs>
        <w:ind w:left="1984" w:hanging="567"/>
      </w:pPr>
    </w:lvl>
    <w:lvl w:ilvl="6">
      <w:start w:val="1"/>
      <w:numFmt w:val="decimal"/>
      <w:pStyle w:val="Point2number"/>
      <w:lvlText w:val="(%7)"/>
      <w:lvlJc w:val="left"/>
      <w:pPr>
        <w:tabs>
          <w:tab w:val="num" w:pos="2551"/>
        </w:tabs>
        <w:ind w:left="2551" w:hanging="567"/>
      </w:pPr>
    </w:lvl>
    <w:lvl w:ilvl="7">
      <w:start w:val="1"/>
      <w:numFmt w:val="lowerLetter"/>
      <w:pStyle w:val="Point2letter"/>
      <w:lvlText w:val="(%8)"/>
      <w:lvlJc w:val="left"/>
      <w:pPr>
        <w:tabs>
          <w:tab w:val="num" w:pos="2551"/>
        </w:tabs>
        <w:ind w:left="2551" w:hanging="567"/>
      </w:pPr>
    </w:lvl>
    <w:lvl w:ilvl="8">
      <w:start w:val="1"/>
      <w:numFmt w:val="lowerLetter"/>
      <w:pStyle w:val="Point3letter"/>
      <w:lvlText w:val="(%9)"/>
      <w:lvlJc w:val="left"/>
      <w:pPr>
        <w:tabs>
          <w:tab w:val="num" w:pos="3118"/>
        </w:tabs>
        <w:ind w:left="3118" w:hanging="567"/>
      </w:pPr>
    </w:lvl>
  </w:abstractNum>
  <w:abstractNum w:abstractNumId="31" w15:restartNumberingAfterBreak="0">
    <w:nsid w:val="1E317D26"/>
    <w:multiLevelType w:val="hybridMultilevel"/>
    <w:tmpl w:val="F2566412"/>
    <w:lvl w:ilvl="0" w:tplc="7CC4E43C">
      <w:start w:val="1"/>
      <w:numFmt w:val="decimal"/>
      <w:lvlText w:val="%1."/>
      <w:lvlJc w:val="left"/>
      <w:pPr>
        <w:ind w:left="720" w:hanging="360"/>
      </w:pPr>
    </w:lvl>
    <w:lvl w:ilvl="1" w:tplc="98B4BE10">
      <w:start w:val="1"/>
      <w:numFmt w:val="lowerLetter"/>
      <w:lvlText w:val="%2."/>
      <w:lvlJc w:val="left"/>
      <w:pPr>
        <w:ind w:left="1440" w:hanging="360"/>
      </w:pPr>
    </w:lvl>
    <w:lvl w:ilvl="2" w:tplc="E28A6A02">
      <w:start w:val="1"/>
      <w:numFmt w:val="lowerRoman"/>
      <w:lvlText w:val="%3."/>
      <w:lvlJc w:val="right"/>
      <w:pPr>
        <w:ind w:left="2160" w:hanging="180"/>
      </w:pPr>
    </w:lvl>
    <w:lvl w:ilvl="3" w:tplc="6EB468B2">
      <w:start w:val="1"/>
      <w:numFmt w:val="decimal"/>
      <w:lvlText w:val="%4."/>
      <w:lvlJc w:val="left"/>
      <w:pPr>
        <w:ind w:left="2880" w:hanging="360"/>
      </w:pPr>
    </w:lvl>
    <w:lvl w:ilvl="4" w:tplc="DD965FD8">
      <w:start w:val="1"/>
      <w:numFmt w:val="lowerLetter"/>
      <w:lvlText w:val="%5."/>
      <w:lvlJc w:val="left"/>
      <w:pPr>
        <w:ind w:left="3600" w:hanging="360"/>
      </w:pPr>
    </w:lvl>
    <w:lvl w:ilvl="5" w:tplc="4E466424">
      <w:start w:val="1"/>
      <w:numFmt w:val="lowerRoman"/>
      <w:lvlText w:val="%6."/>
      <w:lvlJc w:val="right"/>
      <w:pPr>
        <w:ind w:left="4320" w:hanging="180"/>
      </w:pPr>
    </w:lvl>
    <w:lvl w:ilvl="6" w:tplc="2174BC9C">
      <w:start w:val="1"/>
      <w:numFmt w:val="decimal"/>
      <w:lvlText w:val="%7."/>
      <w:lvlJc w:val="left"/>
      <w:pPr>
        <w:ind w:left="5040" w:hanging="360"/>
      </w:pPr>
    </w:lvl>
    <w:lvl w:ilvl="7" w:tplc="3EA00D02">
      <w:start w:val="1"/>
      <w:numFmt w:val="lowerLetter"/>
      <w:lvlText w:val="%8."/>
      <w:lvlJc w:val="left"/>
      <w:pPr>
        <w:ind w:left="5760" w:hanging="360"/>
      </w:pPr>
    </w:lvl>
    <w:lvl w:ilvl="8" w:tplc="4616220A">
      <w:start w:val="1"/>
      <w:numFmt w:val="lowerRoman"/>
      <w:lvlText w:val="%9."/>
      <w:lvlJc w:val="right"/>
      <w:pPr>
        <w:ind w:left="6480" w:hanging="180"/>
      </w:pPr>
    </w:lvl>
  </w:abstractNum>
  <w:abstractNum w:abstractNumId="32" w15:restartNumberingAfterBreak="0">
    <w:nsid w:val="1E950445"/>
    <w:multiLevelType w:val="multilevel"/>
    <w:tmpl w:val="610804BC"/>
    <w:lvl w:ilvl="0">
      <w:start w:val="1"/>
      <w:numFmt w:val="decimal"/>
      <w:lvlText w:val="%1."/>
      <w:lvlJc w:val="left"/>
      <w:pPr>
        <w:ind w:left="476" w:hanging="476"/>
      </w:pPr>
      <w:rPr>
        <w:rFonts w:hint="default"/>
        <w:b/>
        <w:bCs/>
      </w:rPr>
    </w:lvl>
    <w:lvl w:ilvl="1">
      <w:start w:val="1"/>
      <w:numFmt w:val="lowerLetter"/>
      <w:lvlText w:val="%2)"/>
      <w:lvlJc w:val="left"/>
      <w:pPr>
        <w:ind w:left="836" w:hanging="360"/>
      </w:p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1F000BCD"/>
    <w:multiLevelType w:val="hybridMultilevel"/>
    <w:tmpl w:val="E334FCE4"/>
    <w:lvl w:ilvl="0" w:tplc="41A8472E">
      <w:start w:val="1"/>
      <w:numFmt w:val="bullet"/>
      <w:lvlText w:val="-"/>
      <w:lvlJc w:val="left"/>
      <w:pPr>
        <w:ind w:left="720" w:hanging="360"/>
      </w:pPr>
      <w:rPr>
        <w:rFonts w:ascii="Calibri" w:hAnsi="Calibri" w:hint="default"/>
      </w:rPr>
    </w:lvl>
    <w:lvl w:ilvl="1" w:tplc="1382DC1A">
      <w:start w:val="1"/>
      <w:numFmt w:val="bullet"/>
      <w:lvlText w:val="o"/>
      <w:lvlJc w:val="left"/>
      <w:pPr>
        <w:ind w:left="1440" w:hanging="360"/>
      </w:pPr>
      <w:rPr>
        <w:rFonts w:ascii="Courier New" w:hAnsi="Courier New" w:hint="default"/>
      </w:rPr>
    </w:lvl>
    <w:lvl w:ilvl="2" w:tplc="4A086676">
      <w:start w:val="1"/>
      <w:numFmt w:val="bullet"/>
      <w:lvlText w:val=""/>
      <w:lvlJc w:val="left"/>
      <w:pPr>
        <w:ind w:left="2160" w:hanging="360"/>
      </w:pPr>
      <w:rPr>
        <w:rFonts w:ascii="Wingdings" w:hAnsi="Wingdings" w:hint="default"/>
      </w:rPr>
    </w:lvl>
    <w:lvl w:ilvl="3" w:tplc="24D8C2E8">
      <w:start w:val="1"/>
      <w:numFmt w:val="bullet"/>
      <w:lvlText w:val=""/>
      <w:lvlJc w:val="left"/>
      <w:pPr>
        <w:ind w:left="2880" w:hanging="360"/>
      </w:pPr>
      <w:rPr>
        <w:rFonts w:ascii="Symbol" w:hAnsi="Symbol" w:hint="default"/>
      </w:rPr>
    </w:lvl>
    <w:lvl w:ilvl="4" w:tplc="B8C04682">
      <w:start w:val="1"/>
      <w:numFmt w:val="bullet"/>
      <w:lvlText w:val="o"/>
      <w:lvlJc w:val="left"/>
      <w:pPr>
        <w:ind w:left="3600" w:hanging="360"/>
      </w:pPr>
      <w:rPr>
        <w:rFonts w:ascii="Courier New" w:hAnsi="Courier New" w:hint="default"/>
      </w:rPr>
    </w:lvl>
    <w:lvl w:ilvl="5" w:tplc="7D3033D2">
      <w:start w:val="1"/>
      <w:numFmt w:val="bullet"/>
      <w:lvlText w:val=""/>
      <w:lvlJc w:val="left"/>
      <w:pPr>
        <w:ind w:left="4320" w:hanging="360"/>
      </w:pPr>
      <w:rPr>
        <w:rFonts w:ascii="Wingdings" w:hAnsi="Wingdings" w:hint="default"/>
      </w:rPr>
    </w:lvl>
    <w:lvl w:ilvl="6" w:tplc="53D233BC">
      <w:start w:val="1"/>
      <w:numFmt w:val="bullet"/>
      <w:lvlText w:val=""/>
      <w:lvlJc w:val="left"/>
      <w:pPr>
        <w:ind w:left="5040" w:hanging="360"/>
      </w:pPr>
      <w:rPr>
        <w:rFonts w:ascii="Symbol" w:hAnsi="Symbol" w:hint="default"/>
      </w:rPr>
    </w:lvl>
    <w:lvl w:ilvl="7" w:tplc="187CA474">
      <w:start w:val="1"/>
      <w:numFmt w:val="bullet"/>
      <w:lvlText w:val="o"/>
      <w:lvlJc w:val="left"/>
      <w:pPr>
        <w:ind w:left="5760" w:hanging="360"/>
      </w:pPr>
      <w:rPr>
        <w:rFonts w:ascii="Courier New" w:hAnsi="Courier New" w:hint="default"/>
      </w:rPr>
    </w:lvl>
    <w:lvl w:ilvl="8" w:tplc="726C11C6">
      <w:start w:val="1"/>
      <w:numFmt w:val="bullet"/>
      <w:lvlText w:val=""/>
      <w:lvlJc w:val="left"/>
      <w:pPr>
        <w:ind w:left="6480" w:hanging="360"/>
      </w:pPr>
      <w:rPr>
        <w:rFonts w:ascii="Wingdings" w:hAnsi="Wingdings" w:hint="default"/>
      </w:rPr>
    </w:lvl>
  </w:abstractNum>
  <w:abstractNum w:abstractNumId="34"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1"/>
      <w:lvlText w:val="%1.%2."/>
      <w:lvlJc w:val="left"/>
      <w:pPr>
        <w:tabs>
          <w:tab w:val="num" w:pos="850"/>
        </w:tabs>
        <w:ind w:left="850" w:hanging="850"/>
      </w:pPr>
    </w:lvl>
    <w:lvl w:ilvl="2">
      <w:start w:val="1"/>
      <w:numFmt w:val="decimal"/>
      <w:pStyle w:val="NumPar2"/>
      <w:lvlText w:val="%1.%2.%3."/>
      <w:lvlJc w:val="left"/>
      <w:pPr>
        <w:tabs>
          <w:tab w:val="num" w:pos="850"/>
        </w:tabs>
        <w:ind w:left="850" w:hanging="850"/>
      </w:pPr>
    </w:lvl>
    <w:lvl w:ilvl="3">
      <w:start w:val="1"/>
      <w:numFmt w:val="decimal"/>
      <w:pStyle w:val="NumPar3"/>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3164AFB"/>
    <w:multiLevelType w:val="hybridMultilevel"/>
    <w:tmpl w:val="8B6C2238"/>
    <w:lvl w:ilvl="0" w:tplc="1C2C3C14">
      <w:start w:val="1"/>
      <w:numFmt w:val="decimal"/>
      <w:lvlText w:val="%1."/>
      <w:lvlJc w:val="left"/>
      <w:pPr>
        <w:ind w:left="1080" w:hanging="360"/>
      </w:pPr>
    </w:lvl>
    <w:lvl w:ilvl="1" w:tplc="400CA014">
      <w:start w:val="1"/>
      <w:numFmt w:val="lowerLetter"/>
      <w:lvlText w:val="%2."/>
      <w:lvlJc w:val="left"/>
      <w:pPr>
        <w:ind w:left="1800" w:hanging="360"/>
      </w:pPr>
    </w:lvl>
    <w:lvl w:ilvl="2" w:tplc="9FE250C4">
      <w:start w:val="1"/>
      <w:numFmt w:val="lowerRoman"/>
      <w:lvlText w:val="%3."/>
      <w:lvlJc w:val="right"/>
      <w:pPr>
        <w:ind w:left="2520" w:hanging="180"/>
      </w:pPr>
    </w:lvl>
    <w:lvl w:ilvl="3" w:tplc="0220BE9C">
      <w:start w:val="1"/>
      <w:numFmt w:val="decimal"/>
      <w:lvlText w:val="%4."/>
      <w:lvlJc w:val="left"/>
      <w:pPr>
        <w:ind w:left="3240" w:hanging="360"/>
      </w:pPr>
    </w:lvl>
    <w:lvl w:ilvl="4" w:tplc="194015C8">
      <w:start w:val="1"/>
      <w:numFmt w:val="lowerLetter"/>
      <w:lvlText w:val="%5."/>
      <w:lvlJc w:val="left"/>
      <w:pPr>
        <w:ind w:left="3960" w:hanging="360"/>
      </w:pPr>
    </w:lvl>
    <w:lvl w:ilvl="5" w:tplc="FD30D5EA">
      <w:start w:val="1"/>
      <w:numFmt w:val="lowerRoman"/>
      <w:lvlText w:val="%6."/>
      <w:lvlJc w:val="right"/>
      <w:pPr>
        <w:ind w:left="4680" w:hanging="180"/>
      </w:pPr>
    </w:lvl>
    <w:lvl w:ilvl="6" w:tplc="17522B08">
      <w:start w:val="1"/>
      <w:numFmt w:val="decimal"/>
      <w:lvlText w:val="%7."/>
      <w:lvlJc w:val="left"/>
      <w:pPr>
        <w:ind w:left="5400" w:hanging="360"/>
      </w:pPr>
    </w:lvl>
    <w:lvl w:ilvl="7" w:tplc="1C7E61F4">
      <w:start w:val="1"/>
      <w:numFmt w:val="lowerLetter"/>
      <w:lvlText w:val="%8."/>
      <w:lvlJc w:val="left"/>
      <w:pPr>
        <w:ind w:left="6120" w:hanging="360"/>
      </w:pPr>
    </w:lvl>
    <w:lvl w:ilvl="8" w:tplc="2A36D5F2">
      <w:start w:val="1"/>
      <w:numFmt w:val="lowerRoman"/>
      <w:lvlText w:val="%9."/>
      <w:lvlJc w:val="right"/>
      <w:pPr>
        <w:ind w:left="6840" w:hanging="180"/>
      </w:pPr>
    </w:lvl>
  </w:abstractNum>
  <w:abstractNum w:abstractNumId="36" w15:restartNumberingAfterBreak="0">
    <w:nsid w:val="24AF1572"/>
    <w:multiLevelType w:val="singleLevel"/>
    <w:tmpl w:val="3FE82790"/>
    <w:styleLink w:val="Puntielenco0"/>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6E7148B"/>
    <w:multiLevelType w:val="hybridMultilevel"/>
    <w:tmpl w:val="AE1ABF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281E48E5"/>
    <w:multiLevelType w:val="hybridMultilevel"/>
    <w:tmpl w:val="670CB30C"/>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9" w15:restartNumberingAfterBreak="0">
    <w:nsid w:val="282C67BF"/>
    <w:multiLevelType w:val="hybridMultilevel"/>
    <w:tmpl w:val="8DC0602E"/>
    <w:lvl w:ilvl="0" w:tplc="FFFFFFFF">
      <w:start w:val="1"/>
      <w:numFmt w:val="lowerLetter"/>
      <w:lvlText w:val="%1."/>
      <w:lvlJc w:val="left"/>
      <w:pPr>
        <w:ind w:left="720" w:hanging="360"/>
      </w:pPr>
    </w:lvl>
    <w:lvl w:ilvl="1" w:tplc="18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839411F"/>
    <w:multiLevelType w:val="hybridMultilevel"/>
    <w:tmpl w:val="0F08FEE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1" w15:restartNumberingAfterBreak="0">
    <w:nsid w:val="28BD17F5"/>
    <w:multiLevelType w:val="hybridMultilevel"/>
    <w:tmpl w:val="6E3089F2"/>
    <w:lvl w:ilvl="0" w:tplc="6E24EB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2A0B2753"/>
    <w:multiLevelType w:val="hybridMultilevel"/>
    <w:tmpl w:val="4ED0FDE0"/>
    <w:lvl w:ilvl="0" w:tplc="FF1EC724">
      <w:start w:val="2"/>
      <w:numFmt w:val="decimal"/>
      <w:lvlText w:val="%1."/>
      <w:lvlJc w:val="left"/>
      <w:pPr>
        <w:ind w:left="720" w:hanging="360"/>
      </w:pPr>
    </w:lvl>
    <w:lvl w:ilvl="1" w:tplc="58CCFBB0">
      <w:start w:val="1"/>
      <w:numFmt w:val="lowerLetter"/>
      <w:lvlText w:val="%2."/>
      <w:lvlJc w:val="left"/>
      <w:pPr>
        <w:ind w:left="1440" w:hanging="360"/>
      </w:pPr>
    </w:lvl>
    <w:lvl w:ilvl="2" w:tplc="3416B1D6">
      <w:start w:val="1"/>
      <w:numFmt w:val="lowerRoman"/>
      <w:lvlText w:val="%3."/>
      <w:lvlJc w:val="right"/>
      <w:pPr>
        <w:ind w:left="2160" w:hanging="180"/>
      </w:pPr>
    </w:lvl>
    <w:lvl w:ilvl="3" w:tplc="107E25C2">
      <w:start w:val="1"/>
      <w:numFmt w:val="decimal"/>
      <w:lvlText w:val="%4."/>
      <w:lvlJc w:val="left"/>
      <w:pPr>
        <w:ind w:left="2880" w:hanging="360"/>
      </w:pPr>
    </w:lvl>
    <w:lvl w:ilvl="4" w:tplc="07AA6102">
      <w:start w:val="1"/>
      <w:numFmt w:val="lowerLetter"/>
      <w:lvlText w:val="%5."/>
      <w:lvlJc w:val="left"/>
      <w:pPr>
        <w:ind w:left="3600" w:hanging="360"/>
      </w:pPr>
    </w:lvl>
    <w:lvl w:ilvl="5" w:tplc="240E7BF8">
      <w:start w:val="1"/>
      <w:numFmt w:val="lowerRoman"/>
      <w:lvlText w:val="%6."/>
      <w:lvlJc w:val="right"/>
      <w:pPr>
        <w:ind w:left="4320" w:hanging="180"/>
      </w:pPr>
    </w:lvl>
    <w:lvl w:ilvl="6" w:tplc="53322624">
      <w:start w:val="1"/>
      <w:numFmt w:val="decimal"/>
      <w:lvlText w:val="%7."/>
      <w:lvlJc w:val="left"/>
      <w:pPr>
        <w:ind w:left="5040" w:hanging="360"/>
      </w:pPr>
    </w:lvl>
    <w:lvl w:ilvl="7" w:tplc="7B9C8002">
      <w:start w:val="1"/>
      <w:numFmt w:val="lowerLetter"/>
      <w:lvlText w:val="%8."/>
      <w:lvlJc w:val="left"/>
      <w:pPr>
        <w:ind w:left="5760" w:hanging="360"/>
      </w:pPr>
    </w:lvl>
    <w:lvl w:ilvl="8" w:tplc="40929C8C">
      <w:start w:val="1"/>
      <w:numFmt w:val="lowerRoman"/>
      <w:lvlText w:val="%9."/>
      <w:lvlJc w:val="right"/>
      <w:pPr>
        <w:ind w:left="6480" w:hanging="180"/>
      </w:pPr>
    </w:lvl>
  </w:abstractNum>
  <w:abstractNum w:abstractNumId="43" w15:restartNumberingAfterBreak="0">
    <w:nsid w:val="2A4C5E6E"/>
    <w:multiLevelType w:val="hybridMultilevel"/>
    <w:tmpl w:val="B7D8745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4" w15:restartNumberingAfterBreak="0">
    <w:nsid w:val="2A8C6896"/>
    <w:multiLevelType w:val="hybridMultilevel"/>
    <w:tmpl w:val="2C564158"/>
    <w:lvl w:ilvl="0" w:tplc="18090015">
      <w:start w:val="17"/>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5" w15:restartNumberingAfterBreak="0">
    <w:nsid w:val="2A92660E"/>
    <w:multiLevelType w:val="hybridMultilevel"/>
    <w:tmpl w:val="E50C9DBA"/>
    <w:lvl w:ilvl="0" w:tplc="2EE8D4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B436764"/>
    <w:multiLevelType w:val="hybridMultilevel"/>
    <w:tmpl w:val="8DE88880"/>
    <w:lvl w:ilvl="0" w:tplc="B476C69E">
      <w:start w:val="1"/>
      <w:numFmt w:val="bullet"/>
      <w:lvlText w:val="-"/>
      <w:lvlJc w:val="left"/>
      <w:pPr>
        <w:ind w:left="1429" w:hanging="360"/>
      </w:pPr>
      <w:rPr>
        <w:rFonts w:ascii="Times" w:eastAsiaTheme="minorHAnsi" w:hAnsi="Times" w:cs="Time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48" w15:restartNumberingAfterBreak="0">
    <w:nsid w:val="2D7B7DD8"/>
    <w:multiLevelType w:val="hybridMultilevel"/>
    <w:tmpl w:val="B1C8EDC6"/>
    <w:lvl w:ilvl="0" w:tplc="0809001B">
      <w:start w:val="1"/>
      <w:numFmt w:val="lowerRoman"/>
      <w:lvlText w:val="%1."/>
      <w:lvlJc w:val="right"/>
      <w:pPr>
        <w:ind w:left="1200" w:hanging="360"/>
      </w:pPr>
      <w:rPr>
        <w:rFonts w:hint="default"/>
      </w:rPr>
    </w:lvl>
    <w:lvl w:ilvl="1" w:tplc="080C0003" w:tentative="1">
      <w:start w:val="1"/>
      <w:numFmt w:val="bullet"/>
      <w:lvlText w:val="o"/>
      <w:lvlJc w:val="left"/>
      <w:pPr>
        <w:ind w:left="1920" w:hanging="360"/>
      </w:pPr>
      <w:rPr>
        <w:rFonts w:ascii="Courier New" w:hAnsi="Courier New" w:cs="Courier New" w:hint="default"/>
      </w:rPr>
    </w:lvl>
    <w:lvl w:ilvl="2" w:tplc="080C0005" w:tentative="1">
      <w:start w:val="1"/>
      <w:numFmt w:val="bullet"/>
      <w:lvlText w:val=""/>
      <w:lvlJc w:val="left"/>
      <w:pPr>
        <w:ind w:left="2640" w:hanging="360"/>
      </w:pPr>
      <w:rPr>
        <w:rFonts w:ascii="Wingdings" w:hAnsi="Wingdings" w:hint="default"/>
      </w:rPr>
    </w:lvl>
    <w:lvl w:ilvl="3" w:tplc="080C0001" w:tentative="1">
      <w:start w:val="1"/>
      <w:numFmt w:val="bullet"/>
      <w:lvlText w:val=""/>
      <w:lvlJc w:val="left"/>
      <w:pPr>
        <w:ind w:left="3360" w:hanging="360"/>
      </w:pPr>
      <w:rPr>
        <w:rFonts w:ascii="Symbol" w:hAnsi="Symbol" w:hint="default"/>
      </w:rPr>
    </w:lvl>
    <w:lvl w:ilvl="4" w:tplc="080C0003" w:tentative="1">
      <w:start w:val="1"/>
      <w:numFmt w:val="bullet"/>
      <w:lvlText w:val="o"/>
      <w:lvlJc w:val="left"/>
      <w:pPr>
        <w:ind w:left="4080" w:hanging="360"/>
      </w:pPr>
      <w:rPr>
        <w:rFonts w:ascii="Courier New" w:hAnsi="Courier New" w:cs="Courier New" w:hint="default"/>
      </w:rPr>
    </w:lvl>
    <w:lvl w:ilvl="5" w:tplc="080C0005" w:tentative="1">
      <w:start w:val="1"/>
      <w:numFmt w:val="bullet"/>
      <w:lvlText w:val=""/>
      <w:lvlJc w:val="left"/>
      <w:pPr>
        <w:ind w:left="4800" w:hanging="360"/>
      </w:pPr>
      <w:rPr>
        <w:rFonts w:ascii="Wingdings" w:hAnsi="Wingdings" w:hint="default"/>
      </w:rPr>
    </w:lvl>
    <w:lvl w:ilvl="6" w:tplc="080C0001" w:tentative="1">
      <w:start w:val="1"/>
      <w:numFmt w:val="bullet"/>
      <w:lvlText w:val=""/>
      <w:lvlJc w:val="left"/>
      <w:pPr>
        <w:ind w:left="5520" w:hanging="360"/>
      </w:pPr>
      <w:rPr>
        <w:rFonts w:ascii="Symbol" w:hAnsi="Symbol" w:hint="default"/>
      </w:rPr>
    </w:lvl>
    <w:lvl w:ilvl="7" w:tplc="080C0003" w:tentative="1">
      <w:start w:val="1"/>
      <w:numFmt w:val="bullet"/>
      <w:lvlText w:val="o"/>
      <w:lvlJc w:val="left"/>
      <w:pPr>
        <w:ind w:left="6240" w:hanging="360"/>
      </w:pPr>
      <w:rPr>
        <w:rFonts w:ascii="Courier New" w:hAnsi="Courier New" w:cs="Courier New" w:hint="default"/>
      </w:rPr>
    </w:lvl>
    <w:lvl w:ilvl="8" w:tplc="080C0005" w:tentative="1">
      <w:start w:val="1"/>
      <w:numFmt w:val="bullet"/>
      <w:lvlText w:val=""/>
      <w:lvlJc w:val="left"/>
      <w:pPr>
        <w:ind w:left="6960" w:hanging="360"/>
      </w:pPr>
      <w:rPr>
        <w:rFonts w:ascii="Wingdings" w:hAnsi="Wingdings" w:hint="default"/>
      </w:rPr>
    </w:lvl>
  </w:abstractNum>
  <w:abstractNum w:abstractNumId="49" w15:restartNumberingAfterBreak="0">
    <w:nsid w:val="2E340810"/>
    <w:multiLevelType w:val="hybridMultilevel"/>
    <w:tmpl w:val="0A2E0620"/>
    <w:lvl w:ilvl="0" w:tplc="3988A4E4">
      <w:start w:val="1"/>
      <w:numFmt w:val="decimal"/>
      <w:lvlText w:val="%1."/>
      <w:lvlJc w:val="left"/>
      <w:pPr>
        <w:ind w:left="720" w:hanging="360"/>
      </w:pPr>
    </w:lvl>
    <w:lvl w:ilvl="1" w:tplc="71A08712">
      <w:start w:val="1"/>
      <w:numFmt w:val="lowerLetter"/>
      <w:lvlText w:val="%2."/>
      <w:lvlJc w:val="left"/>
      <w:pPr>
        <w:ind w:left="1440" w:hanging="360"/>
      </w:pPr>
    </w:lvl>
    <w:lvl w:ilvl="2" w:tplc="341CA6C8">
      <w:start w:val="1"/>
      <w:numFmt w:val="lowerRoman"/>
      <w:lvlText w:val="%3."/>
      <w:lvlJc w:val="right"/>
      <w:pPr>
        <w:ind w:left="2160" w:hanging="180"/>
      </w:pPr>
    </w:lvl>
    <w:lvl w:ilvl="3" w:tplc="C2D4D574">
      <w:start w:val="1"/>
      <w:numFmt w:val="decimal"/>
      <w:lvlText w:val="%4."/>
      <w:lvlJc w:val="left"/>
      <w:pPr>
        <w:ind w:left="2880" w:hanging="360"/>
      </w:pPr>
    </w:lvl>
    <w:lvl w:ilvl="4" w:tplc="457AA47C">
      <w:start w:val="1"/>
      <w:numFmt w:val="lowerLetter"/>
      <w:lvlText w:val="%5."/>
      <w:lvlJc w:val="left"/>
      <w:pPr>
        <w:ind w:left="3600" w:hanging="360"/>
      </w:pPr>
    </w:lvl>
    <w:lvl w:ilvl="5" w:tplc="DBF00120">
      <w:start w:val="1"/>
      <w:numFmt w:val="lowerRoman"/>
      <w:lvlText w:val="%6."/>
      <w:lvlJc w:val="right"/>
      <w:pPr>
        <w:ind w:left="4320" w:hanging="180"/>
      </w:pPr>
    </w:lvl>
    <w:lvl w:ilvl="6" w:tplc="713A207A">
      <w:start w:val="1"/>
      <w:numFmt w:val="decimal"/>
      <w:lvlText w:val="%7."/>
      <w:lvlJc w:val="left"/>
      <w:pPr>
        <w:ind w:left="5040" w:hanging="360"/>
      </w:pPr>
    </w:lvl>
    <w:lvl w:ilvl="7" w:tplc="41A81C90">
      <w:start w:val="1"/>
      <w:numFmt w:val="lowerLetter"/>
      <w:lvlText w:val="%8."/>
      <w:lvlJc w:val="left"/>
      <w:pPr>
        <w:ind w:left="5760" w:hanging="360"/>
      </w:pPr>
    </w:lvl>
    <w:lvl w:ilvl="8" w:tplc="11FC6786">
      <w:start w:val="1"/>
      <w:numFmt w:val="lowerRoman"/>
      <w:lvlText w:val="%9."/>
      <w:lvlJc w:val="right"/>
      <w:pPr>
        <w:ind w:left="6480" w:hanging="180"/>
      </w:pPr>
    </w:lvl>
  </w:abstractNum>
  <w:abstractNum w:abstractNumId="50" w15:restartNumberingAfterBreak="0">
    <w:nsid w:val="2ECB60E5"/>
    <w:multiLevelType w:val="hybridMultilevel"/>
    <w:tmpl w:val="CCCE8B74"/>
    <w:lvl w:ilvl="0" w:tplc="0410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1721DFB"/>
    <w:multiLevelType w:val="hybridMultilevel"/>
    <w:tmpl w:val="A000A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1B36938"/>
    <w:multiLevelType w:val="hybridMultilevel"/>
    <w:tmpl w:val="FFFFFFFF"/>
    <w:lvl w:ilvl="0" w:tplc="27C8A6CA">
      <w:start w:val="1"/>
      <w:numFmt w:val="decimal"/>
      <w:lvlText w:val="%1)"/>
      <w:lvlJc w:val="left"/>
      <w:pPr>
        <w:ind w:left="720" w:hanging="360"/>
      </w:pPr>
    </w:lvl>
    <w:lvl w:ilvl="1" w:tplc="320092F0">
      <w:start w:val="1"/>
      <w:numFmt w:val="lowerLetter"/>
      <w:lvlText w:val="%2."/>
      <w:lvlJc w:val="left"/>
      <w:pPr>
        <w:ind w:left="1440" w:hanging="360"/>
      </w:pPr>
    </w:lvl>
    <w:lvl w:ilvl="2" w:tplc="A8BCDE2E">
      <w:start w:val="1"/>
      <w:numFmt w:val="lowerRoman"/>
      <w:lvlText w:val="%3."/>
      <w:lvlJc w:val="right"/>
      <w:pPr>
        <w:ind w:left="2160" w:hanging="180"/>
      </w:pPr>
    </w:lvl>
    <w:lvl w:ilvl="3" w:tplc="0A18BAC0">
      <w:start w:val="1"/>
      <w:numFmt w:val="decimal"/>
      <w:lvlText w:val="%4."/>
      <w:lvlJc w:val="left"/>
      <w:pPr>
        <w:ind w:left="2880" w:hanging="360"/>
      </w:pPr>
    </w:lvl>
    <w:lvl w:ilvl="4" w:tplc="D9B0F620">
      <w:start w:val="1"/>
      <w:numFmt w:val="lowerLetter"/>
      <w:lvlText w:val="%5."/>
      <w:lvlJc w:val="left"/>
      <w:pPr>
        <w:ind w:left="3600" w:hanging="360"/>
      </w:pPr>
    </w:lvl>
    <w:lvl w:ilvl="5" w:tplc="EF5E7E2A">
      <w:start w:val="1"/>
      <w:numFmt w:val="lowerRoman"/>
      <w:lvlText w:val="%6."/>
      <w:lvlJc w:val="right"/>
      <w:pPr>
        <w:ind w:left="4320" w:hanging="180"/>
      </w:pPr>
    </w:lvl>
    <w:lvl w:ilvl="6" w:tplc="73B45644">
      <w:start w:val="1"/>
      <w:numFmt w:val="decimal"/>
      <w:lvlText w:val="%7."/>
      <w:lvlJc w:val="left"/>
      <w:pPr>
        <w:ind w:left="5040" w:hanging="360"/>
      </w:pPr>
    </w:lvl>
    <w:lvl w:ilvl="7" w:tplc="EE5C03F4">
      <w:start w:val="1"/>
      <w:numFmt w:val="lowerLetter"/>
      <w:lvlText w:val="%8."/>
      <w:lvlJc w:val="left"/>
      <w:pPr>
        <w:ind w:left="5760" w:hanging="360"/>
      </w:pPr>
    </w:lvl>
    <w:lvl w:ilvl="8" w:tplc="EA3C9C72">
      <w:start w:val="1"/>
      <w:numFmt w:val="lowerRoman"/>
      <w:lvlText w:val="%9."/>
      <w:lvlJc w:val="right"/>
      <w:pPr>
        <w:ind w:left="6480" w:hanging="180"/>
      </w:pPr>
    </w:lvl>
  </w:abstractNum>
  <w:abstractNum w:abstractNumId="53" w15:restartNumberingAfterBreak="0">
    <w:nsid w:val="31FA11EB"/>
    <w:multiLevelType w:val="singleLevel"/>
    <w:tmpl w:val="3E140CA2"/>
    <w:styleLink w:val="Stileimportato9"/>
    <w:lvl w:ilvl="0">
      <w:start w:val="1"/>
      <w:numFmt w:val="decimal"/>
      <w:lvlText w:val="%1."/>
      <w:lvlJc w:val="left"/>
      <w:pPr>
        <w:tabs>
          <w:tab w:val="num" w:pos="1209"/>
        </w:tabs>
        <w:ind w:left="1209" w:hanging="360"/>
      </w:pPr>
    </w:lvl>
  </w:abstractNum>
  <w:abstractNum w:abstractNumId="54" w15:restartNumberingAfterBreak="0">
    <w:nsid w:val="33022218"/>
    <w:multiLevelType w:val="hybridMultilevel"/>
    <w:tmpl w:val="99364126"/>
    <w:lvl w:ilvl="0" w:tplc="CBEE287A">
      <w:start w:val="3"/>
      <w:numFmt w:val="decimal"/>
      <w:lvlText w:val="%1."/>
      <w:lvlJc w:val="left"/>
      <w:pPr>
        <w:ind w:left="720" w:hanging="360"/>
      </w:pPr>
    </w:lvl>
    <w:lvl w:ilvl="1" w:tplc="2D8220A0">
      <w:start w:val="1"/>
      <w:numFmt w:val="lowerLetter"/>
      <w:lvlText w:val="%2."/>
      <w:lvlJc w:val="left"/>
      <w:pPr>
        <w:ind w:left="1440" w:hanging="360"/>
      </w:pPr>
    </w:lvl>
    <w:lvl w:ilvl="2" w:tplc="06706872">
      <w:start w:val="1"/>
      <w:numFmt w:val="lowerRoman"/>
      <w:lvlText w:val="%3."/>
      <w:lvlJc w:val="right"/>
      <w:pPr>
        <w:ind w:left="2160" w:hanging="180"/>
      </w:pPr>
    </w:lvl>
    <w:lvl w:ilvl="3" w:tplc="6714F92E">
      <w:start w:val="1"/>
      <w:numFmt w:val="decimal"/>
      <w:lvlText w:val="%4."/>
      <w:lvlJc w:val="left"/>
      <w:pPr>
        <w:ind w:left="2880" w:hanging="360"/>
      </w:pPr>
    </w:lvl>
    <w:lvl w:ilvl="4" w:tplc="12E8D4DA">
      <w:start w:val="1"/>
      <w:numFmt w:val="lowerLetter"/>
      <w:lvlText w:val="%5."/>
      <w:lvlJc w:val="left"/>
      <w:pPr>
        <w:ind w:left="3600" w:hanging="360"/>
      </w:pPr>
    </w:lvl>
    <w:lvl w:ilvl="5" w:tplc="69C4FDE4">
      <w:start w:val="1"/>
      <w:numFmt w:val="lowerRoman"/>
      <w:lvlText w:val="%6."/>
      <w:lvlJc w:val="right"/>
      <w:pPr>
        <w:ind w:left="4320" w:hanging="180"/>
      </w:pPr>
    </w:lvl>
    <w:lvl w:ilvl="6" w:tplc="CF78ECBA">
      <w:start w:val="1"/>
      <w:numFmt w:val="decimal"/>
      <w:lvlText w:val="%7."/>
      <w:lvlJc w:val="left"/>
      <w:pPr>
        <w:ind w:left="5040" w:hanging="360"/>
      </w:pPr>
    </w:lvl>
    <w:lvl w:ilvl="7" w:tplc="43F691B2">
      <w:start w:val="1"/>
      <w:numFmt w:val="lowerLetter"/>
      <w:lvlText w:val="%8."/>
      <w:lvlJc w:val="left"/>
      <w:pPr>
        <w:ind w:left="5760" w:hanging="360"/>
      </w:pPr>
    </w:lvl>
    <w:lvl w:ilvl="8" w:tplc="F13AD010">
      <w:start w:val="1"/>
      <w:numFmt w:val="lowerRoman"/>
      <w:lvlText w:val="%9."/>
      <w:lvlJc w:val="right"/>
      <w:pPr>
        <w:ind w:left="6480" w:hanging="180"/>
      </w:pPr>
    </w:lvl>
  </w:abstractNum>
  <w:abstractNum w:abstractNumId="55" w15:restartNumberingAfterBreak="0">
    <w:nsid w:val="339807E9"/>
    <w:multiLevelType w:val="hybridMultilevel"/>
    <w:tmpl w:val="269EC50C"/>
    <w:lvl w:ilvl="0" w:tplc="04100017">
      <w:start w:val="1"/>
      <w:numFmt w:val="lowerLetter"/>
      <w:lvlText w:val="%1)"/>
      <w:lvlJc w:val="left"/>
      <w:pPr>
        <w:ind w:left="720" w:hanging="360"/>
      </w:pPr>
      <w:rPr>
        <w:rFonts w:hint="default"/>
      </w:rPr>
    </w:lvl>
    <w:lvl w:ilvl="1" w:tplc="D820F8FC">
      <w:numFmt w:val="bullet"/>
      <w:lvlText w:val="-"/>
      <w:lvlJc w:val="left"/>
      <w:pPr>
        <w:ind w:left="1440" w:hanging="360"/>
      </w:pPr>
      <w:rPr>
        <w:rFonts w:ascii="Calibri" w:eastAsiaTheme="minorHAnsi" w:hAnsi="Calibri" w:cs="Calibri"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34B4179E"/>
    <w:multiLevelType w:val="hybridMultilevel"/>
    <w:tmpl w:val="B08A5420"/>
    <w:lvl w:ilvl="0" w:tplc="67C66DFC">
      <w:numFmt w:val="bullet"/>
      <w:lvlText w:val="-"/>
      <w:lvlJc w:val="left"/>
      <w:pPr>
        <w:ind w:left="720" w:hanging="360"/>
      </w:pPr>
      <w:rPr>
        <w:rFonts w:ascii="Times New Roman" w:eastAsia="Times New Roman"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72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7" w15:restartNumberingAfterBreak="0">
    <w:nsid w:val="35E41947"/>
    <w:multiLevelType w:val="hybridMultilevel"/>
    <w:tmpl w:val="A470DA80"/>
    <w:lvl w:ilvl="0" w:tplc="ADE0F75A">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8" w15:restartNumberingAfterBreak="0">
    <w:nsid w:val="35FC3D1B"/>
    <w:multiLevelType w:val="hybridMultilevel"/>
    <w:tmpl w:val="D05E2708"/>
    <w:lvl w:ilvl="0" w:tplc="28B87E4A">
      <w:start w:val="1"/>
      <w:numFmt w:val="bullet"/>
      <w:lvlText w:val="-"/>
      <w:lvlJc w:val="left"/>
      <w:pPr>
        <w:ind w:left="919" w:hanging="360"/>
      </w:pPr>
      <w:rPr>
        <w:rFonts w:ascii="Times New Roman" w:eastAsia="Times New Roman" w:hAnsi="Times New Roman" w:cs="Times New Roman" w:hint="default"/>
      </w:rPr>
    </w:lvl>
    <w:lvl w:ilvl="1" w:tplc="04100019" w:tentative="1">
      <w:start w:val="1"/>
      <w:numFmt w:val="lowerLetter"/>
      <w:lvlText w:val="%2."/>
      <w:lvlJc w:val="left"/>
      <w:pPr>
        <w:ind w:left="1639" w:hanging="360"/>
      </w:pPr>
    </w:lvl>
    <w:lvl w:ilvl="2" w:tplc="0410001B" w:tentative="1">
      <w:start w:val="1"/>
      <w:numFmt w:val="lowerRoman"/>
      <w:lvlText w:val="%3."/>
      <w:lvlJc w:val="right"/>
      <w:pPr>
        <w:ind w:left="2359" w:hanging="180"/>
      </w:pPr>
    </w:lvl>
    <w:lvl w:ilvl="3" w:tplc="0410000F" w:tentative="1">
      <w:start w:val="1"/>
      <w:numFmt w:val="decimal"/>
      <w:lvlText w:val="%4."/>
      <w:lvlJc w:val="left"/>
      <w:pPr>
        <w:ind w:left="3079" w:hanging="360"/>
      </w:pPr>
    </w:lvl>
    <w:lvl w:ilvl="4" w:tplc="04100019" w:tentative="1">
      <w:start w:val="1"/>
      <w:numFmt w:val="lowerLetter"/>
      <w:lvlText w:val="%5."/>
      <w:lvlJc w:val="left"/>
      <w:pPr>
        <w:ind w:left="3799" w:hanging="360"/>
      </w:pPr>
    </w:lvl>
    <w:lvl w:ilvl="5" w:tplc="0410001B" w:tentative="1">
      <w:start w:val="1"/>
      <w:numFmt w:val="lowerRoman"/>
      <w:lvlText w:val="%6."/>
      <w:lvlJc w:val="right"/>
      <w:pPr>
        <w:ind w:left="4519" w:hanging="180"/>
      </w:pPr>
    </w:lvl>
    <w:lvl w:ilvl="6" w:tplc="0410000F" w:tentative="1">
      <w:start w:val="1"/>
      <w:numFmt w:val="decimal"/>
      <w:lvlText w:val="%7."/>
      <w:lvlJc w:val="left"/>
      <w:pPr>
        <w:ind w:left="5239" w:hanging="360"/>
      </w:pPr>
    </w:lvl>
    <w:lvl w:ilvl="7" w:tplc="04100019" w:tentative="1">
      <w:start w:val="1"/>
      <w:numFmt w:val="lowerLetter"/>
      <w:lvlText w:val="%8."/>
      <w:lvlJc w:val="left"/>
      <w:pPr>
        <w:ind w:left="5959" w:hanging="360"/>
      </w:pPr>
    </w:lvl>
    <w:lvl w:ilvl="8" w:tplc="0410001B" w:tentative="1">
      <w:start w:val="1"/>
      <w:numFmt w:val="lowerRoman"/>
      <w:lvlText w:val="%9."/>
      <w:lvlJc w:val="right"/>
      <w:pPr>
        <w:ind w:left="6679" w:hanging="180"/>
      </w:pPr>
    </w:lvl>
  </w:abstractNum>
  <w:abstractNum w:abstractNumId="59" w15:restartNumberingAfterBreak="0">
    <w:nsid w:val="36B7EA3A"/>
    <w:multiLevelType w:val="hybridMultilevel"/>
    <w:tmpl w:val="DA126374"/>
    <w:lvl w:ilvl="0" w:tplc="C69E552A">
      <w:start w:val="1"/>
      <w:numFmt w:val="bullet"/>
      <w:lvlText w:val="-"/>
      <w:lvlJc w:val="left"/>
      <w:pPr>
        <w:ind w:left="720" w:hanging="360"/>
      </w:pPr>
      <w:rPr>
        <w:rFonts w:ascii="Calibri" w:hAnsi="Calibri" w:hint="default"/>
      </w:rPr>
    </w:lvl>
    <w:lvl w:ilvl="1" w:tplc="C5CA705E">
      <w:start w:val="1"/>
      <w:numFmt w:val="bullet"/>
      <w:lvlText w:val="o"/>
      <w:lvlJc w:val="left"/>
      <w:pPr>
        <w:ind w:left="1440" w:hanging="360"/>
      </w:pPr>
      <w:rPr>
        <w:rFonts w:ascii="Courier New" w:hAnsi="Courier New" w:hint="default"/>
      </w:rPr>
    </w:lvl>
    <w:lvl w:ilvl="2" w:tplc="3F4253CA">
      <w:start w:val="1"/>
      <w:numFmt w:val="bullet"/>
      <w:lvlText w:val=""/>
      <w:lvlJc w:val="left"/>
      <w:pPr>
        <w:ind w:left="2160" w:hanging="360"/>
      </w:pPr>
      <w:rPr>
        <w:rFonts w:ascii="Wingdings" w:hAnsi="Wingdings" w:hint="default"/>
      </w:rPr>
    </w:lvl>
    <w:lvl w:ilvl="3" w:tplc="DFE26692">
      <w:start w:val="1"/>
      <w:numFmt w:val="bullet"/>
      <w:lvlText w:val=""/>
      <w:lvlJc w:val="left"/>
      <w:pPr>
        <w:ind w:left="2880" w:hanging="360"/>
      </w:pPr>
      <w:rPr>
        <w:rFonts w:ascii="Symbol" w:hAnsi="Symbol" w:hint="default"/>
      </w:rPr>
    </w:lvl>
    <w:lvl w:ilvl="4" w:tplc="70560F24">
      <w:start w:val="1"/>
      <w:numFmt w:val="bullet"/>
      <w:lvlText w:val="o"/>
      <w:lvlJc w:val="left"/>
      <w:pPr>
        <w:ind w:left="3600" w:hanging="360"/>
      </w:pPr>
      <w:rPr>
        <w:rFonts w:ascii="Courier New" w:hAnsi="Courier New" w:hint="default"/>
      </w:rPr>
    </w:lvl>
    <w:lvl w:ilvl="5" w:tplc="4E720168">
      <w:start w:val="1"/>
      <w:numFmt w:val="bullet"/>
      <w:lvlText w:val=""/>
      <w:lvlJc w:val="left"/>
      <w:pPr>
        <w:ind w:left="4320" w:hanging="360"/>
      </w:pPr>
      <w:rPr>
        <w:rFonts w:ascii="Wingdings" w:hAnsi="Wingdings" w:hint="default"/>
      </w:rPr>
    </w:lvl>
    <w:lvl w:ilvl="6" w:tplc="5C2677D0">
      <w:start w:val="1"/>
      <w:numFmt w:val="bullet"/>
      <w:lvlText w:val=""/>
      <w:lvlJc w:val="left"/>
      <w:pPr>
        <w:ind w:left="5040" w:hanging="360"/>
      </w:pPr>
      <w:rPr>
        <w:rFonts w:ascii="Symbol" w:hAnsi="Symbol" w:hint="default"/>
      </w:rPr>
    </w:lvl>
    <w:lvl w:ilvl="7" w:tplc="DBDC180E">
      <w:start w:val="1"/>
      <w:numFmt w:val="bullet"/>
      <w:lvlText w:val="o"/>
      <w:lvlJc w:val="left"/>
      <w:pPr>
        <w:ind w:left="5760" w:hanging="360"/>
      </w:pPr>
      <w:rPr>
        <w:rFonts w:ascii="Courier New" w:hAnsi="Courier New" w:hint="default"/>
      </w:rPr>
    </w:lvl>
    <w:lvl w:ilvl="8" w:tplc="57DCE5D6">
      <w:start w:val="1"/>
      <w:numFmt w:val="bullet"/>
      <w:lvlText w:val=""/>
      <w:lvlJc w:val="left"/>
      <w:pPr>
        <w:ind w:left="6480" w:hanging="360"/>
      </w:pPr>
      <w:rPr>
        <w:rFonts w:ascii="Wingdings" w:hAnsi="Wingdings" w:hint="default"/>
      </w:rPr>
    </w:lvl>
  </w:abstractNum>
  <w:abstractNum w:abstractNumId="60" w15:restartNumberingAfterBreak="0">
    <w:nsid w:val="372537F3"/>
    <w:multiLevelType w:val="hybridMultilevel"/>
    <w:tmpl w:val="3E14E07E"/>
    <w:lvl w:ilvl="0" w:tplc="8EBEB170">
      <w:start w:val="1"/>
      <w:numFmt w:val="decimal"/>
      <w:lvlText w:val="%1."/>
      <w:lvlJc w:val="left"/>
      <w:pPr>
        <w:ind w:left="720" w:hanging="360"/>
      </w:pPr>
    </w:lvl>
    <w:lvl w:ilvl="1" w:tplc="18090019" w:tentative="1">
      <w:start w:val="1"/>
      <w:numFmt w:val="lowerLetter"/>
      <w:lvlText w:val="%2."/>
      <w:lvlJc w:val="left"/>
      <w:pPr>
        <w:ind w:left="-720" w:hanging="360"/>
      </w:pPr>
    </w:lvl>
    <w:lvl w:ilvl="2" w:tplc="1809001B" w:tentative="1">
      <w:start w:val="1"/>
      <w:numFmt w:val="lowerRoman"/>
      <w:lvlText w:val="%3."/>
      <w:lvlJc w:val="right"/>
      <w:pPr>
        <w:ind w:left="0" w:hanging="180"/>
      </w:pPr>
    </w:lvl>
    <w:lvl w:ilvl="3" w:tplc="1809000F" w:tentative="1">
      <w:start w:val="1"/>
      <w:numFmt w:val="decimal"/>
      <w:lvlText w:val="%4."/>
      <w:lvlJc w:val="left"/>
      <w:pPr>
        <w:ind w:left="720" w:hanging="360"/>
      </w:pPr>
    </w:lvl>
    <w:lvl w:ilvl="4" w:tplc="18090019" w:tentative="1">
      <w:start w:val="1"/>
      <w:numFmt w:val="lowerLetter"/>
      <w:lvlText w:val="%5."/>
      <w:lvlJc w:val="left"/>
      <w:pPr>
        <w:ind w:left="1440" w:hanging="360"/>
      </w:pPr>
    </w:lvl>
    <w:lvl w:ilvl="5" w:tplc="1809001B" w:tentative="1">
      <w:start w:val="1"/>
      <w:numFmt w:val="lowerRoman"/>
      <w:lvlText w:val="%6."/>
      <w:lvlJc w:val="right"/>
      <w:pPr>
        <w:ind w:left="2160" w:hanging="180"/>
      </w:pPr>
    </w:lvl>
    <w:lvl w:ilvl="6" w:tplc="1809000F" w:tentative="1">
      <w:start w:val="1"/>
      <w:numFmt w:val="decimal"/>
      <w:lvlText w:val="%7."/>
      <w:lvlJc w:val="left"/>
      <w:pPr>
        <w:ind w:left="2880" w:hanging="360"/>
      </w:pPr>
    </w:lvl>
    <w:lvl w:ilvl="7" w:tplc="18090019" w:tentative="1">
      <w:start w:val="1"/>
      <w:numFmt w:val="lowerLetter"/>
      <w:lvlText w:val="%8."/>
      <w:lvlJc w:val="left"/>
      <w:pPr>
        <w:ind w:left="3600" w:hanging="360"/>
      </w:pPr>
    </w:lvl>
    <w:lvl w:ilvl="8" w:tplc="1809001B" w:tentative="1">
      <w:start w:val="1"/>
      <w:numFmt w:val="lowerRoman"/>
      <w:lvlText w:val="%9."/>
      <w:lvlJc w:val="right"/>
      <w:pPr>
        <w:ind w:left="4320" w:hanging="180"/>
      </w:pPr>
    </w:lvl>
  </w:abstractNum>
  <w:abstractNum w:abstractNumId="61" w15:restartNumberingAfterBreak="0">
    <w:nsid w:val="3758C3CB"/>
    <w:multiLevelType w:val="hybridMultilevel"/>
    <w:tmpl w:val="4DFC13A4"/>
    <w:lvl w:ilvl="0" w:tplc="BA84E760">
      <w:start w:val="1"/>
      <w:numFmt w:val="bullet"/>
      <w:lvlText w:val=""/>
      <w:lvlJc w:val="left"/>
      <w:pPr>
        <w:ind w:left="720" w:hanging="360"/>
      </w:pPr>
      <w:rPr>
        <w:rFonts w:ascii="Symbol" w:hAnsi="Symbol" w:hint="default"/>
      </w:rPr>
    </w:lvl>
    <w:lvl w:ilvl="1" w:tplc="ED1A8E8E">
      <w:start w:val="1"/>
      <w:numFmt w:val="bullet"/>
      <w:lvlText w:val="o"/>
      <w:lvlJc w:val="left"/>
      <w:pPr>
        <w:ind w:left="1440" w:hanging="360"/>
      </w:pPr>
      <w:rPr>
        <w:rFonts w:ascii="Courier New" w:hAnsi="Courier New" w:hint="default"/>
      </w:rPr>
    </w:lvl>
    <w:lvl w:ilvl="2" w:tplc="67B85CAA">
      <w:start w:val="1"/>
      <w:numFmt w:val="bullet"/>
      <w:lvlText w:val=""/>
      <w:lvlJc w:val="left"/>
      <w:pPr>
        <w:ind w:left="2160" w:hanging="360"/>
      </w:pPr>
      <w:rPr>
        <w:rFonts w:ascii="Wingdings" w:hAnsi="Wingdings" w:hint="default"/>
      </w:rPr>
    </w:lvl>
    <w:lvl w:ilvl="3" w:tplc="39DE89E6">
      <w:start w:val="1"/>
      <w:numFmt w:val="bullet"/>
      <w:lvlText w:val=""/>
      <w:lvlJc w:val="left"/>
      <w:pPr>
        <w:ind w:left="2880" w:hanging="360"/>
      </w:pPr>
      <w:rPr>
        <w:rFonts w:ascii="Symbol" w:hAnsi="Symbol" w:hint="default"/>
      </w:rPr>
    </w:lvl>
    <w:lvl w:ilvl="4" w:tplc="D560473C">
      <w:start w:val="1"/>
      <w:numFmt w:val="bullet"/>
      <w:lvlText w:val="o"/>
      <w:lvlJc w:val="left"/>
      <w:pPr>
        <w:ind w:left="3600" w:hanging="360"/>
      </w:pPr>
      <w:rPr>
        <w:rFonts w:ascii="Courier New" w:hAnsi="Courier New" w:hint="default"/>
      </w:rPr>
    </w:lvl>
    <w:lvl w:ilvl="5" w:tplc="5ACE0484">
      <w:start w:val="1"/>
      <w:numFmt w:val="bullet"/>
      <w:lvlText w:val=""/>
      <w:lvlJc w:val="left"/>
      <w:pPr>
        <w:ind w:left="4320" w:hanging="360"/>
      </w:pPr>
      <w:rPr>
        <w:rFonts w:ascii="Wingdings" w:hAnsi="Wingdings" w:hint="default"/>
      </w:rPr>
    </w:lvl>
    <w:lvl w:ilvl="6" w:tplc="8E560066">
      <w:start w:val="1"/>
      <w:numFmt w:val="bullet"/>
      <w:lvlText w:val=""/>
      <w:lvlJc w:val="left"/>
      <w:pPr>
        <w:ind w:left="5040" w:hanging="360"/>
      </w:pPr>
      <w:rPr>
        <w:rFonts w:ascii="Symbol" w:hAnsi="Symbol" w:hint="default"/>
      </w:rPr>
    </w:lvl>
    <w:lvl w:ilvl="7" w:tplc="8D743554">
      <w:start w:val="1"/>
      <w:numFmt w:val="bullet"/>
      <w:lvlText w:val="o"/>
      <w:lvlJc w:val="left"/>
      <w:pPr>
        <w:ind w:left="5760" w:hanging="360"/>
      </w:pPr>
      <w:rPr>
        <w:rFonts w:ascii="Courier New" w:hAnsi="Courier New" w:hint="default"/>
      </w:rPr>
    </w:lvl>
    <w:lvl w:ilvl="8" w:tplc="40A0AD42">
      <w:start w:val="1"/>
      <w:numFmt w:val="bullet"/>
      <w:lvlText w:val=""/>
      <w:lvlJc w:val="left"/>
      <w:pPr>
        <w:ind w:left="6480" w:hanging="360"/>
      </w:pPr>
      <w:rPr>
        <w:rFonts w:ascii="Wingdings" w:hAnsi="Wingdings" w:hint="default"/>
      </w:rPr>
    </w:lvl>
  </w:abstractNum>
  <w:abstractNum w:abstractNumId="62" w15:restartNumberingAfterBreak="0">
    <w:nsid w:val="377D80B8"/>
    <w:multiLevelType w:val="hybridMultilevel"/>
    <w:tmpl w:val="817C1776"/>
    <w:lvl w:ilvl="0" w:tplc="5C7C5328">
      <w:start w:val="1"/>
      <w:numFmt w:val="decimal"/>
      <w:lvlText w:val="%1."/>
      <w:lvlJc w:val="left"/>
      <w:pPr>
        <w:ind w:left="720" w:hanging="360"/>
      </w:pPr>
    </w:lvl>
    <w:lvl w:ilvl="1" w:tplc="89A628D8">
      <w:start w:val="1"/>
      <w:numFmt w:val="lowerLetter"/>
      <w:lvlText w:val="%2."/>
      <w:lvlJc w:val="left"/>
      <w:pPr>
        <w:ind w:left="1440" w:hanging="360"/>
      </w:pPr>
    </w:lvl>
    <w:lvl w:ilvl="2" w:tplc="69EE39E2">
      <w:start w:val="1"/>
      <w:numFmt w:val="lowerRoman"/>
      <w:lvlText w:val="%3."/>
      <w:lvlJc w:val="right"/>
      <w:pPr>
        <w:ind w:left="2160" w:hanging="180"/>
      </w:pPr>
    </w:lvl>
    <w:lvl w:ilvl="3" w:tplc="F98CFEEA">
      <w:start w:val="1"/>
      <w:numFmt w:val="decimal"/>
      <w:lvlText w:val="%4."/>
      <w:lvlJc w:val="left"/>
      <w:pPr>
        <w:ind w:left="2880" w:hanging="360"/>
      </w:pPr>
    </w:lvl>
    <w:lvl w:ilvl="4" w:tplc="1F14A060">
      <w:start w:val="1"/>
      <w:numFmt w:val="lowerLetter"/>
      <w:lvlText w:val="%5."/>
      <w:lvlJc w:val="left"/>
      <w:pPr>
        <w:ind w:left="3600" w:hanging="360"/>
      </w:pPr>
    </w:lvl>
    <w:lvl w:ilvl="5" w:tplc="EFF2C43E">
      <w:start w:val="1"/>
      <w:numFmt w:val="lowerRoman"/>
      <w:lvlText w:val="%6."/>
      <w:lvlJc w:val="right"/>
      <w:pPr>
        <w:ind w:left="4320" w:hanging="180"/>
      </w:pPr>
    </w:lvl>
    <w:lvl w:ilvl="6" w:tplc="24121E84">
      <w:start w:val="1"/>
      <w:numFmt w:val="decimal"/>
      <w:lvlText w:val="%7."/>
      <w:lvlJc w:val="left"/>
      <w:pPr>
        <w:ind w:left="5040" w:hanging="360"/>
      </w:pPr>
    </w:lvl>
    <w:lvl w:ilvl="7" w:tplc="1FB6D0DE">
      <w:start w:val="1"/>
      <w:numFmt w:val="lowerLetter"/>
      <w:lvlText w:val="%8."/>
      <w:lvlJc w:val="left"/>
      <w:pPr>
        <w:ind w:left="5760" w:hanging="360"/>
      </w:pPr>
    </w:lvl>
    <w:lvl w:ilvl="8" w:tplc="7F042080">
      <w:start w:val="1"/>
      <w:numFmt w:val="lowerRoman"/>
      <w:lvlText w:val="%9."/>
      <w:lvlJc w:val="right"/>
      <w:pPr>
        <w:ind w:left="6480" w:hanging="180"/>
      </w:pPr>
    </w:lvl>
  </w:abstractNum>
  <w:abstractNum w:abstractNumId="63" w15:restartNumberingAfterBreak="0">
    <w:nsid w:val="38456AB7"/>
    <w:multiLevelType w:val="hybridMultilevel"/>
    <w:tmpl w:val="3E14E07E"/>
    <w:lvl w:ilvl="0" w:tplc="FFFFFFFF">
      <w:start w:val="1"/>
      <w:numFmt w:val="decimal"/>
      <w:lvlText w:val="%1."/>
      <w:lvlJc w:val="left"/>
      <w:pPr>
        <w:ind w:left="720" w:hanging="360"/>
      </w:pPr>
    </w:lvl>
    <w:lvl w:ilvl="1" w:tplc="FFFFFFFF" w:tentative="1">
      <w:start w:val="1"/>
      <w:numFmt w:val="lowerLetter"/>
      <w:lvlText w:val="%2."/>
      <w:lvlJc w:val="left"/>
      <w:pPr>
        <w:ind w:left="-720" w:hanging="360"/>
      </w:pPr>
    </w:lvl>
    <w:lvl w:ilvl="2" w:tplc="FFFFFFFF" w:tentative="1">
      <w:start w:val="1"/>
      <w:numFmt w:val="lowerRoman"/>
      <w:lvlText w:val="%3."/>
      <w:lvlJc w:val="right"/>
      <w:pPr>
        <w:ind w:left="0" w:hanging="180"/>
      </w:pPr>
    </w:lvl>
    <w:lvl w:ilvl="3" w:tplc="FFFFFFFF" w:tentative="1">
      <w:start w:val="1"/>
      <w:numFmt w:val="decimal"/>
      <w:lvlText w:val="%4."/>
      <w:lvlJc w:val="left"/>
      <w:pPr>
        <w:ind w:left="720" w:hanging="360"/>
      </w:pPr>
    </w:lvl>
    <w:lvl w:ilvl="4" w:tplc="FFFFFFFF" w:tentative="1">
      <w:start w:val="1"/>
      <w:numFmt w:val="lowerLetter"/>
      <w:lvlText w:val="%5."/>
      <w:lvlJc w:val="left"/>
      <w:pPr>
        <w:ind w:left="1440" w:hanging="360"/>
      </w:pPr>
    </w:lvl>
    <w:lvl w:ilvl="5" w:tplc="FFFFFFFF" w:tentative="1">
      <w:start w:val="1"/>
      <w:numFmt w:val="lowerRoman"/>
      <w:lvlText w:val="%6."/>
      <w:lvlJc w:val="right"/>
      <w:pPr>
        <w:ind w:left="2160" w:hanging="180"/>
      </w:pPr>
    </w:lvl>
    <w:lvl w:ilvl="6" w:tplc="FFFFFFFF" w:tentative="1">
      <w:start w:val="1"/>
      <w:numFmt w:val="decimal"/>
      <w:lvlText w:val="%7."/>
      <w:lvlJc w:val="left"/>
      <w:pPr>
        <w:ind w:left="2880" w:hanging="360"/>
      </w:pPr>
    </w:lvl>
    <w:lvl w:ilvl="7" w:tplc="FFFFFFFF" w:tentative="1">
      <w:start w:val="1"/>
      <w:numFmt w:val="lowerLetter"/>
      <w:lvlText w:val="%8."/>
      <w:lvlJc w:val="left"/>
      <w:pPr>
        <w:ind w:left="3600" w:hanging="360"/>
      </w:pPr>
    </w:lvl>
    <w:lvl w:ilvl="8" w:tplc="FFFFFFFF" w:tentative="1">
      <w:start w:val="1"/>
      <w:numFmt w:val="lowerRoman"/>
      <w:lvlText w:val="%9."/>
      <w:lvlJc w:val="right"/>
      <w:pPr>
        <w:ind w:left="4320" w:hanging="180"/>
      </w:pPr>
    </w:lvl>
  </w:abstractNum>
  <w:abstractNum w:abstractNumId="64" w15:restartNumberingAfterBreak="0">
    <w:nsid w:val="38694BE1"/>
    <w:multiLevelType w:val="hybridMultilevel"/>
    <w:tmpl w:val="604EEDF2"/>
    <w:lvl w:ilvl="0" w:tplc="7C1A5438">
      <w:start w:val="17"/>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5" w15:restartNumberingAfterBreak="0">
    <w:nsid w:val="3B8CD78C"/>
    <w:multiLevelType w:val="hybridMultilevel"/>
    <w:tmpl w:val="CCDA5AB8"/>
    <w:lvl w:ilvl="0" w:tplc="D80E48EE">
      <w:start w:val="1"/>
      <w:numFmt w:val="decimal"/>
      <w:lvlText w:val="%1."/>
      <w:lvlJc w:val="left"/>
      <w:pPr>
        <w:ind w:left="720" w:hanging="360"/>
      </w:pPr>
    </w:lvl>
    <w:lvl w:ilvl="1" w:tplc="57BC2BA0">
      <w:start w:val="1"/>
      <w:numFmt w:val="lowerLetter"/>
      <w:lvlText w:val="%2."/>
      <w:lvlJc w:val="left"/>
      <w:pPr>
        <w:ind w:left="1440" w:hanging="360"/>
      </w:pPr>
    </w:lvl>
    <w:lvl w:ilvl="2" w:tplc="0F64D1EE">
      <w:start w:val="1"/>
      <w:numFmt w:val="lowerRoman"/>
      <w:lvlText w:val="%3."/>
      <w:lvlJc w:val="right"/>
      <w:pPr>
        <w:ind w:left="2160" w:hanging="180"/>
      </w:pPr>
    </w:lvl>
    <w:lvl w:ilvl="3" w:tplc="2E64383C">
      <w:start w:val="1"/>
      <w:numFmt w:val="decimal"/>
      <w:lvlText w:val="%4."/>
      <w:lvlJc w:val="left"/>
      <w:pPr>
        <w:ind w:left="2880" w:hanging="360"/>
      </w:pPr>
    </w:lvl>
    <w:lvl w:ilvl="4" w:tplc="CBB0DC1A">
      <w:start w:val="1"/>
      <w:numFmt w:val="lowerLetter"/>
      <w:lvlText w:val="%5."/>
      <w:lvlJc w:val="left"/>
      <w:pPr>
        <w:ind w:left="3600" w:hanging="360"/>
      </w:pPr>
    </w:lvl>
    <w:lvl w:ilvl="5" w:tplc="80329570">
      <w:start w:val="1"/>
      <w:numFmt w:val="lowerRoman"/>
      <w:lvlText w:val="%6."/>
      <w:lvlJc w:val="right"/>
      <w:pPr>
        <w:ind w:left="4320" w:hanging="180"/>
      </w:pPr>
    </w:lvl>
    <w:lvl w:ilvl="6" w:tplc="89C4BDF6">
      <w:start w:val="1"/>
      <w:numFmt w:val="decimal"/>
      <w:lvlText w:val="%7."/>
      <w:lvlJc w:val="left"/>
      <w:pPr>
        <w:ind w:left="5040" w:hanging="360"/>
      </w:pPr>
    </w:lvl>
    <w:lvl w:ilvl="7" w:tplc="FF2CC2DC">
      <w:start w:val="1"/>
      <w:numFmt w:val="lowerLetter"/>
      <w:lvlText w:val="%8."/>
      <w:lvlJc w:val="left"/>
      <w:pPr>
        <w:ind w:left="5760" w:hanging="360"/>
      </w:pPr>
    </w:lvl>
    <w:lvl w:ilvl="8" w:tplc="22CAF0FA">
      <w:start w:val="1"/>
      <w:numFmt w:val="lowerRoman"/>
      <w:lvlText w:val="%9."/>
      <w:lvlJc w:val="right"/>
      <w:pPr>
        <w:ind w:left="6480" w:hanging="180"/>
      </w:pPr>
    </w:lvl>
  </w:abstractNum>
  <w:abstractNum w:abstractNumId="66" w15:restartNumberingAfterBreak="0">
    <w:nsid w:val="3C2236D8"/>
    <w:multiLevelType w:val="hybridMultilevel"/>
    <w:tmpl w:val="FFFFFFFF"/>
    <w:lvl w:ilvl="0" w:tplc="2074684C">
      <w:start w:val="1"/>
      <w:numFmt w:val="decimal"/>
      <w:lvlText w:val="%1."/>
      <w:lvlJc w:val="left"/>
      <w:pPr>
        <w:ind w:left="720" w:hanging="360"/>
      </w:pPr>
    </w:lvl>
    <w:lvl w:ilvl="1" w:tplc="CC820F8C">
      <w:start w:val="1"/>
      <w:numFmt w:val="lowerLetter"/>
      <w:lvlText w:val="%2."/>
      <w:lvlJc w:val="left"/>
      <w:pPr>
        <w:ind w:left="1440" w:hanging="360"/>
      </w:pPr>
    </w:lvl>
    <w:lvl w:ilvl="2" w:tplc="D53A9272">
      <w:start w:val="1"/>
      <w:numFmt w:val="lowerRoman"/>
      <w:lvlText w:val="%3."/>
      <w:lvlJc w:val="right"/>
      <w:pPr>
        <w:ind w:left="2160" w:hanging="180"/>
      </w:pPr>
    </w:lvl>
    <w:lvl w:ilvl="3" w:tplc="C40690AC">
      <w:start w:val="1"/>
      <w:numFmt w:val="decimal"/>
      <w:lvlText w:val="%4."/>
      <w:lvlJc w:val="left"/>
      <w:pPr>
        <w:ind w:left="2880" w:hanging="360"/>
      </w:pPr>
    </w:lvl>
    <w:lvl w:ilvl="4" w:tplc="B30A1550">
      <w:start w:val="1"/>
      <w:numFmt w:val="lowerLetter"/>
      <w:lvlText w:val="%5."/>
      <w:lvlJc w:val="left"/>
      <w:pPr>
        <w:ind w:left="3600" w:hanging="360"/>
      </w:pPr>
    </w:lvl>
    <w:lvl w:ilvl="5" w:tplc="242633CE">
      <w:start w:val="1"/>
      <w:numFmt w:val="lowerRoman"/>
      <w:lvlText w:val="%6."/>
      <w:lvlJc w:val="right"/>
      <w:pPr>
        <w:ind w:left="4320" w:hanging="180"/>
      </w:pPr>
    </w:lvl>
    <w:lvl w:ilvl="6" w:tplc="C18CAF68">
      <w:start w:val="1"/>
      <w:numFmt w:val="decimal"/>
      <w:lvlText w:val="%7."/>
      <w:lvlJc w:val="left"/>
      <w:pPr>
        <w:ind w:left="5040" w:hanging="360"/>
      </w:pPr>
    </w:lvl>
    <w:lvl w:ilvl="7" w:tplc="B3985A0E">
      <w:start w:val="1"/>
      <w:numFmt w:val="lowerLetter"/>
      <w:lvlText w:val="%8."/>
      <w:lvlJc w:val="left"/>
      <w:pPr>
        <w:ind w:left="5760" w:hanging="360"/>
      </w:pPr>
    </w:lvl>
    <w:lvl w:ilvl="8" w:tplc="54F4A368">
      <w:start w:val="1"/>
      <w:numFmt w:val="lowerRoman"/>
      <w:lvlText w:val="%9."/>
      <w:lvlJc w:val="right"/>
      <w:pPr>
        <w:ind w:left="6480" w:hanging="180"/>
      </w:pPr>
    </w:lvl>
  </w:abstractNum>
  <w:abstractNum w:abstractNumId="67" w15:restartNumberingAfterBreak="0">
    <w:nsid w:val="3DF2400B"/>
    <w:multiLevelType w:val="hybridMultilevel"/>
    <w:tmpl w:val="6AE078CE"/>
    <w:lvl w:ilvl="0" w:tplc="EFFAF4EA">
      <w:start w:val="1"/>
      <w:numFmt w:val="decimal"/>
      <w:lvlText w:val="%1."/>
      <w:lvlJc w:val="left"/>
      <w:pPr>
        <w:ind w:left="720" w:hanging="360"/>
      </w:pPr>
    </w:lvl>
    <w:lvl w:ilvl="1" w:tplc="51EC3BF0">
      <w:start w:val="1"/>
      <w:numFmt w:val="lowerLetter"/>
      <w:lvlText w:val="%2."/>
      <w:lvlJc w:val="left"/>
      <w:pPr>
        <w:ind w:left="1440" w:hanging="360"/>
      </w:pPr>
    </w:lvl>
    <w:lvl w:ilvl="2" w:tplc="E40890F6">
      <w:start w:val="1"/>
      <w:numFmt w:val="lowerRoman"/>
      <w:lvlText w:val="%3."/>
      <w:lvlJc w:val="right"/>
      <w:pPr>
        <w:ind w:left="2160" w:hanging="180"/>
      </w:pPr>
    </w:lvl>
    <w:lvl w:ilvl="3" w:tplc="9FA276BA">
      <w:start w:val="1"/>
      <w:numFmt w:val="decimal"/>
      <w:lvlText w:val="%4."/>
      <w:lvlJc w:val="left"/>
      <w:pPr>
        <w:ind w:left="2880" w:hanging="360"/>
      </w:pPr>
    </w:lvl>
    <w:lvl w:ilvl="4" w:tplc="3FAC320E">
      <w:start w:val="1"/>
      <w:numFmt w:val="lowerLetter"/>
      <w:lvlText w:val="%5."/>
      <w:lvlJc w:val="left"/>
      <w:pPr>
        <w:ind w:left="3600" w:hanging="360"/>
      </w:pPr>
    </w:lvl>
    <w:lvl w:ilvl="5" w:tplc="A17A4636">
      <w:start w:val="1"/>
      <w:numFmt w:val="lowerRoman"/>
      <w:lvlText w:val="%6."/>
      <w:lvlJc w:val="right"/>
      <w:pPr>
        <w:ind w:left="4320" w:hanging="180"/>
      </w:pPr>
    </w:lvl>
    <w:lvl w:ilvl="6" w:tplc="06542920">
      <w:start w:val="1"/>
      <w:numFmt w:val="decimal"/>
      <w:lvlText w:val="%7."/>
      <w:lvlJc w:val="left"/>
      <w:pPr>
        <w:ind w:left="5040" w:hanging="360"/>
      </w:pPr>
    </w:lvl>
    <w:lvl w:ilvl="7" w:tplc="38265764">
      <w:start w:val="1"/>
      <w:numFmt w:val="lowerLetter"/>
      <w:lvlText w:val="%8."/>
      <w:lvlJc w:val="left"/>
      <w:pPr>
        <w:ind w:left="5760" w:hanging="360"/>
      </w:pPr>
    </w:lvl>
    <w:lvl w:ilvl="8" w:tplc="E85E00CC">
      <w:start w:val="1"/>
      <w:numFmt w:val="lowerRoman"/>
      <w:lvlText w:val="%9."/>
      <w:lvlJc w:val="right"/>
      <w:pPr>
        <w:ind w:left="6480" w:hanging="180"/>
      </w:pPr>
    </w:lvl>
  </w:abstractNum>
  <w:abstractNum w:abstractNumId="68" w15:restartNumberingAfterBreak="0">
    <w:nsid w:val="3F5DAD3D"/>
    <w:multiLevelType w:val="hybridMultilevel"/>
    <w:tmpl w:val="19D8C2B2"/>
    <w:lvl w:ilvl="0" w:tplc="C2E428C2">
      <w:start w:val="1"/>
      <w:numFmt w:val="bullet"/>
      <w:lvlText w:val=""/>
      <w:lvlJc w:val="left"/>
      <w:pPr>
        <w:ind w:left="720" w:hanging="360"/>
      </w:pPr>
      <w:rPr>
        <w:rFonts w:ascii="Symbol" w:hAnsi="Symbol" w:hint="default"/>
      </w:rPr>
    </w:lvl>
    <w:lvl w:ilvl="1" w:tplc="0C22B68E">
      <w:start w:val="1"/>
      <w:numFmt w:val="bullet"/>
      <w:lvlText w:val="o"/>
      <w:lvlJc w:val="left"/>
      <w:pPr>
        <w:ind w:left="1440" w:hanging="360"/>
      </w:pPr>
      <w:rPr>
        <w:rFonts w:ascii="Courier New" w:hAnsi="Courier New" w:hint="default"/>
      </w:rPr>
    </w:lvl>
    <w:lvl w:ilvl="2" w:tplc="E4D0A124">
      <w:start w:val="1"/>
      <w:numFmt w:val="bullet"/>
      <w:lvlText w:val=""/>
      <w:lvlJc w:val="left"/>
      <w:pPr>
        <w:ind w:left="2160" w:hanging="360"/>
      </w:pPr>
      <w:rPr>
        <w:rFonts w:ascii="Wingdings" w:hAnsi="Wingdings" w:hint="default"/>
      </w:rPr>
    </w:lvl>
    <w:lvl w:ilvl="3" w:tplc="8B8C0FE0">
      <w:start w:val="1"/>
      <w:numFmt w:val="bullet"/>
      <w:lvlText w:val=""/>
      <w:lvlJc w:val="left"/>
      <w:pPr>
        <w:ind w:left="2880" w:hanging="360"/>
      </w:pPr>
      <w:rPr>
        <w:rFonts w:ascii="Symbol" w:hAnsi="Symbol" w:hint="default"/>
      </w:rPr>
    </w:lvl>
    <w:lvl w:ilvl="4" w:tplc="8200B01A">
      <w:start w:val="1"/>
      <w:numFmt w:val="bullet"/>
      <w:lvlText w:val="o"/>
      <w:lvlJc w:val="left"/>
      <w:pPr>
        <w:ind w:left="3600" w:hanging="360"/>
      </w:pPr>
      <w:rPr>
        <w:rFonts w:ascii="Courier New" w:hAnsi="Courier New" w:hint="default"/>
      </w:rPr>
    </w:lvl>
    <w:lvl w:ilvl="5" w:tplc="8CE23AFA">
      <w:start w:val="1"/>
      <w:numFmt w:val="bullet"/>
      <w:lvlText w:val=""/>
      <w:lvlJc w:val="left"/>
      <w:pPr>
        <w:ind w:left="4320" w:hanging="360"/>
      </w:pPr>
      <w:rPr>
        <w:rFonts w:ascii="Wingdings" w:hAnsi="Wingdings" w:hint="default"/>
      </w:rPr>
    </w:lvl>
    <w:lvl w:ilvl="6" w:tplc="FE767C14">
      <w:start w:val="1"/>
      <w:numFmt w:val="bullet"/>
      <w:lvlText w:val=""/>
      <w:lvlJc w:val="left"/>
      <w:pPr>
        <w:ind w:left="5040" w:hanging="360"/>
      </w:pPr>
      <w:rPr>
        <w:rFonts w:ascii="Symbol" w:hAnsi="Symbol" w:hint="default"/>
      </w:rPr>
    </w:lvl>
    <w:lvl w:ilvl="7" w:tplc="7C4E4910">
      <w:start w:val="1"/>
      <w:numFmt w:val="bullet"/>
      <w:lvlText w:val="o"/>
      <w:lvlJc w:val="left"/>
      <w:pPr>
        <w:ind w:left="5760" w:hanging="360"/>
      </w:pPr>
      <w:rPr>
        <w:rFonts w:ascii="Courier New" w:hAnsi="Courier New" w:hint="default"/>
      </w:rPr>
    </w:lvl>
    <w:lvl w:ilvl="8" w:tplc="5ADE80FC">
      <w:start w:val="1"/>
      <w:numFmt w:val="bullet"/>
      <w:lvlText w:val=""/>
      <w:lvlJc w:val="left"/>
      <w:pPr>
        <w:ind w:left="6480" w:hanging="360"/>
      </w:pPr>
      <w:rPr>
        <w:rFonts w:ascii="Wingdings" w:hAnsi="Wingdings" w:hint="default"/>
      </w:rPr>
    </w:lvl>
  </w:abstractNum>
  <w:abstractNum w:abstractNumId="69" w15:restartNumberingAfterBreak="0">
    <w:nsid w:val="3FC5D24E"/>
    <w:multiLevelType w:val="hybridMultilevel"/>
    <w:tmpl w:val="F5C29AC8"/>
    <w:lvl w:ilvl="0" w:tplc="8062D636">
      <w:start w:val="1"/>
      <w:numFmt w:val="bullet"/>
      <w:lvlText w:val="-"/>
      <w:lvlJc w:val="left"/>
      <w:pPr>
        <w:ind w:left="720" w:hanging="360"/>
      </w:pPr>
      <w:rPr>
        <w:rFonts w:ascii="Calibri" w:hAnsi="Calibri" w:hint="default"/>
      </w:rPr>
    </w:lvl>
    <w:lvl w:ilvl="1" w:tplc="770EEB34">
      <w:start w:val="1"/>
      <w:numFmt w:val="bullet"/>
      <w:lvlText w:val="o"/>
      <w:lvlJc w:val="left"/>
      <w:pPr>
        <w:ind w:left="1440" w:hanging="360"/>
      </w:pPr>
      <w:rPr>
        <w:rFonts w:ascii="Courier New" w:hAnsi="Courier New" w:hint="default"/>
      </w:rPr>
    </w:lvl>
    <w:lvl w:ilvl="2" w:tplc="BE6EF79E">
      <w:start w:val="1"/>
      <w:numFmt w:val="bullet"/>
      <w:lvlText w:val=""/>
      <w:lvlJc w:val="left"/>
      <w:pPr>
        <w:ind w:left="2160" w:hanging="360"/>
      </w:pPr>
      <w:rPr>
        <w:rFonts w:ascii="Wingdings" w:hAnsi="Wingdings" w:hint="default"/>
      </w:rPr>
    </w:lvl>
    <w:lvl w:ilvl="3" w:tplc="22F8C68A">
      <w:start w:val="1"/>
      <w:numFmt w:val="bullet"/>
      <w:lvlText w:val=""/>
      <w:lvlJc w:val="left"/>
      <w:pPr>
        <w:ind w:left="2880" w:hanging="360"/>
      </w:pPr>
      <w:rPr>
        <w:rFonts w:ascii="Symbol" w:hAnsi="Symbol" w:hint="default"/>
      </w:rPr>
    </w:lvl>
    <w:lvl w:ilvl="4" w:tplc="44168134">
      <w:start w:val="1"/>
      <w:numFmt w:val="bullet"/>
      <w:lvlText w:val="o"/>
      <w:lvlJc w:val="left"/>
      <w:pPr>
        <w:ind w:left="3600" w:hanging="360"/>
      </w:pPr>
      <w:rPr>
        <w:rFonts w:ascii="Courier New" w:hAnsi="Courier New" w:hint="default"/>
      </w:rPr>
    </w:lvl>
    <w:lvl w:ilvl="5" w:tplc="0D70E404">
      <w:start w:val="1"/>
      <w:numFmt w:val="bullet"/>
      <w:lvlText w:val=""/>
      <w:lvlJc w:val="left"/>
      <w:pPr>
        <w:ind w:left="4320" w:hanging="360"/>
      </w:pPr>
      <w:rPr>
        <w:rFonts w:ascii="Wingdings" w:hAnsi="Wingdings" w:hint="default"/>
      </w:rPr>
    </w:lvl>
    <w:lvl w:ilvl="6" w:tplc="F20EAB4A">
      <w:start w:val="1"/>
      <w:numFmt w:val="bullet"/>
      <w:lvlText w:val=""/>
      <w:lvlJc w:val="left"/>
      <w:pPr>
        <w:ind w:left="5040" w:hanging="360"/>
      </w:pPr>
      <w:rPr>
        <w:rFonts w:ascii="Symbol" w:hAnsi="Symbol" w:hint="default"/>
      </w:rPr>
    </w:lvl>
    <w:lvl w:ilvl="7" w:tplc="D52202C8">
      <w:start w:val="1"/>
      <w:numFmt w:val="bullet"/>
      <w:lvlText w:val="o"/>
      <w:lvlJc w:val="left"/>
      <w:pPr>
        <w:ind w:left="5760" w:hanging="360"/>
      </w:pPr>
      <w:rPr>
        <w:rFonts w:ascii="Courier New" w:hAnsi="Courier New" w:hint="default"/>
      </w:rPr>
    </w:lvl>
    <w:lvl w:ilvl="8" w:tplc="EDEC057C">
      <w:start w:val="1"/>
      <w:numFmt w:val="bullet"/>
      <w:lvlText w:val=""/>
      <w:lvlJc w:val="left"/>
      <w:pPr>
        <w:ind w:left="6480" w:hanging="360"/>
      </w:pPr>
      <w:rPr>
        <w:rFonts w:ascii="Wingdings" w:hAnsi="Wingdings" w:hint="default"/>
      </w:rPr>
    </w:lvl>
  </w:abstractNum>
  <w:abstractNum w:abstractNumId="70" w15:restartNumberingAfterBreak="0">
    <w:nsid w:val="41227CF3"/>
    <w:multiLevelType w:val="hybridMultilevel"/>
    <w:tmpl w:val="399A2470"/>
    <w:lvl w:ilvl="0" w:tplc="CC0442CE">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1" w15:restartNumberingAfterBreak="0">
    <w:nsid w:val="414855CA"/>
    <w:multiLevelType w:val="hybridMultilevel"/>
    <w:tmpl w:val="CBD06058"/>
    <w:lvl w:ilvl="0" w:tplc="72CEB050">
      <w:start w:val="2"/>
      <w:numFmt w:val="decimal"/>
      <w:lvlText w:val="%1."/>
      <w:lvlJc w:val="left"/>
      <w:pPr>
        <w:ind w:left="720" w:hanging="360"/>
      </w:pPr>
    </w:lvl>
    <w:lvl w:ilvl="1" w:tplc="7F729E30">
      <w:start w:val="1"/>
      <w:numFmt w:val="lowerLetter"/>
      <w:lvlText w:val="%2."/>
      <w:lvlJc w:val="left"/>
      <w:pPr>
        <w:ind w:left="1440" w:hanging="360"/>
      </w:pPr>
    </w:lvl>
    <w:lvl w:ilvl="2" w:tplc="47087F4A">
      <w:start w:val="1"/>
      <w:numFmt w:val="lowerRoman"/>
      <w:lvlText w:val="%3."/>
      <w:lvlJc w:val="right"/>
      <w:pPr>
        <w:ind w:left="2160" w:hanging="180"/>
      </w:pPr>
    </w:lvl>
    <w:lvl w:ilvl="3" w:tplc="CD46AED0">
      <w:start w:val="1"/>
      <w:numFmt w:val="decimal"/>
      <w:lvlText w:val="%4."/>
      <w:lvlJc w:val="left"/>
      <w:pPr>
        <w:ind w:left="2880" w:hanging="360"/>
      </w:pPr>
    </w:lvl>
    <w:lvl w:ilvl="4" w:tplc="10422988">
      <w:start w:val="1"/>
      <w:numFmt w:val="lowerLetter"/>
      <w:lvlText w:val="%5."/>
      <w:lvlJc w:val="left"/>
      <w:pPr>
        <w:ind w:left="3600" w:hanging="360"/>
      </w:pPr>
    </w:lvl>
    <w:lvl w:ilvl="5" w:tplc="A0B233D8">
      <w:start w:val="1"/>
      <w:numFmt w:val="lowerRoman"/>
      <w:lvlText w:val="%6."/>
      <w:lvlJc w:val="right"/>
      <w:pPr>
        <w:ind w:left="4320" w:hanging="180"/>
      </w:pPr>
    </w:lvl>
    <w:lvl w:ilvl="6" w:tplc="77823684">
      <w:start w:val="1"/>
      <w:numFmt w:val="decimal"/>
      <w:lvlText w:val="%7."/>
      <w:lvlJc w:val="left"/>
      <w:pPr>
        <w:ind w:left="5040" w:hanging="360"/>
      </w:pPr>
    </w:lvl>
    <w:lvl w:ilvl="7" w:tplc="D04C8A74">
      <w:start w:val="1"/>
      <w:numFmt w:val="lowerLetter"/>
      <w:lvlText w:val="%8."/>
      <w:lvlJc w:val="left"/>
      <w:pPr>
        <w:ind w:left="5760" w:hanging="360"/>
      </w:pPr>
    </w:lvl>
    <w:lvl w:ilvl="8" w:tplc="F064B0A8">
      <w:start w:val="1"/>
      <w:numFmt w:val="lowerRoman"/>
      <w:lvlText w:val="%9."/>
      <w:lvlJc w:val="right"/>
      <w:pPr>
        <w:ind w:left="6480" w:hanging="180"/>
      </w:pPr>
    </w:lvl>
  </w:abstractNum>
  <w:abstractNum w:abstractNumId="72" w15:restartNumberingAfterBreak="0">
    <w:nsid w:val="414F4186"/>
    <w:multiLevelType w:val="hybridMultilevel"/>
    <w:tmpl w:val="CE1E0CBC"/>
    <w:name w:val="Heading22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3" w15:restartNumberingAfterBreak="0">
    <w:nsid w:val="41D67D92"/>
    <w:multiLevelType w:val="hybridMultilevel"/>
    <w:tmpl w:val="4B707842"/>
    <w:lvl w:ilvl="0" w:tplc="FB5C9744">
      <w:start w:val="1"/>
      <w:numFmt w:val="bullet"/>
      <w:lvlText w:val=""/>
      <w:lvlJc w:val="left"/>
      <w:pPr>
        <w:ind w:left="720" w:hanging="360"/>
      </w:pPr>
      <w:rPr>
        <w:rFonts w:ascii="Symbol" w:hAnsi="Symbol" w:hint="default"/>
      </w:rPr>
    </w:lvl>
    <w:lvl w:ilvl="1" w:tplc="7ED42678">
      <w:start w:val="1"/>
      <w:numFmt w:val="bullet"/>
      <w:lvlText w:val="o"/>
      <w:lvlJc w:val="left"/>
      <w:pPr>
        <w:ind w:left="1440" w:hanging="360"/>
      </w:pPr>
      <w:rPr>
        <w:rFonts w:ascii="Courier New" w:hAnsi="Courier New" w:hint="default"/>
      </w:rPr>
    </w:lvl>
    <w:lvl w:ilvl="2" w:tplc="2C74D8CC">
      <w:start w:val="1"/>
      <w:numFmt w:val="bullet"/>
      <w:lvlText w:val=""/>
      <w:lvlJc w:val="left"/>
      <w:pPr>
        <w:ind w:left="2160" w:hanging="360"/>
      </w:pPr>
      <w:rPr>
        <w:rFonts w:ascii="Wingdings" w:hAnsi="Wingdings" w:hint="default"/>
      </w:rPr>
    </w:lvl>
    <w:lvl w:ilvl="3" w:tplc="BA725A80">
      <w:start w:val="1"/>
      <w:numFmt w:val="bullet"/>
      <w:lvlText w:val=""/>
      <w:lvlJc w:val="left"/>
      <w:pPr>
        <w:ind w:left="2880" w:hanging="360"/>
      </w:pPr>
      <w:rPr>
        <w:rFonts w:ascii="Symbol" w:hAnsi="Symbol" w:hint="default"/>
      </w:rPr>
    </w:lvl>
    <w:lvl w:ilvl="4" w:tplc="33AA5C24">
      <w:start w:val="1"/>
      <w:numFmt w:val="bullet"/>
      <w:lvlText w:val="o"/>
      <w:lvlJc w:val="left"/>
      <w:pPr>
        <w:ind w:left="3600" w:hanging="360"/>
      </w:pPr>
      <w:rPr>
        <w:rFonts w:ascii="Courier New" w:hAnsi="Courier New" w:hint="default"/>
      </w:rPr>
    </w:lvl>
    <w:lvl w:ilvl="5" w:tplc="3C9EE60C">
      <w:start w:val="1"/>
      <w:numFmt w:val="bullet"/>
      <w:lvlText w:val=""/>
      <w:lvlJc w:val="left"/>
      <w:pPr>
        <w:ind w:left="4320" w:hanging="360"/>
      </w:pPr>
      <w:rPr>
        <w:rFonts w:ascii="Wingdings" w:hAnsi="Wingdings" w:hint="default"/>
      </w:rPr>
    </w:lvl>
    <w:lvl w:ilvl="6" w:tplc="D98C7E5A">
      <w:start w:val="1"/>
      <w:numFmt w:val="bullet"/>
      <w:lvlText w:val=""/>
      <w:lvlJc w:val="left"/>
      <w:pPr>
        <w:ind w:left="5040" w:hanging="360"/>
      </w:pPr>
      <w:rPr>
        <w:rFonts w:ascii="Symbol" w:hAnsi="Symbol" w:hint="default"/>
      </w:rPr>
    </w:lvl>
    <w:lvl w:ilvl="7" w:tplc="DFE4E6D0">
      <w:start w:val="1"/>
      <w:numFmt w:val="bullet"/>
      <w:lvlText w:val="o"/>
      <w:lvlJc w:val="left"/>
      <w:pPr>
        <w:ind w:left="5760" w:hanging="360"/>
      </w:pPr>
      <w:rPr>
        <w:rFonts w:ascii="Courier New" w:hAnsi="Courier New" w:hint="default"/>
      </w:rPr>
    </w:lvl>
    <w:lvl w:ilvl="8" w:tplc="37588974">
      <w:start w:val="1"/>
      <w:numFmt w:val="bullet"/>
      <w:lvlText w:val=""/>
      <w:lvlJc w:val="left"/>
      <w:pPr>
        <w:ind w:left="6480" w:hanging="360"/>
      </w:pPr>
      <w:rPr>
        <w:rFonts w:ascii="Wingdings" w:hAnsi="Wingdings" w:hint="default"/>
      </w:rPr>
    </w:lvl>
  </w:abstractNum>
  <w:abstractNum w:abstractNumId="7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5" w15:restartNumberingAfterBreak="0">
    <w:nsid w:val="42737F5F"/>
    <w:multiLevelType w:val="hybridMultilevel"/>
    <w:tmpl w:val="30D47F12"/>
    <w:lvl w:ilvl="0" w:tplc="18090011">
      <w:start w:val="1"/>
      <w:numFmt w:val="decimal"/>
      <w:lvlText w:val="%1)"/>
      <w:lvlJc w:val="left"/>
      <w:pPr>
        <w:ind w:left="720" w:hanging="360"/>
      </w:pPr>
      <w:rPr>
        <w:rFonts w:hint="default"/>
      </w:rPr>
    </w:lvl>
    <w:lvl w:ilvl="1" w:tplc="7AACA2A8">
      <w:start w:val="1"/>
      <w:numFmt w:val="lowerRoman"/>
      <w:lvlText w:val="%2)"/>
      <w:lvlJc w:val="left"/>
      <w:pPr>
        <w:ind w:left="1440" w:hanging="360"/>
      </w:pPr>
      <w:rPr>
        <w:rFonts w:hint="default"/>
      </w:rPr>
    </w:lvl>
    <w:lvl w:ilvl="2" w:tplc="135C1798">
      <w:start w:val="1"/>
      <w:numFmt w:val="lowerRoman"/>
      <w:lvlText w:val="%3."/>
      <w:lvlJc w:val="right"/>
      <w:pPr>
        <w:ind w:left="2160" w:hanging="180"/>
      </w:pPr>
    </w:lvl>
    <w:lvl w:ilvl="3" w:tplc="8EBEB170">
      <w:start w:val="1"/>
      <w:numFmt w:val="decimal"/>
      <w:lvlText w:val="%4."/>
      <w:lvlJc w:val="left"/>
      <w:pPr>
        <w:ind w:left="2880" w:hanging="360"/>
      </w:pPr>
    </w:lvl>
    <w:lvl w:ilvl="4" w:tplc="C03A1DA6">
      <w:start w:val="1"/>
      <w:numFmt w:val="lowerLetter"/>
      <w:lvlText w:val="%5."/>
      <w:lvlJc w:val="left"/>
      <w:pPr>
        <w:ind w:left="3600" w:hanging="360"/>
      </w:pPr>
    </w:lvl>
    <w:lvl w:ilvl="5" w:tplc="F2E60BEE">
      <w:start w:val="1"/>
      <w:numFmt w:val="lowerRoman"/>
      <w:lvlText w:val="%6."/>
      <w:lvlJc w:val="right"/>
      <w:pPr>
        <w:ind w:left="4320" w:hanging="180"/>
      </w:pPr>
    </w:lvl>
    <w:lvl w:ilvl="6" w:tplc="FF086586">
      <w:start w:val="1"/>
      <w:numFmt w:val="decimal"/>
      <w:lvlText w:val="%7."/>
      <w:lvlJc w:val="left"/>
      <w:pPr>
        <w:ind w:left="5040" w:hanging="360"/>
      </w:pPr>
    </w:lvl>
    <w:lvl w:ilvl="7" w:tplc="4B904216">
      <w:start w:val="1"/>
      <w:numFmt w:val="lowerLetter"/>
      <w:lvlText w:val="%8."/>
      <w:lvlJc w:val="left"/>
      <w:pPr>
        <w:ind w:left="5760" w:hanging="360"/>
      </w:pPr>
    </w:lvl>
    <w:lvl w:ilvl="8" w:tplc="C6CAEAEE">
      <w:start w:val="1"/>
      <w:numFmt w:val="lowerRoman"/>
      <w:lvlText w:val="%9."/>
      <w:lvlJc w:val="right"/>
      <w:pPr>
        <w:ind w:left="6480" w:hanging="180"/>
      </w:pPr>
    </w:lvl>
  </w:abstractNum>
  <w:abstractNum w:abstractNumId="76" w15:restartNumberingAfterBreak="0">
    <w:nsid w:val="42DE3906"/>
    <w:multiLevelType w:val="hybridMultilevel"/>
    <w:tmpl w:val="FFFFFFFF"/>
    <w:lvl w:ilvl="0" w:tplc="AD8C62EC">
      <w:start w:val="1"/>
      <w:numFmt w:val="bullet"/>
      <w:lvlText w:val=""/>
      <w:lvlJc w:val="left"/>
      <w:pPr>
        <w:ind w:left="720" w:hanging="360"/>
      </w:pPr>
      <w:rPr>
        <w:rFonts w:ascii="Symbol" w:hAnsi="Symbol" w:hint="default"/>
      </w:rPr>
    </w:lvl>
    <w:lvl w:ilvl="1" w:tplc="62584E8C">
      <w:start w:val="1"/>
      <w:numFmt w:val="bullet"/>
      <w:lvlText w:val="o"/>
      <w:lvlJc w:val="left"/>
      <w:pPr>
        <w:ind w:left="1440" w:hanging="360"/>
      </w:pPr>
      <w:rPr>
        <w:rFonts w:ascii="Courier New" w:hAnsi="Courier New" w:hint="default"/>
      </w:rPr>
    </w:lvl>
    <w:lvl w:ilvl="2" w:tplc="B1C2F78C">
      <w:start w:val="1"/>
      <w:numFmt w:val="bullet"/>
      <w:lvlText w:val=""/>
      <w:lvlJc w:val="left"/>
      <w:pPr>
        <w:ind w:left="2160" w:hanging="360"/>
      </w:pPr>
      <w:rPr>
        <w:rFonts w:ascii="Wingdings" w:hAnsi="Wingdings" w:hint="default"/>
      </w:rPr>
    </w:lvl>
    <w:lvl w:ilvl="3" w:tplc="4E487676">
      <w:start w:val="1"/>
      <w:numFmt w:val="bullet"/>
      <w:lvlText w:val=""/>
      <w:lvlJc w:val="left"/>
      <w:pPr>
        <w:ind w:left="2880" w:hanging="360"/>
      </w:pPr>
      <w:rPr>
        <w:rFonts w:ascii="Symbol" w:hAnsi="Symbol" w:hint="default"/>
      </w:rPr>
    </w:lvl>
    <w:lvl w:ilvl="4" w:tplc="052CA484">
      <w:start w:val="1"/>
      <w:numFmt w:val="bullet"/>
      <w:lvlText w:val="o"/>
      <w:lvlJc w:val="left"/>
      <w:pPr>
        <w:ind w:left="3600" w:hanging="360"/>
      </w:pPr>
      <w:rPr>
        <w:rFonts w:ascii="Courier New" w:hAnsi="Courier New" w:hint="default"/>
      </w:rPr>
    </w:lvl>
    <w:lvl w:ilvl="5" w:tplc="078854A2">
      <w:start w:val="1"/>
      <w:numFmt w:val="bullet"/>
      <w:lvlText w:val=""/>
      <w:lvlJc w:val="left"/>
      <w:pPr>
        <w:ind w:left="4320" w:hanging="360"/>
      </w:pPr>
      <w:rPr>
        <w:rFonts w:ascii="Wingdings" w:hAnsi="Wingdings" w:hint="default"/>
      </w:rPr>
    </w:lvl>
    <w:lvl w:ilvl="6" w:tplc="33780E46">
      <w:start w:val="1"/>
      <w:numFmt w:val="bullet"/>
      <w:lvlText w:val=""/>
      <w:lvlJc w:val="left"/>
      <w:pPr>
        <w:ind w:left="5040" w:hanging="360"/>
      </w:pPr>
      <w:rPr>
        <w:rFonts w:ascii="Symbol" w:hAnsi="Symbol" w:hint="default"/>
      </w:rPr>
    </w:lvl>
    <w:lvl w:ilvl="7" w:tplc="D5302284">
      <w:start w:val="1"/>
      <w:numFmt w:val="bullet"/>
      <w:lvlText w:val="o"/>
      <w:lvlJc w:val="left"/>
      <w:pPr>
        <w:ind w:left="5760" w:hanging="360"/>
      </w:pPr>
      <w:rPr>
        <w:rFonts w:ascii="Courier New" w:hAnsi="Courier New" w:hint="default"/>
      </w:rPr>
    </w:lvl>
    <w:lvl w:ilvl="8" w:tplc="9D6232FE">
      <w:start w:val="1"/>
      <w:numFmt w:val="bullet"/>
      <w:lvlText w:val=""/>
      <w:lvlJc w:val="left"/>
      <w:pPr>
        <w:ind w:left="6480" w:hanging="360"/>
      </w:pPr>
      <w:rPr>
        <w:rFonts w:ascii="Wingdings" w:hAnsi="Wingdings" w:hint="default"/>
      </w:rPr>
    </w:lvl>
  </w:abstractNum>
  <w:abstractNum w:abstractNumId="77"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78" w15:restartNumberingAfterBreak="0">
    <w:nsid w:val="43CB7CB9"/>
    <w:multiLevelType w:val="hybridMultilevel"/>
    <w:tmpl w:val="3776FB5C"/>
    <w:lvl w:ilvl="0" w:tplc="C582BF1E">
      <w:start w:val="1"/>
      <w:numFmt w:val="bullet"/>
      <w:lvlText w:val="-"/>
      <w:lvlJc w:val="left"/>
      <w:pPr>
        <w:ind w:left="720" w:hanging="360"/>
      </w:pPr>
      <w:rPr>
        <w:rFonts w:ascii="Calibri" w:hAnsi="Calibri" w:hint="default"/>
      </w:rPr>
    </w:lvl>
    <w:lvl w:ilvl="1" w:tplc="925EA5CC">
      <w:start w:val="1"/>
      <w:numFmt w:val="bullet"/>
      <w:lvlText w:val="o"/>
      <w:lvlJc w:val="left"/>
      <w:pPr>
        <w:ind w:left="1440" w:hanging="360"/>
      </w:pPr>
      <w:rPr>
        <w:rFonts w:ascii="Courier New" w:hAnsi="Courier New" w:hint="default"/>
      </w:rPr>
    </w:lvl>
    <w:lvl w:ilvl="2" w:tplc="EDA8F6C6">
      <w:start w:val="1"/>
      <w:numFmt w:val="bullet"/>
      <w:lvlText w:val=""/>
      <w:lvlJc w:val="left"/>
      <w:pPr>
        <w:ind w:left="2160" w:hanging="360"/>
      </w:pPr>
      <w:rPr>
        <w:rFonts w:ascii="Wingdings" w:hAnsi="Wingdings" w:hint="default"/>
      </w:rPr>
    </w:lvl>
    <w:lvl w:ilvl="3" w:tplc="9622194E">
      <w:start w:val="1"/>
      <w:numFmt w:val="bullet"/>
      <w:lvlText w:val=""/>
      <w:lvlJc w:val="left"/>
      <w:pPr>
        <w:ind w:left="2880" w:hanging="360"/>
      </w:pPr>
      <w:rPr>
        <w:rFonts w:ascii="Symbol" w:hAnsi="Symbol" w:hint="default"/>
      </w:rPr>
    </w:lvl>
    <w:lvl w:ilvl="4" w:tplc="0A025828">
      <w:start w:val="1"/>
      <w:numFmt w:val="bullet"/>
      <w:lvlText w:val="o"/>
      <w:lvlJc w:val="left"/>
      <w:pPr>
        <w:ind w:left="3600" w:hanging="360"/>
      </w:pPr>
      <w:rPr>
        <w:rFonts w:ascii="Courier New" w:hAnsi="Courier New" w:hint="default"/>
      </w:rPr>
    </w:lvl>
    <w:lvl w:ilvl="5" w:tplc="812A91E8">
      <w:start w:val="1"/>
      <w:numFmt w:val="bullet"/>
      <w:lvlText w:val=""/>
      <w:lvlJc w:val="left"/>
      <w:pPr>
        <w:ind w:left="4320" w:hanging="360"/>
      </w:pPr>
      <w:rPr>
        <w:rFonts w:ascii="Wingdings" w:hAnsi="Wingdings" w:hint="default"/>
      </w:rPr>
    </w:lvl>
    <w:lvl w:ilvl="6" w:tplc="1EFAAA5A">
      <w:start w:val="1"/>
      <w:numFmt w:val="bullet"/>
      <w:lvlText w:val=""/>
      <w:lvlJc w:val="left"/>
      <w:pPr>
        <w:ind w:left="5040" w:hanging="360"/>
      </w:pPr>
      <w:rPr>
        <w:rFonts w:ascii="Symbol" w:hAnsi="Symbol" w:hint="default"/>
      </w:rPr>
    </w:lvl>
    <w:lvl w:ilvl="7" w:tplc="A8880DE8">
      <w:start w:val="1"/>
      <w:numFmt w:val="bullet"/>
      <w:lvlText w:val="o"/>
      <w:lvlJc w:val="left"/>
      <w:pPr>
        <w:ind w:left="5760" w:hanging="360"/>
      </w:pPr>
      <w:rPr>
        <w:rFonts w:ascii="Courier New" w:hAnsi="Courier New" w:hint="default"/>
      </w:rPr>
    </w:lvl>
    <w:lvl w:ilvl="8" w:tplc="D6ECD9E2">
      <w:start w:val="1"/>
      <w:numFmt w:val="bullet"/>
      <w:lvlText w:val=""/>
      <w:lvlJc w:val="left"/>
      <w:pPr>
        <w:ind w:left="6480" w:hanging="360"/>
      </w:pPr>
      <w:rPr>
        <w:rFonts w:ascii="Wingdings" w:hAnsi="Wingdings" w:hint="default"/>
      </w:rPr>
    </w:lvl>
  </w:abstractNum>
  <w:abstractNum w:abstractNumId="79" w15:restartNumberingAfterBreak="0">
    <w:nsid w:val="440F2D35"/>
    <w:multiLevelType w:val="hybridMultilevel"/>
    <w:tmpl w:val="E6B8E182"/>
    <w:lvl w:ilvl="0" w:tplc="FFFFFFFF">
      <w:start w:val="1"/>
      <w:numFmt w:val="bullet"/>
      <w:lvlText w:val="-"/>
      <w:lvlJc w:val="left"/>
      <w:pPr>
        <w:ind w:left="2138" w:hanging="360"/>
      </w:pPr>
      <w:rPr>
        <w:rFonts w:ascii="Times New Roman" w:hAnsi="Times New Roman"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80" w15:restartNumberingAfterBreak="0">
    <w:nsid w:val="447233BC"/>
    <w:multiLevelType w:val="hybridMultilevel"/>
    <w:tmpl w:val="1D98CFB4"/>
    <w:lvl w:ilvl="0" w:tplc="CDE203F6">
      <w:start w:val="1"/>
      <w:numFmt w:val="decimal"/>
      <w:lvlText w:val="%1."/>
      <w:lvlJc w:val="left"/>
      <w:pPr>
        <w:ind w:left="720" w:hanging="360"/>
      </w:pPr>
    </w:lvl>
    <w:lvl w:ilvl="1" w:tplc="36B8A8B8">
      <w:start w:val="1"/>
      <w:numFmt w:val="lowerLetter"/>
      <w:lvlText w:val="%2."/>
      <w:lvlJc w:val="left"/>
      <w:pPr>
        <w:ind w:left="1440" w:hanging="360"/>
      </w:pPr>
    </w:lvl>
    <w:lvl w:ilvl="2" w:tplc="329265BC">
      <w:start w:val="1"/>
      <w:numFmt w:val="lowerRoman"/>
      <w:lvlText w:val="%3."/>
      <w:lvlJc w:val="right"/>
      <w:pPr>
        <w:ind w:left="2160" w:hanging="180"/>
      </w:pPr>
    </w:lvl>
    <w:lvl w:ilvl="3" w:tplc="438252A0">
      <w:start w:val="1"/>
      <w:numFmt w:val="decimal"/>
      <w:lvlText w:val="%4."/>
      <w:lvlJc w:val="left"/>
      <w:pPr>
        <w:ind w:left="2880" w:hanging="360"/>
      </w:pPr>
    </w:lvl>
    <w:lvl w:ilvl="4" w:tplc="3E4C4EFA">
      <w:start w:val="1"/>
      <w:numFmt w:val="lowerLetter"/>
      <w:lvlText w:val="%5."/>
      <w:lvlJc w:val="left"/>
      <w:pPr>
        <w:ind w:left="3600" w:hanging="360"/>
      </w:pPr>
    </w:lvl>
    <w:lvl w:ilvl="5" w:tplc="1C0AF6EA">
      <w:start w:val="1"/>
      <w:numFmt w:val="lowerRoman"/>
      <w:lvlText w:val="%6."/>
      <w:lvlJc w:val="right"/>
      <w:pPr>
        <w:ind w:left="4320" w:hanging="180"/>
      </w:pPr>
    </w:lvl>
    <w:lvl w:ilvl="6" w:tplc="002032FC">
      <w:start w:val="1"/>
      <w:numFmt w:val="decimal"/>
      <w:lvlText w:val="%7."/>
      <w:lvlJc w:val="left"/>
      <w:pPr>
        <w:ind w:left="5040" w:hanging="360"/>
      </w:pPr>
    </w:lvl>
    <w:lvl w:ilvl="7" w:tplc="4CA27BF2">
      <w:start w:val="1"/>
      <w:numFmt w:val="lowerLetter"/>
      <w:lvlText w:val="%8."/>
      <w:lvlJc w:val="left"/>
      <w:pPr>
        <w:ind w:left="5760" w:hanging="360"/>
      </w:pPr>
    </w:lvl>
    <w:lvl w:ilvl="8" w:tplc="4ED46F5C">
      <w:start w:val="1"/>
      <w:numFmt w:val="lowerRoman"/>
      <w:lvlText w:val="%9."/>
      <w:lvlJc w:val="right"/>
      <w:pPr>
        <w:ind w:left="6480" w:hanging="180"/>
      </w:pPr>
    </w:lvl>
  </w:abstractNum>
  <w:abstractNum w:abstractNumId="8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82" w15:restartNumberingAfterBreak="0">
    <w:nsid w:val="455631AC"/>
    <w:multiLevelType w:val="hybridMultilevel"/>
    <w:tmpl w:val="84FA0DAE"/>
    <w:lvl w:ilvl="0" w:tplc="218C80C4">
      <w:start w:val="1"/>
      <w:numFmt w:val="bullet"/>
      <w:lvlText w:val="-"/>
      <w:lvlJc w:val="left"/>
      <w:pPr>
        <w:ind w:left="720" w:hanging="360"/>
      </w:pPr>
      <w:rPr>
        <w:rFonts w:ascii="Calibri" w:hAnsi="Calibri" w:hint="default"/>
      </w:rPr>
    </w:lvl>
    <w:lvl w:ilvl="1" w:tplc="43023A84">
      <w:start w:val="1"/>
      <w:numFmt w:val="bullet"/>
      <w:lvlText w:val="o"/>
      <w:lvlJc w:val="left"/>
      <w:pPr>
        <w:ind w:left="1440" w:hanging="360"/>
      </w:pPr>
      <w:rPr>
        <w:rFonts w:ascii="Courier New" w:hAnsi="Courier New" w:hint="default"/>
      </w:rPr>
    </w:lvl>
    <w:lvl w:ilvl="2" w:tplc="35A8F86E">
      <w:start w:val="1"/>
      <w:numFmt w:val="bullet"/>
      <w:lvlText w:val=""/>
      <w:lvlJc w:val="left"/>
      <w:pPr>
        <w:ind w:left="2160" w:hanging="360"/>
      </w:pPr>
      <w:rPr>
        <w:rFonts w:ascii="Wingdings" w:hAnsi="Wingdings" w:hint="default"/>
      </w:rPr>
    </w:lvl>
    <w:lvl w:ilvl="3" w:tplc="33A0F0A8">
      <w:start w:val="1"/>
      <w:numFmt w:val="bullet"/>
      <w:lvlText w:val=""/>
      <w:lvlJc w:val="left"/>
      <w:pPr>
        <w:ind w:left="2880" w:hanging="360"/>
      </w:pPr>
      <w:rPr>
        <w:rFonts w:ascii="Symbol" w:hAnsi="Symbol" w:hint="default"/>
      </w:rPr>
    </w:lvl>
    <w:lvl w:ilvl="4" w:tplc="F6B04706">
      <w:start w:val="1"/>
      <w:numFmt w:val="bullet"/>
      <w:lvlText w:val="o"/>
      <w:lvlJc w:val="left"/>
      <w:pPr>
        <w:ind w:left="3600" w:hanging="360"/>
      </w:pPr>
      <w:rPr>
        <w:rFonts w:ascii="Courier New" w:hAnsi="Courier New" w:hint="default"/>
      </w:rPr>
    </w:lvl>
    <w:lvl w:ilvl="5" w:tplc="0EAAD594">
      <w:start w:val="1"/>
      <w:numFmt w:val="bullet"/>
      <w:lvlText w:val=""/>
      <w:lvlJc w:val="left"/>
      <w:pPr>
        <w:ind w:left="4320" w:hanging="360"/>
      </w:pPr>
      <w:rPr>
        <w:rFonts w:ascii="Wingdings" w:hAnsi="Wingdings" w:hint="default"/>
      </w:rPr>
    </w:lvl>
    <w:lvl w:ilvl="6" w:tplc="12E066FC">
      <w:start w:val="1"/>
      <w:numFmt w:val="bullet"/>
      <w:lvlText w:val=""/>
      <w:lvlJc w:val="left"/>
      <w:pPr>
        <w:ind w:left="5040" w:hanging="360"/>
      </w:pPr>
      <w:rPr>
        <w:rFonts w:ascii="Symbol" w:hAnsi="Symbol" w:hint="default"/>
      </w:rPr>
    </w:lvl>
    <w:lvl w:ilvl="7" w:tplc="6C9CF37E">
      <w:start w:val="1"/>
      <w:numFmt w:val="bullet"/>
      <w:lvlText w:val="o"/>
      <w:lvlJc w:val="left"/>
      <w:pPr>
        <w:ind w:left="5760" w:hanging="360"/>
      </w:pPr>
      <w:rPr>
        <w:rFonts w:ascii="Courier New" w:hAnsi="Courier New" w:hint="default"/>
      </w:rPr>
    </w:lvl>
    <w:lvl w:ilvl="8" w:tplc="BC06DF1C">
      <w:start w:val="1"/>
      <w:numFmt w:val="bullet"/>
      <w:lvlText w:val=""/>
      <w:lvlJc w:val="left"/>
      <w:pPr>
        <w:ind w:left="6480" w:hanging="360"/>
      </w:pPr>
      <w:rPr>
        <w:rFonts w:ascii="Wingdings" w:hAnsi="Wingdings" w:hint="default"/>
      </w:rPr>
    </w:lvl>
  </w:abstractNum>
  <w:abstractNum w:abstractNumId="83" w15:restartNumberingAfterBreak="0">
    <w:nsid w:val="45CA1CA0"/>
    <w:multiLevelType w:val="hybridMultilevel"/>
    <w:tmpl w:val="4B74FB9A"/>
    <w:lvl w:ilvl="0" w:tplc="0410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4" w15:restartNumberingAfterBreak="0">
    <w:nsid w:val="46101FB5"/>
    <w:multiLevelType w:val="hybridMultilevel"/>
    <w:tmpl w:val="199AB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5" w15:restartNumberingAfterBreak="0">
    <w:nsid w:val="468F2093"/>
    <w:multiLevelType w:val="multilevel"/>
    <w:tmpl w:val="C99AB46E"/>
    <w:name w:val="NumPar2"/>
    <w:lvl w:ilvl="0">
      <w:start w:val="1"/>
      <w:numFmt w:val="decimal"/>
      <w:lvlRestart w:val="0"/>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47542ACE"/>
    <w:multiLevelType w:val="hybridMultilevel"/>
    <w:tmpl w:val="CDCC8024"/>
    <w:lvl w:ilvl="0" w:tplc="71AC6508">
      <w:start w:val="1"/>
      <w:numFmt w:val="lowerRoman"/>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7" w15:restartNumberingAfterBreak="0">
    <w:nsid w:val="483C6ACF"/>
    <w:multiLevelType w:val="hybridMultilevel"/>
    <w:tmpl w:val="B110549E"/>
    <w:name w:val="Heading22"/>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8" w15:restartNumberingAfterBreak="0">
    <w:nsid w:val="48D00E20"/>
    <w:multiLevelType w:val="hybridMultilevel"/>
    <w:tmpl w:val="CCC06296"/>
    <w:lvl w:ilvl="0" w:tplc="EADA3AE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9" w15:restartNumberingAfterBreak="0">
    <w:nsid w:val="493B5AE0"/>
    <w:multiLevelType w:val="hybridMultilevel"/>
    <w:tmpl w:val="72A80998"/>
    <w:lvl w:ilvl="0" w:tplc="6E6EFFBA">
      <w:start w:val="1"/>
      <w:numFmt w:val="bullet"/>
      <w:lvlText w:val=""/>
      <w:lvlJc w:val="left"/>
      <w:pPr>
        <w:ind w:left="720" w:hanging="360"/>
      </w:pPr>
      <w:rPr>
        <w:rFonts w:ascii="Symbol" w:hAnsi="Symbol" w:hint="default"/>
      </w:rPr>
    </w:lvl>
    <w:lvl w:ilvl="1" w:tplc="1C1CCC76">
      <w:start w:val="1"/>
      <w:numFmt w:val="bullet"/>
      <w:lvlText w:val="o"/>
      <w:lvlJc w:val="left"/>
      <w:pPr>
        <w:ind w:left="1440" w:hanging="360"/>
      </w:pPr>
      <w:rPr>
        <w:rFonts w:ascii="Courier New" w:hAnsi="Courier New" w:hint="default"/>
      </w:rPr>
    </w:lvl>
    <w:lvl w:ilvl="2" w:tplc="61486A5C">
      <w:start w:val="1"/>
      <w:numFmt w:val="bullet"/>
      <w:lvlText w:val=""/>
      <w:lvlJc w:val="left"/>
      <w:pPr>
        <w:ind w:left="2160" w:hanging="360"/>
      </w:pPr>
      <w:rPr>
        <w:rFonts w:ascii="Wingdings" w:hAnsi="Wingdings" w:hint="default"/>
      </w:rPr>
    </w:lvl>
    <w:lvl w:ilvl="3" w:tplc="B39C15D8">
      <w:start w:val="1"/>
      <w:numFmt w:val="bullet"/>
      <w:lvlText w:val=""/>
      <w:lvlJc w:val="left"/>
      <w:pPr>
        <w:ind w:left="2880" w:hanging="360"/>
      </w:pPr>
      <w:rPr>
        <w:rFonts w:ascii="Symbol" w:hAnsi="Symbol" w:hint="default"/>
      </w:rPr>
    </w:lvl>
    <w:lvl w:ilvl="4" w:tplc="569E71DA">
      <w:start w:val="1"/>
      <w:numFmt w:val="bullet"/>
      <w:lvlText w:val="o"/>
      <w:lvlJc w:val="left"/>
      <w:pPr>
        <w:ind w:left="3600" w:hanging="360"/>
      </w:pPr>
      <w:rPr>
        <w:rFonts w:ascii="Courier New" w:hAnsi="Courier New" w:hint="default"/>
      </w:rPr>
    </w:lvl>
    <w:lvl w:ilvl="5" w:tplc="125CBE6E">
      <w:start w:val="1"/>
      <w:numFmt w:val="bullet"/>
      <w:lvlText w:val=""/>
      <w:lvlJc w:val="left"/>
      <w:pPr>
        <w:ind w:left="4320" w:hanging="360"/>
      </w:pPr>
      <w:rPr>
        <w:rFonts w:ascii="Wingdings" w:hAnsi="Wingdings" w:hint="default"/>
      </w:rPr>
    </w:lvl>
    <w:lvl w:ilvl="6" w:tplc="330E1BAC">
      <w:start w:val="1"/>
      <w:numFmt w:val="bullet"/>
      <w:lvlText w:val=""/>
      <w:lvlJc w:val="left"/>
      <w:pPr>
        <w:ind w:left="5040" w:hanging="360"/>
      </w:pPr>
      <w:rPr>
        <w:rFonts w:ascii="Symbol" w:hAnsi="Symbol" w:hint="default"/>
      </w:rPr>
    </w:lvl>
    <w:lvl w:ilvl="7" w:tplc="0B4CB97C">
      <w:start w:val="1"/>
      <w:numFmt w:val="bullet"/>
      <w:lvlText w:val="o"/>
      <w:lvlJc w:val="left"/>
      <w:pPr>
        <w:ind w:left="5760" w:hanging="360"/>
      </w:pPr>
      <w:rPr>
        <w:rFonts w:ascii="Courier New" w:hAnsi="Courier New" w:hint="default"/>
      </w:rPr>
    </w:lvl>
    <w:lvl w:ilvl="8" w:tplc="60B6A082">
      <w:start w:val="1"/>
      <w:numFmt w:val="bullet"/>
      <w:lvlText w:val=""/>
      <w:lvlJc w:val="left"/>
      <w:pPr>
        <w:ind w:left="6480" w:hanging="360"/>
      </w:pPr>
      <w:rPr>
        <w:rFonts w:ascii="Wingdings" w:hAnsi="Wingdings" w:hint="default"/>
      </w:rPr>
    </w:lvl>
  </w:abstractNum>
  <w:abstractNum w:abstractNumId="90" w15:restartNumberingAfterBreak="0">
    <w:nsid w:val="49D773DC"/>
    <w:multiLevelType w:val="hybridMultilevel"/>
    <w:tmpl w:val="E1EE12C2"/>
    <w:lvl w:ilvl="0" w:tplc="873C997E">
      <w:numFmt w:val="bullet"/>
      <w:lvlText w:val="-"/>
      <w:lvlJc w:val="left"/>
      <w:pPr>
        <w:ind w:left="720" w:hanging="360"/>
      </w:pPr>
      <w:rPr>
        <w:rFonts w:ascii="Times New Roman" w:eastAsia="Times New Roman"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1" w15:restartNumberingAfterBreak="0">
    <w:nsid w:val="4A667F9E"/>
    <w:multiLevelType w:val="hybridMultilevel"/>
    <w:tmpl w:val="24D0B19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2" w15:restartNumberingAfterBreak="0">
    <w:nsid w:val="4C4115D3"/>
    <w:multiLevelType w:val="hybridMultilevel"/>
    <w:tmpl w:val="D4E4AC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3" w15:restartNumberingAfterBreak="0">
    <w:nsid w:val="4F7D33CD"/>
    <w:multiLevelType w:val="hybridMultilevel"/>
    <w:tmpl w:val="033A27AA"/>
    <w:lvl w:ilvl="0" w:tplc="FFFFFFFF">
      <w:start w:val="1"/>
      <w:numFmt w:val="bullet"/>
      <w:lvlText w:val="·"/>
      <w:lvlJc w:val="left"/>
      <w:pPr>
        <w:ind w:left="720" w:hanging="360"/>
      </w:pPr>
      <w:rPr>
        <w:rFonts w:ascii="Symbol" w:hAnsi="Symbol" w:hint="default"/>
      </w:rPr>
    </w:lvl>
    <w:lvl w:ilvl="1" w:tplc="B50E7C80">
      <w:start w:val="1"/>
      <w:numFmt w:val="bullet"/>
      <w:lvlText w:val="o"/>
      <w:lvlJc w:val="left"/>
      <w:pPr>
        <w:ind w:left="1440" w:hanging="360"/>
      </w:pPr>
      <w:rPr>
        <w:rFonts w:ascii="Courier New" w:hAnsi="Courier New" w:hint="default"/>
      </w:rPr>
    </w:lvl>
    <w:lvl w:ilvl="2" w:tplc="B582F2EC">
      <w:start w:val="1"/>
      <w:numFmt w:val="bullet"/>
      <w:lvlText w:val=""/>
      <w:lvlJc w:val="left"/>
      <w:pPr>
        <w:ind w:left="2160" w:hanging="360"/>
      </w:pPr>
      <w:rPr>
        <w:rFonts w:ascii="Wingdings" w:hAnsi="Wingdings" w:hint="default"/>
      </w:rPr>
    </w:lvl>
    <w:lvl w:ilvl="3" w:tplc="CFA22DC0">
      <w:start w:val="1"/>
      <w:numFmt w:val="bullet"/>
      <w:lvlText w:val=""/>
      <w:lvlJc w:val="left"/>
      <w:pPr>
        <w:ind w:left="2880" w:hanging="360"/>
      </w:pPr>
      <w:rPr>
        <w:rFonts w:ascii="Symbol" w:hAnsi="Symbol" w:hint="default"/>
      </w:rPr>
    </w:lvl>
    <w:lvl w:ilvl="4" w:tplc="A090585A">
      <w:start w:val="1"/>
      <w:numFmt w:val="bullet"/>
      <w:lvlText w:val="o"/>
      <w:lvlJc w:val="left"/>
      <w:pPr>
        <w:ind w:left="3600" w:hanging="360"/>
      </w:pPr>
      <w:rPr>
        <w:rFonts w:ascii="Courier New" w:hAnsi="Courier New" w:hint="default"/>
      </w:rPr>
    </w:lvl>
    <w:lvl w:ilvl="5" w:tplc="DC34638A">
      <w:start w:val="1"/>
      <w:numFmt w:val="bullet"/>
      <w:lvlText w:val=""/>
      <w:lvlJc w:val="left"/>
      <w:pPr>
        <w:ind w:left="4320" w:hanging="360"/>
      </w:pPr>
      <w:rPr>
        <w:rFonts w:ascii="Wingdings" w:hAnsi="Wingdings" w:hint="default"/>
      </w:rPr>
    </w:lvl>
    <w:lvl w:ilvl="6" w:tplc="0B50478A">
      <w:start w:val="1"/>
      <w:numFmt w:val="bullet"/>
      <w:lvlText w:val=""/>
      <w:lvlJc w:val="left"/>
      <w:pPr>
        <w:ind w:left="5040" w:hanging="360"/>
      </w:pPr>
      <w:rPr>
        <w:rFonts w:ascii="Symbol" w:hAnsi="Symbol" w:hint="default"/>
      </w:rPr>
    </w:lvl>
    <w:lvl w:ilvl="7" w:tplc="F0F48B46">
      <w:start w:val="1"/>
      <w:numFmt w:val="bullet"/>
      <w:lvlText w:val="o"/>
      <w:lvlJc w:val="left"/>
      <w:pPr>
        <w:ind w:left="5760" w:hanging="360"/>
      </w:pPr>
      <w:rPr>
        <w:rFonts w:ascii="Courier New" w:hAnsi="Courier New" w:hint="default"/>
      </w:rPr>
    </w:lvl>
    <w:lvl w:ilvl="8" w:tplc="A1AE2EFE">
      <w:start w:val="1"/>
      <w:numFmt w:val="bullet"/>
      <w:lvlText w:val=""/>
      <w:lvlJc w:val="left"/>
      <w:pPr>
        <w:ind w:left="6480" w:hanging="360"/>
      </w:pPr>
      <w:rPr>
        <w:rFonts w:ascii="Wingdings" w:hAnsi="Wingdings" w:hint="default"/>
      </w:rPr>
    </w:lvl>
  </w:abstractNum>
  <w:abstractNum w:abstractNumId="94" w15:restartNumberingAfterBreak="0">
    <w:nsid w:val="52EC6ECC"/>
    <w:multiLevelType w:val="hybridMultilevel"/>
    <w:tmpl w:val="A5067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3DA2203"/>
    <w:multiLevelType w:val="hybridMultilevel"/>
    <w:tmpl w:val="0DE8BB92"/>
    <w:lvl w:ilvl="0" w:tplc="28B87E4A">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6" w15:restartNumberingAfterBreak="0">
    <w:nsid w:val="540174FD"/>
    <w:multiLevelType w:val="hybridMultilevel"/>
    <w:tmpl w:val="3836CA74"/>
    <w:lvl w:ilvl="0" w:tplc="43EAD3D8">
      <w:start w:val="1"/>
      <w:numFmt w:val="bullet"/>
      <w:lvlText w:val="-"/>
      <w:lvlJc w:val="left"/>
      <w:pPr>
        <w:ind w:left="720" w:hanging="360"/>
      </w:pPr>
      <w:rPr>
        <w:rFonts w:ascii="Symbol" w:hAnsi="Symbol" w:hint="default"/>
      </w:rPr>
    </w:lvl>
    <w:lvl w:ilvl="1" w:tplc="C33687BC">
      <w:start w:val="1"/>
      <w:numFmt w:val="bullet"/>
      <w:lvlText w:val="o"/>
      <w:lvlJc w:val="left"/>
      <w:pPr>
        <w:ind w:left="1440" w:hanging="360"/>
      </w:pPr>
      <w:rPr>
        <w:rFonts w:ascii="Courier New" w:hAnsi="Courier New" w:hint="default"/>
      </w:rPr>
    </w:lvl>
    <w:lvl w:ilvl="2" w:tplc="B2CCF1B4">
      <w:start w:val="1"/>
      <w:numFmt w:val="bullet"/>
      <w:lvlText w:val=""/>
      <w:lvlJc w:val="left"/>
      <w:pPr>
        <w:ind w:left="2160" w:hanging="360"/>
      </w:pPr>
      <w:rPr>
        <w:rFonts w:ascii="Wingdings" w:hAnsi="Wingdings" w:hint="default"/>
      </w:rPr>
    </w:lvl>
    <w:lvl w:ilvl="3" w:tplc="411657AC">
      <w:start w:val="1"/>
      <w:numFmt w:val="bullet"/>
      <w:lvlText w:val=""/>
      <w:lvlJc w:val="left"/>
      <w:pPr>
        <w:ind w:left="2880" w:hanging="360"/>
      </w:pPr>
      <w:rPr>
        <w:rFonts w:ascii="Symbol" w:hAnsi="Symbol" w:hint="default"/>
      </w:rPr>
    </w:lvl>
    <w:lvl w:ilvl="4" w:tplc="BDC6F242">
      <w:start w:val="1"/>
      <w:numFmt w:val="bullet"/>
      <w:lvlText w:val="o"/>
      <w:lvlJc w:val="left"/>
      <w:pPr>
        <w:ind w:left="3600" w:hanging="360"/>
      </w:pPr>
      <w:rPr>
        <w:rFonts w:ascii="Courier New" w:hAnsi="Courier New" w:hint="default"/>
      </w:rPr>
    </w:lvl>
    <w:lvl w:ilvl="5" w:tplc="77301190">
      <w:start w:val="1"/>
      <w:numFmt w:val="bullet"/>
      <w:lvlText w:val=""/>
      <w:lvlJc w:val="left"/>
      <w:pPr>
        <w:ind w:left="4320" w:hanging="360"/>
      </w:pPr>
      <w:rPr>
        <w:rFonts w:ascii="Wingdings" w:hAnsi="Wingdings" w:hint="default"/>
      </w:rPr>
    </w:lvl>
    <w:lvl w:ilvl="6" w:tplc="3E72EFDA">
      <w:start w:val="1"/>
      <w:numFmt w:val="bullet"/>
      <w:lvlText w:val=""/>
      <w:lvlJc w:val="left"/>
      <w:pPr>
        <w:ind w:left="5040" w:hanging="360"/>
      </w:pPr>
      <w:rPr>
        <w:rFonts w:ascii="Symbol" w:hAnsi="Symbol" w:hint="default"/>
      </w:rPr>
    </w:lvl>
    <w:lvl w:ilvl="7" w:tplc="187CAED0">
      <w:start w:val="1"/>
      <w:numFmt w:val="bullet"/>
      <w:lvlText w:val="o"/>
      <w:lvlJc w:val="left"/>
      <w:pPr>
        <w:ind w:left="5760" w:hanging="360"/>
      </w:pPr>
      <w:rPr>
        <w:rFonts w:ascii="Courier New" w:hAnsi="Courier New" w:hint="default"/>
      </w:rPr>
    </w:lvl>
    <w:lvl w:ilvl="8" w:tplc="FE942D0A">
      <w:start w:val="1"/>
      <w:numFmt w:val="bullet"/>
      <w:lvlText w:val=""/>
      <w:lvlJc w:val="left"/>
      <w:pPr>
        <w:ind w:left="6480" w:hanging="360"/>
      </w:pPr>
      <w:rPr>
        <w:rFonts w:ascii="Wingdings" w:hAnsi="Wingdings" w:hint="default"/>
      </w:rPr>
    </w:lvl>
  </w:abstractNum>
  <w:abstractNum w:abstractNumId="97" w15:restartNumberingAfterBreak="0">
    <w:nsid w:val="542F57C6"/>
    <w:multiLevelType w:val="hybridMultilevel"/>
    <w:tmpl w:val="1100798C"/>
    <w:lvl w:ilvl="0" w:tplc="DE7CF29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99" w15:restartNumberingAfterBreak="0">
    <w:nsid w:val="559B6D28"/>
    <w:multiLevelType w:val="hybridMultilevel"/>
    <w:tmpl w:val="F1F6F1A4"/>
    <w:lvl w:ilvl="0" w:tplc="D8CCA47E">
      <w:start w:val="1"/>
      <w:numFmt w:val="bullet"/>
      <w:lvlText w:val="-"/>
      <w:lvlJc w:val="left"/>
      <w:pPr>
        <w:ind w:left="1429" w:hanging="360"/>
      </w:pPr>
      <w:rPr>
        <w:rFonts w:ascii="&quot;Times New Roman&quot;,serif" w:hAnsi="&quot;Times New Roman&quot;,serif"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0" w15:restartNumberingAfterBreak="0">
    <w:nsid w:val="55C10E65"/>
    <w:multiLevelType w:val="multilevel"/>
    <w:tmpl w:val="8D7C4D2A"/>
    <w:lvl w:ilvl="0">
      <w:start w:val="1"/>
      <w:numFmt w:val="decimal"/>
      <w:pStyle w:val="LegalNumPar"/>
      <w:lvlText w:val="%1."/>
      <w:lvlJc w:val="left"/>
      <w:pPr>
        <w:ind w:left="476" w:hanging="476"/>
      </w:pPr>
      <w:rPr>
        <w:rFonts w:hint="default"/>
        <w:b/>
        <w:bCs/>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15:restartNumberingAfterBreak="0">
    <w:nsid w:val="58306812"/>
    <w:multiLevelType w:val="hybridMultilevel"/>
    <w:tmpl w:val="A414406A"/>
    <w:lvl w:ilvl="0" w:tplc="81704D26">
      <w:start w:val="1"/>
      <w:numFmt w:val="decimal"/>
      <w:lvlText w:val="%1."/>
      <w:lvlJc w:val="left"/>
      <w:pPr>
        <w:ind w:left="720" w:hanging="360"/>
      </w:pPr>
    </w:lvl>
    <w:lvl w:ilvl="1" w:tplc="3812771A">
      <w:start w:val="1"/>
      <w:numFmt w:val="lowerLetter"/>
      <w:lvlText w:val="%2."/>
      <w:lvlJc w:val="left"/>
      <w:pPr>
        <w:ind w:left="1440" w:hanging="360"/>
      </w:pPr>
    </w:lvl>
    <w:lvl w:ilvl="2" w:tplc="BCCC7F8E">
      <w:start w:val="1"/>
      <w:numFmt w:val="lowerRoman"/>
      <w:lvlText w:val="%3."/>
      <w:lvlJc w:val="right"/>
      <w:pPr>
        <w:ind w:left="2160" w:hanging="180"/>
      </w:pPr>
    </w:lvl>
    <w:lvl w:ilvl="3" w:tplc="ED1E3E9A">
      <w:start w:val="1"/>
      <w:numFmt w:val="decimal"/>
      <w:lvlText w:val="%4."/>
      <w:lvlJc w:val="left"/>
      <w:pPr>
        <w:ind w:left="2880" w:hanging="360"/>
      </w:pPr>
    </w:lvl>
    <w:lvl w:ilvl="4" w:tplc="200832B0">
      <w:start w:val="1"/>
      <w:numFmt w:val="lowerLetter"/>
      <w:lvlText w:val="%5."/>
      <w:lvlJc w:val="left"/>
      <w:pPr>
        <w:ind w:left="3600" w:hanging="360"/>
      </w:pPr>
    </w:lvl>
    <w:lvl w:ilvl="5" w:tplc="07C8DB6C">
      <w:start w:val="1"/>
      <w:numFmt w:val="lowerRoman"/>
      <w:lvlText w:val="%6."/>
      <w:lvlJc w:val="right"/>
      <w:pPr>
        <w:ind w:left="4320" w:hanging="180"/>
      </w:pPr>
    </w:lvl>
    <w:lvl w:ilvl="6" w:tplc="7DB27892">
      <w:start w:val="1"/>
      <w:numFmt w:val="decimal"/>
      <w:lvlText w:val="%7."/>
      <w:lvlJc w:val="left"/>
      <w:pPr>
        <w:ind w:left="5040" w:hanging="360"/>
      </w:pPr>
    </w:lvl>
    <w:lvl w:ilvl="7" w:tplc="E16EB3FA">
      <w:start w:val="1"/>
      <w:numFmt w:val="lowerLetter"/>
      <w:lvlText w:val="%8."/>
      <w:lvlJc w:val="left"/>
      <w:pPr>
        <w:ind w:left="5760" w:hanging="360"/>
      </w:pPr>
    </w:lvl>
    <w:lvl w:ilvl="8" w:tplc="2398F53E">
      <w:start w:val="1"/>
      <w:numFmt w:val="lowerRoman"/>
      <w:lvlText w:val="%9."/>
      <w:lvlJc w:val="right"/>
      <w:pPr>
        <w:ind w:left="6480" w:hanging="180"/>
      </w:pPr>
    </w:lvl>
  </w:abstractNum>
  <w:abstractNum w:abstractNumId="102" w15:restartNumberingAfterBreak="0">
    <w:nsid w:val="58E05220"/>
    <w:multiLevelType w:val="hybridMultilevel"/>
    <w:tmpl w:val="B378B32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0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6" w15:restartNumberingAfterBreak="0">
    <w:nsid w:val="5E2E53FD"/>
    <w:multiLevelType w:val="hybridMultilevel"/>
    <w:tmpl w:val="CCCE8B74"/>
    <w:lvl w:ilvl="0" w:tplc="0410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F0D4639"/>
    <w:multiLevelType w:val="hybridMultilevel"/>
    <w:tmpl w:val="7A1CF0CE"/>
    <w:lvl w:ilvl="0" w:tplc="8EBEB170">
      <w:start w:val="1"/>
      <w:numFmt w:val="decimal"/>
      <w:lvlText w:val="%1."/>
      <w:lvlJc w:val="left"/>
      <w:pPr>
        <w:ind w:left="288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8" w15:restartNumberingAfterBreak="0">
    <w:nsid w:val="60601DA6"/>
    <w:multiLevelType w:val="hybridMultilevel"/>
    <w:tmpl w:val="50EE3990"/>
    <w:lvl w:ilvl="0" w:tplc="0809000F">
      <w:start w:val="1"/>
      <w:numFmt w:val="decimal"/>
      <w:lvlText w:val="%1."/>
      <w:lvlJc w:val="left"/>
      <w:pPr>
        <w:ind w:left="1490" w:hanging="360"/>
      </w:p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109" w15:restartNumberingAfterBreak="0">
    <w:nsid w:val="624AD152"/>
    <w:multiLevelType w:val="hybridMultilevel"/>
    <w:tmpl w:val="88BC0D52"/>
    <w:lvl w:ilvl="0" w:tplc="57D01C9A">
      <w:start w:val="5"/>
      <w:numFmt w:val="decimal"/>
      <w:lvlText w:val="%1."/>
      <w:lvlJc w:val="left"/>
      <w:pPr>
        <w:ind w:left="720" w:hanging="360"/>
      </w:pPr>
    </w:lvl>
    <w:lvl w:ilvl="1" w:tplc="BB763844">
      <w:start w:val="1"/>
      <w:numFmt w:val="lowerLetter"/>
      <w:lvlText w:val="%2."/>
      <w:lvlJc w:val="left"/>
      <w:pPr>
        <w:ind w:left="1440" w:hanging="360"/>
      </w:pPr>
    </w:lvl>
    <w:lvl w:ilvl="2" w:tplc="16200EBC">
      <w:start w:val="1"/>
      <w:numFmt w:val="lowerRoman"/>
      <w:lvlText w:val="%3."/>
      <w:lvlJc w:val="right"/>
      <w:pPr>
        <w:ind w:left="2160" w:hanging="180"/>
      </w:pPr>
    </w:lvl>
    <w:lvl w:ilvl="3" w:tplc="B7BAEAE6">
      <w:start w:val="1"/>
      <w:numFmt w:val="decimal"/>
      <w:lvlText w:val="%4."/>
      <w:lvlJc w:val="left"/>
      <w:pPr>
        <w:ind w:left="2880" w:hanging="360"/>
      </w:pPr>
    </w:lvl>
    <w:lvl w:ilvl="4" w:tplc="1C36C86A">
      <w:start w:val="1"/>
      <w:numFmt w:val="lowerLetter"/>
      <w:lvlText w:val="%5."/>
      <w:lvlJc w:val="left"/>
      <w:pPr>
        <w:ind w:left="3600" w:hanging="360"/>
      </w:pPr>
    </w:lvl>
    <w:lvl w:ilvl="5" w:tplc="3E42E02A">
      <w:start w:val="1"/>
      <w:numFmt w:val="lowerRoman"/>
      <w:lvlText w:val="%6."/>
      <w:lvlJc w:val="right"/>
      <w:pPr>
        <w:ind w:left="4320" w:hanging="180"/>
      </w:pPr>
    </w:lvl>
    <w:lvl w:ilvl="6" w:tplc="5D22767E">
      <w:start w:val="1"/>
      <w:numFmt w:val="decimal"/>
      <w:lvlText w:val="%7."/>
      <w:lvlJc w:val="left"/>
      <w:pPr>
        <w:ind w:left="5040" w:hanging="360"/>
      </w:pPr>
    </w:lvl>
    <w:lvl w:ilvl="7" w:tplc="3B629350">
      <w:start w:val="1"/>
      <w:numFmt w:val="lowerLetter"/>
      <w:lvlText w:val="%8."/>
      <w:lvlJc w:val="left"/>
      <w:pPr>
        <w:ind w:left="5760" w:hanging="360"/>
      </w:pPr>
    </w:lvl>
    <w:lvl w:ilvl="8" w:tplc="F24E56F6">
      <w:start w:val="1"/>
      <w:numFmt w:val="lowerRoman"/>
      <w:lvlText w:val="%9."/>
      <w:lvlJc w:val="right"/>
      <w:pPr>
        <w:ind w:left="6480" w:hanging="180"/>
      </w:pPr>
    </w:lvl>
  </w:abstractNum>
  <w:abstractNum w:abstractNumId="110" w15:restartNumberingAfterBreak="0">
    <w:nsid w:val="63A15AD3"/>
    <w:multiLevelType w:val="hybridMultilevel"/>
    <w:tmpl w:val="13087CA4"/>
    <w:lvl w:ilvl="0" w:tplc="D4E27C9A">
      <w:start w:val="1"/>
      <w:numFmt w:val="bullet"/>
      <w:pStyle w:val="TOC1"/>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1" w15:restartNumberingAfterBreak="0">
    <w:nsid w:val="64A12FA4"/>
    <w:multiLevelType w:val="multilevel"/>
    <w:tmpl w:val="01AC73DA"/>
    <w:name w:val="Heading"/>
    <w:lvl w:ilvl="0">
      <w:start w:val="1"/>
      <w:numFmt w:val="decimal"/>
      <w:lvlRestart w:val="0"/>
      <w:pStyle w:val="Heading1"/>
      <w:lvlText w:val="%1."/>
      <w:lvlJc w:val="left"/>
      <w:pPr>
        <w:tabs>
          <w:tab w:val="num" w:pos="850"/>
        </w:tabs>
        <w:ind w:left="850" w:hanging="850"/>
      </w:pPr>
      <w:rPr>
        <w:rFonts w:hint="default"/>
      </w:rPr>
    </w:lvl>
    <w:lvl w:ilvl="1">
      <w:start w:val="1"/>
      <w:numFmt w:val="decimal"/>
      <w:pStyle w:val="Heading2"/>
      <w:lvlText w:val="%1.%2."/>
      <w:lvlJc w:val="left"/>
      <w:pPr>
        <w:tabs>
          <w:tab w:val="num" w:pos="850"/>
        </w:tabs>
        <w:ind w:left="850" w:hanging="850"/>
      </w:pPr>
      <w:rPr>
        <w:rFonts w:hint="default"/>
      </w:rPr>
    </w:lvl>
    <w:lvl w:ilvl="2">
      <w:start w:val="1"/>
      <w:numFmt w:val="decimal"/>
      <w:pStyle w:val="Heading3"/>
      <w:lvlText w:val="%1.%2.%3."/>
      <w:lvlJc w:val="left"/>
      <w:pPr>
        <w:tabs>
          <w:tab w:val="num" w:pos="850"/>
        </w:tabs>
        <w:ind w:left="850" w:hanging="850"/>
      </w:pPr>
      <w:rPr>
        <w:rFonts w:hint="default"/>
      </w:rPr>
    </w:lvl>
    <w:lvl w:ilvl="3">
      <w:start w:val="1"/>
      <w:numFmt w:val="decimal"/>
      <w:pStyle w:val="Heading4"/>
      <w:lvlText w:val="%1.%2.%3.%4."/>
      <w:lvlJc w:val="left"/>
      <w:pPr>
        <w:tabs>
          <w:tab w:val="num" w:pos="850"/>
        </w:tabs>
        <w:ind w:left="850" w:hanging="85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64EC091A"/>
    <w:multiLevelType w:val="hybridMultilevel"/>
    <w:tmpl w:val="A5402258"/>
    <w:lvl w:ilvl="0" w:tplc="6B703342">
      <w:numFmt w:val="bullet"/>
      <w:lvlText w:val="-"/>
      <w:lvlJc w:val="left"/>
      <w:pPr>
        <w:ind w:left="360" w:hanging="360"/>
      </w:pPr>
      <w:rPr>
        <w:rFonts w:ascii="Calibri" w:eastAsiaTheme="minorHAnsi" w:hAnsi="Calibri" w:cs="Calibr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3" w15:restartNumberingAfterBreak="0">
    <w:nsid w:val="65344C90"/>
    <w:multiLevelType w:val="hybridMultilevel"/>
    <w:tmpl w:val="475E3F6E"/>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4" w15:restartNumberingAfterBreak="0">
    <w:nsid w:val="674B6638"/>
    <w:multiLevelType w:val="hybridMultilevel"/>
    <w:tmpl w:val="82AED0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16" w15:restartNumberingAfterBreak="0">
    <w:nsid w:val="68275928"/>
    <w:multiLevelType w:val="hybridMultilevel"/>
    <w:tmpl w:val="EEA83D3E"/>
    <w:lvl w:ilvl="0" w:tplc="0310DEC8">
      <w:start w:val="1"/>
      <w:numFmt w:val="decimal"/>
      <w:lvlText w:val="%1."/>
      <w:lvlJc w:val="left"/>
      <w:pPr>
        <w:ind w:left="720" w:hanging="360"/>
      </w:pPr>
    </w:lvl>
    <w:lvl w:ilvl="1" w:tplc="4296C1E0">
      <w:start w:val="1"/>
      <w:numFmt w:val="lowerLetter"/>
      <w:lvlText w:val="%2."/>
      <w:lvlJc w:val="left"/>
      <w:pPr>
        <w:ind w:left="1440" w:hanging="360"/>
      </w:pPr>
    </w:lvl>
    <w:lvl w:ilvl="2" w:tplc="251874FE">
      <w:start w:val="1"/>
      <w:numFmt w:val="lowerRoman"/>
      <w:lvlText w:val="%3."/>
      <w:lvlJc w:val="right"/>
      <w:pPr>
        <w:ind w:left="2160" w:hanging="180"/>
      </w:pPr>
    </w:lvl>
    <w:lvl w:ilvl="3" w:tplc="D0BE86EC">
      <w:start w:val="1"/>
      <w:numFmt w:val="decimal"/>
      <w:lvlText w:val="%4."/>
      <w:lvlJc w:val="left"/>
      <w:pPr>
        <w:ind w:left="2880" w:hanging="360"/>
      </w:pPr>
    </w:lvl>
    <w:lvl w:ilvl="4" w:tplc="742AF87E">
      <w:start w:val="1"/>
      <w:numFmt w:val="lowerLetter"/>
      <w:lvlText w:val="%5."/>
      <w:lvlJc w:val="left"/>
      <w:pPr>
        <w:ind w:left="3600" w:hanging="360"/>
      </w:pPr>
    </w:lvl>
    <w:lvl w:ilvl="5" w:tplc="7D0A5CF0">
      <w:start w:val="1"/>
      <w:numFmt w:val="lowerRoman"/>
      <w:lvlText w:val="%6."/>
      <w:lvlJc w:val="right"/>
      <w:pPr>
        <w:ind w:left="4320" w:hanging="180"/>
      </w:pPr>
    </w:lvl>
    <w:lvl w:ilvl="6" w:tplc="BA7CCF8E">
      <w:start w:val="1"/>
      <w:numFmt w:val="decimal"/>
      <w:lvlText w:val="%7."/>
      <w:lvlJc w:val="left"/>
      <w:pPr>
        <w:ind w:left="5040" w:hanging="360"/>
      </w:pPr>
    </w:lvl>
    <w:lvl w:ilvl="7" w:tplc="F68027A2">
      <w:start w:val="1"/>
      <w:numFmt w:val="lowerLetter"/>
      <w:lvlText w:val="%8."/>
      <w:lvlJc w:val="left"/>
      <w:pPr>
        <w:ind w:left="5760" w:hanging="360"/>
      </w:pPr>
    </w:lvl>
    <w:lvl w:ilvl="8" w:tplc="B8E6DEAE">
      <w:start w:val="1"/>
      <w:numFmt w:val="lowerRoman"/>
      <w:lvlText w:val="%9."/>
      <w:lvlJc w:val="right"/>
      <w:pPr>
        <w:ind w:left="6480" w:hanging="180"/>
      </w:pPr>
    </w:lvl>
  </w:abstractNum>
  <w:abstractNum w:abstractNumId="117" w15:restartNumberingAfterBreak="0">
    <w:nsid w:val="686C5300"/>
    <w:multiLevelType w:val="hybridMultilevel"/>
    <w:tmpl w:val="CDC23668"/>
    <w:lvl w:ilvl="0" w:tplc="B1C0C5CC">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8" w15:restartNumberingAfterBreak="0">
    <w:nsid w:val="69936A2E"/>
    <w:multiLevelType w:val="hybridMultilevel"/>
    <w:tmpl w:val="7DFCC346"/>
    <w:lvl w:ilvl="0" w:tplc="5380BE8C">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9" w15:restartNumberingAfterBreak="0">
    <w:nsid w:val="6B9B6369"/>
    <w:multiLevelType w:val="hybridMultilevel"/>
    <w:tmpl w:val="15EAFC7E"/>
    <w:lvl w:ilvl="0" w:tplc="2DBE2F9C">
      <w:start w:val="1"/>
      <w:numFmt w:val="decimal"/>
      <w:lvlText w:val="%1."/>
      <w:lvlJc w:val="left"/>
      <w:pPr>
        <w:ind w:left="1080" w:hanging="360"/>
      </w:pPr>
    </w:lvl>
    <w:lvl w:ilvl="1" w:tplc="C3820358">
      <w:start w:val="1"/>
      <w:numFmt w:val="lowerLetter"/>
      <w:lvlText w:val="%2."/>
      <w:lvlJc w:val="left"/>
      <w:pPr>
        <w:ind w:left="1800" w:hanging="360"/>
      </w:pPr>
    </w:lvl>
    <w:lvl w:ilvl="2" w:tplc="B9D2414A">
      <w:start w:val="1"/>
      <w:numFmt w:val="lowerRoman"/>
      <w:lvlText w:val="%3."/>
      <w:lvlJc w:val="right"/>
      <w:pPr>
        <w:ind w:left="2520" w:hanging="180"/>
      </w:pPr>
    </w:lvl>
    <w:lvl w:ilvl="3" w:tplc="FFEA6E2E">
      <w:start w:val="1"/>
      <w:numFmt w:val="decimal"/>
      <w:lvlText w:val="%4."/>
      <w:lvlJc w:val="left"/>
      <w:pPr>
        <w:ind w:left="3240" w:hanging="360"/>
      </w:pPr>
    </w:lvl>
    <w:lvl w:ilvl="4" w:tplc="7278C902">
      <w:start w:val="1"/>
      <w:numFmt w:val="lowerLetter"/>
      <w:lvlText w:val="%5."/>
      <w:lvlJc w:val="left"/>
      <w:pPr>
        <w:ind w:left="3960" w:hanging="360"/>
      </w:pPr>
    </w:lvl>
    <w:lvl w:ilvl="5" w:tplc="06902786">
      <w:start w:val="1"/>
      <w:numFmt w:val="lowerRoman"/>
      <w:lvlText w:val="%6."/>
      <w:lvlJc w:val="right"/>
      <w:pPr>
        <w:ind w:left="4680" w:hanging="180"/>
      </w:pPr>
    </w:lvl>
    <w:lvl w:ilvl="6" w:tplc="85AA4446">
      <w:start w:val="1"/>
      <w:numFmt w:val="decimal"/>
      <w:lvlText w:val="%7."/>
      <w:lvlJc w:val="left"/>
      <w:pPr>
        <w:ind w:left="5400" w:hanging="360"/>
      </w:pPr>
    </w:lvl>
    <w:lvl w:ilvl="7" w:tplc="A01E4640">
      <w:start w:val="1"/>
      <w:numFmt w:val="lowerLetter"/>
      <w:lvlText w:val="%8."/>
      <w:lvlJc w:val="left"/>
      <w:pPr>
        <w:ind w:left="6120" w:hanging="360"/>
      </w:pPr>
    </w:lvl>
    <w:lvl w:ilvl="8" w:tplc="8C5E8914">
      <w:start w:val="1"/>
      <w:numFmt w:val="lowerRoman"/>
      <w:lvlText w:val="%9."/>
      <w:lvlJc w:val="right"/>
      <w:pPr>
        <w:ind w:left="6840" w:hanging="180"/>
      </w:pPr>
    </w:lvl>
  </w:abstractNum>
  <w:abstractNum w:abstractNumId="120" w15:restartNumberingAfterBreak="0">
    <w:nsid w:val="6DA324ED"/>
    <w:multiLevelType w:val="hybridMultilevel"/>
    <w:tmpl w:val="AB046AC0"/>
    <w:lvl w:ilvl="0" w:tplc="C3145206">
      <w:start w:val="4"/>
      <w:numFmt w:val="decimal"/>
      <w:lvlText w:val="%1."/>
      <w:lvlJc w:val="left"/>
      <w:pPr>
        <w:ind w:left="720" w:hanging="360"/>
      </w:pPr>
    </w:lvl>
    <w:lvl w:ilvl="1" w:tplc="16562EF0">
      <w:start w:val="1"/>
      <w:numFmt w:val="lowerLetter"/>
      <w:lvlText w:val="%2."/>
      <w:lvlJc w:val="left"/>
      <w:pPr>
        <w:ind w:left="1440" w:hanging="360"/>
      </w:pPr>
    </w:lvl>
    <w:lvl w:ilvl="2" w:tplc="25409482">
      <w:start w:val="1"/>
      <w:numFmt w:val="lowerRoman"/>
      <w:lvlText w:val="%3."/>
      <w:lvlJc w:val="right"/>
      <w:pPr>
        <w:ind w:left="2160" w:hanging="180"/>
      </w:pPr>
    </w:lvl>
    <w:lvl w:ilvl="3" w:tplc="D3029B4A">
      <w:start w:val="1"/>
      <w:numFmt w:val="decimal"/>
      <w:lvlText w:val="%4."/>
      <w:lvlJc w:val="left"/>
      <w:pPr>
        <w:ind w:left="2880" w:hanging="360"/>
      </w:pPr>
    </w:lvl>
    <w:lvl w:ilvl="4" w:tplc="11066422">
      <w:start w:val="1"/>
      <w:numFmt w:val="lowerLetter"/>
      <w:lvlText w:val="%5."/>
      <w:lvlJc w:val="left"/>
      <w:pPr>
        <w:ind w:left="3600" w:hanging="360"/>
      </w:pPr>
    </w:lvl>
    <w:lvl w:ilvl="5" w:tplc="C8A61EE4">
      <w:start w:val="1"/>
      <w:numFmt w:val="lowerRoman"/>
      <w:lvlText w:val="%6."/>
      <w:lvlJc w:val="right"/>
      <w:pPr>
        <w:ind w:left="4320" w:hanging="180"/>
      </w:pPr>
    </w:lvl>
    <w:lvl w:ilvl="6" w:tplc="67A001A8">
      <w:start w:val="1"/>
      <w:numFmt w:val="decimal"/>
      <w:lvlText w:val="%7."/>
      <w:lvlJc w:val="left"/>
      <w:pPr>
        <w:ind w:left="5040" w:hanging="360"/>
      </w:pPr>
    </w:lvl>
    <w:lvl w:ilvl="7" w:tplc="CB1EC7B4">
      <w:start w:val="1"/>
      <w:numFmt w:val="lowerLetter"/>
      <w:lvlText w:val="%8."/>
      <w:lvlJc w:val="left"/>
      <w:pPr>
        <w:ind w:left="5760" w:hanging="360"/>
      </w:pPr>
    </w:lvl>
    <w:lvl w:ilvl="8" w:tplc="BC1E438C">
      <w:start w:val="1"/>
      <w:numFmt w:val="lowerRoman"/>
      <w:lvlText w:val="%9."/>
      <w:lvlJc w:val="right"/>
      <w:pPr>
        <w:ind w:left="6480" w:hanging="180"/>
      </w:pPr>
    </w:lvl>
  </w:abstractNum>
  <w:abstractNum w:abstractNumId="121" w15:restartNumberingAfterBreak="0">
    <w:nsid w:val="6DEA7483"/>
    <w:multiLevelType w:val="hybridMultilevel"/>
    <w:tmpl w:val="189A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DED619B"/>
    <w:multiLevelType w:val="hybridMultilevel"/>
    <w:tmpl w:val="FD30E5B0"/>
    <w:lvl w:ilvl="0" w:tplc="ADE0F75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3" w15:restartNumberingAfterBreak="0">
    <w:nsid w:val="6ED65A49"/>
    <w:multiLevelType w:val="hybridMultilevel"/>
    <w:tmpl w:val="0182460E"/>
    <w:lvl w:ilvl="0" w:tplc="1809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4" w15:restartNumberingAfterBreak="0">
    <w:nsid w:val="70257864"/>
    <w:multiLevelType w:val="hybridMultilevel"/>
    <w:tmpl w:val="B2D04A18"/>
    <w:lvl w:ilvl="0" w:tplc="7AACA2A8">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7027604A"/>
    <w:multiLevelType w:val="hybridMultilevel"/>
    <w:tmpl w:val="6894551A"/>
    <w:lvl w:ilvl="0" w:tplc="60C4BCA6">
      <w:start w:val="1"/>
      <w:numFmt w:val="lowerRoman"/>
      <w:lvlText w:val="%1."/>
      <w:lvlJc w:val="right"/>
      <w:pPr>
        <w:ind w:left="720" w:hanging="360"/>
      </w:pPr>
    </w:lvl>
    <w:lvl w:ilvl="1" w:tplc="D0DE7B0A">
      <w:start w:val="1"/>
      <w:numFmt w:val="lowerLetter"/>
      <w:lvlText w:val="%2."/>
      <w:lvlJc w:val="left"/>
      <w:pPr>
        <w:ind w:left="1440" w:hanging="360"/>
      </w:pPr>
    </w:lvl>
    <w:lvl w:ilvl="2" w:tplc="8A403568">
      <w:start w:val="1"/>
      <w:numFmt w:val="lowerRoman"/>
      <w:lvlText w:val="%3."/>
      <w:lvlJc w:val="right"/>
      <w:pPr>
        <w:ind w:left="2160" w:hanging="180"/>
      </w:pPr>
    </w:lvl>
    <w:lvl w:ilvl="3" w:tplc="4AD2D12C">
      <w:start w:val="1"/>
      <w:numFmt w:val="decimal"/>
      <w:lvlText w:val="%4."/>
      <w:lvlJc w:val="left"/>
      <w:pPr>
        <w:ind w:left="2880" w:hanging="360"/>
      </w:pPr>
    </w:lvl>
    <w:lvl w:ilvl="4" w:tplc="184466CE">
      <w:start w:val="1"/>
      <w:numFmt w:val="lowerLetter"/>
      <w:lvlText w:val="%5."/>
      <w:lvlJc w:val="left"/>
      <w:pPr>
        <w:ind w:left="3600" w:hanging="360"/>
      </w:pPr>
    </w:lvl>
    <w:lvl w:ilvl="5" w:tplc="4CE697FC">
      <w:start w:val="1"/>
      <w:numFmt w:val="lowerRoman"/>
      <w:lvlText w:val="%6."/>
      <w:lvlJc w:val="right"/>
      <w:pPr>
        <w:ind w:left="4320" w:hanging="180"/>
      </w:pPr>
    </w:lvl>
    <w:lvl w:ilvl="6" w:tplc="107CB322">
      <w:start w:val="1"/>
      <w:numFmt w:val="decimal"/>
      <w:lvlText w:val="%7."/>
      <w:lvlJc w:val="left"/>
      <w:pPr>
        <w:ind w:left="5040" w:hanging="360"/>
      </w:pPr>
    </w:lvl>
    <w:lvl w:ilvl="7" w:tplc="D5F49DFE">
      <w:start w:val="1"/>
      <w:numFmt w:val="lowerLetter"/>
      <w:lvlText w:val="%8."/>
      <w:lvlJc w:val="left"/>
      <w:pPr>
        <w:ind w:left="5760" w:hanging="360"/>
      </w:pPr>
    </w:lvl>
    <w:lvl w:ilvl="8" w:tplc="C4E07C50">
      <w:start w:val="1"/>
      <w:numFmt w:val="lowerRoman"/>
      <w:lvlText w:val="%9."/>
      <w:lvlJc w:val="right"/>
      <w:pPr>
        <w:ind w:left="6480" w:hanging="180"/>
      </w:pPr>
    </w:lvl>
  </w:abstractNum>
  <w:abstractNum w:abstractNumId="126" w15:restartNumberingAfterBreak="0">
    <w:nsid w:val="70500DE9"/>
    <w:multiLevelType w:val="hybridMultilevel"/>
    <w:tmpl w:val="C332FCB4"/>
    <w:lvl w:ilvl="0" w:tplc="7AACA2A8">
      <w:start w:val="1"/>
      <w:numFmt w:val="lowerRoman"/>
      <w:lvlText w:val="%1)"/>
      <w:lvlJc w:val="left"/>
      <w:pPr>
        <w:ind w:left="1080" w:hanging="360"/>
      </w:pPr>
      <w:rPr>
        <w:rFonts w:hint="default"/>
      </w:rPr>
    </w:lvl>
    <w:lvl w:ilvl="1" w:tplc="FFFFFFFF">
      <w:start w:val="1"/>
      <w:numFmt w:val="lowerRoman"/>
      <w:lvlText w:val="%2)"/>
      <w:lvlJc w:val="left"/>
      <w:pPr>
        <w:ind w:left="1800" w:hanging="360"/>
      </w:pPr>
      <w:rPr>
        <w:rFonts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Roman"/>
      <w:lvlText w:val="%5."/>
      <w:lvlJc w:val="righ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27" w15:restartNumberingAfterBreak="0">
    <w:nsid w:val="71161A9B"/>
    <w:multiLevelType w:val="hybridMultilevel"/>
    <w:tmpl w:val="B6EE62E8"/>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8" w15:restartNumberingAfterBreak="0">
    <w:nsid w:val="71F93315"/>
    <w:multiLevelType w:val="hybridMultilevel"/>
    <w:tmpl w:val="C32CE06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9" w15:restartNumberingAfterBreak="0">
    <w:nsid w:val="726E3DB0"/>
    <w:multiLevelType w:val="hybridMultilevel"/>
    <w:tmpl w:val="A7B0B03C"/>
    <w:lvl w:ilvl="0" w:tplc="28B87E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3761BF6"/>
    <w:multiLevelType w:val="hybridMultilevel"/>
    <w:tmpl w:val="FFFFFFFF"/>
    <w:lvl w:ilvl="0" w:tplc="CEFAE81C">
      <w:start w:val="2"/>
      <w:numFmt w:val="decimal"/>
      <w:lvlText w:val="%1."/>
      <w:lvlJc w:val="left"/>
      <w:pPr>
        <w:ind w:left="720" w:hanging="360"/>
      </w:pPr>
    </w:lvl>
    <w:lvl w:ilvl="1" w:tplc="095A45DC">
      <w:start w:val="1"/>
      <w:numFmt w:val="lowerLetter"/>
      <w:lvlText w:val="%2."/>
      <w:lvlJc w:val="left"/>
      <w:pPr>
        <w:ind w:left="1440" w:hanging="360"/>
      </w:pPr>
    </w:lvl>
    <w:lvl w:ilvl="2" w:tplc="99D4FD6C">
      <w:start w:val="1"/>
      <w:numFmt w:val="lowerRoman"/>
      <w:lvlText w:val="%3."/>
      <w:lvlJc w:val="right"/>
      <w:pPr>
        <w:ind w:left="2160" w:hanging="180"/>
      </w:pPr>
    </w:lvl>
    <w:lvl w:ilvl="3" w:tplc="C41E4DB6">
      <w:start w:val="1"/>
      <w:numFmt w:val="decimal"/>
      <w:lvlText w:val="%4."/>
      <w:lvlJc w:val="left"/>
      <w:pPr>
        <w:ind w:left="2880" w:hanging="360"/>
      </w:pPr>
    </w:lvl>
    <w:lvl w:ilvl="4" w:tplc="A48AD790">
      <w:start w:val="1"/>
      <w:numFmt w:val="lowerLetter"/>
      <w:lvlText w:val="%5."/>
      <w:lvlJc w:val="left"/>
      <w:pPr>
        <w:ind w:left="3600" w:hanging="360"/>
      </w:pPr>
    </w:lvl>
    <w:lvl w:ilvl="5" w:tplc="448408A2">
      <w:start w:val="1"/>
      <w:numFmt w:val="lowerRoman"/>
      <w:lvlText w:val="%6."/>
      <w:lvlJc w:val="right"/>
      <w:pPr>
        <w:ind w:left="4320" w:hanging="180"/>
      </w:pPr>
    </w:lvl>
    <w:lvl w:ilvl="6" w:tplc="B19A031A">
      <w:start w:val="1"/>
      <w:numFmt w:val="decimal"/>
      <w:lvlText w:val="%7."/>
      <w:lvlJc w:val="left"/>
      <w:pPr>
        <w:ind w:left="5040" w:hanging="360"/>
      </w:pPr>
    </w:lvl>
    <w:lvl w:ilvl="7" w:tplc="37B0DE34">
      <w:start w:val="1"/>
      <w:numFmt w:val="lowerLetter"/>
      <w:lvlText w:val="%8."/>
      <w:lvlJc w:val="left"/>
      <w:pPr>
        <w:ind w:left="5760" w:hanging="360"/>
      </w:pPr>
    </w:lvl>
    <w:lvl w:ilvl="8" w:tplc="1DACC56E">
      <w:start w:val="1"/>
      <w:numFmt w:val="lowerRoman"/>
      <w:lvlText w:val="%9."/>
      <w:lvlJc w:val="right"/>
      <w:pPr>
        <w:ind w:left="6480" w:hanging="180"/>
      </w:pPr>
    </w:lvl>
  </w:abstractNum>
  <w:abstractNum w:abstractNumId="131" w15:restartNumberingAfterBreak="0">
    <w:nsid w:val="74466B1D"/>
    <w:multiLevelType w:val="hybridMultilevel"/>
    <w:tmpl w:val="8E9805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2" w15:restartNumberingAfterBreak="0">
    <w:nsid w:val="74A03A6C"/>
    <w:multiLevelType w:val="hybridMultilevel"/>
    <w:tmpl w:val="83689C3A"/>
    <w:lvl w:ilvl="0" w:tplc="07967068">
      <w:start w:val="2"/>
      <w:numFmt w:val="decimal"/>
      <w:lvlText w:val="%1."/>
      <w:lvlJc w:val="left"/>
      <w:pPr>
        <w:ind w:left="720" w:hanging="360"/>
      </w:pPr>
    </w:lvl>
    <w:lvl w:ilvl="1" w:tplc="A1BE8E88">
      <w:start w:val="1"/>
      <w:numFmt w:val="lowerLetter"/>
      <w:lvlText w:val="%2."/>
      <w:lvlJc w:val="left"/>
      <w:pPr>
        <w:ind w:left="1440" w:hanging="360"/>
      </w:pPr>
    </w:lvl>
    <w:lvl w:ilvl="2" w:tplc="81F4F64C">
      <w:start w:val="1"/>
      <w:numFmt w:val="lowerRoman"/>
      <w:lvlText w:val="%3."/>
      <w:lvlJc w:val="right"/>
      <w:pPr>
        <w:ind w:left="2160" w:hanging="180"/>
      </w:pPr>
    </w:lvl>
    <w:lvl w:ilvl="3" w:tplc="4BE4E32C">
      <w:start w:val="1"/>
      <w:numFmt w:val="decimal"/>
      <w:lvlText w:val="%4."/>
      <w:lvlJc w:val="left"/>
      <w:pPr>
        <w:ind w:left="2880" w:hanging="360"/>
      </w:pPr>
    </w:lvl>
    <w:lvl w:ilvl="4" w:tplc="D4F8C2E4">
      <w:start w:val="1"/>
      <w:numFmt w:val="lowerLetter"/>
      <w:lvlText w:val="%5."/>
      <w:lvlJc w:val="left"/>
      <w:pPr>
        <w:ind w:left="3600" w:hanging="360"/>
      </w:pPr>
    </w:lvl>
    <w:lvl w:ilvl="5" w:tplc="240057E6">
      <w:start w:val="1"/>
      <w:numFmt w:val="lowerRoman"/>
      <w:lvlText w:val="%6."/>
      <w:lvlJc w:val="right"/>
      <w:pPr>
        <w:ind w:left="4320" w:hanging="180"/>
      </w:pPr>
    </w:lvl>
    <w:lvl w:ilvl="6" w:tplc="7DD60212">
      <w:start w:val="1"/>
      <w:numFmt w:val="decimal"/>
      <w:lvlText w:val="%7."/>
      <w:lvlJc w:val="left"/>
      <w:pPr>
        <w:ind w:left="5040" w:hanging="360"/>
      </w:pPr>
    </w:lvl>
    <w:lvl w:ilvl="7" w:tplc="BA7495EE">
      <w:start w:val="1"/>
      <w:numFmt w:val="lowerLetter"/>
      <w:lvlText w:val="%8."/>
      <w:lvlJc w:val="left"/>
      <w:pPr>
        <w:ind w:left="5760" w:hanging="360"/>
      </w:pPr>
    </w:lvl>
    <w:lvl w:ilvl="8" w:tplc="7338BFE8">
      <w:start w:val="1"/>
      <w:numFmt w:val="lowerRoman"/>
      <w:lvlText w:val="%9."/>
      <w:lvlJc w:val="right"/>
      <w:pPr>
        <w:ind w:left="6480" w:hanging="180"/>
      </w:pPr>
    </w:lvl>
  </w:abstractNum>
  <w:abstractNum w:abstractNumId="133" w15:restartNumberingAfterBreak="0">
    <w:nsid w:val="74B061B5"/>
    <w:multiLevelType w:val="hybridMultilevel"/>
    <w:tmpl w:val="5E3230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4" w15:restartNumberingAfterBreak="0">
    <w:nsid w:val="75E1084C"/>
    <w:multiLevelType w:val="hybridMultilevel"/>
    <w:tmpl w:val="F2B23B7C"/>
    <w:lvl w:ilvl="0" w:tplc="28B87E4A">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5" w15:restartNumberingAfterBreak="0">
    <w:nsid w:val="76E1A839"/>
    <w:multiLevelType w:val="hybridMultilevel"/>
    <w:tmpl w:val="FFFFFFFF"/>
    <w:lvl w:ilvl="0" w:tplc="692AFB0C">
      <w:start w:val="1"/>
      <w:numFmt w:val="bullet"/>
      <w:lvlText w:val="·"/>
      <w:lvlJc w:val="left"/>
      <w:pPr>
        <w:ind w:left="720" w:hanging="360"/>
      </w:pPr>
      <w:rPr>
        <w:rFonts w:ascii="Symbol" w:hAnsi="Symbol" w:hint="default"/>
      </w:rPr>
    </w:lvl>
    <w:lvl w:ilvl="1" w:tplc="9898957C">
      <w:start w:val="1"/>
      <w:numFmt w:val="bullet"/>
      <w:lvlText w:val="o"/>
      <w:lvlJc w:val="left"/>
      <w:pPr>
        <w:ind w:left="1440" w:hanging="360"/>
      </w:pPr>
      <w:rPr>
        <w:rFonts w:ascii="Courier New" w:hAnsi="Courier New" w:hint="default"/>
      </w:rPr>
    </w:lvl>
    <w:lvl w:ilvl="2" w:tplc="35D249DA">
      <w:start w:val="1"/>
      <w:numFmt w:val="bullet"/>
      <w:lvlText w:val=""/>
      <w:lvlJc w:val="left"/>
      <w:pPr>
        <w:ind w:left="2160" w:hanging="360"/>
      </w:pPr>
      <w:rPr>
        <w:rFonts w:ascii="Wingdings" w:hAnsi="Wingdings" w:hint="default"/>
      </w:rPr>
    </w:lvl>
    <w:lvl w:ilvl="3" w:tplc="91CCA20C">
      <w:start w:val="1"/>
      <w:numFmt w:val="bullet"/>
      <w:lvlText w:val=""/>
      <w:lvlJc w:val="left"/>
      <w:pPr>
        <w:ind w:left="2880" w:hanging="360"/>
      </w:pPr>
      <w:rPr>
        <w:rFonts w:ascii="Symbol" w:hAnsi="Symbol" w:hint="default"/>
      </w:rPr>
    </w:lvl>
    <w:lvl w:ilvl="4" w:tplc="33B40FB8">
      <w:start w:val="1"/>
      <w:numFmt w:val="bullet"/>
      <w:lvlText w:val="o"/>
      <w:lvlJc w:val="left"/>
      <w:pPr>
        <w:ind w:left="3600" w:hanging="360"/>
      </w:pPr>
      <w:rPr>
        <w:rFonts w:ascii="Courier New" w:hAnsi="Courier New" w:hint="default"/>
      </w:rPr>
    </w:lvl>
    <w:lvl w:ilvl="5" w:tplc="8BCC91EE">
      <w:start w:val="1"/>
      <w:numFmt w:val="bullet"/>
      <w:lvlText w:val=""/>
      <w:lvlJc w:val="left"/>
      <w:pPr>
        <w:ind w:left="4320" w:hanging="360"/>
      </w:pPr>
      <w:rPr>
        <w:rFonts w:ascii="Wingdings" w:hAnsi="Wingdings" w:hint="default"/>
      </w:rPr>
    </w:lvl>
    <w:lvl w:ilvl="6" w:tplc="D348FD94">
      <w:start w:val="1"/>
      <w:numFmt w:val="bullet"/>
      <w:lvlText w:val=""/>
      <w:lvlJc w:val="left"/>
      <w:pPr>
        <w:ind w:left="5040" w:hanging="360"/>
      </w:pPr>
      <w:rPr>
        <w:rFonts w:ascii="Symbol" w:hAnsi="Symbol" w:hint="default"/>
      </w:rPr>
    </w:lvl>
    <w:lvl w:ilvl="7" w:tplc="9AA2E904">
      <w:start w:val="1"/>
      <w:numFmt w:val="bullet"/>
      <w:lvlText w:val="o"/>
      <w:lvlJc w:val="left"/>
      <w:pPr>
        <w:ind w:left="5760" w:hanging="360"/>
      </w:pPr>
      <w:rPr>
        <w:rFonts w:ascii="Courier New" w:hAnsi="Courier New" w:hint="default"/>
      </w:rPr>
    </w:lvl>
    <w:lvl w:ilvl="8" w:tplc="CF6C1474">
      <w:start w:val="1"/>
      <w:numFmt w:val="bullet"/>
      <w:lvlText w:val=""/>
      <w:lvlJc w:val="left"/>
      <w:pPr>
        <w:ind w:left="6480" w:hanging="360"/>
      </w:pPr>
      <w:rPr>
        <w:rFonts w:ascii="Wingdings" w:hAnsi="Wingdings" w:hint="default"/>
      </w:rPr>
    </w:lvl>
  </w:abstractNum>
  <w:abstractNum w:abstractNumId="136" w15:restartNumberingAfterBreak="0">
    <w:nsid w:val="79045D38"/>
    <w:multiLevelType w:val="hybridMultilevel"/>
    <w:tmpl w:val="12440D7A"/>
    <w:lvl w:ilvl="0" w:tplc="87C63BDA">
      <w:start w:val="1"/>
      <w:numFmt w:val="bullet"/>
      <w:lvlText w:val="-"/>
      <w:lvlJc w:val="left"/>
      <w:pPr>
        <w:ind w:left="720" w:hanging="360"/>
      </w:pPr>
      <w:rPr>
        <w:rFonts w:ascii="Calibri" w:hAnsi="Calibri" w:hint="default"/>
      </w:rPr>
    </w:lvl>
    <w:lvl w:ilvl="1" w:tplc="88220FD4">
      <w:start w:val="1"/>
      <w:numFmt w:val="bullet"/>
      <w:lvlText w:val="o"/>
      <w:lvlJc w:val="left"/>
      <w:pPr>
        <w:ind w:left="1440" w:hanging="360"/>
      </w:pPr>
      <w:rPr>
        <w:rFonts w:ascii="Courier New" w:hAnsi="Courier New" w:hint="default"/>
      </w:rPr>
    </w:lvl>
    <w:lvl w:ilvl="2" w:tplc="8DDC97EA">
      <w:start w:val="1"/>
      <w:numFmt w:val="bullet"/>
      <w:lvlText w:val=""/>
      <w:lvlJc w:val="left"/>
      <w:pPr>
        <w:ind w:left="2160" w:hanging="360"/>
      </w:pPr>
      <w:rPr>
        <w:rFonts w:ascii="Wingdings" w:hAnsi="Wingdings" w:hint="default"/>
      </w:rPr>
    </w:lvl>
    <w:lvl w:ilvl="3" w:tplc="72328A3E">
      <w:start w:val="1"/>
      <w:numFmt w:val="bullet"/>
      <w:lvlText w:val=""/>
      <w:lvlJc w:val="left"/>
      <w:pPr>
        <w:ind w:left="2880" w:hanging="360"/>
      </w:pPr>
      <w:rPr>
        <w:rFonts w:ascii="Symbol" w:hAnsi="Symbol" w:hint="default"/>
      </w:rPr>
    </w:lvl>
    <w:lvl w:ilvl="4" w:tplc="EFC8766E">
      <w:start w:val="1"/>
      <w:numFmt w:val="bullet"/>
      <w:lvlText w:val="o"/>
      <w:lvlJc w:val="left"/>
      <w:pPr>
        <w:ind w:left="3600" w:hanging="360"/>
      </w:pPr>
      <w:rPr>
        <w:rFonts w:ascii="Courier New" w:hAnsi="Courier New" w:hint="default"/>
      </w:rPr>
    </w:lvl>
    <w:lvl w:ilvl="5" w:tplc="CE148478">
      <w:start w:val="1"/>
      <w:numFmt w:val="bullet"/>
      <w:lvlText w:val=""/>
      <w:lvlJc w:val="left"/>
      <w:pPr>
        <w:ind w:left="4320" w:hanging="360"/>
      </w:pPr>
      <w:rPr>
        <w:rFonts w:ascii="Wingdings" w:hAnsi="Wingdings" w:hint="default"/>
      </w:rPr>
    </w:lvl>
    <w:lvl w:ilvl="6" w:tplc="93FEDBA6">
      <w:start w:val="1"/>
      <w:numFmt w:val="bullet"/>
      <w:lvlText w:val=""/>
      <w:lvlJc w:val="left"/>
      <w:pPr>
        <w:ind w:left="5040" w:hanging="360"/>
      </w:pPr>
      <w:rPr>
        <w:rFonts w:ascii="Symbol" w:hAnsi="Symbol" w:hint="default"/>
      </w:rPr>
    </w:lvl>
    <w:lvl w:ilvl="7" w:tplc="0300650C">
      <w:start w:val="1"/>
      <w:numFmt w:val="bullet"/>
      <w:lvlText w:val="o"/>
      <w:lvlJc w:val="left"/>
      <w:pPr>
        <w:ind w:left="5760" w:hanging="360"/>
      </w:pPr>
      <w:rPr>
        <w:rFonts w:ascii="Courier New" w:hAnsi="Courier New" w:hint="default"/>
      </w:rPr>
    </w:lvl>
    <w:lvl w:ilvl="8" w:tplc="E55CBBBA">
      <w:start w:val="1"/>
      <w:numFmt w:val="bullet"/>
      <w:lvlText w:val=""/>
      <w:lvlJc w:val="left"/>
      <w:pPr>
        <w:ind w:left="6480" w:hanging="360"/>
      </w:pPr>
      <w:rPr>
        <w:rFonts w:ascii="Wingdings" w:hAnsi="Wingdings" w:hint="default"/>
      </w:rPr>
    </w:lvl>
  </w:abstractNum>
  <w:abstractNum w:abstractNumId="137" w15:restartNumberingAfterBreak="0">
    <w:nsid w:val="7AABB31F"/>
    <w:multiLevelType w:val="hybridMultilevel"/>
    <w:tmpl w:val="C0B2E1DA"/>
    <w:lvl w:ilvl="0" w:tplc="E35CEB48">
      <w:start w:val="1"/>
      <w:numFmt w:val="bullet"/>
      <w:lvlText w:val=""/>
      <w:lvlJc w:val="left"/>
      <w:pPr>
        <w:ind w:left="720" w:hanging="360"/>
      </w:pPr>
      <w:rPr>
        <w:rFonts w:ascii="Symbol" w:hAnsi="Symbol" w:hint="default"/>
      </w:rPr>
    </w:lvl>
    <w:lvl w:ilvl="1" w:tplc="BA6415FA">
      <w:start w:val="1"/>
      <w:numFmt w:val="bullet"/>
      <w:lvlText w:val="o"/>
      <w:lvlJc w:val="left"/>
      <w:pPr>
        <w:ind w:left="1440" w:hanging="360"/>
      </w:pPr>
      <w:rPr>
        <w:rFonts w:ascii="Courier New" w:hAnsi="Courier New" w:hint="default"/>
      </w:rPr>
    </w:lvl>
    <w:lvl w:ilvl="2" w:tplc="9DF4391A">
      <w:start w:val="1"/>
      <w:numFmt w:val="bullet"/>
      <w:lvlText w:val=""/>
      <w:lvlJc w:val="left"/>
      <w:pPr>
        <w:ind w:left="2160" w:hanging="360"/>
      </w:pPr>
      <w:rPr>
        <w:rFonts w:ascii="Wingdings" w:hAnsi="Wingdings" w:hint="default"/>
      </w:rPr>
    </w:lvl>
    <w:lvl w:ilvl="3" w:tplc="E5629312">
      <w:start w:val="1"/>
      <w:numFmt w:val="bullet"/>
      <w:lvlText w:val=""/>
      <w:lvlJc w:val="left"/>
      <w:pPr>
        <w:ind w:left="2880" w:hanging="360"/>
      </w:pPr>
      <w:rPr>
        <w:rFonts w:ascii="Symbol" w:hAnsi="Symbol" w:hint="default"/>
      </w:rPr>
    </w:lvl>
    <w:lvl w:ilvl="4" w:tplc="BFB043B0">
      <w:start w:val="1"/>
      <w:numFmt w:val="bullet"/>
      <w:lvlText w:val="o"/>
      <w:lvlJc w:val="left"/>
      <w:pPr>
        <w:ind w:left="3600" w:hanging="360"/>
      </w:pPr>
      <w:rPr>
        <w:rFonts w:ascii="Courier New" w:hAnsi="Courier New" w:hint="default"/>
      </w:rPr>
    </w:lvl>
    <w:lvl w:ilvl="5" w:tplc="49C4551E">
      <w:start w:val="1"/>
      <w:numFmt w:val="bullet"/>
      <w:lvlText w:val=""/>
      <w:lvlJc w:val="left"/>
      <w:pPr>
        <w:ind w:left="4320" w:hanging="360"/>
      </w:pPr>
      <w:rPr>
        <w:rFonts w:ascii="Wingdings" w:hAnsi="Wingdings" w:hint="default"/>
      </w:rPr>
    </w:lvl>
    <w:lvl w:ilvl="6" w:tplc="CBCE1F7A">
      <w:start w:val="1"/>
      <w:numFmt w:val="bullet"/>
      <w:lvlText w:val=""/>
      <w:lvlJc w:val="left"/>
      <w:pPr>
        <w:ind w:left="5040" w:hanging="360"/>
      </w:pPr>
      <w:rPr>
        <w:rFonts w:ascii="Symbol" w:hAnsi="Symbol" w:hint="default"/>
      </w:rPr>
    </w:lvl>
    <w:lvl w:ilvl="7" w:tplc="0CE40150">
      <w:start w:val="1"/>
      <w:numFmt w:val="bullet"/>
      <w:lvlText w:val="o"/>
      <w:lvlJc w:val="left"/>
      <w:pPr>
        <w:ind w:left="5760" w:hanging="360"/>
      </w:pPr>
      <w:rPr>
        <w:rFonts w:ascii="Courier New" w:hAnsi="Courier New" w:hint="default"/>
      </w:rPr>
    </w:lvl>
    <w:lvl w:ilvl="8" w:tplc="C69CDB26">
      <w:start w:val="1"/>
      <w:numFmt w:val="bullet"/>
      <w:lvlText w:val=""/>
      <w:lvlJc w:val="left"/>
      <w:pPr>
        <w:ind w:left="6480" w:hanging="360"/>
      </w:pPr>
      <w:rPr>
        <w:rFonts w:ascii="Wingdings" w:hAnsi="Wingdings" w:hint="default"/>
      </w:rPr>
    </w:lvl>
  </w:abstractNum>
  <w:abstractNum w:abstractNumId="138" w15:restartNumberingAfterBreak="0">
    <w:nsid w:val="7B036820"/>
    <w:multiLevelType w:val="hybridMultilevel"/>
    <w:tmpl w:val="A59489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9" w15:restartNumberingAfterBreak="0">
    <w:nsid w:val="7C1E722D"/>
    <w:multiLevelType w:val="hybridMultilevel"/>
    <w:tmpl w:val="CD90AF7C"/>
    <w:lvl w:ilvl="0" w:tplc="96B06C16">
      <w:start w:val="3"/>
      <w:numFmt w:val="decimal"/>
      <w:lvlText w:val="%1."/>
      <w:lvlJc w:val="left"/>
      <w:pPr>
        <w:ind w:left="720" w:hanging="360"/>
      </w:pPr>
    </w:lvl>
    <w:lvl w:ilvl="1" w:tplc="F604AB2E">
      <w:start w:val="1"/>
      <w:numFmt w:val="lowerLetter"/>
      <w:lvlText w:val="%2."/>
      <w:lvlJc w:val="left"/>
      <w:pPr>
        <w:ind w:left="1440" w:hanging="360"/>
      </w:pPr>
    </w:lvl>
    <w:lvl w:ilvl="2" w:tplc="858E1414">
      <w:start w:val="1"/>
      <w:numFmt w:val="lowerRoman"/>
      <w:lvlText w:val="%3."/>
      <w:lvlJc w:val="right"/>
      <w:pPr>
        <w:ind w:left="2160" w:hanging="180"/>
      </w:pPr>
    </w:lvl>
    <w:lvl w:ilvl="3" w:tplc="C82AA9D6">
      <w:start w:val="1"/>
      <w:numFmt w:val="decimal"/>
      <w:lvlText w:val="%4."/>
      <w:lvlJc w:val="left"/>
      <w:pPr>
        <w:ind w:left="2880" w:hanging="360"/>
      </w:pPr>
    </w:lvl>
    <w:lvl w:ilvl="4" w:tplc="265ABB36">
      <w:start w:val="1"/>
      <w:numFmt w:val="lowerLetter"/>
      <w:lvlText w:val="%5."/>
      <w:lvlJc w:val="left"/>
      <w:pPr>
        <w:ind w:left="3600" w:hanging="360"/>
      </w:pPr>
    </w:lvl>
    <w:lvl w:ilvl="5" w:tplc="8144B16A">
      <w:start w:val="1"/>
      <w:numFmt w:val="lowerRoman"/>
      <w:lvlText w:val="%6."/>
      <w:lvlJc w:val="right"/>
      <w:pPr>
        <w:ind w:left="4320" w:hanging="180"/>
      </w:pPr>
    </w:lvl>
    <w:lvl w:ilvl="6" w:tplc="B36847C0">
      <w:start w:val="1"/>
      <w:numFmt w:val="decimal"/>
      <w:lvlText w:val="%7."/>
      <w:lvlJc w:val="left"/>
      <w:pPr>
        <w:ind w:left="5040" w:hanging="360"/>
      </w:pPr>
    </w:lvl>
    <w:lvl w:ilvl="7" w:tplc="154A2C14">
      <w:start w:val="1"/>
      <w:numFmt w:val="lowerLetter"/>
      <w:lvlText w:val="%8."/>
      <w:lvlJc w:val="left"/>
      <w:pPr>
        <w:ind w:left="5760" w:hanging="360"/>
      </w:pPr>
    </w:lvl>
    <w:lvl w:ilvl="8" w:tplc="55A8677A">
      <w:start w:val="1"/>
      <w:numFmt w:val="lowerRoman"/>
      <w:lvlText w:val="%9."/>
      <w:lvlJc w:val="right"/>
      <w:pPr>
        <w:ind w:left="6480" w:hanging="180"/>
      </w:pPr>
    </w:lvl>
  </w:abstractNum>
  <w:num w:numId="1">
    <w:abstractNumId w:val="105"/>
  </w:num>
  <w:num w:numId="2">
    <w:abstractNumId w:val="74"/>
  </w:num>
  <w:num w:numId="3">
    <w:abstractNumId w:val="115"/>
  </w:num>
  <w:num w:numId="4">
    <w:abstractNumId w:val="47"/>
  </w:num>
  <w:num w:numId="5">
    <w:abstractNumId w:val="77"/>
  </w:num>
  <w:num w:numId="6">
    <w:abstractNumId w:val="34"/>
  </w:num>
  <w:num w:numId="7">
    <w:abstractNumId w:val="111"/>
  </w:num>
  <w:num w:numId="8">
    <w:abstractNumId w:val="30"/>
  </w:num>
  <w:num w:numId="9">
    <w:abstractNumId w:val="81"/>
  </w:num>
  <w:num w:numId="10">
    <w:abstractNumId w:val="103"/>
  </w:num>
  <w:num w:numId="11">
    <w:abstractNumId w:val="104"/>
  </w:num>
  <w:num w:numId="12">
    <w:abstractNumId w:val="98"/>
  </w:num>
  <w:num w:numId="13">
    <w:abstractNumId w:val="36"/>
  </w:num>
  <w:num w:numId="14">
    <w:abstractNumId w:val="4"/>
  </w:num>
  <w:num w:numId="15">
    <w:abstractNumId w:val="110"/>
  </w:num>
  <w:num w:numId="16">
    <w:abstractNumId w:val="53"/>
  </w:num>
  <w:num w:numId="17">
    <w:abstractNumId w:val="0"/>
  </w:num>
  <w:num w:numId="18">
    <w:abstractNumId w:val="3"/>
  </w:num>
  <w:num w:numId="19">
    <w:abstractNumId w:val="2"/>
  </w:num>
  <w:num w:numId="20">
    <w:abstractNumId w:val="1"/>
  </w:num>
  <w:num w:numId="21">
    <w:abstractNumId w:val="44"/>
  </w:num>
  <w:num w:numId="22">
    <w:abstractNumId w:val="72"/>
  </w:num>
  <w:num w:numId="23">
    <w:abstractNumId w:val="56"/>
  </w:num>
  <w:num w:numId="24">
    <w:abstractNumId w:val="61"/>
  </w:num>
  <w:num w:numId="25">
    <w:abstractNumId w:val="100"/>
  </w:num>
  <w:num w:numId="26">
    <w:abstractNumId w:val="131"/>
  </w:num>
  <w:num w:numId="27">
    <w:abstractNumId w:val="75"/>
  </w:num>
  <w:num w:numId="28">
    <w:abstractNumId w:val="64"/>
  </w:num>
  <w:num w:numId="29">
    <w:abstractNumId w:val="13"/>
  </w:num>
  <w:num w:numId="30">
    <w:abstractNumId w:val="17"/>
  </w:num>
  <w:num w:numId="3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6"/>
  </w:num>
  <w:num w:numId="33">
    <w:abstractNumId w:val="107"/>
  </w:num>
  <w:num w:numId="34">
    <w:abstractNumId w:val="118"/>
  </w:num>
  <w:num w:numId="35">
    <w:abstractNumId w:val="97"/>
  </w:num>
  <w:num w:numId="36">
    <w:abstractNumId w:val="122"/>
  </w:num>
  <w:num w:numId="37">
    <w:abstractNumId w:val="57"/>
  </w:num>
  <w:num w:numId="38">
    <w:abstractNumId w:val="90"/>
  </w:num>
  <w:num w:numId="3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32"/>
  </w:num>
  <w:num w:numId="42">
    <w:abstractNumId w:val="83"/>
  </w:num>
  <w:num w:numId="43">
    <w:abstractNumId w:val="119"/>
  </w:num>
  <w:num w:numId="44">
    <w:abstractNumId w:val="35"/>
  </w:num>
  <w:num w:numId="45">
    <w:abstractNumId w:val="127"/>
  </w:num>
  <w:num w:numId="46">
    <w:abstractNumId w:val="20"/>
  </w:num>
  <w:num w:numId="47">
    <w:abstractNumId w:val="108"/>
  </w:num>
  <w:num w:numId="48">
    <w:abstractNumId w:val="46"/>
  </w:num>
  <w:num w:numId="49">
    <w:abstractNumId w:val="33"/>
  </w:num>
  <w:num w:numId="50">
    <w:abstractNumId w:val="78"/>
  </w:num>
  <w:num w:numId="51">
    <w:abstractNumId w:val="27"/>
  </w:num>
  <w:num w:numId="52">
    <w:abstractNumId w:val="15"/>
  </w:num>
  <w:num w:numId="53">
    <w:abstractNumId w:val="38"/>
  </w:num>
  <w:num w:numId="54">
    <w:abstractNumId w:val="84"/>
  </w:num>
  <w:num w:numId="55">
    <w:abstractNumId w:val="88"/>
  </w:num>
  <w:num w:numId="56">
    <w:abstractNumId w:val="65"/>
  </w:num>
  <w:num w:numId="57">
    <w:abstractNumId w:val="41"/>
  </w:num>
  <w:num w:numId="58">
    <w:abstractNumId w:val="26"/>
  </w:num>
  <w:num w:numId="59">
    <w:abstractNumId w:val="55"/>
  </w:num>
  <w:num w:numId="60">
    <w:abstractNumId w:val="58"/>
  </w:num>
  <w:num w:numId="61">
    <w:abstractNumId w:val="136"/>
  </w:num>
  <w:num w:numId="62">
    <w:abstractNumId w:val="134"/>
  </w:num>
  <w:num w:numId="63">
    <w:abstractNumId w:val="95"/>
  </w:num>
  <w:num w:numId="64">
    <w:abstractNumId w:val="79"/>
  </w:num>
  <w:num w:numId="65">
    <w:abstractNumId w:val="23"/>
  </w:num>
  <w:num w:numId="66">
    <w:abstractNumId w:val="70"/>
  </w:num>
  <w:num w:numId="67">
    <w:abstractNumId w:val="99"/>
  </w:num>
  <w:num w:numId="68">
    <w:abstractNumId w:val="6"/>
  </w:num>
  <w:num w:numId="69">
    <w:abstractNumId w:val="29"/>
  </w:num>
  <w:num w:numId="70">
    <w:abstractNumId w:val="94"/>
  </w:num>
  <w:num w:numId="71">
    <w:abstractNumId w:val="14"/>
  </w:num>
  <w:num w:numId="72">
    <w:abstractNumId w:val="101"/>
  </w:num>
  <w:num w:numId="73">
    <w:abstractNumId w:val="67"/>
  </w:num>
  <w:num w:numId="74">
    <w:abstractNumId w:val="125"/>
  </w:num>
  <w:num w:numId="75">
    <w:abstractNumId w:val="31"/>
  </w:num>
  <w:num w:numId="76">
    <w:abstractNumId w:val="82"/>
  </w:num>
  <w:num w:numId="77">
    <w:abstractNumId w:val="93"/>
  </w:num>
  <w:num w:numId="78">
    <w:abstractNumId w:val="48"/>
  </w:num>
  <w:num w:numId="79">
    <w:abstractNumId w:val="106"/>
  </w:num>
  <w:num w:numId="80">
    <w:abstractNumId w:val="51"/>
  </w:num>
  <w:num w:numId="81">
    <w:abstractNumId w:val="50"/>
  </w:num>
  <w:num w:numId="82">
    <w:abstractNumId w:val="86"/>
  </w:num>
  <w:num w:numId="83">
    <w:abstractNumId w:val="45"/>
  </w:num>
  <w:num w:numId="84">
    <w:abstractNumId w:val="121"/>
  </w:num>
  <w:num w:numId="85">
    <w:abstractNumId w:val="129"/>
  </w:num>
  <w:num w:numId="86">
    <w:abstractNumId w:val="19"/>
  </w:num>
  <w:num w:numId="87">
    <w:abstractNumId w:val="73"/>
  </w:num>
  <w:num w:numId="88">
    <w:abstractNumId w:val="12"/>
  </w:num>
  <w:num w:numId="89">
    <w:abstractNumId w:val="7"/>
  </w:num>
  <w:num w:numId="90">
    <w:abstractNumId w:val="18"/>
  </w:num>
  <w:num w:numId="91">
    <w:abstractNumId w:val="138"/>
  </w:num>
  <w:num w:numId="92">
    <w:abstractNumId w:val="92"/>
  </w:num>
  <w:num w:numId="93">
    <w:abstractNumId w:val="96"/>
  </w:num>
  <w:num w:numId="94">
    <w:abstractNumId w:val="5"/>
  </w:num>
  <w:num w:numId="95">
    <w:abstractNumId w:val="11"/>
  </w:num>
  <w:num w:numId="96">
    <w:abstractNumId w:val="114"/>
  </w:num>
  <w:num w:numId="97">
    <w:abstractNumId w:val="40"/>
  </w:num>
  <w:num w:numId="98">
    <w:abstractNumId w:val="21"/>
  </w:num>
  <w:num w:numId="99">
    <w:abstractNumId w:val="91"/>
  </w:num>
  <w:num w:numId="100">
    <w:abstractNumId w:val="39"/>
  </w:num>
  <w:num w:numId="101">
    <w:abstractNumId w:val="117"/>
  </w:num>
  <w:num w:numId="102">
    <w:abstractNumId w:val="62"/>
  </w:num>
  <w:num w:numId="103">
    <w:abstractNumId w:val="25"/>
  </w:num>
  <w:num w:numId="104">
    <w:abstractNumId w:val="8"/>
  </w:num>
  <w:num w:numId="105">
    <w:abstractNumId w:val="133"/>
  </w:num>
  <w:num w:numId="106">
    <w:abstractNumId w:val="130"/>
  </w:num>
  <w:num w:numId="107">
    <w:abstractNumId w:val="28"/>
  </w:num>
  <w:num w:numId="108">
    <w:abstractNumId w:val="37"/>
  </w:num>
  <w:num w:numId="109">
    <w:abstractNumId w:val="113"/>
  </w:num>
  <w:num w:numId="110">
    <w:abstractNumId w:val="59"/>
  </w:num>
  <w:num w:numId="111">
    <w:abstractNumId w:val="9"/>
  </w:num>
  <w:num w:numId="112">
    <w:abstractNumId w:val="69"/>
  </w:num>
  <w:num w:numId="113">
    <w:abstractNumId w:val="10"/>
  </w:num>
  <w:num w:numId="114">
    <w:abstractNumId w:val="68"/>
  </w:num>
  <w:num w:numId="115">
    <w:abstractNumId w:val="137"/>
  </w:num>
  <w:num w:numId="116">
    <w:abstractNumId w:val="89"/>
  </w:num>
  <w:num w:numId="117">
    <w:abstractNumId w:val="109"/>
  </w:num>
  <w:num w:numId="118">
    <w:abstractNumId w:val="120"/>
  </w:num>
  <w:num w:numId="119">
    <w:abstractNumId w:val="16"/>
  </w:num>
  <w:num w:numId="120">
    <w:abstractNumId w:val="71"/>
  </w:num>
  <w:num w:numId="121">
    <w:abstractNumId w:val="80"/>
  </w:num>
  <w:num w:numId="122">
    <w:abstractNumId w:val="54"/>
  </w:num>
  <w:num w:numId="123">
    <w:abstractNumId w:val="132"/>
  </w:num>
  <w:num w:numId="124">
    <w:abstractNumId w:val="116"/>
  </w:num>
  <w:num w:numId="125">
    <w:abstractNumId w:val="139"/>
  </w:num>
  <w:num w:numId="126">
    <w:abstractNumId w:val="42"/>
  </w:num>
  <w:num w:numId="127">
    <w:abstractNumId w:val="49"/>
  </w:num>
  <w:num w:numId="128">
    <w:abstractNumId w:val="102"/>
  </w:num>
  <w:num w:numId="129">
    <w:abstractNumId w:val="112"/>
  </w:num>
  <w:num w:numId="130">
    <w:abstractNumId w:val="60"/>
  </w:num>
  <w:num w:numId="131">
    <w:abstractNumId w:val="126"/>
  </w:num>
  <w:num w:numId="132">
    <w:abstractNumId w:val="24"/>
  </w:num>
  <w:num w:numId="133">
    <w:abstractNumId w:val="43"/>
  </w:num>
  <w:num w:numId="134">
    <w:abstractNumId w:val="52"/>
  </w:num>
  <w:num w:numId="135">
    <w:abstractNumId w:val="66"/>
  </w:num>
  <w:num w:numId="136">
    <w:abstractNumId w:val="135"/>
  </w:num>
  <w:num w:numId="137">
    <w:abstractNumId w:val="128"/>
  </w:num>
  <w:num w:numId="138">
    <w:abstractNumId w:val="124"/>
  </w:num>
  <w:num w:numId="139">
    <w:abstractNumId w:val="63"/>
  </w:num>
  <w:num w:numId="140">
    <w:abstractNumId w:val="1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85"/>
  </w:num>
  <w:num w:numId="1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87"/>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järgmise dokumendi juurde:"/>
    <w:docVar w:name="LW_ANNEX_NBR_FIRST" w:val="1"/>
    <w:docVar w:name="LW_ANNEX_NBR_LAST" w:val="1"/>
    <w:docVar w:name="LW_ANNEX_UNIQUE" w:val="1"/>
    <w:docVar w:name="LW_CORRIGENDUM" w:val="&lt;UNUSED&gt;"/>
    <w:docVar w:name="LW_COVERPAGE_EXISTS" w:val="True"/>
    <w:docVar w:name="LW_COVERPAGE_GUID" w:val="3A7E4EA3-F515-421A-BB1E-B61D663D2138"/>
    <w:docVar w:name="LW_COVERPAGE_TYPE" w:val="1"/>
    <w:docVar w:name="LW_CROSSREFERENCE" w:val="{SWD(2024) 121 final}"/>
    <w:docVar w:name="LW_DocType" w:val="NORMAL"/>
    <w:docVar w:name="LW_EMISSION" w:val="26.4.2024"/>
    <w:docVar w:name="LW_EMISSION_ISODATE" w:val="2024-04-26"/>
    <w:docVar w:name="LW_EMISSION_LOCATION" w:val="BRX"/>
    <w:docVar w:name="LW_EMISSION_PREFIX" w:val="Brüssel,"/>
    <w:docVar w:name="LW_EMISSION_SUFFIX" w:val=" "/>
    <w:docVar w:name="LW_ID_DOCTYPE_NONLW" w:val="CP-036"/>
    <w:docVar w:name="LW_LANGUE" w:val="ET"/>
    <w:docVar w:name="LW_LEVEL_OF_SENSITIVITY" w:val="Standard treatment"/>
    <w:docVar w:name="LW_NOM.INST" w:val="EUROOPA KOMISJON"/>
    <w:docVar w:name="LW_NOM.INST_JOINTDOC" w:val="&lt;EMPTY&gt;"/>
    <w:docVar w:name="LW_OBJETACTEPRINCIPAL.CP" w:val="millega muudetakse 13. juuli 2021. aasta rakendusotsust (EL) (ST 10160/21 INIT; ST 10160/21 ADD 1 REV 2) Itaalia taaste- ja vastupidavuskavale antud hinnangu heakskiitmise kohta_x000d__x000d__x000b_"/>
    <w:docVar w:name="LW_PART_NBR" w:val="1"/>
    <w:docVar w:name="LW_PART_NBR_TOTAL" w:val="1"/>
    <w:docVar w:name="LW_REF.INST.NEW" w:val="COM"/>
    <w:docVar w:name="LW_REF.INST.NEW_ADOPTED" w:val="final"/>
    <w:docVar w:name="LW_REF.INST.NEW_TEXT" w:val="(2024) 19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LISA_x000b_"/>
    <w:docVar w:name="LW_TYPEACTEPRINCIPAL.CP" w:val="Ettepanek: NÕUKOGU RAKENDUSOTSUS,_x000b_"/>
    <w:docVar w:name="LwApiVersions" w:val="LW4CoDe 1.24.5.0; LW 9.0, Build 20240221"/>
  </w:docVars>
  <w:rsids>
    <w:rsidRoot w:val="0084326C"/>
    <w:rsid w:val="000035B0"/>
    <w:rsid w:val="00003A97"/>
    <w:rsid w:val="00004251"/>
    <w:rsid w:val="00005C11"/>
    <w:rsid w:val="00005F08"/>
    <w:rsid w:val="0001227A"/>
    <w:rsid w:val="0002091F"/>
    <w:rsid w:val="00023920"/>
    <w:rsid w:val="000241BC"/>
    <w:rsid w:val="000246F9"/>
    <w:rsid w:val="00024855"/>
    <w:rsid w:val="00024E11"/>
    <w:rsid w:val="000253CA"/>
    <w:rsid w:val="000253FE"/>
    <w:rsid w:val="00027B78"/>
    <w:rsid w:val="00027BA4"/>
    <w:rsid w:val="000301D8"/>
    <w:rsid w:val="000303BD"/>
    <w:rsid w:val="00030F85"/>
    <w:rsid w:val="000319EB"/>
    <w:rsid w:val="00032E2F"/>
    <w:rsid w:val="00033AC0"/>
    <w:rsid w:val="00033AD3"/>
    <w:rsid w:val="000344F7"/>
    <w:rsid w:val="00034534"/>
    <w:rsid w:val="000357D3"/>
    <w:rsid w:val="00036505"/>
    <w:rsid w:val="0003775D"/>
    <w:rsid w:val="00041D42"/>
    <w:rsid w:val="00041EF4"/>
    <w:rsid w:val="00042FA5"/>
    <w:rsid w:val="000433B1"/>
    <w:rsid w:val="00043A94"/>
    <w:rsid w:val="00046A61"/>
    <w:rsid w:val="00050A12"/>
    <w:rsid w:val="00051227"/>
    <w:rsid w:val="00053363"/>
    <w:rsid w:val="0005496C"/>
    <w:rsid w:val="00056C60"/>
    <w:rsid w:val="000606DF"/>
    <w:rsid w:val="000612DC"/>
    <w:rsid w:val="000640F3"/>
    <w:rsid w:val="0006476C"/>
    <w:rsid w:val="00065677"/>
    <w:rsid w:val="00070A77"/>
    <w:rsid w:val="0007163F"/>
    <w:rsid w:val="00071BB9"/>
    <w:rsid w:val="00073394"/>
    <w:rsid w:val="00073EDE"/>
    <w:rsid w:val="000830CD"/>
    <w:rsid w:val="00083651"/>
    <w:rsid w:val="000847C6"/>
    <w:rsid w:val="000854F7"/>
    <w:rsid w:val="00087F22"/>
    <w:rsid w:val="00091610"/>
    <w:rsid w:val="00094DCE"/>
    <w:rsid w:val="000952B9"/>
    <w:rsid w:val="00095E90"/>
    <w:rsid w:val="000A0731"/>
    <w:rsid w:val="000A32E8"/>
    <w:rsid w:val="000A3A2E"/>
    <w:rsid w:val="000A40C4"/>
    <w:rsid w:val="000A44D1"/>
    <w:rsid w:val="000A60C3"/>
    <w:rsid w:val="000B0F98"/>
    <w:rsid w:val="000B1407"/>
    <w:rsid w:val="000B2D0F"/>
    <w:rsid w:val="000B4858"/>
    <w:rsid w:val="000C2E5F"/>
    <w:rsid w:val="000C3DE4"/>
    <w:rsid w:val="000C49E4"/>
    <w:rsid w:val="000C4A03"/>
    <w:rsid w:val="000C5773"/>
    <w:rsid w:val="000C6E43"/>
    <w:rsid w:val="000C7BD2"/>
    <w:rsid w:val="000D073C"/>
    <w:rsid w:val="000D0EE2"/>
    <w:rsid w:val="000D22BF"/>
    <w:rsid w:val="000D3F13"/>
    <w:rsid w:val="000D4A2D"/>
    <w:rsid w:val="000D6005"/>
    <w:rsid w:val="000E13A5"/>
    <w:rsid w:val="000E1736"/>
    <w:rsid w:val="000E2031"/>
    <w:rsid w:val="000E58E6"/>
    <w:rsid w:val="000E66BC"/>
    <w:rsid w:val="000E7AA4"/>
    <w:rsid w:val="000E7C22"/>
    <w:rsid w:val="000E7E57"/>
    <w:rsid w:val="000F005B"/>
    <w:rsid w:val="000F35B4"/>
    <w:rsid w:val="000F399E"/>
    <w:rsid w:val="000F39BC"/>
    <w:rsid w:val="000F3F94"/>
    <w:rsid w:val="000F5646"/>
    <w:rsid w:val="000F59B7"/>
    <w:rsid w:val="000F756A"/>
    <w:rsid w:val="000F7607"/>
    <w:rsid w:val="00100303"/>
    <w:rsid w:val="00100329"/>
    <w:rsid w:val="00100C5D"/>
    <w:rsid w:val="0010255E"/>
    <w:rsid w:val="00102926"/>
    <w:rsid w:val="00103A9D"/>
    <w:rsid w:val="00103DF5"/>
    <w:rsid w:val="00103F2A"/>
    <w:rsid w:val="00104F86"/>
    <w:rsid w:val="00104FD6"/>
    <w:rsid w:val="001058C8"/>
    <w:rsid w:val="00110185"/>
    <w:rsid w:val="00110D2A"/>
    <w:rsid w:val="00112241"/>
    <w:rsid w:val="00113466"/>
    <w:rsid w:val="00114BC8"/>
    <w:rsid w:val="00114F32"/>
    <w:rsid w:val="00115789"/>
    <w:rsid w:val="00115D40"/>
    <w:rsid w:val="00115F0D"/>
    <w:rsid w:val="00116FC4"/>
    <w:rsid w:val="001231CC"/>
    <w:rsid w:val="00125518"/>
    <w:rsid w:val="001256DC"/>
    <w:rsid w:val="00126C34"/>
    <w:rsid w:val="00127710"/>
    <w:rsid w:val="0012787D"/>
    <w:rsid w:val="00130DCF"/>
    <w:rsid w:val="001315AC"/>
    <w:rsid w:val="0013214A"/>
    <w:rsid w:val="00132D4C"/>
    <w:rsid w:val="00140132"/>
    <w:rsid w:val="00140177"/>
    <w:rsid w:val="001412FA"/>
    <w:rsid w:val="001431DF"/>
    <w:rsid w:val="0014326C"/>
    <w:rsid w:val="00144E86"/>
    <w:rsid w:val="00145431"/>
    <w:rsid w:val="0014554E"/>
    <w:rsid w:val="00146061"/>
    <w:rsid w:val="00150B7E"/>
    <w:rsid w:val="001514D8"/>
    <w:rsid w:val="00152152"/>
    <w:rsid w:val="001536A8"/>
    <w:rsid w:val="00153B3E"/>
    <w:rsid w:val="00154E39"/>
    <w:rsid w:val="001562EA"/>
    <w:rsid w:val="001565FD"/>
    <w:rsid w:val="0015790E"/>
    <w:rsid w:val="00160DE4"/>
    <w:rsid w:val="00160E76"/>
    <w:rsid w:val="001612C0"/>
    <w:rsid w:val="00161CE6"/>
    <w:rsid w:val="00161F1A"/>
    <w:rsid w:val="001623FD"/>
    <w:rsid w:val="00162722"/>
    <w:rsid w:val="00163101"/>
    <w:rsid w:val="0016368E"/>
    <w:rsid w:val="00163B65"/>
    <w:rsid w:val="00163E31"/>
    <w:rsid w:val="00164969"/>
    <w:rsid w:val="00165FA7"/>
    <w:rsid w:val="00166592"/>
    <w:rsid w:val="00170CEC"/>
    <w:rsid w:val="001712D4"/>
    <w:rsid w:val="0017271B"/>
    <w:rsid w:val="00175055"/>
    <w:rsid w:val="00175DD1"/>
    <w:rsid w:val="001813FC"/>
    <w:rsid w:val="001822BC"/>
    <w:rsid w:val="00183E98"/>
    <w:rsid w:val="0018732D"/>
    <w:rsid w:val="001912A9"/>
    <w:rsid w:val="0019239D"/>
    <w:rsid w:val="00193489"/>
    <w:rsid w:val="00193D8D"/>
    <w:rsid w:val="00194F98"/>
    <w:rsid w:val="001A016F"/>
    <w:rsid w:val="001A13AF"/>
    <w:rsid w:val="001A1BD3"/>
    <w:rsid w:val="001A59CD"/>
    <w:rsid w:val="001A72DB"/>
    <w:rsid w:val="001A791A"/>
    <w:rsid w:val="001B0552"/>
    <w:rsid w:val="001B0DDE"/>
    <w:rsid w:val="001B129D"/>
    <w:rsid w:val="001B1B55"/>
    <w:rsid w:val="001B241E"/>
    <w:rsid w:val="001B39D9"/>
    <w:rsid w:val="001B3DAB"/>
    <w:rsid w:val="001B3F52"/>
    <w:rsid w:val="001B4018"/>
    <w:rsid w:val="001B6098"/>
    <w:rsid w:val="001B73CF"/>
    <w:rsid w:val="001B79FA"/>
    <w:rsid w:val="001C0DD5"/>
    <w:rsid w:val="001C4587"/>
    <w:rsid w:val="001C4DFE"/>
    <w:rsid w:val="001C543F"/>
    <w:rsid w:val="001C780F"/>
    <w:rsid w:val="001D0265"/>
    <w:rsid w:val="001D1CC0"/>
    <w:rsid w:val="001D3263"/>
    <w:rsid w:val="001D4B1A"/>
    <w:rsid w:val="001D52C7"/>
    <w:rsid w:val="001D6558"/>
    <w:rsid w:val="001D79EB"/>
    <w:rsid w:val="001D7C5E"/>
    <w:rsid w:val="001D7E9E"/>
    <w:rsid w:val="001E1200"/>
    <w:rsid w:val="001E2871"/>
    <w:rsid w:val="001E3404"/>
    <w:rsid w:val="001E52EE"/>
    <w:rsid w:val="001E6458"/>
    <w:rsid w:val="001F0290"/>
    <w:rsid w:val="001F1045"/>
    <w:rsid w:val="001F1452"/>
    <w:rsid w:val="001F2730"/>
    <w:rsid w:val="001F2DDA"/>
    <w:rsid w:val="001F30E4"/>
    <w:rsid w:val="001F5D23"/>
    <w:rsid w:val="001F66F8"/>
    <w:rsid w:val="001F6DCE"/>
    <w:rsid w:val="001F6ECC"/>
    <w:rsid w:val="00201B0E"/>
    <w:rsid w:val="002021AB"/>
    <w:rsid w:val="0020446D"/>
    <w:rsid w:val="0020473F"/>
    <w:rsid w:val="002066A8"/>
    <w:rsid w:val="00207640"/>
    <w:rsid w:val="002078E9"/>
    <w:rsid w:val="00211507"/>
    <w:rsid w:val="00211FC9"/>
    <w:rsid w:val="0021239F"/>
    <w:rsid w:val="002128F9"/>
    <w:rsid w:val="00215A1A"/>
    <w:rsid w:val="00220128"/>
    <w:rsid w:val="002209DC"/>
    <w:rsid w:val="002211A8"/>
    <w:rsid w:val="002216E8"/>
    <w:rsid w:val="00225AA6"/>
    <w:rsid w:val="00225D7D"/>
    <w:rsid w:val="00225E42"/>
    <w:rsid w:val="00225FFF"/>
    <w:rsid w:val="00227078"/>
    <w:rsid w:val="002271E3"/>
    <w:rsid w:val="00227942"/>
    <w:rsid w:val="00234B22"/>
    <w:rsid w:val="00236C3F"/>
    <w:rsid w:val="002371AD"/>
    <w:rsid w:val="00237E13"/>
    <w:rsid w:val="00242C58"/>
    <w:rsid w:val="002433B6"/>
    <w:rsid w:val="00243AA9"/>
    <w:rsid w:val="002447FE"/>
    <w:rsid w:val="002459C9"/>
    <w:rsid w:val="0024693B"/>
    <w:rsid w:val="0024701B"/>
    <w:rsid w:val="00247791"/>
    <w:rsid w:val="0025002D"/>
    <w:rsid w:val="0025072E"/>
    <w:rsid w:val="00251C30"/>
    <w:rsid w:val="00251DBD"/>
    <w:rsid w:val="002537F1"/>
    <w:rsid w:val="002569B3"/>
    <w:rsid w:val="0026009C"/>
    <w:rsid w:val="00261460"/>
    <w:rsid w:val="002619C5"/>
    <w:rsid w:val="002622DA"/>
    <w:rsid w:val="0026677F"/>
    <w:rsid w:val="00270B46"/>
    <w:rsid w:val="00270F97"/>
    <w:rsid w:val="002740CA"/>
    <w:rsid w:val="00274786"/>
    <w:rsid w:val="00280948"/>
    <w:rsid w:val="002811FB"/>
    <w:rsid w:val="0028126F"/>
    <w:rsid w:val="002818D5"/>
    <w:rsid w:val="002825A2"/>
    <w:rsid w:val="002825DF"/>
    <w:rsid w:val="00283CDE"/>
    <w:rsid w:val="00284B4E"/>
    <w:rsid w:val="00286CAA"/>
    <w:rsid w:val="00286E42"/>
    <w:rsid w:val="00287746"/>
    <w:rsid w:val="00290610"/>
    <w:rsid w:val="002908A1"/>
    <w:rsid w:val="00290985"/>
    <w:rsid w:val="00291FD4"/>
    <w:rsid w:val="002944D4"/>
    <w:rsid w:val="00294C24"/>
    <w:rsid w:val="00296228"/>
    <w:rsid w:val="002973BC"/>
    <w:rsid w:val="00297843"/>
    <w:rsid w:val="002A2F11"/>
    <w:rsid w:val="002A3241"/>
    <w:rsid w:val="002A4FCB"/>
    <w:rsid w:val="002A5450"/>
    <w:rsid w:val="002A55C3"/>
    <w:rsid w:val="002A5AFA"/>
    <w:rsid w:val="002A6958"/>
    <w:rsid w:val="002B1017"/>
    <w:rsid w:val="002B1541"/>
    <w:rsid w:val="002B1792"/>
    <w:rsid w:val="002B1B8F"/>
    <w:rsid w:val="002B28E5"/>
    <w:rsid w:val="002C083F"/>
    <w:rsid w:val="002C5177"/>
    <w:rsid w:val="002C74E7"/>
    <w:rsid w:val="002D2EC7"/>
    <w:rsid w:val="002D3D8A"/>
    <w:rsid w:val="002D4D77"/>
    <w:rsid w:val="002D5354"/>
    <w:rsid w:val="002D721B"/>
    <w:rsid w:val="002E2850"/>
    <w:rsid w:val="002E2F1C"/>
    <w:rsid w:val="002E307C"/>
    <w:rsid w:val="002E31B0"/>
    <w:rsid w:val="002E450A"/>
    <w:rsid w:val="002F016B"/>
    <w:rsid w:val="002F0217"/>
    <w:rsid w:val="002F0C63"/>
    <w:rsid w:val="002F2D7C"/>
    <w:rsid w:val="002F321B"/>
    <w:rsid w:val="002F3631"/>
    <w:rsid w:val="002F6CA0"/>
    <w:rsid w:val="002F7651"/>
    <w:rsid w:val="0030002D"/>
    <w:rsid w:val="0030060D"/>
    <w:rsid w:val="003011DC"/>
    <w:rsid w:val="00301ABE"/>
    <w:rsid w:val="00301F88"/>
    <w:rsid w:val="00303965"/>
    <w:rsid w:val="00304491"/>
    <w:rsid w:val="003044E6"/>
    <w:rsid w:val="003066A6"/>
    <w:rsid w:val="003067C4"/>
    <w:rsid w:val="00307357"/>
    <w:rsid w:val="0031065B"/>
    <w:rsid w:val="00311014"/>
    <w:rsid w:val="0031174D"/>
    <w:rsid w:val="00312626"/>
    <w:rsid w:val="00312D52"/>
    <w:rsid w:val="00315C4E"/>
    <w:rsid w:val="003162D4"/>
    <w:rsid w:val="00316D53"/>
    <w:rsid w:val="0031757D"/>
    <w:rsid w:val="00321809"/>
    <w:rsid w:val="00321B12"/>
    <w:rsid w:val="00321E8F"/>
    <w:rsid w:val="00323700"/>
    <w:rsid w:val="00324DE8"/>
    <w:rsid w:val="003252F4"/>
    <w:rsid w:val="00326863"/>
    <w:rsid w:val="003314DE"/>
    <w:rsid w:val="003316B9"/>
    <w:rsid w:val="003318F3"/>
    <w:rsid w:val="0033202F"/>
    <w:rsid w:val="00333580"/>
    <w:rsid w:val="00333DB1"/>
    <w:rsid w:val="00333E7C"/>
    <w:rsid w:val="00334192"/>
    <w:rsid w:val="003344B7"/>
    <w:rsid w:val="003360F0"/>
    <w:rsid w:val="003361BC"/>
    <w:rsid w:val="00337F54"/>
    <w:rsid w:val="00340EB8"/>
    <w:rsid w:val="003417DF"/>
    <w:rsid w:val="00342926"/>
    <w:rsid w:val="00342D31"/>
    <w:rsid w:val="003435D4"/>
    <w:rsid w:val="003442EF"/>
    <w:rsid w:val="00345D43"/>
    <w:rsid w:val="00350F4D"/>
    <w:rsid w:val="00352374"/>
    <w:rsid w:val="0035361C"/>
    <w:rsid w:val="00354764"/>
    <w:rsid w:val="0035481C"/>
    <w:rsid w:val="00354F52"/>
    <w:rsid w:val="0035552F"/>
    <w:rsid w:val="0036051D"/>
    <w:rsid w:val="00361D75"/>
    <w:rsid w:val="003624EC"/>
    <w:rsid w:val="00364542"/>
    <w:rsid w:val="00364A4A"/>
    <w:rsid w:val="00366014"/>
    <w:rsid w:val="00366F58"/>
    <w:rsid w:val="0036767D"/>
    <w:rsid w:val="00367D68"/>
    <w:rsid w:val="00370768"/>
    <w:rsid w:val="00372662"/>
    <w:rsid w:val="0037506B"/>
    <w:rsid w:val="0037737A"/>
    <w:rsid w:val="0038210C"/>
    <w:rsid w:val="00383E8B"/>
    <w:rsid w:val="00385A40"/>
    <w:rsid w:val="00390829"/>
    <w:rsid w:val="0039243C"/>
    <w:rsid w:val="00392579"/>
    <w:rsid w:val="00392CA3"/>
    <w:rsid w:val="00393650"/>
    <w:rsid w:val="003947C7"/>
    <w:rsid w:val="003957E9"/>
    <w:rsid w:val="00395F60"/>
    <w:rsid w:val="003A1BEE"/>
    <w:rsid w:val="003A2063"/>
    <w:rsid w:val="003A2B99"/>
    <w:rsid w:val="003A4334"/>
    <w:rsid w:val="003A49DA"/>
    <w:rsid w:val="003A6AB0"/>
    <w:rsid w:val="003A6CFB"/>
    <w:rsid w:val="003B13E4"/>
    <w:rsid w:val="003B16ED"/>
    <w:rsid w:val="003B23F0"/>
    <w:rsid w:val="003B2D1E"/>
    <w:rsid w:val="003B2D73"/>
    <w:rsid w:val="003B4A6E"/>
    <w:rsid w:val="003B68A2"/>
    <w:rsid w:val="003C2120"/>
    <w:rsid w:val="003C3960"/>
    <w:rsid w:val="003C3AB3"/>
    <w:rsid w:val="003C431E"/>
    <w:rsid w:val="003C450E"/>
    <w:rsid w:val="003C5422"/>
    <w:rsid w:val="003C5809"/>
    <w:rsid w:val="003C607C"/>
    <w:rsid w:val="003C783C"/>
    <w:rsid w:val="003D07A7"/>
    <w:rsid w:val="003D12FD"/>
    <w:rsid w:val="003D25D9"/>
    <w:rsid w:val="003D31DF"/>
    <w:rsid w:val="003D3DE9"/>
    <w:rsid w:val="003D49F3"/>
    <w:rsid w:val="003D56A2"/>
    <w:rsid w:val="003D56B5"/>
    <w:rsid w:val="003D6686"/>
    <w:rsid w:val="003E2109"/>
    <w:rsid w:val="003E58F4"/>
    <w:rsid w:val="003E6935"/>
    <w:rsid w:val="003E6DA7"/>
    <w:rsid w:val="003E7670"/>
    <w:rsid w:val="003F083F"/>
    <w:rsid w:val="003F1004"/>
    <w:rsid w:val="003F34E9"/>
    <w:rsid w:val="003F390C"/>
    <w:rsid w:val="003F5035"/>
    <w:rsid w:val="003F6560"/>
    <w:rsid w:val="003F658F"/>
    <w:rsid w:val="003F795B"/>
    <w:rsid w:val="00400C44"/>
    <w:rsid w:val="00401757"/>
    <w:rsid w:val="00406544"/>
    <w:rsid w:val="00406570"/>
    <w:rsid w:val="00406847"/>
    <w:rsid w:val="004108C6"/>
    <w:rsid w:val="00411A5B"/>
    <w:rsid w:val="00412FA2"/>
    <w:rsid w:val="00413552"/>
    <w:rsid w:val="004162C1"/>
    <w:rsid w:val="0041636E"/>
    <w:rsid w:val="0041658E"/>
    <w:rsid w:val="004166A8"/>
    <w:rsid w:val="00416DA0"/>
    <w:rsid w:val="0041784F"/>
    <w:rsid w:val="00421B37"/>
    <w:rsid w:val="004228E1"/>
    <w:rsid w:val="00423BEF"/>
    <w:rsid w:val="00423C28"/>
    <w:rsid w:val="0042426E"/>
    <w:rsid w:val="004270B0"/>
    <w:rsid w:val="00427D98"/>
    <w:rsid w:val="00434928"/>
    <w:rsid w:val="0043656F"/>
    <w:rsid w:val="00437BB4"/>
    <w:rsid w:val="00440209"/>
    <w:rsid w:val="00440C52"/>
    <w:rsid w:val="0044178C"/>
    <w:rsid w:val="004420C4"/>
    <w:rsid w:val="00442AAD"/>
    <w:rsid w:val="00445A65"/>
    <w:rsid w:val="00451F44"/>
    <w:rsid w:val="00452E09"/>
    <w:rsid w:val="004541E2"/>
    <w:rsid w:val="0046008C"/>
    <w:rsid w:val="00460652"/>
    <w:rsid w:val="0046368E"/>
    <w:rsid w:val="0046401F"/>
    <w:rsid w:val="004655E7"/>
    <w:rsid w:val="004657C0"/>
    <w:rsid w:val="004701E1"/>
    <w:rsid w:val="00470494"/>
    <w:rsid w:val="004713F8"/>
    <w:rsid w:val="00471471"/>
    <w:rsid w:val="004738C9"/>
    <w:rsid w:val="00475C80"/>
    <w:rsid w:val="00476365"/>
    <w:rsid w:val="004775AA"/>
    <w:rsid w:val="004776ED"/>
    <w:rsid w:val="00480103"/>
    <w:rsid w:val="00480F74"/>
    <w:rsid w:val="00483A6B"/>
    <w:rsid w:val="00484E33"/>
    <w:rsid w:val="00485122"/>
    <w:rsid w:val="004864AF"/>
    <w:rsid w:val="0049002D"/>
    <w:rsid w:val="00490FD9"/>
    <w:rsid w:val="00492941"/>
    <w:rsid w:val="00492C2A"/>
    <w:rsid w:val="00493185"/>
    <w:rsid w:val="00493C49"/>
    <w:rsid w:val="004975B3"/>
    <w:rsid w:val="0049772E"/>
    <w:rsid w:val="004A0225"/>
    <w:rsid w:val="004A06B1"/>
    <w:rsid w:val="004A1E56"/>
    <w:rsid w:val="004A3C4B"/>
    <w:rsid w:val="004A4B43"/>
    <w:rsid w:val="004A6A83"/>
    <w:rsid w:val="004A6BB1"/>
    <w:rsid w:val="004A7BC3"/>
    <w:rsid w:val="004A7E40"/>
    <w:rsid w:val="004B1179"/>
    <w:rsid w:val="004B21C1"/>
    <w:rsid w:val="004B2889"/>
    <w:rsid w:val="004B28CB"/>
    <w:rsid w:val="004B64EC"/>
    <w:rsid w:val="004C1636"/>
    <w:rsid w:val="004C1905"/>
    <w:rsid w:val="004C279B"/>
    <w:rsid w:val="004C3C2F"/>
    <w:rsid w:val="004C4682"/>
    <w:rsid w:val="004C7CF5"/>
    <w:rsid w:val="004D10F1"/>
    <w:rsid w:val="004D3BA4"/>
    <w:rsid w:val="004D425E"/>
    <w:rsid w:val="004D50C2"/>
    <w:rsid w:val="004D5A4B"/>
    <w:rsid w:val="004D7ABD"/>
    <w:rsid w:val="004E01B9"/>
    <w:rsid w:val="004E12F5"/>
    <w:rsid w:val="004E13F1"/>
    <w:rsid w:val="004E368C"/>
    <w:rsid w:val="004E3DB5"/>
    <w:rsid w:val="004E4396"/>
    <w:rsid w:val="004E56B3"/>
    <w:rsid w:val="004E59E0"/>
    <w:rsid w:val="004E651F"/>
    <w:rsid w:val="004E7500"/>
    <w:rsid w:val="004E7958"/>
    <w:rsid w:val="004F0CA9"/>
    <w:rsid w:val="004F16A6"/>
    <w:rsid w:val="004F269B"/>
    <w:rsid w:val="004F271D"/>
    <w:rsid w:val="004F2D01"/>
    <w:rsid w:val="004F360D"/>
    <w:rsid w:val="00500333"/>
    <w:rsid w:val="00501109"/>
    <w:rsid w:val="00502BED"/>
    <w:rsid w:val="005036E6"/>
    <w:rsid w:val="00503709"/>
    <w:rsid w:val="00503A16"/>
    <w:rsid w:val="00505495"/>
    <w:rsid w:val="00506C06"/>
    <w:rsid w:val="00510A92"/>
    <w:rsid w:val="00512838"/>
    <w:rsid w:val="00514584"/>
    <w:rsid w:val="0051514C"/>
    <w:rsid w:val="005154EE"/>
    <w:rsid w:val="00517E7C"/>
    <w:rsid w:val="005212E5"/>
    <w:rsid w:val="0052234A"/>
    <w:rsid w:val="005245DE"/>
    <w:rsid w:val="00524C70"/>
    <w:rsid w:val="005251FB"/>
    <w:rsid w:val="00527322"/>
    <w:rsid w:val="005275B8"/>
    <w:rsid w:val="005277F3"/>
    <w:rsid w:val="00531536"/>
    <w:rsid w:val="00531FA3"/>
    <w:rsid w:val="00532727"/>
    <w:rsid w:val="00533037"/>
    <w:rsid w:val="00533248"/>
    <w:rsid w:val="00535259"/>
    <w:rsid w:val="0053545B"/>
    <w:rsid w:val="005354E5"/>
    <w:rsid w:val="00535772"/>
    <w:rsid w:val="00537BEA"/>
    <w:rsid w:val="00540BE2"/>
    <w:rsid w:val="005425ED"/>
    <w:rsid w:val="00543330"/>
    <w:rsid w:val="00552A34"/>
    <w:rsid w:val="00552BC7"/>
    <w:rsid w:val="00552D49"/>
    <w:rsid w:val="00555920"/>
    <w:rsid w:val="005566BF"/>
    <w:rsid w:val="00556844"/>
    <w:rsid w:val="00556AE1"/>
    <w:rsid w:val="005611F2"/>
    <w:rsid w:val="005636DE"/>
    <w:rsid w:val="00563A7D"/>
    <w:rsid w:val="0056452B"/>
    <w:rsid w:val="00566A3E"/>
    <w:rsid w:val="00567647"/>
    <w:rsid w:val="00571811"/>
    <w:rsid w:val="005732A4"/>
    <w:rsid w:val="00573636"/>
    <w:rsid w:val="005740B6"/>
    <w:rsid w:val="005747AB"/>
    <w:rsid w:val="00574FD2"/>
    <w:rsid w:val="00576DA1"/>
    <w:rsid w:val="00576E23"/>
    <w:rsid w:val="00577BF6"/>
    <w:rsid w:val="00580160"/>
    <w:rsid w:val="005806A1"/>
    <w:rsid w:val="005839EA"/>
    <w:rsid w:val="00584405"/>
    <w:rsid w:val="00587061"/>
    <w:rsid w:val="005929FA"/>
    <w:rsid w:val="00593178"/>
    <w:rsid w:val="00596A74"/>
    <w:rsid w:val="0059794E"/>
    <w:rsid w:val="005A2698"/>
    <w:rsid w:val="005A2B7D"/>
    <w:rsid w:val="005A3970"/>
    <w:rsid w:val="005A4B85"/>
    <w:rsid w:val="005B142F"/>
    <w:rsid w:val="005B2988"/>
    <w:rsid w:val="005B2C2C"/>
    <w:rsid w:val="005B2DF0"/>
    <w:rsid w:val="005B3962"/>
    <w:rsid w:val="005B3B4E"/>
    <w:rsid w:val="005B406A"/>
    <w:rsid w:val="005B433B"/>
    <w:rsid w:val="005B7DF6"/>
    <w:rsid w:val="005C048F"/>
    <w:rsid w:val="005C2F29"/>
    <w:rsid w:val="005C2FF1"/>
    <w:rsid w:val="005C36AC"/>
    <w:rsid w:val="005C3AE7"/>
    <w:rsid w:val="005C3C8A"/>
    <w:rsid w:val="005C5F1A"/>
    <w:rsid w:val="005C5F6B"/>
    <w:rsid w:val="005C6AD2"/>
    <w:rsid w:val="005D02BD"/>
    <w:rsid w:val="005D0D70"/>
    <w:rsid w:val="005D15B7"/>
    <w:rsid w:val="005D2176"/>
    <w:rsid w:val="005D2784"/>
    <w:rsid w:val="005D2A99"/>
    <w:rsid w:val="005D2ED4"/>
    <w:rsid w:val="005D2FEB"/>
    <w:rsid w:val="005D352D"/>
    <w:rsid w:val="005D6891"/>
    <w:rsid w:val="005D68A0"/>
    <w:rsid w:val="005D6E53"/>
    <w:rsid w:val="005E20C0"/>
    <w:rsid w:val="005E265D"/>
    <w:rsid w:val="005E3940"/>
    <w:rsid w:val="005E5798"/>
    <w:rsid w:val="005E5D9D"/>
    <w:rsid w:val="005E6F93"/>
    <w:rsid w:val="005F0490"/>
    <w:rsid w:val="005F07FB"/>
    <w:rsid w:val="005F34F8"/>
    <w:rsid w:val="005F44F4"/>
    <w:rsid w:val="005F5EAB"/>
    <w:rsid w:val="006024E4"/>
    <w:rsid w:val="00603D3B"/>
    <w:rsid w:val="00603EBF"/>
    <w:rsid w:val="006041E2"/>
    <w:rsid w:val="006046A4"/>
    <w:rsid w:val="006051B5"/>
    <w:rsid w:val="00605650"/>
    <w:rsid w:val="006076BD"/>
    <w:rsid w:val="00607F20"/>
    <w:rsid w:val="00610A9A"/>
    <w:rsid w:val="00611DC7"/>
    <w:rsid w:val="00612B8E"/>
    <w:rsid w:val="00612D3F"/>
    <w:rsid w:val="0061399D"/>
    <w:rsid w:val="00614F51"/>
    <w:rsid w:val="00615615"/>
    <w:rsid w:val="00616525"/>
    <w:rsid w:val="00620BBA"/>
    <w:rsid w:val="00620D33"/>
    <w:rsid w:val="00622C80"/>
    <w:rsid w:val="00622DA4"/>
    <w:rsid w:val="00622E81"/>
    <w:rsid w:val="006231F6"/>
    <w:rsid w:val="006239E0"/>
    <w:rsid w:val="006243B4"/>
    <w:rsid w:val="006272C5"/>
    <w:rsid w:val="00627E4F"/>
    <w:rsid w:val="0063181E"/>
    <w:rsid w:val="0063499A"/>
    <w:rsid w:val="006372F9"/>
    <w:rsid w:val="006372FD"/>
    <w:rsid w:val="006401DD"/>
    <w:rsid w:val="00640D79"/>
    <w:rsid w:val="00641876"/>
    <w:rsid w:val="00643C02"/>
    <w:rsid w:val="006475C3"/>
    <w:rsid w:val="00650103"/>
    <w:rsid w:val="0065077D"/>
    <w:rsid w:val="00652862"/>
    <w:rsid w:val="00652F5B"/>
    <w:rsid w:val="00653533"/>
    <w:rsid w:val="0065604B"/>
    <w:rsid w:val="00656FA1"/>
    <w:rsid w:val="006571DE"/>
    <w:rsid w:val="00657E1D"/>
    <w:rsid w:val="00662D8E"/>
    <w:rsid w:val="00663035"/>
    <w:rsid w:val="00666CAC"/>
    <w:rsid w:val="00667E36"/>
    <w:rsid w:val="00670F8A"/>
    <w:rsid w:val="00671B03"/>
    <w:rsid w:val="006739A2"/>
    <w:rsid w:val="006740AF"/>
    <w:rsid w:val="00674EA3"/>
    <w:rsid w:val="00680C75"/>
    <w:rsid w:val="00683A95"/>
    <w:rsid w:val="00683BAD"/>
    <w:rsid w:val="0068409D"/>
    <w:rsid w:val="00685512"/>
    <w:rsid w:val="00685BD9"/>
    <w:rsid w:val="00685E87"/>
    <w:rsid w:val="00687735"/>
    <w:rsid w:val="0069061E"/>
    <w:rsid w:val="00694F3C"/>
    <w:rsid w:val="00695260"/>
    <w:rsid w:val="00695B1E"/>
    <w:rsid w:val="00695EEF"/>
    <w:rsid w:val="006A149F"/>
    <w:rsid w:val="006A1B37"/>
    <w:rsid w:val="006A20D8"/>
    <w:rsid w:val="006A2F3B"/>
    <w:rsid w:val="006A4595"/>
    <w:rsid w:val="006A6259"/>
    <w:rsid w:val="006A7250"/>
    <w:rsid w:val="006B4B1F"/>
    <w:rsid w:val="006C06BF"/>
    <w:rsid w:val="006C0B77"/>
    <w:rsid w:val="006C26FE"/>
    <w:rsid w:val="006C45DD"/>
    <w:rsid w:val="006C4C80"/>
    <w:rsid w:val="006D1157"/>
    <w:rsid w:val="006D19DB"/>
    <w:rsid w:val="006D1F38"/>
    <w:rsid w:val="006D232E"/>
    <w:rsid w:val="006D3158"/>
    <w:rsid w:val="006E2494"/>
    <w:rsid w:val="006E257F"/>
    <w:rsid w:val="006E2EF6"/>
    <w:rsid w:val="006E6319"/>
    <w:rsid w:val="006E6E5D"/>
    <w:rsid w:val="006F1940"/>
    <w:rsid w:val="006F29CB"/>
    <w:rsid w:val="006F4ADB"/>
    <w:rsid w:val="006F52FC"/>
    <w:rsid w:val="006F556E"/>
    <w:rsid w:val="006F5E1F"/>
    <w:rsid w:val="006F65A9"/>
    <w:rsid w:val="006F79F7"/>
    <w:rsid w:val="006F7FE2"/>
    <w:rsid w:val="007014B2"/>
    <w:rsid w:val="0070163C"/>
    <w:rsid w:val="00702402"/>
    <w:rsid w:val="007032FB"/>
    <w:rsid w:val="0070408B"/>
    <w:rsid w:val="0071108F"/>
    <w:rsid w:val="007118CC"/>
    <w:rsid w:val="00711EFF"/>
    <w:rsid w:val="00714D53"/>
    <w:rsid w:val="00715E48"/>
    <w:rsid w:val="00716B36"/>
    <w:rsid w:val="00716DD0"/>
    <w:rsid w:val="0071715B"/>
    <w:rsid w:val="00717CA0"/>
    <w:rsid w:val="00721C66"/>
    <w:rsid w:val="007244B9"/>
    <w:rsid w:val="007252A4"/>
    <w:rsid w:val="00727481"/>
    <w:rsid w:val="007276EF"/>
    <w:rsid w:val="007316B5"/>
    <w:rsid w:val="00731BA4"/>
    <w:rsid w:val="0073249C"/>
    <w:rsid w:val="00732A32"/>
    <w:rsid w:val="00734C4B"/>
    <w:rsid w:val="0073529E"/>
    <w:rsid w:val="00735698"/>
    <w:rsid w:val="007370E0"/>
    <w:rsid w:val="007379C9"/>
    <w:rsid w:val="00740FBB"/>
    <w:rsid w:val="00743D74"/>
    <w:rsid w:val="007458AB"/>
    <w:rsid w:val="00746851"/>
    <w:rsid w:val="00746B80"/>
    <w:rsid w:val="00746D01"/>
    <w:rsid w:val="00747337"/>
    <w:rsid w:val="0075112A"/>
    <w:rsid w:val="007526CD"/>
    <w:rsid w:val="00752AE9"/>
    <w:rsid w:val="00752AEC"/>
    <w:rsid w:val="00753790"/>
    <w:rsid w:val="007537C1"/>
    <w:rsid w:val="00754789"/>
    <w:rsid w:val="00755286"/>
    <w:rsid w:val="00757880"/>
    <w:rsid w:val="00760238"/>
    <w:rsid w:val="007624D2"/>
    <w:rsid w:val="00762B64"/>
    <w:rsid w:val="007642CB"/>
    <w:rsid w:val="007647D5"/>
    <w:rsid w:val="00767EE7"/>
    <w:rsid w:val="00770D78"/>
    <w:rsid w:val="00771036"/>
    <w:rsid w:val="00772B60"/>
    <w:rsid w:val="00772F34"/>
    <w:rsid w:val="0077446F"/>
    <w:rsid w:val="007761C6"/>
    <w:rsid w:val="007766FF"/>
    <w:rsid w:val="007775C2"/>
    <w:rsid w:val="00777B4C"/>
    <w:rsid w:val="00777E14"/>
    <w:rsid w:val="00781A20"/>
    <w:rsid w:val="00785DE0"/>
    <w:rsid w:val="00785FF3"/>
    <w:rsid w:val="007862F9"/>
    <w:rsid w:val="0078639D"/>
    <w:rsid w:val="0078657D"/>
    <w:rsid w:val="00790198"/>
    <w:rsid w:val="00793EC4"/>
    <w:rsid w:val="00795884"/>
    <w:rsid w:val="00795DEC"/>
    <w:rsid w:val="00796BBB"/>
    <w:rsid w:val="007A03BC"/>
    <w:rsid w:val="007A115C"/>
    <w:rsid w:val="007A1890"/>
    <w:rsid w:val="007A2113"/>
    <w:rsid w:val="007A214B"/>
    <w:rsid w:val="007A3213"/>
    <w:rsid w:val="007A3BD7"/>
    <w:rsid w:val="007A6D70"/>
    <w:rsid w:val="007A6DD9"/>
    <w:rsid w:val="007A6E88"/>
    <w:rsid w:val="007B4567"/>
    <w:rsid w:val="007B4CEB"/>
    <w:rsid w:val="007B73C1"/>
    <w:rsid w:val="007C15A6"/>
    <w:rsid w:val="007C3A47"/>
    <w:rsid w:val="007C55D9"/>
    <w:rsid w:val="007C6B14"/>
    <w:rsid w:val="007C7C46"/>
    <w:rsid w:val="007D03C2"/>
    <w:rsid w:val="007D1FE6"/>
    <w:rsid w:val="007D33B5"/>
    <w:rsid w:val="007D44B5"/>
    <w:rsid w:val="007D5079"/>
    <w:rsid w:val="007D65EB"/>
    <w:rsid w:val="007D7854"/>
    <w:rsid w:val="007E38FA"/>
    <w:rsid w:val="007E4167"/>
    <w:rsid w:val="007E41E4"/>
    <w:rsid w:val="007E5FFA"/>
    <w:rsid w:val="007F0519"/>
    <w:rsid w:val="007F0EE0"/>
    <w:rsid w:val="007F1A28"/>
    <w:rsid w:val="007F3BE7"/>
    <w:rsid w:val="007F41B7"/>
    <w:rsid w:val="0080087A"/>
    <w:rsid w:val="00801596"/>
    <w:rsid w:val="00802E46"/>
    <w:rsid w:val="00805132"/>
    <w:rsid w:val="00805DDA"/>
    <w:rsid w:val="008065D3"/>
    <w:rsid w:val="00807EEE"/>
    <w:rsid w:val="00810006"/>
    <w:rsid w:val="00810341"/>
    <w:rsid w:val="008108C1"/>
    <w:rsid w:val="00811617"/>
    <w:rsid w:val="008118FC"/>
    <w:rsid w:val="00812D71"/>
    <w:rsid w:val="008139DD"/>
    <w:rsid w:val="00813F89"/>
    <w:rsid w:val="00814D81"/>
    <w:rsid w:val="0081606A"/>
    <w:rsid w:val="00816EB9"/>
    <w:rsid w:val="00821169"/>
    <w:rsid w:val="00821534"/>
    <w:rsid w:val="0082200A"/>
    <w:rsid w:val="00824475"/>
    <w:rsid w:val="00824786"/>
    <w:rsid w:val="00824C51"/>
    <w:rsid w:val="00825D7A"/>
    <w:rsid w:val="008277F0"/>
    <w:rsid w:val="00831005"/>
    <w:rsid w:val="00831EFC"/>
    <w:rsid w:val="008336BB"/>
    <w:rsid w:val="00833D23"/>
    <w:rsid w:val="00833FFB"/>
    <w:rsid w:val="00836318"/>
    <w:rsid w:val="0083653A"/>
    <w:rsid w:val="00842F58"/>
    <w:rsid w:val="008430B9"/>
    <w:rsid w:val="0084326C"/>
    <w:rsid w:val="00846100"/>
    <w:rsid w:val="00846AE4"/>
    <w:rsid w:val="008473FA"/>
    <w:rsid w:val="00850E3D"/>
    <w:rsid w:val="0085211A"/>
    <w:rsid w:val="008523A0"/>
    <w:rsid w:val="008545E6"/>
    <w:rsid w:val="00857BFB"/>
    <w:rsid w:val="00862782"/>
    <w:rsid w:val="00862BD4"/>
    <w:rsid w:val="00864889"/>
    <w:rsid w:val="00866DD6"/>
    <w:rsid w:val="00867C8F"/>
    <w:rsid w:val="00870C2E"/>
    <w:rsid w:val="00873DB7"/>
    <w:rsid w:val="008746ED"/>
    <w:rsid w:val="00874732"/>
    <w:rsid w:val="00874D19"/>
    <w:rsid w:val="0087558B"/>
    <w:rsid w:val="00875CD1"/>
    <w:rsid w:val="00875F45"/>
    <w:rsid w:val="00877152"/>
    <w:rsid w:val="0087724F"/>
    <w:rsid w:val="008772BE"/>
    <w:rsid w:val="00882A0F"/>
    <w:rsid w:val="00882FE7"/>
    <w:rsid w:val="0088459E"/>
    <w:rsid w:val="00886144"/>
    <w:rsid w:val="00890605"/>
    <w:rsid w:val="00891CA9"/>
    <w:rsid w:val="00893516"/>
    <w:rsid w:val="00895302"/>
    <w:rsid w:val="008A0A1A"/>
    <w:rsid w:val="008A152B"/>
    <w:rsid w:val="008A3E8D"/>
    <w:rsid w:val="008A3F2F"/>
    <w:rsid w:val="008A4134"/>
    <w:rsid w:val="008A52AA"/>
    <w:rsid w:val="008A7E8A"/>
    <w:rsid w:val="008B15E7"/>
    <w:rsid w:val="008B1789"/>
    <w:rsid w:val="008B2BA5"/>
    <w:rsid w:val="008B2D1D"/>
    <w:rsid w:val="008B3890"/>
    <w:rsid w:val="008C1333"/>
    <w:rsid w:val="008C1DE0"/>
    <w:rsid w:val="008C4282"/>
    <w:rsid w:val="008C42CC"/>
    <w:rsid w:val="008C6367"/>
    <w:rsid w:val="008D0B36"/>
    <w:rsid w:val="008D2EBE"/>
    <w:rsid w:val="008D3F24"/>
    <w:rsid w:val="008D5C15"/>
    <w:rsid w:val="008D7315"/>
    <w:rsid w:val="008E03F3"/>
    <w:rsid w:val="008E1FDA"/>
    <w:rsid w:val="008E2716"/>
    <w:rsid w:val="008E43B9"/>
    <w:rsid w:val="008E7A71"/>
    <w:rsid w:val="008E7E2F"/>
    <w:rsid w:val="008F3E36"/>
    <w:rsid w:val="008F611C"/>
    <w:rsid w:val="008F64E3"/>
    <w:rsid w:val="008F7E6C"/>
    <w:rsid w:val="0090123E"/>
    <w:rsid w:val="00901E82"/>
    <w:rsid w:val="00902921"/>
    <w:rsid w:val="009046EC"/>
    <w:rsid w:val="00904AFC"/>
    <w:rsid w:val="009068C6"/>
    <w:rsid w:val="00906A03"/>
    <w:rsid w:val="00907628"/>
    <w:rsid w:val="00910612"/>
    <w:rsid w:val="0091137A"/>
    <w:rsid w:val="00913656"/>
    <w:rsid w:val="009137C9"/>
    <w:rsid w:val="00914C07"/>
    <w:rsid w:val="00916A10"/>
    <w:rsid w:val="00917565"/>
    <w:rsid w:val="00917719"/>
    <w:rsid w:val="00922269"/>
    <w:rsid w:val="0092316B"/>
    <w:rsid w:val="00923318"/>
    <w:rsid w:val="00931436"/>
    <w:rsid w:val="00932A0D"/>
    <w:rsid w:val="00932D57"/>
    <w:rsid w:val="00932F6B"/>
    <w:rsid w:val="00934666"/>
    <w:rsid w:val="00941E48"/>
    <w:rsid w:val="00941F2C"/>
    <w:rsid w:val="00942BB8"/>
    <w:rsid w:val="00942F23"/>
    <w:rsid w:val="009449E2"/>
    <w:rsid w:val="00944E3D"/>
    <w:rsid w:val="00945BF1"/>
    <w:rsid w:val="009473AC"/>
    <w:rsid w:val="0095025A"/>
    <w:rsid w:val="00950D16"/>
    <w:rsid w:val="009519D5"/>
    <w:rsid w:val="00953290"/>
    <w:rsid w:val="00953E83"/>
    <w:rsid w:val="009550FF"/>
    <w:rsid w:val="00955A9F"/>
    <w:rsid w:val="00956361"/>
    <w:rsid w:val="0096067D"/>
    <w:rsid w:val="0096080A"/>
    <w:rsid w:val="00960C65"/>
    <w:rsid w:val="00961884"/>
    <w:rsid w:val="00962560"/>
    <w:rsid w:val="009634E5"/>
    <w:rsid w:val="00963917"/>
    <w:rsid w:val="00964CD0"/>
    <w:rsid w:val="009650C6"/>
    <w:rsid w:val="009676D7"/>
    <w:rsid w:val="00967DC1"/>
    <w:rsid w:val="00967ED9"/>
    <w:rsid w:val="0097015E"/>
    <w:rsid w:val="00973C44"/>
    <w:rsid w:val="0097403E"/>
    <w:rsid w:val="0097434D"/>
    <w:rsid w:val="00974725"/>
    <w:rsid w:val="009755E5"/>
    <w:rsid w:val="00977EF4"/>
    <w:rsid w:val="009802F9"/>
    <w:rsid w:val="0098081A"/>
    <w:rsid w:val="00981A49"/>
    <w:rsid w:val="00981F9D"/>
    <w:rsid w:val="00982765"/>
    <w:rsid w:val="009836B4"/>
    <w:rsid w:val="009864CA"/>
    <w:rsid w:val="00986E6F"/>
    <w:rsid w:val="00986EF9"/>
    <w:rsid w:val="00987201"/>
    <w:rsid w:val="00990295"/>
    <w:rsid w:val="009918B9"/>
    <w:rsid w:val="009922DE"/>
    <w:rsid w:val="009930BC"/>
    <w:rsid w:val="00993303"/>
    <w:rsid w:val="00993447"/>
    <w:rsid w:val="00994021"/>
    <w:rsid w:val="00994F5E"/>
    <w:rsid w:val="00997339"/>
    <w:rsid w:val="009A0D8A"/>
    <w:rsid w:val="009A13E8"/>
    <w:rsid w:val="009A1496"/>
    <w:rsid w:val="009A1E10"/>
    <w:rsid w:val="009A392B"/>
    <w:rsid w:val="009A3E9C"/>
    <w:rsid w:val="009A4943"/>
    <w:rsid w:val="009A5A28"/>
    <w:rsid w:val="009A65CA"/>
    <w:rsid w:val="009A6BCE"/>
    <w:rsid w:val="009B23D5"/>
    <w:rsid w:val="009B5CBF"/>
    <w:rsid w:val="009C23C4"/>
    <w:rsid w:val="009C59F7"/>
    <w:rsid w:val="009C70C3"/>
    <w:rsid w:val="009C77DE"/>
    <w:rsid w:val="009C7836"/>
    <w:rsid w:val="009D08B9"/>
    <w:rsid w:val="009D0C95"/>
    <w:rsid w:val="009D2078"/>
    <w:rsid w:val="009D4DD4"/>
    <w:rsid w:val="009D6D99"/>
    <w:rsid w:val="009E19E8"/>
    <w:rsid w:val="009E1A1E"/>
    <w:rsid w:val="009E4632"/>
    <w:rsid w:val="009E6FD7"/>
    <w:rsid w:val="009F05CD"/>
    <w:rsid w:val="009F0EBF"/>
    <w:rsid w:val="009F1B65"/>
    <w:rsid w:val="009F1BA8"/>
    <w:rsid w:val="009F2455"/>
    <w:rsid w:val="009F3785"/>
    <w:rsid w:val="009F37AD"/>
    <w:rsid w:val="009F4374"/>
    <w:rsid w:val="009F6BAE"/>
    <w:rsid w:val="009F6D3D"/>
    <w:rsid w:val="00A031C9"/>
    <w:rsid w:val="00A03964"/>
    <w:rsid w:val="00A03BE6"/>
    <w:rsid w:val="00A065F5"/>
    <w:rsid w:val="00A1097C"/>
    <w:rsid w:val="00A10EAE"/>
    <w:rsid w:val="00A11A89"/>
    <w:rsid w:val="00A1329C"/>
    <w:rsid w:val="00A17F58"/>
    <w:rsid w:val="00A20B33"/>
    <w:rsid w:val="00A22181"/>
    <w:rsid w:val="00A230B5"/>
    <w:rsid w:val="00A24762"/>
    <w:rsid w:val="00A25E33"/>
    <w:rsid w:val="00A26092"/>
    <w:rsid w:val="00A26B95"/>
    <w:rsid w:val="00A3057A"/>
    <w:rsid w:val="00A3081F"/>
    <w:rsid w:val="00A30A1D"/>
    <w:rsid w:val="00A36727"/>
    <w:rsid w:val="00A40E01"/>
    <w:rsid w:val="00A41FF9"/>
    <w:rsid w:val="00A4265F"/>
    <w:rsid w:val="00A4277E"/>
    <w:rsid w:val="00A4410B"/>
    <w:rsid w:val="00A441A5"/>
    <w:rsid w:val="00A45E8E"/>
    <w:rsid w:val="00A464FD"/>
    <w:rsid w:val="00A47CC7"/>
    <w:rsid w:val="00A509DA"/>
    <w:rsid w:val="00A52C8A"/>
    <w:rsid w:val="00A52F7C"/>
    <w:rsid w:val="00A533C9"/>
    <w:rsid w:val="00A5464D"/>
    <w:rsid w:val="00A54832"/>
    <w:rsid w:val="00A5564F"/>
    <w:rsid w:val="00A55868"/>
    <w:rsid w:val="00A57368"/>
    <w:rsid w:val="00A5782B"/>
    <w:rsid w:val="00A612E2"/>
    <w:rsid w:val="00A6234E"/>
    <w:rsid w:val="00A65B7C"/>
    <w:rsid w:val="00A66C7F"/>
    <w:rsid w:val="00A72AE8"/>
    <w:rsid w:val="00A72D46"/>
    <w:rsid w:val="00A731AF"/>
    <w:rsid w:val="00A74500"/>
    <w:rsid w:val="00A759BB"/>
    <w:rsid w:val="00A76DAC"/>
    <w:rsid w:val="00A771A3"/>
    <w:rsid w:val="00A80885"/>
    <w:rsid w:val="00A813BB"/>
    <w:rsid w:val="00A82D1D"/>
    <w:rsid w:val="00A84AAD"/>
    <w:rsid w:val="00A84DF0"/>
    <w:rsid w:val="00A86CDE"/>
    <w:rsid w:val="00A90EE5"/>
    <w:rsid w:val="00A916DE"/>
    <w:rsid w:val="00A92034"/>
    <w:rsid w:val="00A97D8C"/>
    <w:rsid w:val="00AA1959"/>
    <w:rsid w:val="00AA3C9F"/>
    <w:rsid w:val="00AA3FE3"/>
    <w:rsid w:val="00AA5642"/>
    <w:rsid w:val="00AA5D9A"/>
    <w:rsid w:val="00AA6977"/>
    <w:rsid w:val="00AB0D0A"/>
    <w:rsid w:val="00AB0FAB"/>
    <w:rsid w:val="00AB269C"/>
    <w:rsid w:val="00AB320B"/>
    <w:rsid w:val="00AB3926"/>
    <w:rsid w:val="00AB46A3"/>
    <w:rsid w:val="00AB667A"/>
    <w:rsid w:val="00AC3D1A"/>
    <w:rsid w:val="00AC5BB7"/>
    <w:rsid w:val="00AC630B"/>
    <w:rsid w:val="00AD2306"/>
    <w:rsid w:val="00AD3B8A"/>
    <w:rsid w:val="00AD6273"/>
    <w:rsid w:val="00AE1535"/>
    <w:rsid w:val="00AE31B4"/>
    <w:rsid w:val="00AE3322"/>
    <w:rsid w:val="00AE417E"/>
    <w:rsid w:val="00AE6A2A"/>
    <w:rsid w:val="00AE70AC"/>
    <w:rsid w:val="00AF193E"/>
    <w:rsid w:val="00AF4671"/>
    <w:rsid w:val="00AF607D"/>
    <w:rsid w:val="00B033BF"/>
    <w:rsid w:val="00B05569"/>
    <w:rsid w:val="00B067F3"/>
    <w:rsid w:val="00B070C9"/>
    <w:rsid w:val="00B075FD"/>
    <w:rsid w:val="00B12BD4"/>
    <w:rsid w:val="00B141D7"/>
    <w:rsid w:val="00B14A81"/>
    <w:rsid w:val="00B15CD4"/>
    <w:rsid w:val="00B17524"/>
    <w:rsid w:val="00B1778A"/>
    <w:rsid w:val="00B17854"/>
    <w:rsid w:val="00B24105"/>
    <w:rsid w:val="00B24C54"/>
    <w:rsid w:val="00B26710"/>
    <w:rsid w:val="00B30085"/>
    <w:rsid w:val="00B33479"/>
    <w:rsid w:val="00B36C55"/>
    <w:rsid w:val="00B37272"/>
    <w:rsid w:val="00B37568"/>
    <w:rsid w:val="00B40C67"/>
    <w:rsid w:val="00B40E1A"/>
    <w:rsid w:val="00B418FD"/>
    <w:rsid w:val="00B42CB2"/>
    <w:rsid w:val="00B446F2"/>
    <w:rsid w:val="00B46CAA"/>
    <w:rsid w:val="00B47A03"/>
    <w:rsid w:val="00B50A72"/>
    <w:rsid w:val="00B52054"/>
    <w:rsid w:val="00B53232"/>
    <w:rsid w:val="00B53D61"/>
    <w:rsid w:val="00B54CA2"/>
    <w:rsid w:val="00B56830"/>
    <w:rsid w:val="00B60B85"/>
    <w:rsid w:val="00B61DAE"/>
    <w:rsid w:val="00B625D8"/>
    <w:rsid w:val="00B62B71"/>
    <w:rsid w:val="00B6341C"/>
    <w:rsid w:val="00B657DA"/>
    <w:rsid w:val="00B657FA"/>
    <w:rsid w:val="00B66497"/>
    <w:rsid w:val="00B6678C"/>
    <w:rsid w:val="00B66D10"/>
    <w:rsid w:val="00B670AA"/>
    <w:rsid w:val="00B672A7"/>
    <w:rsid w:val="00B70B4F"/>
    <w:rsid w:val="00B70D0C"/>
    <w:rsid w:val="00B71983"/>
    <w:rsid w:val="00B7249B"/>
    <w:rsid w:val="00B741C1"/>
    <w:rsid w:val="00B748D2"/>
    <w:rsid w:val="00B80CF5"/>
    <w:rsid w:val="00B81823"/>
    <w:rsid w:val="00B82730"/>
    <w:rsid w:val="00B82B17"/>
    <w:rsid w:val="00B82ECE"/>
    <w:rsid w:val="00B85B9C"/>
    <w:rsid w:val="00B8647E"/>
    <w:rsid w:val="00B86F5C"/>
    <w:rsid w:val="00B903D8"/>
    <w:rsid w:val="00B91446"/>
    <w:rsid w:val="00B91F38"/>
    <w:rsid w:val="00B92B01"/>
    <w:rsid w:val="00B932C0"/>
    <w:rsid w:val="00B9378E"/>
    <w:rsid w:val="00B94EA8"/>
    <w:rsid w:val="00B96D78"/>
    <w:rsid w:val="00BA0519"/>
    <w:rsid w:val="00BA10AF"/>
    <w:rsid w:val="00BA2DBA"/>
    <w:rsid w:val="00BA350E"/>
    <w:rsid w:val="00BA4000"/>
    <w:rsid w:val="00BB1DF3"/>
    <w:rsid w:val="00BB258E"/>
    <w:rsid w:val="00BB2690"/>
    <w:rsid w:val="00BB3EA8"/>
    <w:rsid w:val="00BB49AD"/>
    <w:rsid w:val="00BB54E0"/>
    <w:rsid w:val="00BB6FC9"/>
    <w:rsid w:val="00BB76D8"/>
    <w:rsid w:val="00BC1097"/>
    <w:rsid w:val="00BC297D"/>
    <w:rsid w:val="00BC3E4E"/>
    <w:rsid w:val="00BC4E54"/>
    <w:rsid w:val="00BC5B0E"/>
    <w:rsid w:val="00BC6DB7"/>
    <w:rsid w:val="00BD1A8F"/>
    <w:rsid w:val="00BD3116"/>
    <w:rsid w:val="00BD3FFA"/>
    <w:rsid w:val="00BD4D46"/>
    <w:rsid w:val="00BD531F"/>
    <w:rsid w:val="00BD6213"/>
    <w:rsid w:val="00BD6EE5"/>
    <w:rsid w:val="00BE0F11"/>
    <w:rsid w:val="00BE0F68"/>
    <w:rsid w:val="00BE1377"/>
    <w:rsid w:val="00BE143D"/>
    <w:rsid w:val="00BE2A0E"/>
    <w:rsid w:val="00BE2B6A"/>
    <w:rsid w:val="00BE2C8C"/>
    <w:rsid w:val="00BE6D8E"/>
    <w:rsid w:val="00BF17BA"/>
    <w:rsid w:val="00BF2388"/>
    <w:rsid w:val="00BF37FE"/>
    <w:rsid w:val="00BF3A52"/>
    <w:rsid w:val="00BF7150"/>
    <w:rsid w:val="00C00FBE"/>
    <w:rsid w:val="00C0166B"/>
    <w:rsid w:val="00C03076"/>
    <w:rsid w:val="00C03C39"/>
    <w:rsid w:val="00C057CF"/>
    <w:rsid w:val="00C06088"/>
    <w:rsid w:val="00C07B42"/>
    <w:rsid w:val="00C114E1"/>
    <w:rsid w:val="00C15D5D"/>
    <w:rsid w:val="00C166B6"/>
    <w:rsid w:val="00C17F72"/>
    <w:rsid w:val="00C24421"/>
    <w:rsid w:val="00C24457"/>
    <w:rsid w:val="00C25701"/>
    <w:rsid w:val="00C26E31"/>
    <w:rsid w:val="00C274F2"/>
    <w:rsid w:val="00C27582"/>
    <w:rsid w:val="00C30865"/>
    <w:rsid w:val="00C30E05"/>
    <w:rsid w:val="00C3216A"/>
    <w:rsid w:val="00C346F6"/>
    <w:rsid w:val="00C36748"/>
    <w:rsid w:val="00C37A34"/>
    <w:rsid w:val="00C40C71"/>
    <w:rsid w:val="00C414C3"/>
    <w:rsid w:val="00C43324"/>
    <w:rsid w:val="00C43996"/>
    <w:rsid w:val="00C441B0"/>
    <w:rsid w:val="00C44755"/>
    <w:rsid w:val="00C50577"/>
    <w:rsid w:val="00C5221E"/>
    <w:rsid w:val="00C53D73"/>
    <w:rsid w:val="00C53F55"/>
    <w:rsid w:val="00C5454C"/>
    <w:rsid w:val="00C5735F"/>
    <w:rsid w:val="00C610CB"/>
    <w:rsid w:val="00C61841"/>
    <w:rsid w:val="00C62309"/>
    <w:rsid w:val="00C64748"/>
    <w:rsid w:val="00C668F4"/>
    <w:rsid w:val="00C671A2"/>
    <w:rsid w:val="00C6721F"/>
    <w:rsid w:val="00C71941"/>
    <w:rsid w:val="00C72816"/>
    <w:rsid w:val="00C72C51"/>
    <w:rsid w:val="00C73C6D"/>
    <w:rsid w:val="00C74AC3"/>
    <w:rsid w:val="00C75AA9"/>
    <w:rsid w:val="00C777DA"/>
    <w:rsid w:val="00C81926"/>
    <w:rsid w:val="00C81D95"/>
    <w:rsid w:val="00C821FB"/>
    <w:rsid w:val="00C83123"/>
    <w:rsid w:val="00C83165"/>
    <w:rsid w:val="00C83C98"/>
    <w:rsid w:val="00C8658C"/>
    <w:rsid w:val="00C87B7F"/>
    <w:rsid w:val="00C87BBC"/>
    <w:rsid w:val="00C91065"/>
    <w:rsid w:val="00C9173E"/>
    <w:rsid w:val="00C9205D"/>
    <w:rsid w:val="00C924C6"/>
    <w:rsid w:val="00C9341B"/>
    <w:rsid w:val="00C93D77"/>
    <w:rsid w:val="00C9431E"/>
    <w:rsid w:val="00C949BE"/>
    <w:rsid w:val="00C95299"/>
    <w:rsid w:val="00C96954"/>
    <w:rsid w:val="00C9716C"/>
    <w:rsid w:val="00CA1496"/>
    <w:rsid w:val="00CA1CD3"/>
    <w:rsid w:val="00CA2DAF"/>
    <w:rsid w:val="00CA396B"/>
    <w:rsid w:val="00CA4764"/>
    <w:rsid w:val="00CB0ACD"/>
    <w:rsid w:val="00CB14C8"/>
    <w:rsid w:val="00CC0808"/>
    <w:rsid w:val="00CC0AAE"/>
    <w:rsid w:val="00CC1A64"/>
    <w:rsid w:val="00CC1DEC"/>
    <w:rsid w:val="00CC54A1"/>
    <w:rsid w:val="00CC58DE"/>
    <w:rsid w:val="00CC648F"/>
    <w:rsid w:val="00CC73AF"/>
    <w:rsid w:val="00CD00AD"/>
    <w:rsid w:val="00CD110F"/>
    <w:rsid w:val="00CD114C"/>
    <w:rsid w:val="00CD11AA"/>
    <w:rsid w:val="00CD20CD"/>
    <w:rsid w:val="00CD31B2"/>
    <w:rsid w:val="00CD32EB"/>
    <w:rsid w:val="00CD4395"/>
    <w:rsid w:val="00CD5533"/>
    <w:rsid w:val="00CD5F8F"/>
    <w:rsid w:val="00CD6BC8"/>
    <w:rsid w:val="00CD738A"/>
    <w:rsid w:val="00CD7477"/>
    <w:rsid w:val="00CD7CAD"/>
    <w:rsid w:val="00CE0029"/>
    <w:rsid w:val="00CE03C2"/>
    <w:rsid w:val="00CE1190"/>
    <w:rsid w:val="00CE15C1"/>
    <w:rsid w:val="00CE187F"/>
    <w:rsid w:val="00CE3835"/>
    <w:rsid w:val="00CE54E6"/>
    <w:rsid w:val="00CE5591"/>
    <w:rsid w:val="00CE5620"/>
    <w:rsid w:val="00CE617A"/>
    <w:rsid w:val="00CE647B"/>
    <w:rsid w:val="00CE6E01"/>
    <w:rsid w:val="00CF3DBF"/>
    <w:rsid w:val="00CF54DB"/>
    <w:rsid w:val="00CF66DA"/>
    <w:rsid w:val="00CF66EB"/>
    <w:rsid w:val="00D02FA2"/>
    <w:rsid w:val="00D02FA6"/>
    <w:rsid w:val="00D03A39"/>
    <w:rsid w:val="00D03F38"/>
    <w:rsid w:val="00D10502"/>
    <w:rsid w:val="00D110A6"/>
    <w:rsid w:val="00D11FD5"/>
    <w:rsid w:val="00D12085"/>
    <w:rsid w:val="00D124AB"/>
    <w:rsid w:val="00D13A50"/>
    <w:rsid w:val="00D14941"/>
    <w:rsid w:val="00D14E4A"/>
    <w:rsid w:val="00D174F0"/>
    <w:rsid w:val="00D1760F"/>
    <w:rsid w:val="00D22AD0"/>
    <w:rsid w:val="00D22DAB"/>
    <w:rsid w:val="00D22DF1"/>
    <w:rsid w:val="00D24A88"/>
    <w:rsid w:val="00D24D00"/>
    <w:rsid w:val="00D2769E"/>
    <w:rsid w:val="00D27D6A"/>
    <w:rsid w:val="00D32057"/>
    <w:rsid w:val="00D322C1"/>
    <w:rsid w:val="00D33A8B"/>
    <w:rsid w:val="00D356AD"/>
    <w:rsid w:val="00D35864"/>
    <w:rsid w:val="00D36FCB"/>
    <w:rsid w:val="00D41A37"/>
    <w:rsid w:val="00D42759"/>
    <w:rsid w:val="00D42A0B"/>
    <w:rsid w:val="00D430D6"/>
    <w:rsid w:val="00D43E04"/>
    <w:rsid w:val="00D43F2F"/>
    <w:rsid w:val="00D453E4"/>
    <w:rsid w:val="00D4593F"/>
    <w:rsid w:val="00D50220"/>
    <w:rsid w:val="00D5081B"/>
    <w:rsid w:val="00D50B14"/>
    <w:rsid w:val="00D5104F"/>
    <w:rsid w:val="00D52C29"/>
    <w:rsid w:val="00D5628D"/>
    <w:rsid w:val="00D571DA"/>
    <w:rsid w:val="00D57B98"/>
    <w:rsid w:val="00D612A3"/>
    <w:rsid w:val="00D61C33"/>
    <w:rsid w:val="00D62CFB"/>
    <w:rsid w:val="00D63A72"/>
    <w:rsid w:val="00D6493C"/>
    <w:rsid w:val="00D6543C"/>
    <w:rsid w:val="00D65452"/>
    <w:rsid w:val="00D6571A"/>
    <w:rsid w:val="00D701FC"/>
    <w:rsid w:val="00D7170B"/>
    <w:rsid w:val="00D7315D"/>
    <w:rsid w:val="00D76443"/>
    <w:rsid w:val="00D80AEE"/>
    <w:rsid w:val="00D816A0"/>
    <w:rsid w:val="00D819D7"/>
    <w:rsid w:val="00D82D44"/>
    <w:rsid w:val="00D83F17"/>
    <w:rsid w:val="00D8527D"/>
    <w:rsid w:val="00D85A6F"/>
    <w:rsid w:val="00D906AD"/>
    <w:rsid w:val="00D90835"/>
    <w:rsid w:val="00D90BDF"/>
    <w:rsid w:val="00D9196D"/>
    <w:rsid w:val="00D94692"/>
    <w:rsid w:val="00D94FD1"/>
    <w:rsid w:val="00D959DD"/>
    <w:rsid w:val="00D964C4"/>
    <w:rsid w:val="00D96CC4"/>
    <w:rsid w:val="00D96F31"/>
    <w:rsid w:val="00DA0DE0"/>
    <w:rsid w:val="00DA1399"/>
    <w:rsid w:val="00DA2896"/>
    <w:rsid w:val="00DA36A7"/>
    <w:rsid w:val="00DA51E0"/>
    <w:rsid w:val="00DA5D53"/>
    <w:rsid w:val="00DA613F"/>
    <w:rsid w:val="00DA73EF"/>
    <w:rsid w:val="00DA7665"/>
    <w:rsid w:val="00DB00D0"/>
    <w:rsid w:val="00DB0B54"/>
    <w:rsid w:val="00DB4652"/>
    <w:rsid w:val="00DB497E"/>
    <w:rsid w:val="00DC07D1"/>
    <w:rsid w:val="00DC0933"/>
    <w:rsid w:val="00DC0BA8"/>
    <w:rsid w:val="00DC331B"/>
    <w:rsid w:val="00DC669F"/>
    <w:rsid w:val="00DCB59C"/>
    <w:rsid w:val="00DD5E93"/>
    <w:rsid w:val="00DD7E2D"/>
    <w:rsid w:val="00DE178F"/>
    <w:rsid w:val="00DE36D6"/>
    <w:rsid w:val="00DE7734"/>
    <w:rsid w:val="00DE7B4E"/>
    <w:rsid w:val="00DE7D8D"/>
    <w:rsid w:val="00DF028B"/>
    <w:rsid w:val="00DF1C9E"/>
    <w:rsid w:val="00DF26A7"/>
    <w:rsid w:val="00DF3E83"/>
    <w:rsid w:val="00DF7A3C"/>
    <w:rsid w:val="00E0014D"/>
    <w:rsid w:val="00E0054E"/>
    <w:rsid w:val="00E029A1"/>
    <w:rsid w:val="00E05782"/>
    <w:rsid w:val="00E05F7C"/>
    <w:rsid w:val="00E14918"/>
    <w:rsid w:val="00E14AA7"/>
    <w:rsid w:val="00E15495"/>
    <w:rsid w:val="00E163A5"/>
    <w:rsid w:val="00E171E7"/>
    <w:rsid w:val="00E1769F"/>
    <w:rsid w:val="00E17F23"/>
    <w:rsid w:val="00E2154E"/>
    <w:rsid w:val="00E24D1A"/>
    <w:rsid w:val="00E27765"/>
    <w:rsid w:val="00E30C4C"/>
    <w:rsid w:val="00E32843"/>
    <w:rsid w:val="00E3368F"/>
    <w:rsid w:val="00E340F5"/>
    <w:rsid w:val="00E35972"/>
    <w:rsid w:val="00E35AC4"/>
    <w:rsid w:val="00E35B28"/>
    <w:rsid w:val="00E35CD8"/>
    <w:rsid w:val="00E36BE2"/>
    <w:rsid w:val="00E37BE8"/>
    <w:rsid w:val="00E400D5"/>
    <w:rsid w:val="00E40DF3"/>
    <w:rsid w:val="00E40F2F"/>
    <w:rsid w:val="00E40FAD"/>
    <w:rsid w:val="00E435DF"/>
    <w:rsid w:val="00E44453"/>
    <w:rsid w:val="00E45284"/>
    <w:rsid w:val="00E471A7"/>
    <w:rsid w:val="00E47B94"/>
    <w:rsid w:val="00E51250"/>
    <w:rsid w:val="00E5210C"/>
    <w:rsid w:val="00E5365E"/>
    <w:rsid w:val="00E54323"/>
    <w:rsid w:val="00E54F87"/>
    <w:rsid w:val="00E55F05"/>
    <w:rsid w:val="00E578B0"/>
    <w:rsid w:val="00E610A1"/>
    <w:rsid w:val="00E61639"/>
    <w:rsid w:val="00E63140"/>
    <w:rsid w:val="00E63385"/>
    <w:rsid w:val="00E633F1"/>
    <w:rsid w:val="00E70B96"/>
    <w:rsid w:val="00E7188B"/>
    <w:rsid w:val="00E71D73"/>
    <w:rsid w:val="00E74A8B"/>
    <w:rsid w:val="00E76B52"/>
    <w:rsid w:val="00E778EA"/>
    <w:rsid w:val="00E8063E"/>
    <w:rsid w:val="00E836F6"/>
    <w:rsid w:val="00E838F1"/>
    <w:rsid w:val="00E83E64"/>
    <w:rsid w:val="00E85E98"/>
    <w:rsid w:val="00E87711"/>
    <w:rsid w:val="00E9185E"/>
    <w:rsid w:val="00E93D7D"/>
    <w:rsid w:val="00E94AA2"/>
    <w:rsid w:val="00E94DF2"/>
    <w:rsid w:val="00E963ED"/>
    <w:rsid w:val="00EA12B2"/>
    <w:rsid w:val="00EA1F63"/>
    <w:rsid w:val="00EA6572"/>
    <w:rsid w:val="00EA6E14"/>
    <w:rsid w:val="00EB0619"/>
    <w:rsid w:val="00EB1782"/>
    <w:rsid w:val="00EB28C2"/>
    <w:rsid w:val="00EB3DEC"/>
    <w:rsid w:val="00EB4CA1"/>
    <w:rsid w:val="00EB5348"/>
    <w:rsid w:val="00EB5BDA"/>
    <w:rsid w:val="00EC05BA"/>
    <w:rsid w:val="00EC2C07"/>
    <w:rsid w:val="00EC4FB3"/>
    <w:rsid w:val="00EC54DE"/>
    <w:rsid w:val="00ED28ED"/>
    <w:rsid w:val="00ED3368"/>
    <w:rsid w:val="00ED4238"/>
    <w:rsid w:val="00ED4E29"/>
    <w:rsid w:val="00ED7920"/>
    <w:rsid w:val="00EE0A7C"/>
    <w:rsid w:val="00EE0DB5"/>
    <w:rsid w:val="00EE116F"/>
    <w:rsid w:val="00EE1936"/>
    <w:rsid w:val="00EE3872"/>
    <w:rsid w:val="00EE3948"/>
    <w:rsid w:val="00EE6396"/>
    <w:rsid w:val="00EE6748"/>
    <w:rsid w:val="00EE6A3E"/>
    <w:rsid w:val="00EF119B"/>
    <w:rsid w:val="00EF233D"/>
    <w:rsid w:val="00EF3DFD"/>
    <w:rsid w:val="00EF4F4D"/>
    <w:rsid w:val="00EF503C"/>
    <w:rsid w:val="00F015BC"/>
    <w:rsid w:val="00F01D9D"/>
    <w:rsid w:val="00F03257"/>
    <w:rsid w:val="00F03D24"/>
    <w:rsid w:val="00F05B55"/>
    <w:rsid w:val="00F0753D"/>
    <w:rsid w:val="00F10A38"/>
    <w:rsid w:val="00F12297"/>
    <w:rsid w:val="00F137AC"/>
    <w:rsid w:val="00F1464A"/>
    <w:rsid w:val="00F1567F"/>
    <w:rsid w:val="00F157B8"/>
    <w:rsid w:val="00F15871"/>
    <w:rsid w:val="00F15ADF"/>
    <w:rsid w:val="00F15CBD"/>
    <w:rsid w:val="00F16C11"/>
    <w:rsid w:val="00F203A3"/>
    <w:rsid w:val="00F206A8"/>
    <w:rsid w:val="00F21665"/>
    <w:rsid w:val="00F2348D"/>
    <w:rsid w:val="00F23D9C"/>
    <w:rsid w:val="00F30096"/>
    <w:rsid w:val="00F3228C"/>
    <w:rsid w:val="00F33804"/>
    <w:rsid w:val="00F34410"/>
    <w:rsid w:val="00F406DC"/>
    <w:rsid w:val="00F4128B"/>
    <w:rsid w:val="00F4224E"/>
    <w:rsid w:val="00F459F1"/>
    <w:rsid w:val="00F467C8"/>
    <w:rsid w:val="00F51189"/>
    <w:rsid w:val="00F51BD6"/>
    <w:rsid w:val="00F5249F"/>
    <w:rsid w:val="00F540F1"/>
    <w:rsid w:val="00F54EF9"/>
    <w:rsid w:val="00F56011"/>
    <w:rsid w:val="00F60952"/>
    <w:rsid w:val="00F634E4"/>
    <w:rsid w:val="00F63702"/>
    <w:rsid w:val="00F640E5"/>
    <w:rsid w:val="00F64C1F"/>
    <w:rsid w:val="00F651A8"/>
    <w:rsid w:val="00F65C60"/>
    <w:rsid w:val="00F672F2"/>
    <w:rsid w:val="00F72DDE"/>
    <w:rsid w:val="00F75B29"/>
    <w:rsid w:val="00F7749B"/>
    <w:rsid w:val="00F777E5"/>
    <w:rsid w:val="00F81BC0"/>
    <w:rsid w:val="00F8255F"/>
    <w:rsid w:val="00F826D7"/>
    <w:rsid w:val="00F83A00"/>
    <w:rsid w:val="00F84324"/>
    <w:rsid w:val="00F84396"/>
    <w:rsid w:val="00F84723"/>
    <w:rsid w:val="00F851C1"/>
    <w:rsid w:val="00F861B5"/>
    <w:rsid w:val="00F8625D"/>
    <w:rsid w:val="00F8709A"/>
    <w:rsid w:val="00F9061E"/>
    <w:rsid w:val="00F9074C"/>
    <w:rsid w:val="00F907FD"/>
    <w:rsid w:val="00F91693"/>
    <w:rsid w:val="00F93492"/>
    <w:rsid w:val="00F94C81"/>
    <w:rsid w:val="00F9540F"/>
    <w:rsid w:val="00F9616C"/>
    <w:rsid w:val="00F969DE"/>
    <w:rsid w:val="00FA03C4"/>
    <w:rsid w:val="00FA3718"/>
    <w:rsid w:val="00FA443E"/>
    <w:rsid w:val="00FA542E"/>
    <w:rsid w:val="00FA55E7"/>
    <w:rsid w:val="00FA6A57"/>
    <w:rsid w:val="00FB013F"/>
    <w:rsid w:val="00FB031B"/>
    <w:rsid w:val="00FB12FD"/>
    <w:rsid w:val="00FB13FF"/>
    <w:rsid w:val="00FB18F6"/>
    <w:rsid w:val="00FB19E2"/>
    <w:rsid w:val="00FB4FB4"/>
    <w:rsid w:val="00FB5050"/>
    <w:rsid w:val="00FB73A3"/>
    <w:rsid w:val="00FC2367"/>
    <w:rsid w:val="00FC28D4"/>
    <w:rsid w:val="00FC2AC3"/>
    <w:rsid w:val="00FC2DA9"/>
    <w:rsid w:val="00FC3415"/>
    <w:rsid w:val="00FC70CB"/>
    <w:rsid w:val="00FC79B1"/>
    <w:rsid w:val="00FD213A"/>
    <w:rsid w:val="00FD2185"/>
    <w:rsid w:val="00FD25AA"/>
    <w:rsid w:val="00FD2EC5"/>
    <w:rsid w:val="00FD4EB8"/>
    <w:rsid w:val="00FD522F"/>
    <w:rsid w:val="00FD5ADA"/>
    <w:rsid w:val="00FD6A69"/>
    <w:rsid w:val="00FD7DC0"/>
    <w:rsid w:val="00FE3AC6"/>
    <w:rsid w:val="00FE3B7B"/>
    <w:rsid w:val="00FE3C11"/>
    <w:rsid w:val="00FE535C"/>
    <w:rsid w:val="00FE5ACD"/>
    <w:rsid w:val="00FE7FA4"/>
    <w:rsid w:val="00FF0709"/>
    <w:rsid w:val="00FF1D6B"/>
    <w:rsid w:val="00FF7152"/>
    <w:rsid w:val="00FF725B"/>
    <w:rsid w:val="0157A036"/>
    <w:rsid w:val="0183CD37"/>
    <w:rsid w:val="03A1B4A1"/>
    <w:rsid w:val="03A7DB7A"/>
    <w:rsid w:val="042590D6"/>
    <w:rsid w:val="05329D5C"/>
    <w:rsid w:val="06FADAFD"/>
    <w:rsid w:val="0708EB4D"/>
    <w:rsid w:val="0719109C"/>
    <w:rsid w:val="071B3491"/>
    <w:rsid w:val="08330EB9"/>
    <w:rsid w:val="088B07AC"/>
    <w:rsid w:val="0909450F"/>
    <w:rsid w:val="090A0F8A"/>
    <w:rsid w:val="093C3C0F"/>
    <w:rsid w:val="0981091F"/>
    <w:rsid w:val="09855E04"/>
    <w:rsid w:val="09EFAB4D"/>
    <w:rsid w:val="0A0B235F"/>
    <w:rsid w:val="0A5F3F3A"/>
    <w:rsid w:val="0AE7DF21"/>
    <w:rsid w:val="0AF502E7"/>
    <w:rsid w:val="0B8FAC31"/>
    <w:rsid w:val="0BAFF8F9"/>
    <w:rsid w:val="0BD29D42"/>
    <w:rsid w:val="0BD37AFF"/>
    <w:rsid w:val="0CAD442C"/>
    <w:rsid w:val="0DFBD66C"/>
    <w:rsid w:val="0E13B6AC"/>
    <w:rsid w:val="0E6F147D"/>
    <w:rsid w:val="0EE04BB2"/>
    <w:rsid w:val="0EE81084"/>
    <w:rsid w:val="0F8D03D0"/>
    <w:rsid w:val="0FA3DD8E"/>
    <w:rsid w:val="0FE9BEFF"/>
    <w:rsid w:val="100EB4EE"/>
    <w:rsid w:val="10F2E689"/>
    <w:rsid w:val="1107B1A2"/>
    <w:rsid w:val="119B9999"/>
    <w:rsid w:val="119DEFFE"/>
    <w:rsid w:val="1317B883"/>
    <w:rsid w:val="132C2821"/>
    <w:rsid w:val="13436158"/>
    <w:rsid w:val="13DF67C2"/>
    <w:rsid w:val="14AB9B5E"/>
    <w:rsid w:val="16274BA2"/>
    <w:rsid w:val="169979FC"/>
    <w:rsid w:val="17B16A70"/>
    <w:rsid w:val="18F50627"/>
    <w:rsid w:val="19CA3790"/>
    <w:rsid w:val="19DA4FB0"/>
    <w:rsid w:val="19E35B1A"/>
    <w:rsid w:val="1A53A591"/>
    <w:rsid w:val="1A5D589A"/>
    <w:rsid w:val="1B870A21"/>
    <w:rsid w:val="1C5AD7D3"/>
    <w:rsid w:val="1C70F8F5"/>
    <w:rsid w:val="1CBCE3E2"/>
    <w:rsid w:val="1D33F62F"/>
    <w:rsid w:val="1EBECAC8"/>
    <w:rsid w:val="1EE1C208"/>
    <w:rsid w:val="1F17B35F"/>
    <w:rsid w:val="1FE31477"/>
    <w:rsid w:val="21910F61"/>
    <w:rsid w:val="21A0A1DC"/>
    <w:rsid w:val="21CB5B86"/>
    <w:rsid w:val="221D8830"/>
    <w:rsid w:val="224C1245"/>
    <w:rsid w:val="2354BCCE"/>
    <w:rsid w:val="239C0FB3"/>
    <w:rsid w:val="23EFF604"/>
    <w:rsid w:val="2407A158"/>
    <w:rsid w:val="24148B90"/>
    <w:rsid w:val="24870595"/>
    <w:rsid w:val="24E6970D"/>
    <w:rsid w:val="255891BF"/>
    <w:rsid w:val="25F620C0"/>
    <w:rsid w:val="263A6024"/>
    <w:rsid w:val="26B0DE5B"/>
    <w:rsid w:val="27AE4A7E"/>
    <w:rsid w:val="285D35D7"/>
    <w:rsid w:val="29769A05"/>
    <w:rsid w:val="2A4AAB10"/>
    <w:rsid w:val="2AE1FB9B"/>
    <w:rsid w:val="2B5DE3CE"/>
    <w:rsid w:val="2C03AEB7"/>
    <w:rsid w:val="2C4002EF"/>
    <w:rsid w:val="2CEACD5F"/>
    <w:rsid w:val="2D070D00"/>
    <w:rsid w:val="2D0FE148"/>
    <w:rsid w:val="2DEAC8D1"/>
    <w:rsid w:val="2E06F317"/>
    <w:rsid w:val="2E2C8E99"/>
    <w:rsid w:val="2EDB5BE4"/>
    <w:rsid w:val="2EEA4C98"/>
    <w:rsid w:val="2F0DAD27"/>
    <w:rsid w:val="2F243A84"/>
    <w:rsid w:val="2FE7CD0A"/>
    <w:rsid w:val="2FF870D1"/>
    <w:rsid w:val="2FF95BC2"/>
    <w:rsid w:val="3049D2A1"/>
    <w:rsid w:val="308D4F33"/>
    <w:rsid w:val="31188FF2"/>
    <w:rsid w:val="3159A1F4"/>
    <w:rsid w:val="319453E6"/>
    <w:rsid w:val="31CA9150"/>
    <w:rsid w:val="31E064EB"/>
    <w:rsid w:val="3229A803"/>
    <w:rsid w:val="3254A88A"/>
    <w:rsid w:val="3256E2BD"/>
    <w:rsid w:val="32EDDB27"/>
    <w:rsid w:val="333AACB6"/>
    <w:rsid w:val="3349518F"/>
    <w:rsid w:val="33DDDEB7"/>
    <w:rsid w:val="33E5630D"/>
    <w:rsid w:val="3458D1A0"/>
    <w:rsid w:val="34922BD1"/>
    <w:rsid w:val="34C292A3"/>
    <w:rsid w:val="34DCC2E0"/>
    <w:rsid w:val="35746BFC"/>
    <w:rsid w:val="35AE41EA"/>
    <w:rsid w:val="36378D01"/>
    <w:rsid w:val="3744BD4E"/>
    <w:rsid w:val="37A75646"/>
    <w:rsid w:val="3809B903"/>
    <w:rsid w:val="3813E5C6"/>
    <w:rsid w:val="38BF4D7C"/>
    <w:rsid w:val="39A30BFF"/>
    <w:rsid w:val="39B29656"/>
    <w:rsid w:val="39C4168D"/>
    <w:rsid w:val="3A6326AD"/>
    <w:rsid w:val="3A70BFC8"/>
    <w:rsid w:val="3A805AD9"/>
    <w:rsid w:val="3AB30383"/>
    <w:rsid w:val="3B3772D8"/>
    <w:rsid w:val="3B4DCFD6"/>
    <w:rsid w:val="3BAD4E3A"/>
    <w:rsid w:val="3C704E27"/>
    <w:rsid w:val="3DC57CF3"/>
    <w:rsid w:val="3E7A28E1"/>
    <w:rsid w:val="3E8D72F6"/>
    <w:rsid w:val="3E9C66FB"/>
    <w:rsid w:val="3F15AD29"/>
    <w:rsid w:val="3F8E34FC"/>
    <w:rsid w:val="407DF695"/>
    <w:rsid w:val="409A5436"/>
    <w:rsid w:val="4109508D"/>
    <w:rsid w:val="410CB128"/>
    <w:rsid w:val="41FFF914"/>
    <w:rsid w:val="420187E1"/>
    <w:rsid w:val="42663C0E"/>
    <w:rsid w:val="4497796B"/>
    <w:rsid w:val="4511F2A8"/>
    <w:rsid w:val="451C0088"/>
    <w:rsid w:val="472C1283"/>
    <w:rsid w:val="47599B39"/>
    <w:rsid w:val="47E00D57"/>
    <w:rsid w:val="48167E04"/>
    <w:rsid w:val="49322CE9"/>
    <w:rsid w:val="4A2B6CDD"/>
    <w:rsid w:val="4A8B7832"/>
    <w:rsid w:val="4B4D530A"/>
    <w:rsid w:val="4B8296EC"/>
    <w:rsid w:val="4C992F50"/>
    <w:rsid w:val="4CC66494"/>
    <w:rsid w:val="4D4FA83A"/>
    <w:rsid w:val="4D56195D"/>
    <w:rsid w:val="4D583001"/>
    <w:rsid w:val="4FB7427A"/>
    <w:rsid w:val="500E6041"/>
    <w:rsid w:val="5016F368"/>
    <w:rsid w:val="508610A3"/>
    <w:rsid w:val="50EF83FA"/>
    <w:rsid w:val="50FA1922"/>
    <w:rsid w:val="52F1556D"/>
    <w:rsid w:val="5306447F"/>
    <w:rsid w:val="537D4B68"/>
    <w:rsid w:val="53DC5198"/>
    <w:rsid w:val="53F493AB"/>
    <w:rsid w:val="54DB4224"/>
    <w:rsid w:val="54F90F40"/>
    <w:rsid w:val="5537777F"/>
    <w:rsid w:val="563103FF"/>
    <w:rsid w:val="56763C3A"/>
    <w:rsid w:val="572A0F7D"/>
    <w:rsid w:val="57358BBC"/>
    <w:rsid w:val="57538B10"/>
    <w:rsid w:val="57A7F3EA"/>
    <w:rsid w:val="57A9736C"/>
    <w:rsid w:val="58F2006F"/>
    <w:rsid w:val="58F276D0"/>
    <w:rsid w:val="5A0ECFE2"/>
    <w:rsid w:val="5A84F1DA"/>
    <w:rsid w:val="5AD1A26A"/>
    <w:rsid w:val="5ADB094C"/>
    <w:rsid w:val="5B602528"/>
    <w:rsid w:val="5B78F044"/>
    <w:rsid w:val="5C36C8E6"/>
    <w:rsid w:val="5C44B94F"/>
    <w:rsid w:val="5C503890"/>
    <w:rsid w:val="5C7E439F"/>
    <w:rsid w:val="5D822CB8"/>
    <w:rsid w:val="5DBF88D9"/>
    <w:rsid w:val="5DF5890E"/>
    <w:rsid w:val="5E24E89F"/>
    <w:rsid w:val="5E8527D9"/>
    <w:rsid w:val="5F3950ED"/>
    <w:rsid w:val="5FF082AD"/>
    <w:rsid w:val="60344AAC"/>
    <w:rsid w:val="604FC604"/>
    <w:rsid w:val="60AA48F6"/>
    <w:rsid w:val="6117227D"/>
    <w:rsid w:val="61198070"/>
    <w:rsid w:val="612158D9"/>
    <w:rsid w:val="6125D904"/>
    <w:rsid w:val="6135046C"/>
    <w:rsid w:val="6142CA14"/>
    <w:rsid w:val="61AD0D48"/>
    <w:rsid w:val="621296D8"/>
    <w:rsid w:val="63C1B246"/>
    <w:rsid w:val="6412BEB9"/>
    <w:rsid w:val="65FD1556"/>
    <w:rsid w:val="660DD638"/>
    <w:rsid w:val="6742F8B2"/>
    <w:rsid w:val="67A96E63"/>
    <w:rsid w:val="67AA077C"/>
    <w:rsid w:val="6999CEBD"/>
    <w:rsid w:val="6A56C205"/>
    <w:rsid w:val="6B378A6A"/>
    <w:rsid w:val="6B515768"/>
    <w:rsid w:val="6B68B8DC"/>
    <w:rsid w:val="6BB2FAED"/>
    <w:rsid w:val="6C7892AD"/>
    <w:rsid w:val="6C975173"/>
    <w:rsid w:val="6CF365F5"/>
    <w:rsid w:val="6D0CE353"/>
    <w:rsid w:val="6D8939DE"/>
    <w:rsid w:val="6E196A6D"/>
    <w:rsid w:val="6E456B10"/>
    <w:rsid w:val="6ED78E1D"/>
    <w:rsid w:val="6FCF026B"/>
    <w:rsid w:val="70849045"/>
    <w:rsid w:val="70ED909B"/>
    <w:rsid w:val="71D6B4AD"/>
    <w:rsid w:val="72128895"/>
    <w:rsid w:val="7298CC24"/>
    <w:rsid w:val="72D320C3"/>
    <w:rsid w:val="736CF7EB"/>
    <w:rsid w:val="739EE801"/>
    <w:rsid w:val="73A332CF"/>
    <w:rsid w:val="73B64672"/>
    <w:rsid w:val="73CAAE1D"/>
    <w:rsid w:val="74317EC9"/>
    <w:rsid w:val="7448BDF3"/>
    <w:rsid w:val="7517425D"/>
    <w:rsid w:val="7591A9DA"/>
    <w:rsid w:val="76030500"/>
    <w:rsid w:val="76763A51"/>
    <w:rsid w:val="781560D7"/>
    <w:rsid w:val="7868B49B"/>
    <w:rsid w:val="78D412BD"/>
    <w:rsid w:val="79CBFC68"/>
    <w:rsid w:val="7AA9DB07"/>
    <w:rsid w:val="7B53F425"/>
    <w:rsid w:val="7B5CACB3"/>
    <w:rsid w:val="7B89B7D3"/>
    <w:rsid w:val="7BB7C88E"/>
    <w:rsid w:val="7C50CE7F"/>
    <w:rsid w:val="7C635FF5"/>
    <w:rsid w:val="7CCAE2BD"/>
    <w:rsid w:val="7CF6E78C"/>
    <w:rsid w:val="7D4B9B79"/>
    <w:rsid w:val="7E158D3C"/>
    <w:rsid w:val="7E336C9D"/>
    <w:rsid w:val="7E6C2DAA"/>
    <w:rsid w:val="7E8906EB"/>
    <w:rsid w:val="7E9EA166"/>
    <w:rsid w:val="7EAE9FC3"/>
    <w:rsid w:val="7EB2085E"/>
    <w:rsid w:val="7EE4BFB0"/>
    <w:rsid w:val="7F02E45A"/>
    <w:rsid w:val="7FABBDB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FD6AA82"/>
  <w15:chartTrackingRefBased/>
  <w15:docId w15:val="{2CCC40A5-FAFA-48BC-9BFB-A84F06B01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26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Text1"/>
    <w:link w:val="Heading1Char"/>
    <w:uiPriority w:val="9"/>
    <w:qFormat/>
    <w:rsid w:val="0084326C"/>
    <w:pPr>
      <w:keepNext/>
      <w:numPr>
        <w:numId w:val="7"/>
      </w:numPr>
      <w:spacing w:before="360" w:after="120"/>
      <w:jc w:val="both"/>
      <w:outlineLvl w:val="0"/>
    </w:pPr>
    <w:rPr>
      <w:rFonts w:eastAsiaTheme="majorEastAsia"/>
      <w:b/>
      <w:bCs/>
      <w:smallCaps/>
      <w:szCs w:val="28"/>
    </w:rPr>
  </w:style>
  <w:style w:type="paragraph" w:styleId="Heading2">
    <w:name w:val="heading 2"/>
    <w:basedOn w:val="Normal"/>
    <w:next w:val="Text1"/>
    <w:link w:val="Heading2Char"/>
    <w:uiPriority w:val="9"/>
    <w:unhideWhenUsed/>
    <w:qFormat/>
    <w:rsid w:val="0084326C"/>
    <w:pPr>
      <w:keepNext/>
      <w:numPr>
        <w:ilvl w:val="1"/>
        <w:numId w:val="7"/>
      </w:numPr>
      <w:spacing w:before="120" w:after="120"/>
      <w:jc w:val="both"/>
      <w:outlineLvl w:val="1"/>
    </w:pPr>
    <w:rPr>
      <w:rFonts w:eastAsiaTheme="majorEastAsia"/>
      <w:b/>
      <w:bCs/>
      <w:szCs w:val="26"/>
    </w:rPr>
  </w:style>
  <w:style w:type="paragraph" w:styleId="Heading3">
    <w:name w:val="heading 3"/>
    <w:basedOn w:val="Normal"/>
    <w:next w:val="Text1"/>
    <w:link w:val="Heading3Char"/>
    <w:uiPriority w:val="9"/>
    <w:unhideWhenUsed/>
    <w:qFormat/>
    <w:rsid w:val="0084326C"/>
    <w:pPr>
      <w:keepNext/>
      <w:numPr>
        <w:ilvl w:val="2"/>
        <w:numId w:val="7"/>
      </w:numPr>
      <w:spacing w:before="120" w:after="120"/>
      <w:jc w:val="both"/>
      <w:outlineLvl w:val="2"/>
    </w:pPr>
    <w:rPr>
      <w:rFonts w:eastAsiaTheme="majorEastAsia"/>
      <w:bCs/>
      <w:i/>
    </w:rPr>
  </w:style>
  <w:style w:type="paragraph" w:styleId="Heading4">
    <w:name w:val="heading 4"/>
    <w:basedOn w:val="Normal"/>
    <w:next w:val="Text1"/>
    <w:link w:val="Heading4Char"/>
    <w:uiPriority w:val="9"/>
    <w:unhideWhenUsed/>
    <w:qFormat/>
    <w:rsid w:val="0084326C"/>
    <w:pPr>
      <w:keepNext/>
      <w:numPr>
        <w:ilvl w:val="3"/>
        <w:numId w:val="7"/>
      </w:numPr>
      <w:spacing w:before="120" w:after="120"/>
      <w:jc w:val="both"/>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26C"/>
    <w:rPr>
      <w:rFonts w:ascii="Times New Roman" w:eastAsiaTheme="majorEastAsia" w:hAnsi="Times New Roman" w:cs="Times New Roman"/>
      <w:b/>
      <w:bCs/>
      <w:smallCaps/>
      <w:sz w:val="24"/>
      <w:szCs w:val="28"/>
      <w:lang w:val="et-EE" w:eastAsia="en-GB"/>
    </w:rPr>
  </w:style>
  <w:style w:type="character" w:customStyle="1" w:styleId="Heading2Char">
    <w:name w:val="Heading 2 Char"/>
    <w:basedOn w:val="DefaultParagraphFont"/>
    <w:link w:val="Heading2"/>
    <w:uiPriority w:val="9"/>
    <w:rsid w:val="0084326C"/>
    <w:rPr>
      <w:rFonts w:ascii="Times New Roman" w:eastAsiaTheme="majorEastAsia" w:hAnsi="Times New Roman" w:cs="Times New Roman"/>
      <w:b/>
      <w:bCs/>
      <w:sz w:val="24"/>
      <w:szCs w:val="26"/>
      <w:lang w:val="et-EE" w:eastAsia="en-GB"/>
    </w:rPr>
  </w:style>
  <w:style w:type="character" w:customStyle="1" w:styleId="Heading3Char">
    <w:name w:val="Heading 3 Char"/>
    <w:basedOn w:val="DefaultParagraphFont"/>
    <w:link w:val="Heading3"/>
    <w:uiPriority w:val="9"/>
    <w:rsid w:val="0084326C"/>
    <w:rPr>
      <w:rFonts w:ascii="Times New Roman" w:eastAsiaTheme="majorEastAsia" w:hAnsi="Times New Roman" w:cs="Times New Roman"/>
      <w:bCs/>
      <w:i/>
      <w:sz w:val="24"/>
      <w:szCs w:val="24"/>
      <w:lang w:val="et-EE" w:eastAsia="en-GB"/>
    </w:rPr>
  </w:style>
  <w:style w:type="character" w:customStyle="1" w:styleId="Heading4Char">
    <w:name w:val="Heading 4 Char"/>
    <w:basedOn w:val="DefaultParagraphFont"/>
    <w:link w:val="Heading4"/>
    <w:uiPriority w:val="9"/>
    <w:rsid w:val="0084326C"/>
    <w:rPr>
      <w:rFonts w:ascii="Times New Roman" w:eastAsiaTheme="majorEastAsia" w:hAnsi="Times New Roman" w:cs="Times New Roman"/>
      <w:bCs/>
      <w:iCs/>
      <w:sz w:val="24"/>
      <w:szCs w:val="24"/>
      <w:lang w:val="et-EE" w:eastAsia="en-GB"/>
    </w:rPr>
  </w:style>
  <w:style w:type="numbering" w:customStyle="1" w:styleId="NoList1">
    <w:name w:val="No List1"/>
    <w:next w:val="NoList"/>
    <w:uiPriority w:val="99"/>
    <w:semiHidden/>
    <w:unhideWhenUsed/>
    <w:rsid w:val="0084326C"/>
  </w:style>
  <w:style w:type="paragraph" w:customStyle="1" w:styleId="Text1">
    <w:name w:val="Text 1"/>
    <w:basedOn w:val="Normal"/>
    <w:rsid w:val="0084326C"/>
    <w:pPr>
      <w:spacing w:before="120" w:after="120"/>
      <w:ind w:left="850"/>
      <w:jc w:val="both"/>
    </w:pPr>
  </w:style>
  <w:style w:type="paragraph" w:styleId="Header">
    <w:name w:val="header"/>
    <w:basedOn w:val="Normal"/>
    <w:link w:val="HeaderChar"/>
    <w:uiPriority w:val="99"/>
    <w:unhideWhenUsed/>
    <w:rsid w:val="0084326C"/>
    <w:pPr>
      <w:tabs>
        <w:tab w:val="center" w:pos="4535"/>
        <w:tab w:val="right" w:pos="9071"/>
      </w:tabs>
      <w:spacing w:after="120"/>
      <w:jc w:val="both"/>
    </w:pPr>
  </w:style>
  <w:style w:type="character" w:customStyle="1" w:styleId="HeaderChar">
    <w:name w:val="Header Char"/>
    <w:basedOn w:val="DefaultParagraphFont"/>
    <w:link w:val="Header"/>
    <w:uiPriority w:val="99"/>
    <w:rsid w:val="0084326C"/>
    <w:rPr>
      <w:rFonts w:ascii="Times New Roman" w:eastAsia="Times New Roman" w:hAnsi="Times New Roman" w:cs="Times New Roman"/>
      <w:sz w:val="24"/>
      <w:szCs w:val="24"/>
      <w:lang w:val="et-EE" w:eastAsia="en-GB"/>
    </w:rPr>
  </w:style>
  <w:style w:type="paragraph" w:styleId="Footer">
    <w:name w:val="footer"/>
    <w:basedOn w:val="Normal"/>
    <w:link w:val="FooterChar"/>
    <w:uiPriority w:val="99"/>
    <w:unhideWhenUsed/>
    <w:rsid w:val="0084326C"/>
    <w:pPr>
      <w:tabs>
        <w:tab w:val="center" w:pos="4535"/>
        <w:tab w:val="right" w:pos="9071"/>
        <w:tab w:val="right" w:pos="9921"/>
      </w:tabs>
      <w:spacing w:before="360"/>
      <w:ind w:left="-850" w:right="-850"/>
    </w:pPr>
  </w:style>
  <w:style w:type="character" w:customStyle="1" w:styleId="FooterChar">
    <w:name w:val="Footer Char"/>
    <w:basedOn w:val="DefaultParagraphFont"/>
    <w:link w:val="Footer"/>
    <w:uiPriority w:val="99"/>
    <w:rsid w:val="0084326C"/>
    <w:rPr>
      <w:rFonts w:ascii="Times New Roman" w:eastAsia="Times New Roman" w:hAnsi="Times New Roman" w:cs="Times New Roman"/>
      <w:sz w:val="24"/>
      <w:szCs w:val="24"/>
      <w:lang w:val="et-EE" w:eastAsia="en-GB"/>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uiPriority w:val="99"/>
    <w:unhideWhenUsed/>
    <w:rsid w:val="0084326C"/>
    <w:pPr>
      <w:ind w:left="720" w:hanging="720"/>
      <w:jc w:val="both"/>
    </w:pPr>
    <w:rPr>
      <w:sz w:val="20"/>
      <w:szCs w:val="20"/>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uiPriority w:val="99"/>
    <w:rsid w:val="0084326C"/>
    <w:rPr>
      <w:rFonts w:ascii="Times New Roman" w:eastAsia="Times New Roman" w:hAnsi="Times New Roman" w:cs="Times New Roman"/>
      <w:sz w:val="20"/>
      <w:szCs w:val="20"/>
      <w:lang w:val="et-EE" w:eastAsia="en-GB"/>
    </w:rPr>
  </w:style>
  <w:style w:type="paragraph" w:styleId="TOCHeading">
    <w:name w:val="TOC Heading"/>
    <w:basedOn w:val="Normal"/>
    <w:next w:val="Normal"/>
    <w:uiPriority w:val="39"/>
    <w:semiHidden/>
    <w:unhideWhenUsed/>
    <w:qFormat/>
    <w:rsid w:val="0084326C"/>
    <w:pPr>
      <w:spacing w:before="120" w:after="240"/>
      <w:jc w:val="center"/>
    </w:pPr>
    <w:rPr>
      <w:b/>
      <w:sz w:val="28"/>
    </w:rPr>
  </w:style>
  <w:style w:type="paragraph" w:styleId="TOC1">
    <w:name w:val="toc 1"/>
    <w:basedOn w:val="Normal"/>
    <w:next w:val="Normal"/>
    <w:uiPriority w:val="39"/>
    <w:semiHidden/>
    <w:unhideWhenUsed/>
    <w:rsid w:val="0084326C"/>
    <w:pPr>
      <w:numPr>
        <w:numId w:val="15"/>
      </w:numPr>
      <w:tabs>
        <w:tab w:val="right" w:leader="dot" w:pos="9071"/>
      </w:tabs>
      <w:spacing w:before="60" w:after="120"/>
      <w:ind w:left="0" w:firstLine="0"/>
    </w:pPr>
  </w:style>
  <w:style w:type="paragraph" w:styleId="TOC2">
    <w:name w:val="toc 2"/>
    <w:basedOn w:val="Normal"/>
    <w:next w:val="Normal"/>
    <w:uiPriority w:val="39"/>
    <w:semiHidden/>
    <w:unhideWhenUsed/>
    <w:rsid w:val="0084326C"/>
    <w:pPr>
      <w:tabs>
        <w:tab w:val="right" w:leader="dot" w:pos="9071"/>
      </w:tabs>
      <w:spacing w:before="60" w:after="120"/>
      <w:ind w:left="850" w:hanging="850"/>
    </w:pPr>
  </w:style>
  <w:style w:type="paragraph" w:styleId="TOC3">
    <w:name w:val="toc 3"/>
    <w:basedOn w:val="Normal"/>
    <w:next w:val="Normal"/>
    <w:uiPriority w:val="39"/>
    <w:semiHidden/>
    <w:unhideWhenUsed/>
    <w:rsid w:val="0084326C"/>
    <w:pPr>
      <w:tabs>
        <w:tab w:val="right" w:leader="dot" w:pos="9071"/>
      </w:tabs>
      <w:spacing w:before="60" w:after="120"/>
      <w:ind w:left="850" w:hanging="850"/>
    </w:pPr>
  </w:style>
  <w:style w:type="paragraph" w:styleId="TOC4">
    <w:name w:val="toc 4"/>
    <w:basedOn w:val="Normal"/>
    <w:next w:val="Normal"/>
    <w:uiPriority w:val="39"/>
    <w:semiHidden/>
    <w:unhideWhenUsed/>
    <w:rsid w:val="0084326C"/>
    <w:pPr>
      <w:tabs>
        <w:tab w:val="right" w:leader="dot" w:pos="9071"/>
      </w:tabs>
      <w:spacing w:before="60" w:after="120"/>
      <w:ind w:left="850" w:hanging="850"/>
    </w:pPr>
  </w:style>
  <w:style w:type="paragraph" w:styleId="TOC5">
    <w:name w:val="toc 5"/>
    <w:basedOn w:val="Normal"/>
    <w:next w:val="Normal"/>
    <w:uiPriority w:val="39"/>
    <w:semiHidden/>
    <w:unhideWhenUsed/>
    <w:rsid w:val="0084326C"/>
    <w:pPr>
      <w:tabs>
        <w:tab w:val="right" w:leader="dot" w:pos="9071"/>
      </w:tabs>
      <w:spacing w:before="300" w:after="120"/>
    </w:pPr>
  </w:style>
  <w:style w:type="paragraph" w:styleId="TOC6">
    <w:name w:val="toc 6"/>
    <w:basedOn w:val="Normal"/>
    <w:next w:val="Normal"/>
    <w:uiPriority w:val="39"/>
    <w:semiHidden/>
    <w:unhideWhenUsed/>
    <w:rsid w:val="0084326C"/>
    <w:pPr>
      <w:tabs>
        <w:tab w:val="right" w:leader="dot" w:pos="9071"/>
      </w:tabs>
      <w:spacing w:before="240" w:after="120"/>
    </w:pPr>
  </w:style>
  <w:style w:type="paragraph" w:styleId="TOC7">
    <w:name w:val="toc 7"/>
    <w:basedOn w:val="Normal"/>
    <w:next w:val="Normal"/>
    <w:uiPriority w:val="39"/>
    <w:semiHidden/>
    <w:unhideWhenUsed/>
    <w:rsid w:val="0084326C"/>
    <w:pPr>
      <w:tabs>
        <w:tab w:val="right" w:leader="dot" w:pos="9071"/>
      </w:tabs>
      <w:spacing w:before="180" w:after="120"/>
    </w:pPr>
  </w:style>
  <w:style w:type="paragraph" w:styleId="TOC8">
    <w:name w:val="toc 8"/>
    <w:basedOn w:val="Normal"/>
    <w:next w:val="Normal"/>
    <w:uiPriority w:val="39"/>
    <w:semiHidden/>
    <w:unhideWhenUsed/>
    <w:rsid w:val="0084326C"/>
    <w:pPr>
      <w:tabs>
        <w:tab w:val="right" w:leader="dot" w:pos="9071"/>
      </w:tabs>
      <w:spacing w:before="120" w:after="120"/>
    </w:pPr>
  </w:style>
  <w:style w:type="paragraph" w:styleId="TOC9">
    <w:name w:val="toc 9"/>
    <w:basedOn w:val="Normal"/>
    <w:next w:val="Normal"/>
    <w:uiPriority w:val="39"/>
    <w:semiHidden/>
    <w:unhideWhenUsed/>
    <w:rsid w:val="0084326C"/>
    <w:pPr>
      <w:tabs>
        <w:tab w:val="right" w:leader="dot" w:pos="9071"/>
      </w:tabs>
      <w:spacing w:before="120" w:after="120"/>
      <w:jc w:val="both"/>
    </w:pPr>
  </w:style>
  <w:style w:type="paragraph" w:customStyle="1" w:styleId="HeaderLandscape">
    <w:name w:val="HeaderLandscape"/>
    <w:basedOn w:val="Normal"/>
    <w:rsid w:val="0084326C"/>
    <w:pPr>
      <w:tabs>
        <w:tab w:val="center" w:pos="7285"/>
        <w:tab w:val="right" w:pos="14003"/>
      </w:tabs>
      <w:spacing w:after="120"/>
      <w:jc w:val="both"/>
    </w:pPr>
  </w:style>
  <w:style w:type="paragraph" w:customStyle="1" w:styleId="FooterLandscape">
    <w:name w:val="FooterLandscape"/>
    <w:basedOn w:val="Normal"/>
    <w:rsid w:val="0084326C"/>
    <w:pPr>
      <w:tabs>
        <w:tab w:val="center" w:pos="7285"/>
        <w:tab w:val="center" w:pos="10913"/>
        <w:tab w:val="right" w:pos="15137"/>
      </w:tabs>
      <w:spacing w:before="360"/>
      <w:ind w:left="-567" w:right="-567"/>
    </w:p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basedOn w:val="DefaultParagraphFont"/>
    <w:link w:val="1"/>
    <w:uiPriority w:val="99"/>
    <w:unhideWhenUsed/>
    <w:qFormat/>
    <w:rsid w:val="0084326C"/>
    <w:rPr>
      <w:vertAlign w:val="superscript"/>
    </w:rPr>
  </w:style>
  <w:style w:type="paragraph" w:customStyle="1" w:styleId="1">
    <w:name w:val="1"/>
    <w:basedOn w:val="Normal"/>
    <w:link w:val="FootnoteReference"/>
    <w:uiPriority w:val="99"/>
    <w:rsid w:val="0084326C"/>
    <w:pPr>
      <w:spacing w:after="160" w:line="240" w:lineRule="exact"/>
      <w:jc w:val="both"/>
    </w:pPr>
    <w:rPr>
      <w:rFonts w:asciiTheme="minorHAnsi" w:eastAsiaTheme="minorHAnsi" w:hAnsiTheme="minorHAnsi" w:cstheme="minorBidi"/>
      <w:sz w:val="22"/>
      <w:szCs w:val="22"/>
      <w:vertAlign w:val="superscript"/>
      <w:lang w:eastAsia="en-US"/>
    </w:rPr>
  </w:style>
  <w:style w:type="paragraph" w:customStyle="1" w:styleId="HeaderSensitivity">
    <w:name w:val="Header Sensitivity"/>
    <w:basedOn w:val="Normal"/>
    <w:rsid w:val="0084326C"/>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HeaderSensitivityRight">
    <w:name w:val="Header Sensitivity Right"/>
    <w:basedOn w:val="Normal"/>
    <w:rsid w:val="0084326C"/>
    <w:pPr>
      <w:spacing w:after="120"/>
      <w:jc w:val="right"/>
    </w:pPr>
    <w:rPr>
      <w:sz w:val="28"/>
    </w:rPr>
  </w:style>
  <w:style w:type="paragraph" w:customStyle="1" w:styleId="FooterSensitivity">
    <w:name w:val="Footer Sensitivity"/>
    <w:basedOn w:val="Normal"/>
    <w:rsid w:val="0084326C"/>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customStyle="1" w:styleId="Text2">
    <w:name w:val="Text 2"/>
    <w:basedOn w:val="Normal"/>
    <w:rsid w:val="0084326C"/>
    <w:pPr>
      <w:spacing w:before="120" w:after="120"/>
      <w:ind w:left="1417"/>
      <w:jc w:val="both"/>
    </w:pPr>
  </w:style>
  <w:style w:type="paragraph" w:customStyle="1" w:styleId="Text3">
    <w:name w:val="Text 3"/>
    <w:basedOn w:val="Normal"/>
    <w:rsid w:val="0084326C"/>
    <w:pPr>
      <w:spacing w:before="120" w:after="120"/>
      <w:ind w:left="1984"/>
      <w:jc w:val="both"/>
    </w:pPr>
  </w:style>
  <w:style w:type="paragraph" w:customStyle="1" w:styleId="Text4">
    <w:name w:val="Text 4"/>
    <w:basedOn w:val="Normal"/>
    <w:rsid w:val="0084326C"/>
    <w:pPr>
      <w:spacing w:before="120" w:after="120"/>
      <w:ind w:left="2551"/>
      <w:jc w:val="both"/>
    </w:pPr>
  </w:style>
  <w:style w:type="paragraph" w:customStyle="1" w:styleId="NormalCentered">
    <w:name w:val="Normal Centered"/>
    <w:basedOn w:val="Normal"/>
    <w:rsid w:val="0084326C"/>
    <w:pPr>
      <w:spacing w:before="120" w:after="120"/>
      <w:jc w:val="center"/>
    </w:pPr>
  </w:style>
  <w:style w:type="paragraph" w:customStyle="1" w:styleId="NormalLeft">
    <w:name w:val="Normal Left"/>
    <w:basedOn w:val="Normal"/>
    <w:rsid w:val="0084326C"/>
    <w:pPr>
      <w:spacing w:before="120" w:after="120"/>
    </w:pPr>
  </w:style>
  <w:style w:type="paragraph" w:customStyle="1" w:styleId="NormalRight">
    <w:name w:val="Normal Right"/>
    <w:basedOn w:val="Normal"/>
    <w:rsid w:val="0084326C"/>
    <w:pPr>
      <w:spacing w:before="120" w:after="120"/>
      <w:jc w:val="right"/>
    </w:pPr>
  </w:style>
  <w:style w:type="paragraph" w:customStyle="1" w:styleId="QuotedText">
    <w:name w:val="Quoted Text"/>
    <w:basedOn w:val="Normal"/>
    <w:rsid w:val="0084326C"/>
    <w:pPr>
      <w:spacing w:before="120" w:after="120"/>
      <w:ind w:left="1417"/>
      <w:jc w:val="both"/>
    </w:pPr>
  </w:style>
  <w:style w:type="paragraph" w:customStyle="1" w:styleId="Point0">
    <w:name w:val="Point 0"/>
    <w:basedOn w:val="Normal"/>
    <w:rsid w:val="0084326C"/>
    <w:pPr>
      <w:spacing w:before="120" w:after="120"/>
      <w:ind w:left="850" w:hanging="850"/>
      <w:jc w:val="both"/>
    </w:pPr>
  </w:style>
  <w:style w:type="paragraph" w:customStyle="1" w:styleId="Point1">
    <w:name w:val="Point 1"/>
    <w:basedOn w:val="Normal"/>
    <w:rsid w:val="0084326C"/>
    <w:pPr>
      <w:spacing w:before="120" w:after="120"/>
      <w:ind w:left="1417" w:hanging="567"/>
      <w:jc w:val="both"/>
    </w:pPr>
  </w:style>
  <w:style w:type="paragraph" w:customStyle="1" w:styleId="Point2">
    <w:name w:val="Point 2"/>
    <w:basedOn w:val="Normal"/>
    <w:rsid w:val="0084326C"/>
    <w:pPr>
      <w:spacing w:before="120" w:after="120"/>
      <w:ind w:left="1984" w:hanging="567"/>
      <w:jc w:val="both"/>
    </w:pPr>
  </w:style>
  <w:style w:type="paragraph" w:customStyle="1" w:styleId="Point3">
    <w:name w:val="Point 3"/>
    <w:basedOn w:val="Normal"/>
    <w:rsid w:val="0084326C"/>
    <w:pPr>
      <w:spacing w:before="120" w:after="120"/>
      <w:ind w:left="2551" w:hanging="567"/>
      <w:jc w:val="both"/>
    </w:pPr>
  </w:style>
  <w:style w:type="paragraph" w:customStyle="1" w:styleId="Point4">
    <w:name w:val="Point 4"/>
    <w:basedOn w:val="Normal"/>
    <w:rsid w:val="0084326C"/>
    <w:pPr>
      <w:spacing w:before="120" w:after="120"/>
      <w:ind w:left="3118" w:hanging="567"/>
      <w:jc w:val="both"/>
    </w:pPr>
  </w:style>
  <w:style w:type="paragraph" w:customStyle="1" w:styleId="Tiret0">
    <w:name w:val="Tiret 0"/>
    <w:basedOn w:val="Point0"/>
    <w:rsid w:val="0084326C"/>
    <w:pPr>
      <w:numPr>
        <w:numId w:val="1"/>
      </w:numPr>
    </w:pPr>
  </w:style>
  <w:style w:type="paragraph" w:customStyle="1" w:styleId="Tiret1">
    <w:name w:val="Tiret 1"/>
    <w:basedOn w:val="Point1"/>
    <w:rsid w:val="0084326C"/>
    <w:pPr>
      <w:numPr>
        <w:numId w:val="2"/>
      </w:numPr>
      <w:tabs>
        <w:tab w:val="num" w:pos="3118"/>
      </w:tabs>
      <w:ind w:left="3118"/>
    </w:pPr>
  </w:style>
  <w:style w:type="paragraph" w:customStyle="1" w:styleId="Tiret2">
    <w:name w:val="Tiret 2"/>
    <w:basedOn w:val="Point2"/>
    <w:rsid w:val="0084326C"/>
    <w:pPr>
      <w:numPr>
        <w:numId w:val="3"/>
      </w:numPr>
      <w:tabs>
        <w:tab w:val="num" w:pos="360"/>
      </w:tabs>
      <w:ind w:left="360" w:hanging="360"/>
    </w:pPr>
  </w:style>
  <w:style w:type="paragraph" w:customStyle="1" w:styleId="Tiret3">
    <w:name w:val="Tiret 3"/>
    <w:basedOn w:val="Point3"/>
    <w:rsid w:val="0084326C"/>
    <w:pPr>
      <w:numPr>
        <w:numId w:val="4"/>
      </w:numPr>
      <w:tabs>
        <w:tab w:val="num" w:pos="360"/>
      </w:tabs>
      <w:ind w:left="360" w:hanging="360"/>
    </w:pPr>
  </w:style>
  <w:style w:type="paragraph" w:customStyle="1" w:styleId="Tiret4">
    <w:name w:val="Tiret 4"/>
    <w:basedOn w:val="Point4"/>
    <w:rsid w:val="0084326C"/>
    <w:pPr>
      <w:numPr>
        <w:numId w:val="5"/>
      </w:numPr>
      <w:ind w:left="1440" w:hanging="360"/>
    </w:pPr>
  </w:style>
  <w:style w:type="paragraph" w:customStyle="1" w:styleId="PointDouble0">
    <w:name w:val="PointDouble 0"/>
    <w:basedOn w:val="Normal"/>
    <w:rsid w:val="0084326C"/>
    <w:pPr>
      <w:tabs>
        <w:tab w:val="left" w:pos="850"/>
      </w:tabs>
      <w:spacing w:before="120" w:after="120"/>
      <w:ind w:left="1417" w:hanging="1417"/>
      <w:jc w:val="both"/>
    </w:pPr>
  </w:style>
  <w:style w:type="paragraph" w:customStyle="1" w:styleId="PointDouble1">
    <w:name w:val="PointDouble 1"/>
    <w:basedOn w:val="Normal"/>
    <w:rsid w:val="0084326C"/>
    <w:pPr>
      <w:tabs>
        <w:tab w:val="left" w:pos="1417"/>
      </w:tabs>
      <w:spacing w:before="120" w:after="120"/>
      <w:ind w:left="1984" w:hanging="1134"/>
      <w:jc w:val="both"/>
    </w:pPr>
  </w:style>
  <w:style w:type="paragraph" w:customStyle="1" w:styleId="PointDouble2">
    <w:name w:val="PointDouble 2"/>
    <w:basedOn w:val="Normal"/>
    <w:rsid w:val="0084326C"/>
    <w:pPr>
      <w:tabs>
        <w:tab w:val="left" w:pos="1984"/>
      </w:tabs>
      <w:spacing w:before="120" w:after="120"/>
      <w:ind w:left="2551" w:hanging="1134"/>
      <w:jc w:val="both"/>
    </w:pPr>
  </w:style>
  <w:style w:type="paragraph" w:customStyle="1" w:styleId="PointDouble3">
    <w:name w:val="PointDouble 3"/>
    <w:basedOn w:val="Normal"/>
    <w:rsid w:val="0084326C"/>
    <w:pPr>
      <w:tabs>
        <w:tab w:val="left" w:pos="2551"/>
      </w:tabs>
      <w:spacing w:before="120" w:after="120"/>
      <w:ind w:left="3118" w:hanging="1134"/>
      <w:jc w:val="both"/>
    </w:pPr>
  </w:style>
  <w:style w:type="paragraph" w:customStyle="1" w:styleId="PointDouble4">
    <w:name w:val="PointDouble 4"/>
    <w:basedOn w:val="Normal"/>
    <w:rsid w:val="0084326C"/>
    <w:pPr>
      <w:tabs>
        <w:tab w:val="left" w:pos="3118"/>
      </w:tabs>
      <w:spacing w:before="120" w:after="120"/>
      <w:ind w:left="3685" w:hanging="1134"/>
      <w:jc w:val="both"/>
    </w:pPr>
  </w:style>
  <w:style w:type="paragraph" w:customStyle="1" w:styleId="PointTriple0">
    <w:name w:val="PointTriple 0"/>
    <w:basedOn w:val="Normal"/>
    <w:rsid w:val="0084326C"/>
    <w:pPr>
      <w:tabs>
        <w:tab w:val="left" w:pos="850"/>
        <w:tab w:val="left" w:pos="1417"/>
      </w:tabs>
      <w:spacing w:before="120" w:after="120"/>
      <w:ind w:left="1984" w:hanging="1984"/>
      <w:jc w:val="both"/>
    </w:pPr>
  </w:style>
  <w:style w:type="paragraph" w:customStyle="1" w:styleId="PointTriple1">
    <w:name w:val="PointTriple 1"/>
    <w:basedOn w:val="Normal"/>
    <w:rsid w:val="0084326C"/>
    <w:pPr>
      <w:tabs>
        <w:tab w:val="left" w:pos="1417"/>
        <w:tab w:val="left" w:pos="1984"/>
      </w:tabs>
      <w:spacing w:before="120" w:after="120"/>
      <w:ind w:left="2551" w:hanging="1701"/>
      <w:jc w:val="both"/>
    </w:pPr>
  </w:style>
  <w:style w:type="paragraph" w:customStyle="1" w:styleId="PointTriple2">
    <w:name w:val="PointTriple 2"/>
    <w:basedOn w:val="Normal"/>
    <w:rsid w:val="0084326C"/>
    <w:pPr>
      <w:tabs>
        <w:tab w:val="left" w:pos="1984"/>
        <w:tab w:val="left" w:pos="2551"/>
      </w:tabs>
      <w:spacing w:before="120" w:after="120"/>
      <w:ind w:left="3118" w:hanging="1701"/>
      <w:jc w:val="both"/>
    </w:pPr>
  </w:style>
  <w:style w:type="paragraph" w:customStyle="1" w:styleId="PointTriple3">
    <w:name w:val="PointTriple 3"/>
    <w:basedOn w:val="Normal"/>
    <w:rsid w:val="0084326C"/>
    <w:pPr>
      <w:tabs>
        <w:tab w:val="left" w:pos="2551"/>
        <w:tab w:val="left" w:pos="3118"/>
      </w:tabs>
      <w:spacing w:before="120" w:after="120"/>
      <w:ind w:left="3685" w:hanging="1701"/>
      <w:jc w:val="both"/>
    </w:pPr>
  </w:style>
  <w:style w:type="paragraph" w:customStyle="1" w:styleId="PointTriple4">
    <w:name w:val="PointTriple 4"/>
    <w:basedOn w:val="Normal"/>
    <w:rsid w:val="0084326C"/>
    <w:pPr>
      <w:tabs>
        <w:tab w:val="left" w:pos="3118"/>
        <w:tab w:val="left" w:pos="3685"/>
      </w:tabs>
      <w:spacing w:before="120" w:after="120"/>
      <w:ind w:left="4252" w:hanging="1701"/>
      <w:jc w:val="both"/>
    </w:pPr>
  </w:style>
  <w:style w:type="paragraph" w:customStyle="1" w:styleId="NumPar1">
    <w:name w:val="NumPar 1"/>
    <w:basedOn w:val="Normal"/>
    <w:next w:val="Text1"/>
    <w:rsid w:val="0084326C"/>
    <w:pPr>
      <w:numPr>
        <w:ilvl w:val="1"/>
        <w:numId w:val="6"/>
      </w:numPr>
      <w:spacing w:before="120" w:after="120"/>
      <w:jc w:val="both"/>
    </w:pPr>
  </w:style>
  <w:style w:type="paragraph" w:customStyle="1" w:styleId="NumPar2">
    <w:name w:val="NumPar 2"/>
    <w:basedOn w:val="Normal"/>
    <w:next w:val="Text1"/>
    <w:rsid w:val="0084326C"/>
    <w:pPr>
      <w:numPr>
        <w:ilvl w:val="2"/>
        <w:numId w:val="6"/>
      </w:numPr>
      <w:tabs>
        <w:tab w:val="num" w:pos="1209"/>
      </w:tabs>
      <w:spacing w:before="120" w:after="120"/>
      <w:ind w:left="1209" w:hanging="360"/>
      <w:jc w:val="both"/>
    </w:pPr>
  </w:style>
  <w:style w:type="paragraph" w:customStyle="1" w:styleId="NumPar3">
    <w:name w:val="NumPar 3"/>
    <w:basedOn w:val="Normal"/>
    <w:next w:val="Text1"/>
    <w:rsid w:val="0084326C"/>
    <w:pPr>
      <w:numPr>
        <w:ilvl w:val="3"/>
        <w:numId w:val="6"/>
      </w:numPr>
      <w:tabs>
        <w:tab w:val="num" w:pos="1209"/>
      </w:tabs>
      <w:spacing w:before="120" w:after="120"/>
      <w:ind w:left="1209" w:hanging="360"/>
      <w:jc w:val="both"/>
    </w:pPr>
  </w:style>
  <w:style w:type="paragraph" w:customStyle="1" w:styleId="NumPar4">
    <w:name w:val="NumPar 4"/>
    <w:basedOn w:val="Normal"/>
    <w:next w:val="Text1"/>
    <w:rsid w:val="0084326C"/>
    <w:pPr>
      <w:tabs>
        <w:tab w:val="num" w:pos="850"/>
      </w:tabs>
      <w:spacing w:before="120" w:after="120"/>
      <w:ind w:left="850" w:hanging="850"/>
      <w:jc w:val="both"/>
    </w:pPr>
  </w:style>
  <w:style w:type="paragraph" w:customStyle="1" w:styleId="ManualNumPar1">
    <w:name w:val="Manual NumPar 1"/>
    <w:basedOn w:val="Normal"/>
    <w:next w:val="Text1"/>
    <w:rsid w:val="0084326C"/>
    <w:pPr>
      <w:spacing w:before="120" w:after="120"/>
      <w:ind w:left="850" w:hanging="850"/>
      <w:jc w:val="both"/>
    </w:pPr>
  </w:style>
  <w:style w:type="paragraph" w:customStyle="1" w:styleId="ManualNumPar2">
    <w:name w:val="Manual NumPar 2"/>
    <w:basedOn w:val="Normal"/>
    <w:next w:val="Text1"/>
    <w:rsid w:val="0084326C"/>
    <w:pPr>
      <w:spacing w:before="120" w:after="120"/>
      <w:ind w:left="850" w:hanging="850"/>
      <w:jc w:val="both"/>
    </w:pPr>
  </w:style>
  <w:style w:type="paragraph" w:customStyle="1" w:styleId="ManualNumPar3">
    <w:name w:val="Manual NumPar 3"/>
    <w:basedOn w:val="Normal"/>
    <w:next w:val="Text1"/>
    <w:rsid w:val="0084326C"/>
    <w:pPr>
      <w:spacing w:before="120" w:after="120"/>
      <w:ind w:left="850" w:hanging="850"/>
      <w:jc w:val="both"/>
    </w:pPr>
  </w:style>
  <w:style w:type="paragraph" w:customStyle="1" w:styleId="ManualNumPar4">
    <w:name w:val="Manual NumPar 4"/>
    <w:basedOn w:val="Normal"/>
    <w:next w:val="Text1"/>
    <w:rsid w:val="0084326C"/>
    <w:pPr>
      <w:spacing w:before="120" w:after="120"/>
      <w:ind w:left="850" w:hanging="850"/>
      <w:jc w:val="both"/>
    </w:pPr>
  </w:style>
  <w:style w:type="paragraph" w:customStyle="1" w:styleId="QuotedNumPar">
    <w:name w:val="Quoted NumPar"/>
    <w:basedOn w:val="Normal"/>
    <w:rsid w:val="0084326C"/>
    <w:pPr>
      <w:spacing w:before="120" w:after="120"/>
      <w:ind w:left="1417" w:hanging="567"/>
      <w:jc w:val="both"/>
    </w:pPr>
  </w:style>
  <w:style w:type="paragraph" w:customStyle="1" w:styleId="ManualHeading1">
    <w:name w:val="Manual Heading 1"/>
    <w:basedOn w:val="Normal"/>
    <w:next w:val="Text1"/>
    <w:rsid w:val="0084326C"/>
    <w:pPr>
      <w:keepNext/>
      <w:tabs>
        <w:tab w:val="left" w:pos="850"/>
      </w:tabs>
      <w:spacing w:before="360" w:after="120"/>
      <w:ind w:left="850" w:hanging="850"/>
      <w:jc w:val="both"/>
      <w:outlineLvl w:val="0"/>
    </w:pPr>
    <w:rPr>
      <w:b/>
      <w:smallCaps/>
    </w:rPr>
  </w:style>
  <w:style w:type="paragraph" w:customStyle="1" w:styleId="ManualHeading2">
    <w:name w:val="Manual Heading 2"/>
    <w:basedOn w:val="Normal"/>
    <w:next w:val="Text1"/>
    <w:rsid w:val="0084326C"/>
    <w:pPr>
      <w:keepNext/>
      <w:tabs>
        <w:tab w:val="left" w:pos="850"/>
      </w:tabs>
      <w:spacing w:before="120" w:after="120"/>
      <w:ind w:left="850" w:hanging="850"/>
      <w:jc w:val="both"/>
      <w:outlineLvl w:val="1"/>
    </w:pPr>
    <w:rPr>
      <w:b/>
    </w:rPr>
  </w:style>
  <w:style w:type="paragraph" w:customStyle="1" w:styleId="ManualHeading3">
    <w:name w:val="Manual Heading 3"/>
    <w:basedOn w:val="Normal"/>
    <w:next w:val="Text1"/>
    <w:rsid w:val="0084326C"/>
    <w:pPr>
      <w:keepNext/>
      <w:tabs>
        <w:tab w:val="left" w:pos="850"/>
      </w:tabs>
      <w:spacing w:before="120" w:after="120"/>
      <w:ind w:left="850" w:hanging="850"/>
      <w:jc w:val="both"/>
      <w:outlineLvl w:val="2"/>
    </w:pPr>
    <w:rPr>
      <w:i/>
    </w:rPr>
  </w:style>
  <w:style w:type="paragraph" w:customStyle="1" w:styleId="ManualHeading4">
    <w:name w:val="Manual Heading 4"/>
    <w:basedOn w:val="Normal"/>
    <w:next w:val="Text1"/>
    <w:rsid w:val="0084326C"/>
    <w:pPr>
      <w:keepNext/>
      <w:tabs>
        <w:tab w:val="left" w:pos="850"/>
      </w:tabs>
      <w:spacing w:before="120" w:after="120"/>
      <w:ind w:left="850" w:hanging="850"/>
      <w:jc w:val="both"/>
      <w:outlineLvl w:val="3"/>
    </w:pPr>
  </w:style>
  <w:style w:type="paragraph" w:customStyle="1" w:styleId="ChapterTitle">
    <w:name w:val="ChapterTitle"/>
    <w:basedOn w:val="Normal"/>
    <w:next w:val="Normal"/>
    <w:rsid w:val="0084326C"/>
    <w:pPr>
      <w:keepNext/>
      <w:spacing w:before="120" w:after="360"/>
      <w:jc w:val="center"/>
    </w:pPr>
    <w:rPr>
      <w:b/>
      <w:sz w:val="32"/>
    </w:rPr>
  </w:style>
  <w:style w:type="paragraph" w:customStyle="1" w:styleId="PartTitle">
    <w:name w:val="PartTitle"/>
    <w:basedOn w:val="Normal"/>
    <w:next w:val="ChapterTitle"/>
    <w:rsid w:val="0084326C"/>
    <w:pPr>
      <w:keepNext/>
      <w:pageBreakBefore/>
      <w:spacing w:before="120" w:after="360"/>
      <w:jc w:val="center"/>
    </w:pPr>
    <w:rPr>
      <w:b/>
      <w:sz w:val="36"/>
    </w:rPr>
  </w:style>
  <w:style w:type="paragraph" w:customStyle="1" w:styleId="SectionTitle">
    <w:name w:val="SectionTitle"/>
    <w:basedOn w:val="Normal"/>
    <w:next w:val="Heading1"/>
    <w:rsid w:val="0084326C"/>
    <w:pPr>
      <w:keepNext/>
      <w:spacing w:before="120" w:after="360"/>
      <w:jc w:val="center"/>
    </w:pPr>
    <w:rPr>
      <w:b/>
      <w:smallCaps/>
      <w:sz w:val="28"/>
    </w:rPr>
  </w:style>
  <w:style w:type="paragraph" w:customStyle="1" w:styleId="TableTitle">
    <w:name w:val="Table Title"/>
    <w:basedOn w:val="Normal"/>
    <w:next w:val="Normal"/>
    <w:rsid w:val="0084326C"/>
    <w:pPr>
      <w:spacing w:before="120" w:after="120"/>
      <w:jc w:val="center"/>
    </w:pPr>
    <w:rPr>
      <w:b/>
    </w:rPr>
  </w:style>
  <w:style w:type="character" w:customStyle="1" w:styleId="Marker">
    <w:name w:val="Marker"/>
    <w:basedOn w:val="DefaultParagraphFont"/>
    <w:rsid w:val="0084326C"/>
    <w:rPr>
      <w:color w:val="0000FF"/>
      <w:shd w:val="clear" w:color="auto" w:fill="auto"/>
    </w:rPr>
  </w:style>
  <w:style w:type="character" w:customStyle="1" w:styleId="Marker1">
    <w:name w:val="Marker1"/>
    <w:basedOn w:val="DefaultParagraphFont"/>
    <w:rsid w:val="0084326C"/>
    <w:rPr>
      <w:color w:val="008000"/>
      <w:shd w:val="clear" w:color="auto" w:fill="auto"/>
    </w:rPr>
  </w:style>
  <w:style w:type="character" w:customStyle="1" w:styleId="Marker2">
    <w:name w:val="Marker2"/>
    <w:basedOn w:val="DefaultParagraphFont"/>
    <w:rsid w:val="0084326C"/>
    <w:rPr>
      <w:color w:val="FF0000"/>
      <w:shd w:val="clear" w:color="auto" w:fill="auto"/>
    </w:rPr>
  </w:style>
  <w:style w:type="paragraph" w:customStyle="1" w:styleId="Point0number">
    <w:name w:val="Point 0 (number)"/>
    <w:basedOn w:val="Normal"/>
    <w:rsid w:val="0084326C"/>
    <w:pPr>
      <w:numPr>
        <w:ilvl w:val="2"/>
        <w:numId w:val="8"/>
      </w:numPr>
      <w:tabs>
        <w:tab w:val="clear" w:pos="1417"/>
        <w:tab w:val="num" w:pos="360"/>
      </w:tabs>
      <w:spacing w:before="120" w:after="120"/>
      <w:ind w:left="360" w:hanging="360"/>
      <w:jc w:val="both"/>
    </w:pPr>
  </w:style>
  <w:style w:type="paragraph" w:customStyle="1" w:styleId="Point1number">
    <w:name w:val="Point 1 (number)"/>
    <w:basedOn w:val="Normal"/>
    <w:rsid w:val="0084326C"/>
    <w:pPr>
      <w:numPr>
        <w:ilvl w:val="4"/>
        <w:numId w:val="8"/>
      </w:numPr>
      <w:tabs>
        <w:tab w:val="num" w:pos="360"/>
      </w:tabs>
      <w:spacing w:before="120" w:after="120"/>
      <w:ind w:left="360"/>
      <w:jc w:val="both"/>
    </w:pPr>
  </w:style>
  <w:style w:type="paragraph" w:customStyle="1" w:styleId="Point2number">
    <w:name w:val="Point 2 (number)"/>
    <w:basedOn w:val="Normal"/>
    <w:rsid w:val="0084326C"/>
    <w:pPr>
      <w:numPr>
        <w:ilvl w:val="6"/>
        <w:numId w:val="8"/>
      </w:numPr>
      <w:tabs>
        <w:tab w:val="num" w:pos="360"/>
        <w:tab w:val="num" w:pos="1984"/>
      </w:tabs>
      <w:spacing w:before="120" w:after="120"/>
      <w:ind w:left="1984"/>
      <w:jc w:val="both"/>
    </w:pPr>
  </w:style>
  <w:style w:type="paragraph" w:customStyle="1" w:styleId="Point3number">
    <w:name w:val="Point 3 (number)"/>
    <w:basedOn w:val="Normal"/>
    <w:rsid w:val="0084326C"/>
    <w:pPr>
      <w:numPr>
        <w:ilvl w:val="1"/>
        <w:numId w:val="8"/>
      </w:numPr>
      <w:tabs>
        <w:tab w:val="num" w:pos="360"/>
        <w:tab w:val="num" w:pos="2551"/>
      </w:tabs>
      <w:spacing w:before="120" w:after="120"/>
      <w:ind w:left="2551"/>
      <w:jc w:val="both"/>
    </w:pPr>
  </w:style>
  <w:style w:type="paragraph" w:customStyle="1" w:styleId="Point0letter">
    <w:name w:val="Point 0 (letter)"/>
    <w:basedOn w:val="Normal"/>
    <w:rsid w:val="0084326C"/>
    <w:pPr>
      <w:numPr>
        <w:ilvl w:val="3"/>
        <w:numId w:val="8"/>
      </w:numPr>
      <w:tabs>
        <w:tab w:val="clear" w:pos="1417"/>
        <w:tab w:val="num" w:pos="360"/>
      </w:tabs>
      <w:spacing w:before="120" w:after="120"/>
      <w:ind w:left="360" w:hanging="360"/>
      <w:jc w:val="both"/>
    </w:pPr>
  </w:style>
  <w:style w:type="paragraph" w:customStyle="1" w:styleId="Point1letter">
    <w:name w:val="Point 1 (letter)"/>
    <w:basedOn w:val="Normal"/>
    <w:rsid w:val="0084326C"/>
    <w:pPr>
      <w:numPr>
        <w:ilvl w:val="5"/>
        <w:numId w:val="8"/>
      </w:numPr>
      <w:tabs>
        <w:tab w:val="num" w:pos="360"/>
      </w:tabs>
      <w:spacing w:before="120" w:after="120"/>
      <w:ind w:left="360"/>
      <w:jc w:val="both"/>
    </w:pPr>
  </w:style>
  <w:style w:type="paragraph" w:customStyle="1" w:styleId="Point2letter">
    <w:name w:val="Point 2 (letter)"/>
    <w:basedOn w:val="Normal"/>
    <w:rsid w:val="0084326C"/>
    <w:pPr>
      <w:numPr>
        <w:ilvl w:val="7"/>
        <w:numId w:val="8"/>
      </w:numPr>
      <w:tabs>
        <w:tab w:val="num" w:pos="360"/>
        <w:tab w:val="num" w:pos="1984"/>
      </w:tabs>
      <w:spacing w:before="120" w:after="120"/>
      <w:ind w:left="1984"/>
      <w:jc w:val="both"/>
    </w:pPr>
  </w:style>
  <w:style w:type="paragraph" w:customStyle="1" w:styleId="Point3letter">
    <w:name w:val="Point 3 (letter)"/>
    <w:basedOn w:val="Normal"/>
    <w:rsid w:val="0084326C"/>
    <w:pPr>
      <w:numPr>
        <w:ilvl w:val="8"/>
        <w:numId w:val="8"/>
      </w:numPr>
      <w:tabs>
        <w:tab w:val="num" w:pos="360"/>
        <w:tab w:val="num" w:pos="2551"/>
      </w:tabs>
      <w:spacing w:before="120" w:after="120"/>
      <w:ind w:left="2551"/>
      <w:jc w:val="both"/>
    </w:pPr>
  </w:style>
  <w:style w:type="paragraph" w:customStyle="1" w:styleId="Point4letter">
    <w:name w:val="Point 4 (letter)"/>
    <w:basedOn w:val="Normal"/>
    <w:rsid w:val="0084326C"/>
    <w:pPr>
      <w:tabs>
        <w:tab w:val="num" w:pos="3118"/>
      </w:tabs>
      <w:spacing w:before="120" w:after="120"/>
      <w:ind w:left="3118" w:hanging="567"/>
      <w:jc w:val="both"/>
    </w:pPr>
  </w:style>
  <w:style w:type="paragraph" w:customStyle="1" w:styleId="Bullet0">
    <w:name w:val="Bullet 0"/>
    <w:basedOn w:val="Normal"/>
    <w:rsid w:val="0084326C"/>
    <w:pPr>
      <w:numPr>
        <w:numId w:val="9"/>
      </w:numPr>
      <w:tabs>
        <w:tab w:val="num" w:pos="643"/>
      </w:tabs>
      <w:spacing w:before="120" w:after="120"/>
      <w:ind w:left="643" w:hanging="360"/>
      <w:jc w:val="both"/>
    </w:pPr>
  </w:style>
  <w:style w:type="paragraph" w:customStyle="1" w:styleId="Bullet1">
    <w:name w:val="Bullet 1"/>
    <w:basedOn w:val="Normal"/>
    <w:rsid w:val="0084326C"/>
    <w:pPr>
      <w:numPr>
        <w:numId w:val="10"/>
      </w:numPr>
      <w:tabs>
        <w:tab w:val="num" w:pos="926"/>
      </w:tabs>
      <w:spacing w:before="120" w:after="120"/>
      <w:ind w:left="926" w:hanging="360"/>
      <w:jc w:val="both"/>
    </w:pPr>
  </w:style>
  <w:style w:type="paragraph" w:customStyle="1" w:styleId="Bullet2">
    <w:name w:val="Bullet 2"/>
    <w:basedOn w:val="Normal"/>
    <w:rsid w:val="0084326C"/>
    <w:pPr>
      <w:numPr>
        <w:numId w:val="11"/>
      </w:numPr>
      <w:spacing w:before="120" w:after="120"/>
      <w:jc w:val="both"/>
    </w:pPr>
  </w:style>
  <w:style w:type="paragraph" w:customStyle="1" w:styleId="Bullet3">
    <w:name w:val="Bullet 3"/>
    <w:basedOn w:val="Normal"/>
    <w:rsid w:val="0084326C"/>
    <w:pPr>
      <w:tabs>
        <w:tab w:val="num" w:pos="2551"/>
      </w:tabs>
      <w:spacing w:before="120" w:after="120"/>
      <w:ind w:left="2551" w:hanging="567"/>
      <w:jc w:val="both"/>
    </w:pPr>
  </w:style>
  <w:style w:type="paragraph" w:customStyle="1" w:styleId="Bullet4">
    <w:name w:val="Bullet 4"/>
    <w:basedOn w:val="Normal"/>
    <w:rsid w:val="0084326C"/>
    <w:pPr>
      <w:numPr>
        <w:numId w:val="12"/>
      </w:numPr>
      <w:spacing w:before="120" w:after="120"/>
      <w:jc w:val="both"/>
    </w:pPr>
  </w:style>
  <w:style w:type="paragraph" w:customStyle="1" w:styleId="Langue">
    <w:name w:val="Langue"/>
    <w:basedOn w:val="Normal"/>
    <w:next w:val="Rfrenceinterne"/>
    <w:rsid w:val="0084326C"/>
    <w:pPr>
      <w:framePr w:wrap="around" w:vAnchor="page" w:hAnchor="text" w:xAlign="center" w:y="14741"/>
      <w:spacing w:after="600"/>
      <w:jc w:val="center"/>
    </w:pPr>
    <w:rPr>
      <w:b/>
      <w:caps/>
    </w:rPr>
  </w:style>
  <w:style w:type="paragraph" w:customStyle="1" w:styleId="Rfrenceinterne">
    <w:name w:val="Référence interne"/>
    <w:basedOn w:val="Normal"/>
    <w:next w:val="Rfrenceinterinstitutionnelle"/>
    <w:rsid w:val="0084326C"/>
    <w:pPr>
      <w:ind w:left="5103"/>
    </w:pPr>
  </w:style>
  <w:style w:type="paragraph" w:customStyle="1" w:styleId="Rfrenceinterinstitutionnelle">
    <w:name w:val="Référence interinstitutionnelle"/>
    <w:basedOn w:val="Normal"/>
    <w:next w:val="Statut"/>
    <w:rsid w:val="0084326C"/>
    <w:pPr>
      <w:ind w:left="5103"/>
    </w:pPr>
  </w:style>
  <w:style w:type="paragraph" w:customStyle="1" w:styleId="Statut">
    <w:name w:val="Statut"/>
    <w:basedOn w:val="Normal"/>
    <w:next w:val="Typedudocument"/>
    <w:rsid w:val="0084326C"/>
    <w:pPr>
      <w:spacing w:before="360"/>
      <w:jc w:val="center"/>
    </w:pPr>
  </w:style>
  <w:style w:type="paragraph" w:customStyle="1" w:styleId="Typedudocument">
    <w:name w:val="Type du document"/>
    <w:basedOn w:val="Normal"/>
    <w:next w:val="Titreobjet"/>
    <w:rsid w:val="0084326C"/>
    <w:pPr>
      <w:spacing w:before="360"/>
      <w:jc w:val="center"/>
    </w:pPr>
    <w:rPr>
      <w:b/>
    </w:rPr>
  </w:style>
  <w:style w:type="paragraph" w:customStyle="1" w:styleId="Titreobjet">
    <w:name w:val="Titre objet"/>
    <w:basedOn w:val="Normal"/>
    <w:next w:val="IntrtEEE"/>
    <w:rsid w:val="0084326C"/>
    <w:pPr>
      <w:spacing w:before="360" w:after="360"/>
      <w:jc w:val="center"/>
    </w:pPr>
    <w:rPr>
      <w:b/>
    </w:rPr>
  </w:style>
  <w:style w:type="paragraph" w:customStyle="1" w:styleId="IntrtEEE">
    <w:name w:val="Intérêt EEE"/>
    <w:basedOn w:val="Languesfaisantfoi"/>
    <w:next w:val="Normal"/>
    <w:rsid w:val="0084326C"/>
    <w:pPr>
      <w:spacing w:after="240"/>
    </w:pPr>
  </w:style>
  <w:style w:type="paragraph" w:customStyle="1" w:styleId="Languesfaisantfoi">
    <w:name w:val="Langues faisant foi"/>
    <w:basedOn w:val="Normal"/>
    <w:next w:val="Normal"/>
    <w:rsid w:val="0084326C"/>
    <w:pPr>
      <w:spacing w:before="360"/>
      <w:jc w:val="center"/>
    </w:pPr>
  </w:style>
  <w:style w:type="paragraph" w:customStyle="1" w:styleId="Nomdelinstitution">
    <w:name w:val="Nom de l'institution"/>
    <w:basedOn w:val="Normal"/>
    <w:next w:val="Emission"/>
    <w:rsid w:val="0084326C"/>
    <w:rPr>
      <w:rFonts w:ascii="Arial" w:hAnsi="Arial" w:cs="Arial"/>
    </w:rPr>
  </w:style>
  <w:style w:type="paragraph" w:customStyle="1" w:styleId="Emission">
    <w:name w:val="Emission"/>
    <w:basedOn w:val="Normal"/>
    <w:next w:val="Rfrenceinstitutionnelle"/>
    <w:rsid w:val="0084326C"/>
    <w:pPr>
      <w:ind w:left="5103"/>
    </w:pPr>
  </w:style>
  <w:style w:type="paragraph" w:customStyle="1" w:styleId="Rfrenceinstitutionnelle">
    <w:name w:val="Référence institutionnelle"/>
    <w:basedOn w:val="Normal"/>
    <w:next w:val="Confidentialit"/>
    <w:rsid w:val="0084326C"/>
    <w:pPr>
      <w:spacing w:after="240"/>
      <w:ind w:left="5103"/>
    </w:pPr>
  </w:style>
  <w:style w:type="paragraph" w:customStyle="1" w:styleId="Confidentialit">
    <w:name w:val="Confidentialité"/>
    <w:basedOn w:val="Normal"/>
    <w:next w:val="TypedudocumentPagedecouverture"/>
    <w:rsid w:val="0084326C"/>
    <w:pPr>
      <w:spacing w:before="240" w:after="240"/>
      <w:ind w:left="5103"/>
    </w:pPr>
    <w:rPr>
      <w:i/>
      <w:sz w:val="32"/>
    </w:rPr>
  </w:style>
  <w:style w:type="paragraph" w:customStyle="1" w:styleId="TypedudocumentPagedecouverture">
    <w:name w:val="Type du document (Page de couverture)"/>
    <w:basedOn w:val="Typedudocument"/>
    <w:next w:val="TitreobjetPagedecouverture"/>
    <w:rsid w:val="0084326C"/>
  </w:style>
  <w:style w:type="paragraph" w:customStyle="1" w:styleId="TitreobjetPagedecouverture">
    <w:name w:val="Titre objet (Page de couverture)"/>
    <w:basedOn w:val="Titreobjet"/>
    <w:next w:val="IntrtEEEPagedecouverture"/>
    <w:rsid w:val="0084326C"/>
  </w:style>
  <w:style w:type="paragraph" w:customStyle="1" w:styleId="IntrtEEEPagedecouverture">
    <w:name w:val="Intérêt EEE (Page de couverture)"/>
    <w:basedOn w:val="IntrtEEE"/>
    <w:next w:val="Rfrencecroise"/>
    <w:rsid w:val="0084326C"/>
  </w:style>
  <w:style w:type="paragraph" w:customStyle="1" w:styleId="Rfrencecroise">
    <w:name w:val="Référence croisée"/>
    <w:basedOn w:val="Normal"/>
    <w:rsid w:val="0084326C"/>
    <w:pPr>
      <w:jc w:val="center"/>
    </w:pPr>
  </w:style>
  <w:style w:type="paragraph" w:customStyle="1" w:styleId="Pagedecouverture">
    <w:name w:val="Page de couverture"/>
    <w:basedOn w:val="Normal"/>
    <w:next w:val="Normal"/>
    <w:rsid w:val="0084326C"/>
    <w:pPr>
      <w:jc w:val="both"/>
    </w:pPr>
  </w:style>
  <w:style w:type="paragraph" w:customStyle="1" w:styleId="Declassification">
    <w:name w:val="Declassification"/>
    <w:basedOn w:val="Normal"/>
    <w:next w:val="Normal"/>
    <w:rsid w:val="0084326C"/>
    <w:pPr>
      <w:jc w:val="both"/>
    </w:pPr>
  </w:style>
  <w:style w:type="paragraph" w:customStyle="1" w:styleId="Disclaimer">
    <w:name w:val="Disclaimer"/>
    <w:basedOn w:val="Normal"/>
    <w:rsid w:val="0084326C"/>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jc w:val="both"/>
    </w:pPr>
  </w:style>
  <w:style w:type="paragraph" w:customStyle="1" w:styleId="SecurityMarking">
    <w:name w:val="SecurityMarking"/>
    <w:basedOn w:val="Normal"/>
    <w:rsid w:val="0084326C"/>
    <w:pPr>
      <w:ind w:left="5103"/>
    </w:pPr>
    <w:rPr>
      <w:sz w:val="28"/>
    </w:rPr>
  </w:style>
  <w:style w:type="paragraph" w:customStyle="1" w:styleId="DateMarking">
    <w:name w:val="DateMarking"/>
    <w:basedOn w:val="Normal"/>
    <w:rsid w:val="0084326C"/>
    <w:pPr>
      <w:ind w:left="5103"/>
    </w:pPr>
    <w:rPr>
      <w:i/>
      <w:sz w:val="28"/>
    </w:rPr>
  </w:style>
  <w:style w:type="paragraph" w:customStyle="1" w:styleId="ReleasableTo">
    <w:name w:val="ReleasableTo"/>
    <w:basedOn w:val="Normal"/>
    <w:rsid w:val="0084326C"/>
    <w:pPr>
      <w:ind w:left="5103"/>
    </w:pPr>
    <w:rPr>
      <w:i/>
      <w:sz w:val="28"/>
    </w:rPr>
  </w:style>
  <w:style w:type="paragraph" w:customStyle="1" w:styleId="Annexetitreexpos">
    <w:name w:val="Annexe titre (exposé)"/>
    <w:basedOn w:val="Normal"/>
    <w:next w:val="Normal"/>
    <w:rsid w:val="0084326C"/>
    <w:pPr>
      <w:spacing w:before="120" w:after="120"/>
      <w:jc w:val="center"/>
    </w:pPr>
    <w:rPr>
      <w:b/>
      <w:u w:val="single"/>
    </w:rPr>
  </w:style>
  <w:style w:type="paragraph" w:customStyle="1" w:styleId="Annexetitre">
    <w:name w:val="Annexe titre"/>
    <w:basedOn w:val="Normal"/>
    <w:next w:val="Normal"/>
    <w:rsid w:val="0084326C"/>
    <w:pPr>
      <w:spacing w:before="120" w:after="120"/>
      <w:jc w:val="center"/>
    </w:pPr>
    <w:rPr>
      <w:b/>
      <w:u w:val="single"/>
    </w:rPr>
  </w:style>
  <w:style w:type="paragraph" w:customStyle="1" w:styleId="Annexetitrefichefinancire">
    <w:name w:val="Annexe titre (fiche financière)"/>
    <w:basedOn w:val="Normal"/>
    <w:next w:val="Normal"/>
    <w:rsid w:val="0084326C"/>
    <w:pPr>
      <w:spacing w:before="120" w:after="120"/>
      <w:jc w:val="center"/>
    </w:pPr>
    <w:rPr>
      <w:b/>
      <w:u w:val="single"/>
    </w:rPr>
  </w:style>
  <w:style w:type="paragraph" w:customStyle="1" w:styleId="Applicationdirecte">
    <w:name w:val="Application directe"/>
    <w:basedOn w:val="Normal"/>
    <w:next w:val="Fait"/>
    <w:rsid w:val="0084326C"/>
    <w:pPr>
      <w:spacing w:before="480" w:after="120"/>
      <w:jc w:val="both"/>
    </w:pPr>
  </w:style>
  <w:style w:type="paragraph" w:customStyle="1" w:styleId="Fait">
    <w:name w:val="Fait à"/>
    <w:basedOn w:val="Normal"/>
    <w:next w:val="Institutionquisigne"/>
    <w:rsid w:val="0084326C"/>
    <w:pPr>
      <w:keepNext/>
      <w:spacing w:before="120"/>
      <w:jc w:val="both"/>
    </w:pPr>
  </w:style>
  <w:style w:type="paragraph" w:customStyle="1" w:styleId="Institutionquisigne">
    <w:name w:val="Institution qui signe"/>
    <w:basedOn w:val="Normal"/>
    <w:next w:val="Personnequisigne"/>
    <w:rsid w:val="0084326C"/>
    <w:pPr>
      <w:keepNext/>
      <w:tabs>
        <w:tab w:val="left" w:pos="4252"/>
      </w:tabs>
      <w:spacing w:before="720"/>
      <w:jc w:val="both"/>
    </w:pPr>
    <w:rPr>
      <w:i/>
    </w:rPr>
  </w:style>
  <w:style w:type="paragraph" w:customStyle="1" w:styleId="Personnequisigne">
    <w:name w:val="Personne qui signe"/>
    <w:basedOn w:val="Normal"/>
    <w:next w:val="Institutionquisigne"/>
    <w:rsid w:val="0084326C"/>
    <w:pPr>
      <w:tabs>
        <w:tab w:val="left" w:pos="4252"/>
      </w:tabs>
    </w:pPr>
    <w:rPr>
      <w:i/>
    </w:rPr>
  </w:style>
  <w:style w:type="paragraph" w:customStyle="1" w:styleId="Avertissementtitre">
    <w:name w:val="Avertissement titre"/>
    <w:basedOn w:val="Normal"/>
    <w:next w:val="Normal"/>
    <w:rsid w:val="0084326C"/>
    <w:pPr>
      <w:keepNext/>
      <w:spacing w:before="480" w:after="120"/>
      <w:jc w:val="both"/>
    </w:pPr>
    <w:rPr>
      <w:u w:val="single"/>
    </w:rPr>
  </w:style>
  <w:style w:type="paragraph" w:customStyle="1" w:styleId="Confidence">
    <w:name w:val="Confidence"/>
    <w:basedOn w:val="Normal"/>
    <w:next w:val="Normal"/>
    <w:rsid w:val="0084326C"/>
    <w:pPr>
      <w:spacing w:before="360" w:after="120"/>
      <w:jc w:val="center"/>
    </w:pPr>
  </w:style>
  <w:style w:type="paragraph" w:customStyle="1" w:styleId="Considrant">
    <w:name w:val="Considérant"/>
    <w:basedOn w:val="Normal"/>
    <w:rsid w:val="0084326C"/>
    <w:pPr>
      <w:tabs>
        <w:tab w:val="num" w:pos="709"/>
      </w:tabs>
      <w:spacing w:before="120" w:after="120"/>
      <w:ind w:left="709" w:hanging="709"/>
      <w:jc w:val="both"/>
    </w:pPr>
  </w:style>
  <w:style w:type="paragraph" w:customStyle="1" w:styleId="Corrigendum">
    <w:name w:val="Corrigendum"/>
    <w:basedOn w:val="Normal"/>
    <w:next w:val="Normal"/>
    <w:rsid w:val="0084326C"/>
    <w:pPr>
      <w:spacing w:after="240"/>
    </w:pPr>
  </w:style>
  <w:style w:type="paragraph" w:customStyle="1" w:styleId="Datedadoption">
    <w:name w:val="Date d'adoption"/>
    <w:basedOn w:val="Normal"/>
    <w:next w:val="Titreobjet"/>
    <w:rsid w:val="0084326C"/>
    <w:pPr>
      <w:spacing w:before="360"/>
      <w:jc w:val="center"/>
    </w:pPr>
    <w:rPr>
      <w:b/>
    </w:rPr>
  </w:style>
  <w:style w:type="paragraph" w:customStyle="1" w:styleId="Exposdesmotifstitre">
    <w:name w:val="Exposé des motifs titre"/>
    <w:basedOn w:val="Normal"/>
    <w:next w:val="Normal"/>
    <w:rsid w:val="0084326C"/>
    <w:pPr>
      <w:spacing w:before="120" w:after="120"/>
      <w:jc w:val="center"/>
    </w:pPr>
    <w:rPr>
      <w:b/>
      <w:u w:val="single"/>
    </w:rPr>
  </w:style>
  <w:style w:type="paragraph" w:customStyle="1" w:styleId="Formuledadoption">
    <w:name w:val="Formule d'adoption"/>
    <w:basedOn w:val="Normal"/>
    <w:next w:val="Titrearticle"/>
    <w:rsid w:val="0084326C"/>
    <w:pPr>
      <w:keepNext/>
      <w:spacing w:before="120" w:after="120"/>
      <w:jc w:val="both"/>
    </w:pPr>
  </w:style>
  <w:style w:type="paragraph" w:customStyle="1" w:styleId="Titrearticle">
    <w:name w:val="Titre article"/>
    <w:basedOn w:val="Normal"/>
    <w:next w:val="Normal"/>
    <w:rsid w:val="0084326C"/>
    <w:pPr>
      <w:keepNext/>
      <w:spacing w:before="360" w:after="120"/>
      <w:jc w:val="center"/>
    </w:pPr>
    <w:rPr>
      <w:i/>
    </w:rPr>
  </w:style>
  <w:style w:type="paragraph" w:customStyle="1" w:styleId="Institutionquiagit">
    <w:name w:val="Institution qui agit"/>
    <w:basedOn w:val="Normal"/>
    <w:next w:val="Normal"/>
    <w:rsid w:val="0084326C"/>
    <w:pPr>
      <w:keepNext/>
      <w:spacing w:before="600" w:after="120"/>
      <w:jc w:val="both"/>
    </w:pPr>
  </w:style>
  <w:style w:type="paragraph" w:customStyle="1" w:styleId="ManualConsidrant">
    <w:name w:val="Manual Considérant"/>
    <w:basedOn w:val="Normal"/>
    <w:rsid w:val="0084326C"/>
    <w:pPr>
      <w:spacing w:before="120" w:after="120"/>
      <w:ind w:left="709" w:hanging="709"/>
      <w:jc w:val="both"/>
    </w:pPr>
  </w:style>
  <w:style w:type="character" w:customStyle="1" w:styleId="Added">
    <w:name w:val="Added"/>
    <w:basedOn w:val="DefaultParagraphFont"/>
    <w:rsid w:val="0084326C"/>
    <w:rPr>
      <w:b/>
      <w:u w:val="single"/>
      <w:shd w:val="clear" w:color="auto" w:fill="auto"/>
    </w:rPr>
  </w:style>
  <w:style w:type="character" w:customStyle="1" w:styleId="Deleted">
    <w:name w:val="Deleted"/>
    <w:basedOn w:val="DefaultParagraphFont"/>
    <w:rsid w:val="0084326C"/>
    <w:rPr>
      <w:strike/>
      <w:dstrike w:val="0"/>
      <w:shd w:val="clear" w:color="auto" w:fill="auto"/>
    </w:rPr>
  </w:style>
  <w:style w:type="paragraph" w:customStyle="1" w:styleId="Address">
    <w:name w:val="Address"/>
    <w:basedOn w:val="Normal"/>
    <w:next w:val="Normal"/>
    <w:rsid w:val="0084326C"/>
    <w:pPr>
      <w:keepLines/>
      <w:spacing w:before="120" w:after="120" w:line="360" w:lineRule="auto"/>
      <w:ind w:left="3402"/>
    </w:pPr>
  </w:style>
  <w:style w:type="paragraph" w:customStyle="1" w:styleId="Objetexterne">
    <w:name w:val="Objet externe"/>
    <w:basedOn w:val="Normal"/>
    <w:next w:val="Normal"/>
    <w:rsid w:val="0084326C"/>
    <w:pPr>
      <w:spacing w:before="120" w:after="120"/>
      <w:jc w:val="both"/>
    </w:pPr>
    <w:rPr>
      <w:i/>
      <w:caps/>
    </w:rPr>
  </w:style>
  <w:style w:type="paragraph" w:customStyle="1" w:styleId="Supertitre">
    <w:name w:val="Supertitre"/>
    <w:basedOn w:val="Normal"/>
    <w:next w:val="Normal"/>
    <w:rsid w:val="0084326C"/>
    <w:pPr>
      <w:spacing w:after="600"/>
      <w:jc w:val="center"/>
    </w:pPr>
    <w:rPr>
      <w:b/>
    </w:rPr>
  </w:style>
  <w:style w:type="paragraph" w:customStyle="1" w:styleId="Fichefinanciretitre">
    <w:name w:val="Fiche financière titre"/>
    <w:basedOn w:val="Normal"/>
    <w:next w:val="Normal"/>
    <w:rsid w:val="0084326C"/>
    <w:pPr>
      <w:spacing w:before="120" w:after="120"/>
      <w:jc w:val="center"/>
    </w:pPr>
    <w:rPr>
      <w:b/>
      <w:u w:val="single"/>
    </w:rPr>
  </w:style>
  <w:style w:type="paragraph" w:customStyle="1" w:styleId="DatedadoptionPagedecouverture">
    <w:name w:val="Date d'adoption (Page de couverture)"/>
    <w:basedOn w:val="Datedadoption"/>
    <w:next w:val="TitreobjetPagedecouverture"/>
    <w:rsid w:val="0084326C"/>
  </w:style>
  <w:style w:type="paragraph" w:customStyle="1" w:styleId="RfrenceinterinstitutionnellePagedecouverture">
    <w:name w:val="Référence interinstitutionnelle (Page de couverture)"/>
    <w:basedOn w:val="Rfrenceinterinstitutionnelle"/>
    <w:next w:val="Confidentialit"/>
    <w:rsid w:val="0084326C"/>
  </w:style>
  <w:style w:type="paragraph" w:customStyle="1" w:styleId="StatutPagedecouverture">
    <w:name w:val="Statut (Page de couverture)"/>
    <w:basedOn w:val="Statut"/>
    <w:next w:val="TypedudocumentPagedecouverture"/>
    <w:rsid w:val="0084326C"/>
  </w:style>
  <w:style w:type="paragraph" w:customStyle="1" w:styleId="Volume">
    <w:name w:val="Volume"/>
    <w:basedOn w:val="Normal"/>
    <w:next w:val="Confidentialit"/>
    <w:rsid w:val="0084326C"/>
    <w:pPr>
      <w:spacing w:after="240"/>
      <w:ind w:left="5103"/>
    </w:pPr>
  </w:style>
  <w:style w:type="paragraph" w:customStyle="1" w:styleId="Accompagnant">
    <w:name w:val="Accompagnant"/>
    <w:basedOn w:val="Normal"/>
    <w:next w:val="Typeacteprincipal"/>
    <w:rsid w:val="0084326C"/>
    <w:pPr>
      <w:spacing w:after="240"/>
      <w:jc w:val="center"/>
    </w:pPr>
    <w:rPr>
      <w:b/>
      <w:i/>
    </w:rPr>
  </w:style>
  <w:style w:type="paragraph" w:customStyle="1" w:styleId="Typeacteprincipal">
    <w:name w:val="Type acte principal"/>
    <w:basedOn w:val="Normal"/>
    <w:next w:val="Objetacteprincipal"/>
    <w:rsid w:val="0084326C"/>
    <w:pPr>
      <w:spacing w:after="240"/>
      <w:jc w:val="center"/>
    </w:pPr>
    <w:rPr>
      <w:b/>
    </w:rPr>
  </w:style>
  <w:style w:type="paragraph" w:customStyle="1" w:styleId="Objetacteprincipal">
    <w:name w:val="Objet acte principal"/>
    <w:basedOn w:val="Normal"/>
    <w:next w:val="Titrearticle"/>
    <w:rsid w:val="0084326C"/>
    <w:pPr>
      <w:spacing w:after="360"/>
      <w:jc w:val="center"/>
    </w:pPr>
    <w:rPr>
      <w:b/>
    </w:rPr>
  </w:style>
  <w:style w:type="paragraph" w:customStyle="1" w:styleId="AccompagnantPagedecouverture">
    <w:name w:val="Accompagnant (Page de couverture)"/>
    <w:basedOn w:val="Accompagnant"/>
    <w:next w:val="TypeacteprincipalPagedecouverture"/>
    <w:rsid w:val="0084326C"/>
  </w:style>
  <w:style w:type="paragraph" w:customStyle="1" w:styleId="TypeacteprincipalPagedecouverture">
    <w:name w:val="Type acte principal (Page de couverture)"/>
    <w:basedOn w:val="Typeacteprincipal"/>
    <w:next w:val="ObjetacteprincipalPagedecouverture"/>
    <w:rsid w:val="0084326C"/>
  </w:style>
  <w:style w:type="paragraph" w:customStyle="1" w:styleId="ObjetacteprincipalPagedecouverture">
    <w:name w:val="Objet acte principal (Page de couverture)"/>
    <w:basedOn w:val="Objetacteprincipal"/>
    <w:next w:val="Rfrencecroise"/>
    <w:rsid w:val="0084326C"/>
  </w:style>
  <w:style w:type="paragraph" w:customStyle="1" w:styleId="LanguesfaisantfoiPagedecouverture">
    <w:name w:val="Langues faisant foi (Page de couverture)"/>
    <w:basedOn w:val="Normal"/>
    <w:next w:val="Normal"/>
    <w:rsid w:val="0084326C"/>
    <w:pPr>
      <w:spacing w:before="360"/>
      <w:jc w:val="center"/>
    </w:pPr>
  </w:style>
  <w:style w:type="paragraph" w:styleId="ListBullet">
    <w:name w:val="List Bullet"/>
    <w:basedOn w:val="Normal"/>
    <w:uiPriority w:val="99"/>
    <w:semiHidden/>
    <w:unhideWhenUsed/>
    <w:rsid w:val="0084326C"/>
    <w:pPr>
      <w:numPr>
        <w:numId w:val="14"/>
      </w:numPr>
      <w:tabs>
        <w:tab w:val="num" w:pos="850"/>
      </w:tabs>
      <w:spacing w:before="120" w:after="120"/>
      <w:ind w:left="720"/>
      <w:contextualSpacing/>
      <w:jc w:val="both"/>
    </w:pPr>
  </w:style>
  <w:style w:type="paragraph" w:styleId="ListBullet2">
    <w:name w:val="List Bullet 2"/>
    <w:basedOn w:val="Normal"/>
    <w:uiPriority w:val="99"/>
    <w:semiHidden/>
    <w:unhideWhenUsed/>
    <w:rsid w:val="0084326C"/>
    <w:pPr>
      <w:tabs>
        <w:tab w:val="num" w:pos="643"/>
      </w:tabs>
      <w:spacing w:before="120" w:after="120"/>
      <w:ind w:left="643" w:hanging="360"/>
      <w:contextualSpacing/>
      <w:jc w:val="both"/>
    </w:pPr>
  </w:style>
  <w:style w:type="paragraph" w:styleId="ListBullet3">
    <w:name w:val="List Bullet 3"/>
    <w:basedOn w:val="Normal"/>
    <w:uiPriority w:val="99"/>
    <w:semiHidden/>
    <w:unhideWhenUsed/>
    <w:rsid w:val="0084326C"/>
    <w:pPr>
      <w:tabs>
        <w:tab w:val="num" w:pos="926"/>
      </w:tabs>
      <w:spacing w:before="120" w:after="120"/>
      <w:ind w:left="926" w:hanging="360"/>
      <w:contextualSpacing/>
      <w:jc w:val="both"/>
    </w:pPr>
  </w:style>
  <w:style w:type="paragraph" w:styleId="ListBullet4">
    <w:name w:val="List Bullet 4"/>
    <w:basedOn w:val="Normal"/>
    <w:uiPriority w:val="99"/>
    <w:semiHidden/>
    <w:unhideWhenUsed/>
    <w:rsid w:val="0084326C"/>
    <w:pPr>
      <w:tabs>
        <w:tab w:val="num" w:pos="3118"/>
      </w:tabs>
      <w:spacing w:before="120" w:after="120"/>
      <w:ind w:left="3118" w:hanging="567"/>
      <w:contextualSpacing/>
      <w:jc w:val="both"/>
    </w:pPr>
  </w:style>
  <w:style w:type="character" w:styleId="CommentReference">
    <w:name w:val="annotation reference"/>
    <w:basedOn w:val="DefaultParagraphFont"/>
    <w:uiPriority w:val="99"/>
    <w:unhideWhenUsed/>
    <w:rsid w:val="0084326C"/>
    <w:rPr>
      <w:sz w:val="16"/>
      <w:szCs w:val="16"/>
    </w:rPr>
  </w:style>
  <w:style w:type="paragraph" w:styleId="CommentText">
    <w:name w:val="annotation text"/>
    <w:basedOn w:val="Normal"/>
    <w:link w:val="CommentTextChar"/>
    <w:uiPriority w:val="99"/>
    <w:unhideWhenUsed/>
    <w:rsid w:val="0084326C"/>
    <w:pPr>
      <w:spacing w:before="120" w:after="120"/>
      <w:jc w:val="both"/>
    </w:pPr>
    <w:rPr>
      <w:sz w:val="20"/>
      <w:szCs w:val="20"/>
    </w:rPr>
  </w:style>
  <w:style w:type="character" w:customStyle="1" w:styleId="CommentTextChar">
    <w:name w:val="Comment Text Char"/>
    <w:basedOn w:val="DefaultParagraphFont"/>
    <w:link w:val="CommentText"/>
    <w:uiPriority w:val="99"/>
    <w:rsid w:val="0084326C"/>
    <w:rPr>
      <w:rFonts w:ascii="Times New Roman" w:eastAsia="Times New Roman" w:hAnsi="Times New Roman" w:cs="Times New Roman"/>
      <w:sz w:val="20"/>
      <w:szCs w:val="20"/>
      <w:lang w:val="et-EE" w:eastAsia="en-GB"/>
    </w:rPr>
  </w:style>
  <w:style w:type="paragraph" w:styleId="CommentSubject">
    <w:name w:val="annotation subject"/>
    <w:basedOn w:val="CommentText"/>
    <w:next w:val="CommentText"/>
    <w:link w:val="CommentSubjectChar"/>
    <w:uiPriority w:val="99"/>
    <w:semiHidden/>
    <w:unhideWhenUsed/>
    <w:rsid w:val="0084326C"/>
    <w:rPr>
      <w:b/>
      <w:bCs/>
    </w:rPr>
  </w:style>
  <w:style w:type="character" w:customStyle="1" w:styleId="CommentSubjectChar">
    <w:name w:val="Comment Subject Char"/>
    <w:basedOn w:val="CommentTextChar"/>
    <w:link w:val="CommentSubject"/>
    <w:uiPriority w:val="99"/>
    <w:semiHidden/>
    <w:rsid w:val="0084326C"/>
    <w:rPr>
      <w:rFonts w:ascii="Times New Roman" w:eastAsia="Times New Roman" w:hAnsi="Times New Roman" w:cs="Times New Roman"/>
      <w:b/>
      <w:bCs/>
      <w:sz w:val="20"/>
      <w:szCs w:val="20"/>
      <w:lang w:val="et-EE" w:eastAsia="en-GB"/>
    </w:rPr>
  </w:style>
  <w:style w:type="paragraph" w:styleId="BalloonText">
    <w:name w:val="Balloon Text"/>
    <w:basedOn w:val="Normal"/>
    <w:link w:val="BalloonTextChar"/>
    <w:uiPriority w:val="99"/>
    <w:semiHidden/>
    <w:unhideWhenUsed/>
    <w:rsid w:val="0084326C"/>
    <w:pPr>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26C"/>
    <w:rPr>
      <w:rFonts w:ascii="Segoe UI" w:eastAsia="Times New Roman" w:hAnsi="Segoe UI" w:cs="Segoe UI"/>
      <w:sz w:val="18"/>
      <w:szCs w:val="18"/>
      <w:lang w:val="et-EE" w:eastAsia="en-GB"/>
    </w:rPr>
  </w:style>
  <w:style w:type="paragraph" w:styleId="Revision">
    <w:name w:val="Revision"/>
    <w:hidden/>
    <w:uiPriority w:val="99"/>
    <w:semiHidden/>
    <w:rsid w:val="0084326C"/>
    <w:pPr>
      <w:spacing w:after="0" w:line="240" w:lineRule="auto"/>
    </w:pPr>
    <w:rPr>
      <w:rFonts w:ascii="Times New Roman" w:hAnsi="Times New Roman" w:cs="Times New Roman"/>
      <w:sz w:val="24"/>
    </w:rPr>
  </w:style>
  <w:style w:type="paragraph" w:styleId="ListParagraph">
    <w:name w:val="List Paragraph"/>
    <w:aliases w:val="numbered list,2,OBC Bullet,Normal 1,Task Body,Viñetas (Inicio Parrafo),3 Txt tabla,Zerrenda-paragrafoa,Fiche List Paragraph,Dot pt,F5 List Paragraph,List Paragraph1,No Spacing1,List Paragraph Char Char Char,Indicator Text,Paragrafo elenco"/>
    <w:basedOn w:val="Normal"/>
    <w:link w:val="ListParagraphChar"/>
    <w:uiPriority w:val="34"/>
    <w:qFormat/>
    <w:rsid w:val="0084326C"/>
    <w:pPr>
      <w:spacing w:before="120" w:after="120"/>
      <w:ind w:left="720"/>
      <w:contextualSpacing/>
      <w:jc w:val="both"/>
    </w:pPr>
  </w:style>
  <w:style w:type="character" w:customStyle="1" w:styleId="ListParagraphChar">
    <w:name w:val="List Paragraph Char"/>
    <w:aliases w:val="numbered list Char,2 Char,OBC Bullet Char,Normal 1 Char,Task Body Char,Viñetas (Inicio Parrafo) Char,3 Txt tabla Char,Zerrenda-paragrafoa Char,Fiche List Paragraph Char,Dot pt Char,F5 List Paragraph Char,List Paragraph1 Char"/>
    <w:basedOn w:val="DefaultParagraphFont"/>
    <w:link w:val="ListParagraph"/>
    <w:uiPriority w:val="34"/>
    <w:qFormat/>
    <w:locked/>
    <w:rsid w:val="0084326C"/>
    <w:rPr>
      <w:rFonts w:ascii="Times New Roman" w:eastAsia="Times New Roman" w:hAnsi="Times New Roman" w:cs="Times New Roman"/>
      <w:sz w:val="24"/>
      <w:szCs w:val="24"/>
      <w:lang w:val="et-EE" w:eastAsia="en-GB"/>
    </w:rPr>
  </w:style>
  <w:style w:type="character" w:customStyle="1" w:styleId="normaltextrun">
    <w:name w:val="normaltextrun"/>
    <w:basedOn w:val="DefaultParagraphFont"/>
    <w:rsid w:val="0084326C"/>
  </w:style>
  <w:style w:type="character" w:customStyle="1" w:styleId="eop">
    <w:name w:val="eop"/>
    <w:basedOn w:val="DefaultParagraphFont"/>
    <w:rsid w:val="0084326C"/>
  </w:style>
  <w:style w:type="character" w:styleId="Hyperlink">
    <w:name w:val="Hyperlink"/>
    <w:basedOn w:val="DefaultParagraphFont"/>
    <w:uiPriority w:val="99"/>
    <w:unhideWhenUsed/>
    <w:rsid w:val="0084326C"/>
    <w:rPr>
      <w:color w:val="0563C1" w:themeColor="hyperlink"/>
      <w:u w:val="single"/>
    </w:rPr>
  </w:style>
  <w:style w:type="character" w:customStyle="1" w:styleId="y2iqfc">
    <w:name w:val="y2iqfc"/>
    <w:basedOn w:val="DefaultParagraphFont"/>
    <w:rsid w:val="0084326C"/>
  </w:style>
  <w:style w:type="character" w:styleId="IntenseEmphasis">
    <w:name w:val="Intense Emphasis"/>
    <w:basedOn w:val="DefaultParagraphFont"/>
    <w:uiPriority w:val="21"/>
    <w:qFormat/>
    <w:rsid w:val="0084326C"/>
    <w:rPr>
      <w:i/>
      <w:iCs/>
      <w:color w:val="4472C4" w:themeColor="accent1"/>
    </w:rPr>
  </w:style>
  <w:style w:type="paragraph" w:customStyle="1" w:styleId="Times12">
    <w:name w:val="Times12"/>
    <w:basedOn w:val="Normal"/>
    <w:rsid w:val="0084326C"/>
    <w:pPr>
      <w:suppressAutoHyphens/>
      <w:spacing w:after="140"/>
      <w:jc w:val="both"/>
    </w:pPr>
    <w:rPr>
      <w:rFonts w:ascii="Times" w:eastAsia="SimSun" w:hAnsi="Times" w:cs="Times"/>
      <w:color w:val="00000A"/>
      <w:kern w:val="1"/>
      <w:lang w:eastAsia="zh-CN"/>
    </w:rPr>
  </w:style>
  <w:style w:type="paragraph" w:customStyle="1" w:styleId="paragraph">
    <w:name w:val="paragraph"/>
    <w:basedOn w:val="Normal"/>
    <w:rsid w:val="0084326C"/>
    <w:pPr>
      <w:spacing w:before="100" w:beforeAutospacing="1" w:after="100" w:afterAutospacing="1"/>
    </w:pPr>
  </w:style>
  <w:style w:type="paragraph" w:customStyle="1" w:styleId="FooterCoverPage">
    <w:name w:val="Footer Cover Page"/>
    <w:basedOn w:val="Normal"/>
    <w:link w:val="FooterCoverPageChar"/>
    <w:rsid w:val="0084326C"/>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sid w:val="0084326C"/>
    <w:rPr>
      <w:rFonts w:ascii="Times New Roman" w:eastAsia="Times New Roman" w:hAnsi="Times New Roman" w:cs="Times New Roman"/>
      <w:sz w:val="24"/>
      <w:szCs w:val="24"/>
      <w:lang w:eastAsia="en-GB"/>
    </w:rPr>
  </w:style>
  <w:style w:type="paragraph" w:customStyle="1" w:styleId="HeaderCoverPage">
    <w:name w:val="Header Cover Page"/>
    <w:basedOn w:val="Normal"/>
    <w:link w:val="HeaderCoverPageChar"/>
    <w:rsid w:val="0084326C"/>
    <w:pPr>
      <w:tabs>
        <w:tab w:val="center" w:pos="4535"/>
        <w:tab w:val="right" w:pos="9071"/>
      </w:tabs>
      <w:spacing w:after="120"/>
      <w:jc w:val="both"/>
    </w:pPr>
  </w:style>
  <w:style w:type="character" w:customStyle="1" w:styleId="HeaderCoverPageChar">
    <w:name w:val="Header Cover Page Char"/>
    <w:basedOn w:val="DefaultParagraphFont"/>
    <w:link w:val="HeaderCoverPage"/>
    <w:rsid w:val="0084326C"/>
    <w:rPr>
      <w:rFonts w:ascii="Times New Roman" w:eastAsia="Times New Roman" w:hAnsi="Times New Roman" w:cs="Times New Roman"/>
      <w:sz w:val="24"/>
      <w:szCs w:val="24"/>
      <w:lang w:eastAsia="en-GB"/>
    </w:rPr>
  </w:style>
  <w:style w:type="table" w:styleId="TableGrid">
    <w:name w:val="Table Grid"/>
    <w:basedOn w:val="TableNormal"/>
    <w:uiPriority w:val="59"/>
    <w:rsid w:val="008432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Puntielenco0">
    <w:name w:val="Punti elenco.0"/>
    <w:rsid w:val="0084326C"/>
    <w:pPr>
      <w:numPr>
        <w:numId w:val="13"/>
      </w:numPr>
    </w:pPr>
  </w:style>
  <w:style w:type="paragraph" w:styleId="IntenseQuote">
    <w:name w:val="Intense Quote"/>
    <w:basedOn w:val="Normal"/>
    <w:next w:val="Normal"/>
    <w:link w:val="IntenseQuoteChar"/>
    <w:uiPriority w:val="30"/>
    <w:qFormat/>
    <w:rsid w:val="0084326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4326C"/>
    <w:rPr>
      <w:rFonts w:ascii="Times New Roman" w:eastAsia="Times New Roman" w:hAnsi="Times New Roman" w:cs="Times New Roman"/>
      <w:i/>
      <w:iCs/>
      <w:color w:val="4472C4" w:themeColor="accent1"/>
      <w:sz w:val="24"/>
      <w:szCs w:val="24"/>
      <w:lang w:val="et-EE" w:eastAsia="en-GB"/>
    </w:rPr>
  </w:style>
  <w:style w:type="character" w:customStyle="1" w:styleId="FootnoteCharacters">
    <w:name w:val="Footnote Characters"/>
    <w:rsid w:val="0084326C"/>
    <w:rPr>
      <w:vertAlign w:val="superscript"/>
    </w:rPr>
  </w:style>
  <w:style w:type="paragraph" w:customStyle="1" w:styleId="Paragrafoelenco1">
    <w:name w:val="Paragrafo elenco1"/>
    <w:basedOn w:val="Normal"/>
    <w:rsid w:val="0084326C"/>
    <w:pPr>
      <w:spacing w:after="160" w:line="254" w:lineRule="auto"/>
      <w:ind w:left="720"/>
      <w:contextualSpacing/>
    </w:pPr>
    <w:rPr>
      <w:color w:val="00000A"/>
      <w:kern w:val="1"/>
      <w:sz w:val="20"/>
      <w:szCs w:val="20"/>
      <w:lang w:eastAsia="zh-CN"/>
    </w:rPr>
  </w:style>
  <w:style w:type="paragraph" w:styleId="NormalWeb">
    <w:name w:val="Normal (Web)"/>
    <w:basedOn w:val="Normal"/>
    <w:uiPriority w:val="99"/>
    <w:unhideWhenUsed/>
    <w:rsid w:val="0084326C"/>
    <w:pPr>
      <w:spacing w:before="100" w:beforeAutospacing="1" w:after="100" w:afterAutospacing="1"/>
    </w:pPr>
  </w:style>
  <w:style w:type="character" w:customStyle="1" w:styleId="normaltextrun1">
    <w:name w:val="normaltextrun1"/>
    <w:basedOn w:val="DefaultParagraphFont"/>
    <w:rsid w:val="0084326C"/>
  </w:style>
  <w:style w:type="numbering" w:customStyle="1" w:styleId="Stileimportato9">
    <w:name w:val="Stile importato 9"/>
    <w:rsid w:val="0084326C"/>
    <w:pPr>
      <w:numPr>
        <w:numId w:val="16"/>
      </w:numPr>
    </w:pPr>
  </w:style>
  <w:style w:type="character" w:customStyle="1" w:styleId="Hyperlink0">
    <w:name w:val="Hyperlink.0"/>
    <w:rsid w:val="0084326C"/>
  </w:style>
  <w:style w:type="paragraph" w:customStyle="1" w:styleId="Descriptiontext">
    <w:name w:val="Description text"/>
    <w:basedOn w:val="Normal"/>
    <w:link w:val="DescriptiontextChar"/>
    <w:qFormat/>
    <w:rsid w:val="0084326C"/>
    <w:pPr>
      <w:spacing w:before="120" w:after="120"/>
      <w:ind w:left="709"/>
      <w:jc w:val="both"/>
    </w:pPr>
  </w:style>
  <w:style w:type="paragraph" w:customStyle="1" w:styleId="Descriptiontitle">
    <w:name w:val="Description title"/>
    <w:basedOn w:val="Descriptiontext"/>
    <w:link w:val="DescriptiontitleChar"/>
    <w:rsid w:val="0084326C"/>
  </w:style>
  <w:style w:type="character" w:customStyle="1" w:styleId="DescriptiontextChar">
    <w:name w:val="Description text Char"/>
    <w:basedOn w:val="DefaultParagraphFont"/>
    <w:link w:val="Descriptiontext"/>
    <w:rsid w:val="0084326C"/>
    <w:rPr>
      <w:rFonts w:ascii="Times New Roman" w:eastAsia="Times New Roman" w:hAnsi="Times New Roman" w:cs="Times New Roman"/>
      <w:sz w:val="24"/>
      <w:szCs w:val="24"/>
      <w:lang w:val="et-EE" w:eastAsia="en-GB"/>
    </w:rPr>
  </w:style>
  <w:style w:type="character" w:customStyle="1" w:styleId="DescriptiontitleChar">
    <w:name w:val="Description title Char"/>
    <w:basedOn w:val="DescriptiontextChar"/>
    <w:link w:val="Descriptiontitle"/>
    <w:rsid w:val="0084326C"/>
    <w:rPr>
      <w:rFonts w:ascii="Times New Roman" w:eastAsia="Times New Roman" w:hAnsi="Times New Roman" w:cs="Times New Roman"/>
      <w:sz w:val="24"/>
      <w:szCs w:val="24"/>
      <w:lang w:val="et-EE" w:eastAsia="en-GB"/>
    </w:rPr>
  </w:style>
  <w:style w:type="paragraph" w:customStyle="1" w:styleId="Axistitle">
    <w:name w:val="Axis title"/>
    <w:basedOn w:val="Normal"/>
    <w:link w:val="AxistitleChar"/>
    <w:qFormat/>
    <w:rsid w:val="0084326C"/>
    <w:pPr>
      <w:spacing w:before="320" w:after="240"/>
      <w:ind w:left="709"/>
      <w:jc w:val="both"/>
    </w:pPr>
    <w:rPr>
      <w:i/>
    </w:rPr>
  </w:style>
  <w:style w:type="character" w:customStyle="1" w:styleId="AxistitleChar">
    <w:name w:val="Axis title Char"/>
    <w:basedOn w:val="DefaultParagraphFont"/>
    <w:link w:val="Axistitle"/>
    <w:rsid w:val="0084326C"/>
    <w:rPr>
      <w:rFonts w:ascii="Times New Roman" w:eastAsia="Times New Roman" w:hAnsi="Times New Roman" w:cs="Times New Roman"/>
      <w:i/>
      <w:sz w:val="24"/>
      <w:szCs w:val="24"/>
      <w:lang w:val="et-EE" w:eastAsia="en-GB"/>
    </w:rPr>
  </w:style>
  <w:style w:type="character" w:customStyle="1" w:styleId="Mention1">
    <w:name w:val="Mention1"/>
    <w:basedOn w:val="DefaultParagraphFont"/>
    <w:uiPriority w:val="99"/>
    <w:unhideWhenUsed/>
    <w:rsid w:val="0084326C"/>
    <w:rPr>
      <w:color w:val="2B579A"/>
      <w:shd w:val="clear" w:color="auto" w:fill="E6E6E6"/>
    </w:rPr>
  </w:style>
  <w:style w:type="character" w:customStyle="1" w:styleId="superscript">
    <w:name w:val="superscript"/>
    <w:basedOn w:val="DefaultParagraphFont"/>
    <w:rsid w:val="0084326C"/>
  </w:style>
  <w:style w:type="paragraph" w:styleId="ListNumber4">
    <w:name w:val="List Number 4"/>
    <w:basedOn w:val="Normal"/>
    <w:uiPriority w:val="99"/>
    <w:semiHidden/>
    <w:unhideWhenUsed/>
    <w:rsid w:val="0084326C"/>
    <w:pPr>
      <w:numPr>
        <w:numId w:val="17"/>
      </w:numPr>
      <w:tabs>
        <w:tab w:val="num" w:pos="360"/>
      </w:tabs>
      <w:spacing w:before="120" w:after="120"/>
      <w:ind w:left="720"/>
      <w:contextualSpacing/>
      <w:jc w:val="both"/>
    </w:pPr>
    <w:rPr>
      <w:rFonts w:eastAsiaTheme="minorHAnsi"/>
      <w:szCs w:val="22"/>
      <w:lang w:eastAsia="en-US"/>
    </w:rPr>
  </w:style>
  <w:style w:type="numbering" w:customStyle="1" w:styleId="NoList2">
    <w:name w:val="No List2"/>
    <w:next w:val="NoList"/>
    <w:uiPriority w:val="99"/>
    <w:semiHidden/>
    <w:unhideWhenUsed/>
    <w:rsid w:val="0084326C"/>
  </w:style>
  <w:style w:type="paragraph" w:styleId="Caption">
    <w:name w:val="caption"/>
    <w:basedOn w:val="Normal"/>
    <w:next w:val="Normal"/>
    <w:uiPriority w:val="35"/>
    <w:semiHidden/>
    <w:unhideWhenUsed/>
    <w:qFormat/>
    <w:rsid w:val="0084326C"/>
    <w:pPr>
      <w:spacing w:after="200"/>
      <w:jc w:val="both"/>
    </w:pPr>
    <w:rPr>
      <w:rFonts w:eastAsiaTheme="minorHAnsi"/>
      <w:i/>
      <w:iCs/>
      <w:color w:val="44546A" w:themeColor="text2"/>
      <w:sz w:val="18"/>
      <w:szCs w:val="18"/>
      <w:lang w:eastAsia="en-US"/>
    </w:rPr>
  </w:style>
  <w:style w:type="paragraph" w:styleId="TableofFigures">
    <w:name w:val="table of figures"/>
    <w:basedOn w:val="Normal"/>
    <w:next w:val="Normal"/>
    <w:uiPriority w:val="99"/>
    <w:semiHidden/>
    <w:unhideWhenUsed/>
    <w:rsid w:val="0084326C"/>
    <w:pPr>
      <w:spacing w:before="120"/>
      <w:jc w:val="both"/>
    </w:pPr>
    <w:rPr>
      <w:rFonts w:eastAsiaTheme="minorHAnsi"/>
      <w:szCs w:val="22"/>
      <w:lang w:eastAsia="en-US"/>
    </w:rPr>
  </w:style>
  <w:style w:type="paragraph" w:styleId="ListNumber">
    <w:name w:val="List Number"/>
    <w:basedOn w:val="Normal"/>
    <w:uiPriority w:val="99"/>
    <w:semiHidden/>
    <w:unhideWhenUsed/>
    <w:rsid w:val="0084326C"/>
    <w:pPr>
      <w:numPr>
        <w:numId w:val="18"/>
      </w:numPr>
      <w:spacing w:before="120" w:after="120"/>
      <w:ind w:left="0" w:firstLine="0"/>
      <w:contextualSpacing/>
      <w:jc w:val="both"/>
    </w:pPr>
    <w:rPr>
      <w:rFonts w:eastAsiaTheme="minorHAnsi"/>
      <w:szCs w:val="22"/>
      <w:lang w:eastAsia="en-US"/>
    </w:rPr>
  </w:style>
  <w:style w:type="paragraph" w:styleId="ListNumber2">
    <w:name w:val="List Number 2"/>
    <w:basedOn w:val="Normal"/>
    <w:uiPriority w:val="99"/>
    <w:semiHidden/>
    <w:unhideWhenUsed/>
    <w:rsid w:val="0084326C"/>
    <w:pPr>
      <w:numPr>
        <w:numId w:val="19"/>
      </w:numPr>
      <w:tabs>
        <w:tab w:val="num" w:pos="360"/>
      </w:tabs>
      <w:spacing w:before="120" w:after="120"/>
      <w:ind w:left="0" w:firstLine="0"/>
      <w:contextualSpacing/>
      <w:jc w:val="both"/>
    </w:pPr>
    <w:rPr>
      <w:rFonts w:eastAsiaTheme="minorHAnsi"/>
      <w:szCs w:val="22"/>
      <w:lang w:eastAsia="en-US"/>
    </w:rPr>
  </w:style>
  <w:style w:type="paragraph" w:styleId="ListNumber3">
    <w:name w:val="List Number 3"/>
    <w:basedOn w:val="Normal"/>
    <w:uiPriority w:val="99"/>
    <w:semiHidden/>
    <w:unhideWhenUsed/>
    <w:rsid w:val="0084326C"/>
    <w:pPr>
      <w:numPr>
        <w:numId w:val="20"/>
      </w:numPr>
      <w:spacing w:before="120" w:after="120"/>
      <w:ind w:left="0" w:firstLine="0"/>
      <w:contextualSpacing/>
      <w:jc w:val="both"/>
    </w:pPr>
    <w:rPr>
      <w:rFonts w:eastAsiaTheme="minorHAnsi"/>
      <w:szCs w:val="22"/>
      <w:lang w:eastAsia="en-US"/>
    </w:rPr>
  </w:style>
  <w:style w:type="character" w:customStyle="1" w:styleId="Mention2">
    <w:name w:val="Mention2"/>
    <w:basedOn w:val="DefaultParagraphFont"/>
    <w:uiPriority w:val="99"/>
    <w:unhideWhenUsed/>
    <w:rsid w:val="0084326C"/>
    <w:rPr>
      <w:color w:val="2B579A"/>
      <w:shd w:val="clear" w:color="auto" w:fill="E6E6E6"/>
    </w:rPr>
  </w:style>
  <w:style w:type="paragraph" w:customStyle="1" w:styleId="TechnicalBlock">
    <w:name w:val="Technical Block"/>
    <w:basedOn w:val="Normal"/>
    <w:link w:val="TechnicalBlockChar"/>
    <w:rsid w:val="0084326C"/>
    <w:pPr>
      <w:spacing w:after="240"/>
      <w:jc w:val="center"/>
      <w:textAlignment w:val="baseline"/>
    </w:pPr>
    <w:rPr>
      <w:noProof/>
    </w:rPr>
  </w:style>
  <w:style w:type="character" w:customStyle="1" w:styleId="TechnicalBlockChar">
    <w:name w:val="Technical Block Char"/>
    <w:basedOn w:val="DefaultParagraphFont"/>
    <w:link w:val="TechnicalBlock"/>
    <w:rsid w:val="0084326C"/>
    <w:rPr>
      <w:rFonts w:ascii="Times New Roman" w:eastAsia="Times New Roman" w:hAnsi="Times New Roman" w:cs="Times New Roman"/>
      <w:noProof/>
      <w:sz w:val="24"/>
      <w:szCs w:val="24"/>
      <w:lang w:val="et-EE" w:eastAsia="en-GB"/>
    </w:rPr>
  </w:style>
  <w:style w:type="paragraph" w:customStyle="1" w:styleId="EntText">
    <w:name w:val="EntText"/>
    <w:basedOn w:val="Normal"/>
    <w:rsid w:val="0084326C"/>
    <w:pPr>
      <w:spacing w:before="120" w:after="120" w:line="360" w:lineRule="auto"/>
    </w:pPr>
    <w:rPr>
      <w:rFonts w:eastAsiaTheme="minorHAnsi"/>
      <w:szCs w:val="22"/>
      <w:lang w:eastAsia="en-US"/>
    </w:rPr>
  </w:style>
  <w:style w:type="paragraph" w:customStyle="1" w:styleId="Lignefinal">
    <w:name w:val="Ligne final"/>
    <w:basedOn w:val="Normal"/>
    <w:next w:val="Normal"/>
    <w:rsid w:val="0084326C"/>
    <w:pPr>
      <w:pBdr>
        <w:bottom w:val="single" w:sz="4" w:space="0" w:color="000000"/>
      </w:pBdr>
      <w:spacing w:before="360" w:after="120" w:line="360" w:lineRule="auto"/>
      <w:ind w:left="3400" w:right="3400"/>
      <w:jc w:val="center"/>
    </w:pPr>
    <w:rPr>
      <w:rFonts w:eastAsiaTheme="minorHAnsi"/>
      <w:b/>
      <w:szCs w:val="22"/>
      <w:lang w:eastAsia="en-US"/>
    </w:rPr>
  </w:style>
  <w:style w:type="paragraph" w:customStyle="1" w:styleId="pj">
    <w:name w:val="p.j."/>
    <w:basedOn w:val="Normal"/>
    <w:link w:val="pjChar"/>
    <w:rsid w:val="0084326C"/>
    <w:pPr>
      <w:spacing w:before="1200" w:after="120"/>
      <w:ind w:left="1440" w:hanging="1440"/>
    </w:pPr>
  </w:style>
  <w:style w:type="character" w:customStyle="1" w:styleId="pjChar">
    <w:name w:val="p.j. Char"/>
    <w:basedOn w:val="DefaultParagraphFont"/>
    <w:link w:val="pj"/>
    <w:rsid w:val="0084326C"/>
    <w:rPr>
      <w:rFonts w:ascii="Times New Roman" w:eastAsia="Times New Roman" w:hAnsi="Times New Roman" w:cs="Times New Roman"/>
      <w:sz w:val="24"/>
      <w:szCs w:val="24"/>
      <w:lang w:val="et-EE" w:eastAsia="en-GB"/>
    </w:rPr>
  </w:style>
  <w:style w:type="paragraph" w:customStyle="1" w:styleId="nbbordered">
    <w:name w:val="nb bordered"/>
    <w:basedOn w:val="Normal"/>
    <w:link w:val="nbborderedChar"/>
    <w:rsid w:val="0084326C"/>
    <w:pPr>
      <w:pBdr>
        <w:top w:val="single" w:sz="4" w:space="1" w:color="auto"/>
        <w:left w:val="single" w:sz="4" w:space="4" w:color="auto"/>
        <w:bottom w:val="single" w:sz="4" w:space="1" w:color="auto"/>
        <w:right w:val="single" w:sz="4" w:space="4" w:color="auto"/>
        <w:between w:val="single" w:sz="4" w:space="0" w:color="auto"/>
      </w:pBdr>
      <w:spacing w:after="160"/>
      <w:ind w:left="480" w:hanging="480"/>
    </w:pPr>
    <w:rPr>
      <w:b/>
    </w:rPr>
  </w:style>
  <w:style w:type="character" w:customStyle="1" w:styleId="nbborderedChar">
    <w:name w:val="nb bordered Char"/>
    <w:basedOn w:val="DefaultParagraphFont"/>
    <w:link w:val="nbbordered"/>
    <w:rsid w:val="0084326C"/>
    <w:rPr>
      <w:rFonts w:ascii="Times New Roman" w:eastAsia="Times New Roman" w:hAnsi="Times New Roman" w:cs="Times New Roman"/>
      <w:b/>
      <w:sz w:val="24"/>
      <w:szCs w:val="24"/>
      <w:lang w:val="et-EE" w:eastAsia="en-GB"/>
    </w:rPr>
  </w:style>
  <w:style w:type="paragraph" w:customStyle="1" w:styleId="HeaderCouncil">
    <w:name w:val="Header Council"/>
    <w:basedOn w:val="Normal"/>
    <w:link w:val="HeaderCouncilChar"/>
    <w:rsid w:val="0084326C"/>
    <w:rPr>
      <w:noProof/>
      <w:sz w:val="2"/>
    </w:rPr>
  </w:style>
  <w:style w:type="character" w:customStyle="1" w:styleId="HeaderCouncilChar">
    <w:name w:val="Header Council Char"/>
    <w:basedOn w:val="DefaultParagraphFont"/>
    <w:link w:val="HeaderCouncil"/>
    <w:rsid w:val="0084326C"/>
    <w:rPr>
      <w:rFonts w:ascii="Times New Roman" w:eastAsia="Times New Roman" w:hAnsi="Times New Roman" w:cs="Times New Roman"/>
      <w:noProof/>
      <w:sz w:val="2"/>
      <w:szCs w:val="24"/>
      <w:lang w:val="et-EE" w:eastAsia="en-GB"/>
    </w:rPr>
  </w:style>
  <w:style w:type="paragraph" w:customStyle="1" w:styleId="HeaderCouncilLarge">
    <w:name w:val="Header Council Large"/>
    <w:basedOn w:val="Normal"/>
    <w:link w:val="HeaderCouncilLargeChar"/>
    <w:rsid w:val="0084326C"/>
    <w:pPr>
      <w:spacing w:after="440"/>
    </w:pPr>
    <w:rPr>
      <w:noProof/>
      <w:sz w:val="2"/>
    </w:rPr>
  </w:style>
  <w:style w:type="character" w:customStyle="1" w:styleId="HeaderCouncilLargeChar">
    <w:name w:val="Header Council Large Char"/>
    <w:basedOn w:val="DefaultParagraphFont"/>
    <w:link w:val="HeaderCouncilLarge"/>
    <w:rsid w:val="0084326C"/>
    <w:rPr>
      <w:rFonts w:ascii="Times New Roman" w:eastAsia="Times New Roman" w:hAnsi="Times New Roman" w:cs="Times New Roman"/>
      <w:noProof/>
      <w:sz w:val="2"/>
      <w:szCs w:val="24"/>
      <w:lang w:val="et-EE" w:eastAsia="en-GB"/>
    </w:rPr>
  </w:style>
  <w:style w:type="paragraph" w:customStyle="1" w:styleId="FooterCouncil">
    <w:name w:val="Footer Council"/>
    <w:basedOn w:val="Normal"/>
    <w:link w:val="FooterCouncilChar"/>
    <w:rsid w:val="0084326C"/>
    <w:rPr>
      <w:noProof/>
      <w:sz w:val="2"/>
    </w:rPr>
  </w:style>
  <w:style w:type="character" w:customStyle="1" w:styleId="FooterCouncilChar">
    <w:name w:val="Footer Council Char"/>
    <w:basedOn w:val="DefaultParagraphFont"/>
    <w:link w:val="FooterCouncil"/>
    <w:rsid w:val="0084326C"/>
    <w:rPr>
      <w:rFonts w:ascii="Times New Roman" w:eastAsia="Times New Roman" w:hAnsi="Times New Roman" w:cs="Times New Roman"/>
      <w:noProof/>
      <w:sz w:val="2"/>
      <w:szCs w:val="24"/>
      <w:lang w:val="et-EE" w:eastAsia="en-GB"/>
    </w:rPr>
  </w:style>
  <w:style w:type="paragraph" w:customStyle="1" w:styleId="FooterText">
    <w:name w:val="Footer Text"/>
    <w:basedOn w:val="Normal"/>
    <w:rsid w:val="0084326C"/>
    <w:rPr>
      <w:lang w:eastAsia="en-US"/>
    </w:rPr>
  </w:style>
  <w:style w:type="character" w:styleId="PlaceholderText">
    <w:name w:val="Placeholder Text"/>
    <w:basedOn w:val="DefaultParagraphFont"/>
    <w:uiPriority w:val="99"/>
    <w:semiHidden/>
    <w:rsid w:val="0084326C"/>
    <w:rPr>
      <w:color w:val="808080"/>
    </w:rPr>
  </w:style>
  <w:style w:type="character" w:customStyle="1" w:styleId="findhit">
    <w:name w:val="findhit"/>
    <w:basedOn w:val="DefaultParagraphFont"/>
    <w:rsid w:val="0084326C"/>
  </w:style>
  <w:style w:type="character" w:customStyle="1" w:styleId="tabchar">
    <w:name w:val="tabchar"/>
    <w:basedOn w:val="DefaultParagraphFont"/>
    <w:rsid w:val="0084326C"/>
  </w:style>
  <w:style w:type="paragraph" w:customStyle="1" w:styleId="pf0">
    <w:name w:val="pf0"/>
    <w:basedOn w:val="Normal"/>
    <w:rsid w:val="0084326C"/>
    <w:pPr>
      <w:spacing w:before="100" w:beforeAutospacing="1" w:after="100" w:afterAutospacing="1"/>
    </w:pPr>
    <w:rPr>
      <w:lang w:eastAsia="en-IE"/>
    </w:rPr>
  </w:style>
  <w:style w:type="character" w:customStyle="1" w:styleId="cf01">
    <w:name w:val="cf01"/>
    <w:basedOn w:val="DefaultParagraphFont"/>
    <w:rsid w:val="0084326C"/>
    <w:rPr>
      <w:rFonts w:ascii="Segoe UI" w:hAnsi="Segoe UI" w:cs="Segoe UI" w:hint="default"/>
      <w:b/>
      <w:bCs/>
      <w:sz w:val="18"/>
      <w:szCs w:val="18"/>
    </w:rPr>
  </w:style>
  <w:style w:type="character" w:customStyle="1" w:styleId="cf11">
    <w:name w:val="cf11"/>
    <w:basedOn w:val="DefaultParagraphFont"/>
    <w:rsid w:val="0084326C"/>
    <w:rPr>
      <w:rFonts w:ascii="Segoe UI" w:hAnsi="Segoe UI" w:cs="Segoe UI" w:hint="default"/>
      <w:sz w:val="18"/>
      <w:szCs w:val="18"/>
    </w:rPr>
  </w:style>
  <w:style w:type="paragraph" w:customStyle="1" w:styleId="LegalNumPar">
    <w:name w:val="LegalNumPar"/>
    <w:basedOn w:val="Normal"/>
    <w:rsid w:val="0084326C"/>
    <w:pPr>
      <w:numPr>
        <w:numId w:val="25"/>
      </w:numPr>
      <w:spacing w:after="160" w:line="259" w:lineRule="auto"/>
    </w:pPr>
    <w:rPr>
      <w:rFonts w:asciiTheme="minorHAnsi" w:eastAsiaTheme="minorHAnsi" w:hAnsiTheme="minorHAnsi" w:cstheme="minorBidi"/>
      <w:sz w:val="22"/>
      <w:szCs w:val="22"/>
      <w:lang w:eastAsia="en-US"/>
    </w:rPr>
  </w:style>
  <w:style w:type="paragraph" w:customStyle="1" w:styleId="LegalNumPar2">
    <w:name w:val="LegalNumPar2"/>
    <w:basedOn w:val="Normal"/>
    <w:rsid w:val="0084326C"/>
    <w:pPr>
      <w:numPr>
        <w:ilvl w:val="1"/>
        <w:numId w:val="25"/>
      </w:numPr>
      <w:spacing w:after="160" w:line="259" w:lineRule="auto"/>
    </w:pPr>
    <w:rPr>
      <w:rFonts w:asciiTheme="minorHAnsi" w:eastAsiaTheme="minorHAnsi" w:hAnsiTheme="minorHAnsi" w:cstheme="minorBidi"/>
      <w:sz w:val="22"/>
      <w:szCs w:val="22"/>
      <w:lang w:eastAsia="en-US"/>
    </w:rPr>
  </w:style>
  <w:style w:type="paragraph" w:customStyle="1" w:styleId="LegalNumPar3">
    <w:name w:val="LegalNumPar3"/>
    <w:basedOn w:val="Normal"/>
    <w:rsid w:val="0084326C"/>
    <w:pPr>
      <w:numPr>
        <w:ilvl w:val="2"/>
        <w:numId w:val="25"/>
      </w:numPr>
      <w:spacing w:after="160" w:line="259" w:lineRule="auto"/>
    </w:pPr>
    <w:rPr>
      <w:rFonts w:asciiTheme="minorHAnsi" w:eastAsiaTheme="minorHAnsi" w:hAnsiTheme="minorHAnsi" w:cstheme="minorBidi"/>
      <w:sz w:val="22"/>
      <w:szCs w:val="22"/>
      <w:lang w:eastAsia="en-US"/>
    </w:rPr>
  </w:style>
  <w:style w:type="character" w:styleId="SubtleEmphasis">
    <w:name w:val="Subtle Emphasis"/>
    <w:basedOn w:val="DefaultParagraphFont"/>
    <w:uiPriority w:val="19"/>
    <w:qFormat/>
    <w:rsid w:val="0084326C"/>
    <w:rPr>
      <w:i/>
      <w:iCs/>
      <w:color w:val="404040" w:themeColor="text1" w:themeTint="BF"/>
    </w:rPr>
  </w:style>
  <w:style w:type="character" w:customStyle="1" w:styleId="Mention3">
    <w:name w:val="Mention3"/>
    <w:basedOn w:val="DefaultParagraphFont"/>
    <w:uiPriority w:val="99"/>
    <w:unhideWhenUsed/>
    <w:rsid w:val="0084326C"/>
    <w:rPr>
      <w:color w:val="2B579A"/>
      <w:shd w:val="clear" w:color="auto" w:fill="E6E6E6"/>
    </w:rPr>
  </w:style>
  <w:style w:type="character" w:customStyle="1" w:styleId="Mention4">
    <w:name w:val="Mention4"/>
    <w:basedOn w:val="DefaultParagraphFont"/>
    <w:uiPriority w:val="99"/>
    <w:unhideWhenUsed/>
    <w:rsid w:val="0084326C"/>
    <w:rPr>
      <w:color w:val="2B579A"/>
      <w:shd w:val="clear" w:color="auto" w:fill="E6E6E6"/>
    </w:rPr>
  </w:style>
  <w:style w:type="character" w:customStyle="1" w:styleId="ui-provider">
    <w:name w:val="ui-provider"/>
    <w:basedOn w:val="DefaultParagraphFont"/>
    <w:uiPriority w:val="1"/>
    <w:rsid w:val="0084326C"/>
  </w:style>
  <w:style w:type="character" w:customStyle="1" w:styleId="UnresolvedMention1">
    <w:name w:val="Unresolved Mention1"/>
    <w:basedOn w:val="DefaultParagraphFont"/>
    <w:uiPriority w:val="99"/>
    <w:semiHidden/>
    <w:unhideWhenUsed/>
    <w:rsid w:val="0084326C"/>
    <w:rPr>
      <w:color w:val="605E5C"/>
      <w:shd w:val="clear" w:color="auto" w:fill="E1DFDD"/>
    </w:rPr>
  </w:style>
  <w:style w:type="paragraph" w:customStyle="1" w:styleId="P68B1DB1-Normale1">
    <w:name w:val="P68B1DB1-Normale1"/>
    <w:basedOn w:val="Normal"/>
    <w:rsid w:val="0084326C"/>
    <w:pPr>
      <w:spacing w:after="160" w:line="259" w:lineRule="auto"/>
    </w:pPr>
    <w:rPr>
      <w:rFonts w:ascii="Calibri" w:eastAsia="Calibri" w:hAnsi="Calibri" w:cs="Calibri"/>
      <w:b/>
      <w:sz w:val="22"/>
      <w:szCs w:val="20"/>
      <w:lang w:eastAsia="en-IE"/>
    </w:rPr>
  </w:style>
  <w:style w:type="paragraph" w:customStyle="1" w:styleId="P68B1DB1-Normale6">
    <w:name w:val="P68B1DB1-Normale6"/>
    <w:basedOn w:val="Normal"/>
    <w:rsid w:val="0084326C"/>
    <w:pPr>
      <w:spacing w:after="160" w:line="259" w:lineRule="auto"/>
    </w:pPr>
    <w:rPr>
      <w:rFonts w:eastAsia="Calibri"/>
      <w:sz w:val="20"/>
      <w:szCs w:val="20"/>
      <w:lang w:eastAsia="en-IE"/>
    </w:rPr>
  </w:style>
  <w:style w:type="character" w:customStyle="1" w:styleId="s10">
    <w:name w:val="s10"/>
    <w:basedOn w:val="DefaultParagraphFont"/>
    <w:rsid w:val="0084326C"/>
  </w:style>
  <w:style w:type="character" w:customStyle="1" w:styleId="Mention5">
    <w:name w:val="Mention5"/>
    <w:basedOn w:val="DefaultParagraphFont"/>
    <w:uiPriority w:val="99"/>
    <w:unhideWhenUsed/>
    <w:rsid w:val="0084326C"/>
    <w:rPr>
      <w:color w:val="2B579A"/>
      <w:shd w:val="clear" w:color="auto" w:fill="E1DFDD"/>
    </w:rPr>
  </w:style>
  <w:style w:type="character" w:customStyle="1" w:styleId="UnresolvedMention2">
    <w:name w:val="Unresolved Mention2"/>
    <w:basedOn w:val="DefaultParagraphFont"/>
    <w:uiPriority w:val="99"/>
    <w:semiHidden/>
    <w:unhideWhenUsed/>
    <w:rsid w:val="0084326C"/>
    <w:rPr>
      <w:color w:val="605E5C"/>
      <w:shd w:val="clear" w:color="auto" w:fill="E1DFDD"/>
    </w:rPr>
  </w:style>
  <w:style w:type="character" w:customStyle="1" w:styleId="font71">
    <w:name w:val="font71"/>
    <w:basedOn w:val="DefaultParagraphFont"/>
    <w:rsid w:val="0084326C"/>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81">
    <w:name w:val="font81"/>
    <w:basedOn w:val="DefaultParagraphFont"/>
    <w:rsid w:val="0084326C"/>
    <w:rPr>
      <w:rFonts w:ascii="Times New Roman" w:hAnsi="Times New Roman" w:cs="Times New Roman" w:hint="default"/>
      <w:b w:val="0"/>
      <w:bCs w:val="0"/>
      <w:i w:val="0"/>
      <w:iCs w:val="0"/>
      <w:strike w:val="0"/>
      <w:dstrike w:val="0"/>
      <w:color w:val="006100"/>
      <w:sz w:val="20"/>
      <w:szCs w:val="20"/>
      <w:u w:val="none"/>
      <w:effect w:val="none"/>
    </w:rPr>
  </w:style>
  <w:style w:type="character" w:customStyle="1" w:styleId="font111">
    <w:name w:val="font111"/>
    <w:basedOn w:val="DefaultParagraphFont"/>
    <w:rsid w:val="0084326C"/>
    <w:rPr>
      <w:rFonts w:ascii="Times New Roman" w:hAnsi="Times New Roman" w:cs="Times New Roman" w:hint="default"/>
      <w:b w:val="0"/>
      <w:bCs w:val="0"/>
      <w:i w:val="0"/>
      <w:iCs w:val="0"/>
      <w:strike w:val="0"/>
      <w:dstrike w:val="0"/>
      <w:color w:val="006100"/>
      <w:sz w:val="20"/>
      <w:szCs w:val="20"/>
      <w:u w:val="none"/>
      <w:effect w:val="none"/>
    </w:rPr>
  </w:style>
  <w:style w:type="paragraph" w:customStyle="1" w:styleId="Default">
    <w:name w:val="Default"/>
    <w:rsid w:val="008432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ention6">
    <w:name w:val="Mention6"/>
    <w:basedOn w:val="DefaultParagraphFont"/>
    <w:uiPriority w:val="99"/>
    <w:unhideWhenUsed/>
    <w:rsid w:val="0084326C"/>
    <w:rPr>
      <w:color w:val="2B579A"/>
      <w:shd w:val="clear" w:color="auto" w:fill="E6E6E6"/>
    </w:rPr>
  </w:style>
  <w:style w:type="character" w:styleId="FollowedHyperlink">
    <w:name w:val="FollowedHyperlink"/>
    <w:basedOn w:val="DefaultParagraphFont"/>
    <w:uiPriority w:val="99"/>
    <w:semiHidden/>
    <w:unhideWhenUsed/>
    <w:rsid w:val="0084326C"/>
    <w:rPr>
      <w:color w:val="954F72" w:themeColor="followedHyperlink"/>
      <w:u w:val="single"/>
    </w:rPr>
  </w:style>
  <w:style w:type="character" w:customStyle="1" w:styleId="Mention">
    <w:name w:val="Mention"/>
    <w:basedOn w:val="DefaultParagraphFont"/>
    <w:uiPriority w:val="99"/>
    <w:unhideWhenUsed/>
    <w:rsid w:val="00056C6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171460">
      <w:bodyDiv w:val="1"/>
      <w:marLeft w:val="0"/>
      <w:marRight w:val="0"/>
      <w:marTop w:val="0"/>
      <w:marBottom w:val="0"/>
      <w:divBdr>
        <w:top w:val="none" w:sz="0" w:space="0" w:color="auto"/>
        <w:left w:val="none" w:sz="0" w:space="0" w:color="auto"/>
        <w:bottom w:val="none" w:sz="0" w:space="0" w:color="auto"/>
        <w:right w:val="none" w:sz="0" w:space="0" w:color="auto"/>
      </w:divBdr>
    </w:div>
    <w:div w:id="780302214">
      <w:bodyDiv w:val="1"/>
      <w:marLeft w:val="0"/>
      <w:marRight w:val="0"/>
      <w:marTop w:val="0"/>
      <w:marBottom w:val="0"/>
      <w:divBdr>
        <w:top w:val="none" w:sz="0" w:space="0" w:color="auto"/>
        <w:left w:val="none" w:sz="0" w:space="0" w:color="auto"/>
        <w:bottom w:val="none" w:sz="0" w:space="0" w:color="auto"/>
        <w:right w:val="none" w:sz="0" w:space="0" w:color="auto"/>
      </w:divBdr>
    </w:div>
    <w:div w:id="1008366802">
      <w:bodyDiv w:val="1"/>
      <w:marLeft w:val="0"/>
      <w:marRight w:val="0"/>
      <w:marTop w:val="0"/>
      <w:marBottom w:val="0"/>
      <w:divBdr>
        <w:top w:val="none" w:sz="0" w:space="0" w:color="auto"/>
        <w:left w:val="none" w:sz="0" w:space="0" w:color="auto"/>
        <w:bottom w:val="none" w:sz="0" w:space="0" w:color="auto"/>
        <w:right w:val="none" w:sz="0" w:space="0" w:color="auto"/>
      </w:divBdr>
    </w:div>
    <w:div w:id="162314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3.xml"/><Relationship Id="rId299" Type="http://schemas.openxmlformats.org/officeDocument/2006/relationships/footer" Target="footer143.xml"/><Relationship Id="rId21" Type="http://schemas.openxmlformats.org/officeDocument/2006/relationships/footer" Target="footer5.xml"/><Relationship Id="rId63" Type="http://schemas.openxmlformats.org/officeDocument/2006/relationships/header" Target="header26.xml"/><Relationship Id="rId159" Type="http://schemas.openxmlformats.org/officeDocument/2006/relationships/header" Target="header74.xml"/><Relationship Id="rId324" Type="http://schemas.openxmlformats.org/officeDocument/2006/relationships/header" Target="header156.xml"/><Relationship Id="rId366" Type="http://schemas.openxmlformats.org/officeDocument/2006/relationships/header" Target="header177.xml"/><Relationship Id="rId170" Type="http://schemas.openxmlformats.org/officeDocument/2006/relationships/header" Target="header79.xml"/><Relationship Id="rId226" Type="http://schemas.openxmlformats.org/officeDocument/2006/relationships/footer" Target="footer106.xml"/><Relationship Id="rId433" Type="http://schemas.openxmlformats.org/officeDocument/2006/relationships/header" Target="header210.xml"/><Relationship Id="rId268" Type="http://schemas.openxmlformats.org/officeDocument/2006/relationships/footer" Target="footer127.xml"/><Relationship Id="rId32" Type="http://schemas.openxmlformats.org/officeDocument/2006/relationships/footer" Target="footer10.xml"/><Relationship Id="rId74" Type="http://schemas.openxmlformats.org/officeDocument/2006/relationships/header" Target="header31.xml"/><Relationship Id="rId128" Type="http://schemas.openxmlformats.org/officeDocument/2006/relationships/header" Target="header58.xml"/><Relationship Id="rId335" Type="http://schemas.openxmlformats.org/officeDocument/2006/relationships/footer" Target="footer161.xml"/><Relationship Id="rId377" Type="http://schemas.openxmlformats.org/officeDocument/2006/relationships/footer" Target="footer182.xml"/><Relationship Id="rId5" Type="http://schemas.openxmlformats.org/officeDocument/2006/relationships/numbering" Target="numbering.xml"/><Relationship Id="rId181" Type="http://schemas.openxmlformats.org/officeDocument/2006/relationships/footer" Target="footer84.xml"/><Relationship Id="rId237" Type="http://schemas.openxmlformats.org/officeDocument/2006/relationships/header" Target="header113.xml"/><Relationship Id="rId402" Type="http://schemas.openxmlformats.org/officeDocument/2006/relationships/header" Target="header195.xml"/><Relationship Id="rId279" Type="http://schemas.openxmlformats.org/officeDocument/2006/relationships/header" Target="header134.xml"/><Relationship Id="rId43" Type="http://schemas.openxmlformats.org/officeDocument/2006/relationships/footer" Target="footer15.xml"/><Relationship Id="rId139" Type="http://schemas.openxmlformats.org/officeDocument/2006/relationships/footer" Target="footer63.xml"/><Relationship Id="rId290" Type="http://schemas.openxmlformats.org/officeDocument/2006/relationships/header" Target="header139.xml"/><Relationship Id="rId304" Type="http://schemas.openxmlformats.org/officeDocument/2006/relationships/footer" Target="footer145.xml"/><Relationship Id="rId346" Type="http://schemas.openxmlformats.org/officeDocument/2006/relationships/footer" Target="footer166.xml"/><Relationship Id="rId388" Type="http://schemas.openxmlformats.org/officeDocument/2006/relationships/footer" Target="footer187.xml"/><Relationship Id="rId85" Type="http://schemas.openxmlformats.org/officeDocument/2006/relationships/footer" Target="footer36.xml"/><Relationship Id="rId150" Type="http://schemas.openxmlformats.org/officeDocument/2006/relationships/header" Target="header69.xml"/><Relationship Id="rId192" Type="http://schemas.openxmlformats.org/officeDocument/2006/relationships/header" Target="header90.xml"/><Relationship Id="rId206" Type="http://schemas.openxmlformats.org/officeDocument/2006/relationships/header" Target="header97.xml"/><Relationship Id="rId413" Type="http://schemas.openxmlformats.org/officeDocument/2006/relationships/footer" Target="footer199.xml"/><Relationship Id="rId248" Type="http://schemas.openxmlformats.org/officeDocument/2006/relationships/header" Target="header118.xml"/><Relationship Id="rId12" Type="http://schemas.openxmlformats.org/officeDocument/2006/relationships/header" Target="header1.xml"/><Relationship Id="rId33" Type="http://schemas.openxmlformats.org/officeDocument/2006/relationships/footer" Target="footer11.xml"/><Relationship Id="rId108" Type="http://schemas.openxmlformats.org/officeDocument/2006/relationships/header" Target="header48.xml"/><Relationship Id="rId129" Type="http://schemas.openxmlformats.org/officeDocument/2006/relationships/header" Target="header59.xml"/><Relationship Id="rId280" Type="http://schemas.openxmlformats.org/officeDocument/2006/relationships/footer" Target="footer133.xml"/><Relationship Id="rId315" Type="http://schemas.openxmlformats.org/officeDocument/2006/relationships/header" Target="header152.xml"/><Relationship Id="rId336" Type="http://schemas.openxmlformats.org/officeDocument/2006/relationships/header" Target="header162.xml"/><Relationship Id="rId357" Type="http://schemas.openxmlformats.org/officeDocument/2006/relationships/header" Target="header173.xml"/><Relationship Id="rId54" Type="http://schemas.openxmlformats.org/officeDocument/2006/relationships/header" Target="header21.xml"/><Relationship Id="rId75" Type="http://schemas.openxmlformats.org/officeDocument/2006/relationships/header" Target="header32.xml"/><Relationship Id="rId96" Type="http://schemas.openxmlformats.org/officeDocument/2006/relationships/header" Target="header42.xml"/><Relationship Id="rId140" Type="http://schemas.openxmlformats.org/officeDocument/2006/relationships/header" Target="header64.xml"/><Relationship Id="rId161" Type="http://schemas.openxmlformats.org/officeDocument/2006/relationships/footer" Target="footer74.xml"/><Relationship Id="rId182" Type="http://schemas.openxmlformats.org/officeDocument/2006/relationships/header" Target="header85.xml"/><Relationship Id="rId217" Type="http://schemas.openxmlformats.org/officeDocument/2006/relationships/footer" Target="footer102.xml"/><Relationship Id="rId378" Type="http://schemas.openxmlformats.org/officeDocument/2006/relationships/header" Target="header183.xml"/><Relationship Id="rId399" Type="http://schemas.openxmlformats.org/officeDocument/2006/relationships/header" Target="header194.xml"/><Relationship Id="rId403" Type="http://schemas.openxmlformats.org/officeDocument/2006/relationships/footer" Target="footer195.xml"/><Relationship Id="rId6" Type="http://schemas.openxmlformats.org/officeDocument/2006/relationships/styles" Target="styles.xml"/><Relationship Id="rId238" Type="http://schemas.openxmlformats.org/officeDocument/2006/relationships/footer" Target="footer112.xml"/><Relationship Id="rId259" Type="http://schemas.openxmlformats.org/officeDocument/2006/relationships/footer" Target="footer123.xml"/><Relationship Id="rId424" Type="http://schemas.openxmlformats.org/officeDocument/2006/relationships/header" Target="header206.xml"/><Relationship Id="rId23" Type="http://schemas.openxmlformats.org/officeDocument/2006/relationships/footer" Target="footer6.xml"/><Relationship Id="rId119" Type="http://schemas.openxmlformats.org/officeDocument/2006/relationships/footer" Target="footer53.xml"/><Relationship Id="rId270" Type="http://schemas.openxmlformats.org/officeDocument/2006/relationships/header" Target="header129.xml"/><Relationship Id="rId291" Type="http://schemas.openxmlformats.org/officeDocument/2006/relationships/header" Target="header140.xml"/><Relationship Id="rId305" Type="http://schemas.openxmlformats.org/officeDocument/2006/relationships/footer" Target="footer146.xml"/><Relationship Id="rId326" Type="http://schemas.openxmlformats.org/officeDocument/2006/relationships/header" Target="header157.xml"/><Relationship Id="rId347" Type="http://schemas.openxmlformats.org/officeDocument/2006/relationships/footer" Target="footer167.xml"/><Relationship Id="rId44" Type="http://schemas.openxmlformats.org/officeDocument/2006/relationships/header" Target="header16.xml"/><Relationship Id="rId65" Type="http://schemas.openxmlformats.org/officeDocument/2006/relationships/footer" Target="footer26.xml"/><Relationship Id="rId86" Type="http://schemas.openxmlformats.org/officeDocument/2006/relationships/header" Target="header37.xml"/><Relationship Id="rId130" Type="http://schemas.openxmlformats.org/officeDocument/2006/relationships/footer" Target="footer58.xml"/><Relationship Id="rId151" Type="http://schemas.openxmlformats.org/officeDocument/2006/relationships/footer" Target="footer69.xml"/><Relationship Id="rId368" Type="http://schemas.openxmlformats.org/officeDocument/2006/relationships/header" Target="header178.xml"/><Relationship Id="rId389" Type="http://schemas.openxmlformats.org/officeDocument/2006/relationships/footer" Target="footer188.xml"/><Relationship Id="rId172" Type="http://schemas.openxmlformats.org/officeDocument/2006/relationships/footer" Target="footer79.xml"/><Relationship Id="rId193" Type="http://schemas.openxmlformats.org/officeDocument/2006/relationships/footer" Target="footer90.xml"/><Relationship Id="rId207" Type="http://schemas.openxmlformats.org/officeDocument/2006/relationships/header" Target="header98.xml"/><Relationship Id="rId228" Type="http://schemas.openxmlformats.org/officeDocument/2006/relationships/header" Target="header108.xml"/><Relationship Id="rId249" Type="http://schemas.openxmlformats.org/officeDocument/2006/relationships/header" Target="header119.xml"/><Relationship Id="rId414" Type="http://schemas.openxmlformats.org/officeDocument/2006/relationships/footer" Target="footer200.xml"/><Relationship Id="rId435" Type="http://schemas.openxmlformats.org/officeDocument/2006/relationships/header" Target="header211.xml"/><Relationship Id="rId13" Type="http://schemas.openxmlformats.org/officeDocument/2006/relationships/header" Target="header2.xml"/><Relationship Id="rId109" Type="http://schemas.openxmlformats.org/officeDocument/2006/relationships/footer" Target="footer48.xml"/><Relationship Id="rId260" Type="http://schemas.openxmlformats.org/officeDocument/2006/relationships/header" Target="header124.xml"/><Relationship Id="rId281" Type="http://schemas.openxmlformats.org/officeDocument/2006/relationships/footer" Target="footer134.xml"/><Relationship Id="rId316" Type="http://schemas.openxmlformats.org/officeDocument/2006/relationships/footer" Target="footer151.xml"/><Relationship Id="rId337" Type="http://schemas.openxmlformats.org/officeDocument/2006/relationships/footer" Target="footer162.xml"/><Relationship Id="rId34" Type="http://schemas.openxmlformats.org/officeDocument/2006/relationships/header" Target="header12.xml"/><Relationship Id="rId55" Type="http://schemas.openxmlformats.org/officeDocument/2006/relationships/footer" Target="footer21.xml"/><Relationship Id="rId76" Type="http://schemas.openxmlformats.org/officeDocument/2006/relationships/footer" Target="footer31.xml"/><Relationship Id="rId97" Type="http://schemas.openxmlformats.org/officeDocument/2006/relationships/footer" Target="footer42.xml"/><Relationship Id="rId120" Type="http://schemas.openxmlformats.org/officeDocument/2006/relationships/header" Target="header54.xml"/><Relationship Id="rId141" Type="http://schemas.openxmlformats.org/officeDocument/2006/relationships/header" Target="header65.xml"/><Relationship Id="rId358" Type="http://schemas.openxmlformats.org/officeDocument/2006/relationships/footer" Target="footer172.xml"/><Relationship Id="rId379" Type="http://schemas.openxmlformats.org/officeDocument/2006/relationships/footer" Target="footer183.xml"/><Relationship Id="rId7" Type="http://schemas.openxmlformats.org/officeDocument/2006/relationships/settings" Target="settings.xml"/><Relationship Id="rId162" Type="http://schemas.openxmlformats.org/officeDocument/2006/relationships/header" Target="header75.xml"/><Relationship Id="rId183" Type="http://schemas.openxmlformats.org/officeDocument/2006/relationships/header" Target="header86.xml"/><Relationship Id="rId218" Type="http://schemas.openxmlformats.org/officeDocument/2006/relationships/header" Target="header103.xml"/><Relationship Id="rId239" Type="http://schemas.openxmlformats.org/officeDocument/2006/relationships/footer" Target="footer113.xml"/><Relationship Id="rId390" Type="http://schemas.openxmlformats.org/officeDocument/2006/relationships/header" Target="header189.xml"/><Relationship Id="rId404" Type="http://schemas.openxmlformats.org/officeDocument/2006/relationships/header" Target="header196.xml"/><Relationship Id="rId425" Type="http://schemas.openxmlformats.org/officeDocument/2006/relationships/footer" Target="footer205.xml"/><Relationship Id="rId250" Type="http://schemas.openxmlformats.org/officeDocument/2006/relationships/footer" Target="footer118.xml"/><Relationship Id="rId271" Type="http://schemas.openxmlformats.org/officeDocument/2006/relationships/footer" Target="footer129.xml"/><Relationship Id="rId292" Type="http://schemas.openxmlformats.org/officeDocument/2006/relationships/footer" Target="footer139.xml"/><Relationship Id="rId306" Type="http://schemas.openxmlformats.org/officeDocument/2006/relationships/header" Target="header147.xml"/><Relationship Id="rId24" Type="http://schemas.openxmlformats.org/officeDocument/2006/relationships/header" Target="header7.xml"/><Relationship Id="rId45" Type="http://schemas.openxmlformats.org/officeDocument/2006/relationships/header" Target="header17.xml"/><Relationship Id="rId66" Type="http://schemas.openxmlformats.org/officeDocument/2006/relationships/header" Target="header27.xml"/><Relationship Id="rId87" Type="http://schemas.openxmlformats.org/officeDocument/2006/relationships/header" Target="header38.xml"/><Relationship Id="rId110" Type="http://schemas.openxmlformats.org/officeDocument/2006/relationships/header" Target="header49.xml"/><Relationship Id="rId131" Type="http://schemas.openxmlformats.org/officeDocument/2006/relationships/footer" Target="footer59.xml"/><Relationship Id="rId327" Type="http://schemas.openxmlformats.org/officeDocument/2006/relationships/header" Target="header158.xml"/><Relationship Id="rId348" Type="http://schemas.openxmlformats.org/officeDocument/2006/relationships/header" Target="header168.xml"/><Relationship Id="rId369" Type="http://schemas.openxmlformats.org/officeDocument/2006/relationships/header" Target="header179.xml"/><Relationship Id="rId152" Type="http://schemas.openxmlformats.org/officeDocument/2006/relationships/header" Target="header70.xml"/><Relationship Id="rId173" Type="http://schemas.openxmlformats.org/officeDocument/2006/relationships/footer" Target="footer80.xml"/><Relationship Id="rId194" Type="http://schemas.openxmlformats.org/officeDocument/2006/relationships/header" Target="header91.xml"/><Relationship Id="rId208" Type="http://schemas.openxmlformats.org/officeDocument/2006/relationships/footer" Target="footer97.xml"/><Relationship Id="rId229" Type="http://schemas.openxmlformats.org/officeDocument/2006/relationships/footer" Target="footer108.xml"/><Relationship Id="rId380" Type="http://schemas.openxmlformats.org/officeDocument/2006/relationships/header" Target="header184.xml"/><Relationship Id="rId415" Type="http://schemas.openxmlformats.org/officeDocument/2006/relationships/header" Target="header201.xml"/><Relationship Id="rId436" Type="http://schemas.openxmlformats.org/officeDocument/2006/relationships/header" Target="header212.xml"/><Relationship Id="rId240" Type="http://schemas.openxmlformats.org/officeDocument/2006/relationships/header" Target="header114.xml"/><Relationship Id="rId261" Type="http://schemas.openxmlformats.org/officeDocument/2006/relationships/header" Target="header125.xml"/><Relationship Id="rId14" Type="http://schemas.openxmlformats.org/officeDocument/2006/relationships/footer" Target="footer1.xml"/><Relationship Id="rId35" Type="http://schemas.openxmlformats.org/officeDocument/2006/relationships/footer" Target="footer12.xml"/><Relationship Id="rId56" Type="http://schemas.openxmlformats.org/officeDocument/2006/relationships/header" Target="header22.xml"/><Relationship Id="rId77" Type="http://schemas.openxmlformats.org/officeDocument/2006/relationships/footer" Target="footer32.xml"/><Relationship Id="rId100" Type="http://schemas.openxmlformats.org/officeDocument/2006/relationships/footer" Target="footer43.xml"/><Relationship Id="rId282" Type="http://schemas.openxmlformats.org/officeDocument/2006/relationships/header" Target="header135.xml"/><Relationship Id="rId317" Type="http://schemas.openxmlformats.org/officeDocument/2006/relationships/footer" Target="footer152.xml"/><Relationship Id="rId338" Type="http://schemas.openxmlformats.org/officeDocument/2006/relationships/header" Target="header163.xml"/><Relationship Id="rId359" Type="http://schemas.openxmlformats.org/officeDocument/2006/relationships/footer" Target="footer173.xml"/><Relationship Id="rId8" Type="http://schemas.openxmlformats.org/officeDocument/2006/relationships/webSettings" Target="webSettings.xml"/><Relationship Id="rId98" Type="http://schemas.openxmlformats.org/officeDocument/2006/relationships/header" Target="header43.xml"/><Relationship Id="rId121" Type="http://schemas.openxmlformats.org/officeDocument/2006/relationships/footer" Target="footer54.xml"/><Relationship Id="rId142" Type="http://schemas.openxmlformats.org/officeDocument/2006/relationships/footer" Target="footer64.xml"/><Relationship Id="rId163" Type="http://schemas.openxmlformats.org/officeDocument/2006/relationships/footer" Target="footer75.xml"/><Relationship Id="rId184" Type="http://schemas.openxmlformats.org/officeDocument/2006/relationships/footer" Target="footer85.xml"/><Relationship Id="rId219" Type="http://schemas.openxmlformats.org/officeDocument/2006/relationships/header" Target="header104.xml"/><Relationship Id="rId370" Type="http://schemas.openxmlformats.org/officeDocument/2006/relationships/footer" Target="footer178.xml"/><Relationship Id="rId391" Type="http://schemas.openxmlformats.org/officeDocument/2006/relationships/footer" Target="footer189.xml"/><Relationship Id="rId405" Type="http://schemas.openxmlformats.org/officeDocument/2006/relationships/header" Target="header197.xml"/><Relationship Id="rId426" Type="http://schemas.openxmlformats.org/officeDocument/2006/relationships/footer" Target="footer206.xml"/><Relationship Id="rId230" Type="http://schemas.openxmlformats.org/officeDocument/2006/relationships/header" Target="header109.xml"/><Relationship Id="rId251" Type="http://schemas.openxmlformats.org/officeDocument/2006/relationships/footer" Target="footer119.xml"/><Relationship Id="rId25" Type="http://schemas.openxmlformats.org/officeDocument/2006/relationships/header" Target="header8.xml"/><Relationship Id="rId46" Type="http://schemas.openxmlformats.org/officeDocument/2006/relationships/footer" Target="footer16.xml"/><Relationship Id="rId67" Type="http://schemas.openxmlformats.org/officeDocument/2006/relationships/footer" Target="footer27.xml"/><Relationship Id="rId272" Type="http://schemas.openxmlformats.org/officeDocument/2006/relationships/header" Target="header130.xml"/><Relationship Id="rId293" Type="http://schemas.openxmlformats.org/officeDocument/2006/relationships/footer" Target="footer140.xml"/><Relationship Id="rId307" Type="http://schemas.openxmlformats.org/officeDocument/2006/relationships/footer" Target="footer147.xml"/><Relationship Id="rId328" Type="http://schemas.openxmlformats.org/officeDocument/2006/relationships/footer" Target="footer157.xml"/><Relationship Id="rId349" Type="http://schemas.openxmlformats.org/officeDocument/2006/relationships/footer" Target="footer168.xml"/><Relationship Id="rId88" Type="http://schemas.openxmlformats.org/officeDocument/2006/relationships/footer" Target="footer37.xml"/><Relationship Id="rId111" Type="http://schemas.openxmlformats.org/officeDocument/2006/relationships/header" Target="header50.xml"/><Relationship Id="rId132" Type="http://schemas.openxmlformats.org/officeDocument/2006/relationships/header" Target="header60.xml"/><Relationship Id="rId153" Type="http://schemas.openxmlformats.org/officeDocument/2006/relationships/header" Target="header71.xml"/><Relationship Id="rId174" Type="http://schemas.openxmlformats.org/officeDocument/2006/relationships/header" Target="header81.xml"/><Relationship Id="rId195" Type="http://schemas.openxmlformats.org/officeDocument/2006/relationships/header" Target="header92.xml"/><Relationship Id="rId209" Type="http://schemas.openxmlformats.org/officeDocument/2006/relationships/footer" Target="footer98.xml"/><Relationship Id="rId360" Type="http://schemas.openxmlformats.org/officeDocument/2006/relationships/header" Target="header174.xml"/><Relationship Id="rId381" Type="http://schemas.openxmlformats.org/officeDocument/2006/relationships/header" Target="header185.xml"/><Relationship Id="rId416" Type="http://schemas.openxmlformats.org/officeDocument/2006/relationships/footer" Target="footer201.xml"/><Relationship Id="rId220" Type="http://schemas.openxmlformats.org/officeDocument/2006/relationships/footer" Target="footer103.xml"/><Relationship Id="rId241" Type="http://schemas.openxmlformats.org/officeDocument/2006/relationships/footer" Target="footer114.xml"/><Relationship Id="rId437" Type="http://schemas.openxmlformats.org/officeDocument/2006/relationships/footer" Target="footer211.xml"/><Relationship Id="rId15" Type="http://schemas.openxmlformats.org/officeDocument/2006/relationships/footer" Target="footer2.xml"/><Relationship Id="rId36" Type="http://schemas.openxmlformats.org/officeDocument/2006/relationships/hyperlink" Target="http://www.inps.it" TargetMode="External"/><Relationship Id="rId57" Type="http://schemas.openxmlformats.org/officeDocument/2006/relationships/header" Target="header23.xml"/><Relationship Id="rId262" Type="http://schemas.openxmlformats.org/officeDocument/2006/relationships/footer" Target="footer124.xml"/><Relationship Id="rId283" Type="http://schemas.openxmlformats.org/officeDocument/2006/relationships/footer" Target="footer135.xml"/><Relationship Id="rId318" Type="http://schemas.openxmlformats.org/officeDocument/2006/relationships/header" Target="header153.xml"/><Relationship Id="rId339" Type="http://schemas.openxmlformats.org/officeDocument/2006/relationships/header" Target="header164.xml"/><Relationship Id="rId78" Type="http://schemas.openxmlformats.org/officeDocument/2006/relationships/header" Target="header33.xml"/><Relationship Id="rId99" Type="http://schemas.openxmlformats.org/officeDocument/2006/relationships/header" Target="header44.xml"/><Relationship Id="rId101" Type="http://schemas.openxmlformats.org/officeDocument/2006/relationships/footer" Target="footer44.xml"/><Relationship Id="rId122" Type="http://schemas.openxmlformats.org/officeDocument/2006/relationships/header" Target="header55.xml"/><Relationship Id="rId143" Type="http://schemas.openxmlformats.org/officeDocument/2006/relationships/footer" Target="footer65.xml"/><Relationship Id="rId164" Type="http://schemas.openxmlformats.org/officeDocument/2006/relationships/header" Target="header76.xml"/><Relationship Id="rId185" Type="http://schemas.openxmlformats.org/officeDocument/2006/relationships/footer" Target="footer86.xml"/><Relationship Id="rId350" Type="http://schemas.openxmlformats.org/officeDocument/2006/relationships/header" Target="header169.xml"/><Relationship Id="rId371" Type="http://schemas.openxmlformats.org/officeDocument/2006/relationships/footer" Target="footer179.xml"/><Relationship Id="rId406" Type="http://schemas.openxmlformats.org/officeDocument/2006/relationships/footer" Target="footer196.xml"/><Relationship Id="rId9" Type="http://schemas.openxmlformats.org/officeDocument/2006/relationships/footnotes" Target="footnotes.xml"/><Relationship Id="rId210" Type="http://schemas.openxmlformats.org/officeDocument/2006/relationships/header" Target="header99.xml"/><Relationship Id="rId392" Type="http://schemas.openxmlformats.org/officeDocument/2006/relationships/header" Target="header190.xml"/><Relationship Id="rId427" Type="http://schemas.openxmlformats.org/officeDocument/2006/relationships/header" Target="header207.xml"/><Relationship Id="rId26" Type="http://schemas.openxmlformats.org/officeDocument/2006/relationships/footer" Target="footer7.xml"/><Relationship Id="rId231" Type="http://schemas.openxmlformats.org/officeDocument/2006/relationships/header" Target="header110.xml"/><Relationship Id="rId252" Type="http://schemas.openxmlformats.org/officeDocument/2006/relationships/header" Target="header120.xml"/><Relationship Id="rId273" Type="http://schemas.openxmlformats.org/officeDocument/2006/relationships/header" Target="header131.xml"/><Relationship Id="rId294" Type="http://schemas.openxmlformats.org/officeDocument/2006/relationships/header" Target="header141.xml"/><Relationship Id="rId308" Type="http://schemas.openxmlformats.org/officeDocument/2006/relationships/header" Target="header148.xml"/><Relationship Id="rId329" Type="http://schemas.openxmlformats.org/officeDocument/2006/relationships/footer" Target="footer158.xml"/><Relationship Id="rId47" Type="http://schemas.openxmlformats.org/officeDocument/2006/relationships/footer" Target="footer17.xml"/><Relationship Id="rId68" Type="http://schemas.openxmlformats.org/officeDocument/2006/relationships/header" Target="header28.xml"/><Relationship Id="rId89" Type="http://schemas.openxmlformats.org/officeDocument/2006/relationships/footer" Target="footer38.xml"/><Relationship Id="rId112" Type="http://schemas.openxmlformats.org/officeDocument/2006/relationships/footer" Target="footer49.xml"/><Relationship Id="rId133" Type="http://schemas.openxmlformats.org/officeDocument/2006/relationships/footer" Target="footer60.xml"/><Relationship Id="rId154" Type="http://schemas.openxmlformats.org/officeDocument/2006/relationships/footer" Target="footer70.xml"/><Relationship Id="rId175" Type="http://schemas.openxmlformats.org/officeDocument/2006/relationships/footer" Target="footer81.xml"/><Relationship Id="rId340" Type="http://schemas.openxmlformats.org/officeDocument/2006/relationships/footer" Target="footer163.xml"/><Relationship Id="rId361" Type="http://schemas.openxmlformats.org/officeDocument/2006/relationships/footer" Target="footer174.xml"/><Relationship Id="rId196" Type="http://schemas.openxmlformats.org/officeDocument/2006/relationships/footer" Target="footer91.xml"/><Relationship Id="rId200" Type="http://schemas.openxmlformats.org/officeDocument/2006/relationships/header" Target="header94.xml"/><Relationship Id="rId382" Type="http://schemas.openxmlformats.org/officeDocument/2006/relationships/footer" Target="footer184.xml"/><Relationship Id="rId417" Type="http://schemas.openxmlformats.org/officeDocument/2006/relationships/header" Target="header202.xml"/><Relationship Id="rId438" Type="http://schemas.openxmlformats.org/officeDocument/2006/relationships/footer" Target="footer212.xml"/><Relationship Id="rId16" Type="http://schemas.openxmlformats.org/officeDocument/2006/relationships/header" Target="header3.xml"/><Relationship Id="rId221" Type="http://schemas.openxmlformats.org/officeDocument/2006/relationships/footer" Target="footer104.xml"/><Relationship Id="rId242" Type="http://schemas.openxmlformats.org/officeDocument/2006/relationships/header" Target="header115.xml"/><Relationship Id="rId263" Type="http://schemas.openxmlformats.org/officeDocument/2006/relationships/footer" Target="footer125.xml"/><Relationship Id="rId284" Type="http://schemas.openxmlformats.org/officeDocument/2006/relationships/header" Target="header136.xml"/><Relationship Id="rId319" Type="http://schemas.openxmlformats.org/officeDocument/2006/relationships/footer" Target="footer153.xml"/><Relationship Id="rId37" Type="http://schemas.openxmlformats.org/officeDocument/2006/relationships/hyperlink" Target="http://www.inps.it" TargetMode="External"/><Relationship Id="rId58" Type="http://schemas.openxmlformats.org/officeDocument/2006/relationships/footer" Target="footer22.xml"/><Relationship Id="rId79" Type="http://schemas.openxmlformats.org/officeDocument/2006/relationships/footer" Target="footer33.xml"/><Relationship Id="rId102" Type="http://schemas.openxmlformats.org/officeDocument/2006/relationships/header" Target="header45.xml"/><Relationship Id="rId123" Type="http://schemas.openxmlformats.org/officeDocument/2006/relationships/header" Target="header56.xml"/><Relationship Id="rId144" Type="http://schemas.openxmlformats.org/officeDocument/2006/relationships/header" Target="header66.xml"/><Relationship Id="rId330" Type="http://schemas.openxmlformats.org/officeDocument/2006/relationships/header" Target="header159.xml"/><Relationship Id="rId90" Type="http://schemas.openxmlformats.org/officeDocument/2006/relationships/header" Target="header39.xml"/><Relationship Id="rId165" Type="http://schemas.openxmlformats.org/officeDocument/2006/relationships/header" Target="header77.xml"/><Relationship Id="rId186" Type="http://schemas.openxmlformats.org/officeDocument/2006/relationships/header" Target="header87.xml"/><Relationship Id="rId351" Type="http://schemas.openxmlformats.org/officeDocument/2006/relationships/header" Target="header170.xml"/><Relationship Id="rId372" Type="http://schemas.openxmlformats.org/officeDocument/2006/relationships/header" Target="header180.xml"/><Relationship Id="rId393" Type="http://schemas.openxmlformats.org/officeDocument/2006/relationships/header" Target="header191.xml"/><Relationship Id="rId407" Type="http://schemas.openxmlformats.org/officeDocument/2006/relationships/footer" Target="footer197.xml"/><Relationship Id="rId428" Type="http://schemas.openxmlformats.org/officeDocument/2006/relationships/footer" Target="footer207.xml"/><Relationship Id="rId211" Type="http://schemas.openxmlformats.org/officeDocument/2006/relationships/footer" Target="footer99.xml"/><Relationship Id="rId232" Type="http://schemas.openxmlformats.org/officeDocument/2006/relationships/footer" Target="footer109.xml"/><Relationship Id="rId253" Type="http://schemas.openxmlformats.org/officeDocument/2006/relationships/footer" Target="footer120.xml"/><Relationship Id="rId274" Type="http://schemas.openxmlformats.org/officeDocument/2006/relationships/footer" Target="footer130.xml"/><Relationship Id="rId295" Type="http://schemas.openxmlformats.org/officeDocument/2006/relationships/footer" Target="footer141.xml"/><Relationship Id="rId309" Type="http://schemas.openxmlformats.org/officeDocument/2006/relationships/header" Target="header149.xml"/><Relationship Id="rId27" Type="http://schemas.openxmlformats.org/officeDocument/2006/relationships/footer" Target="footer8.xml"/><Relationship Id="rId48" Type="http://schemas.openxmlformats.org/officeDocument/2006/relationships/header" Target="header18.xml"/><Relationship Id="rId69" Type="http://schemas.openxmlformats.org/officeDocument/2006/relationships/header" Target="header29.xml"/><Relationship Id="rId113" Type="http://schemas.openxmlformats.org/officeDocument/2006/relationships/footer" Target="footer50.xml"/><Relationship Id="rId134" Type="http://schemas.openxmlformats.org/officeDocument/2006/relationships/header" Target="header61.xml"/><Relationship Id="rId320" Type="http://schemas.openxmlformats.org/officeDocument/2006/relationships/header" Target="header154.xml"/><Relationship Id="rId80" Type="http://schemas.openxmlformats.org/officeDocument/2006/relationships/header" Target="header34.xml"/><Relationship Id="rId155" Type="http://schemas.openxmlformats.org/officeDocument/2006/relationships/footer" Target="footer71.xml"/><Relationship Id="rId176" Type="http://schemas.openxmlformats.org/officeDocument/2006/relationships/header" Target="header82.xml"/><Relationship Id="rId197" Type="http://schemas.openxmlformats.org/officeDocument/2006/relationships/footer" Target="footer92.xml"/><Relationship Id="rId341" Type="http://schemas.openxmlformats.org/officeDocument/2006/relationships/footer" Target="footer164.xml"/><Relationship Id="rId362" Type="http://schemas.openxmlformats.org/officeDocument/2006/relationships/header" Target="header175.xml"/><Relationship Id="rId383" Type="http://schemas.openxmlformats.org/officeDocument/2006/relationships/footer" Target="footer185.xml"/><Relationship Id="rId418" Type="http://schemas.openxmlformats.org/officeDocument/2006/relationships/header" Target="header203.xml"/><Relationship Id="rId439" Type="http://schemas.openxmlformats.org/officeDocument/2006/relationships/header" Target="header213.xml"/><Relationship Id="rId201" Type="http://schemas.openxmlformats.org/officeDocument/2006/relationships/header" Target="header95.xml"/><Relationship Id="rId222" Type="http://schemas.openxmlformats.org/officeDocument/2006/relationships/header" Target="header105.xml"/><Relationship Id="rId243" Type="http://schemas.openxmlformats.org/officeDocument/2006/relationships/header" Target="header116.xml"/><Relationship Id="rId264" Type="http://schemas.openxmlformats.org/officeDocument/2006/relationships/header" Target="header126.xml"/><Relationship Id="rId285" Type="http://schemas.openxmlformats.org/officeDocument/2006/relationships/header" Target="header137.xml"/><Relationship Id="rId17" Type="http://schemas.openxmlformats.org/officeDocument/2006/relationships/footer" Target="footer3.xml"/><Relationship Id="rId38" Type="http://schemas.openxmlformats.org/officeDocument/2006/relationships/header" Target="header13.xml"/><Relationship Id="rId59" Type="http://schemas.openxmlformats.org/officeDocument/2006/relationships/footer" Target="footer23.xml"/><Relationship Id="rId103" Type="http://schemas.openxmlformats.org/officeDocument/2006/relationships/footer" Target="footer45.xml"/><Relationship Id="rId124" Type="http://schemas.openxmlformats.org/officeDocument/2006/relationships/footer" Target="footer55.xml"/><Relationship Id="rId310" Type="http://schemas.openxmlformats.org/officeDocument/2006/relationships/footer" Target="footer148.xml"/><Relationship Id="rId70" Type="http://schemas.openxmlformats.org/officeDocument/2006/relationships/footer" Target="footer28.xml"/><Relationship Id="rId91" Type="http://schemas.openxmlformats.org/officeDocument/2006/relationships/footer" Target="footer39.xml"/><Relationship Id="rId145" Type="http://schemas.openxmlformats.org/officeDocument/2006/relationships/footer" Target="footer66.xml"/><Relationship Id="rId166" Type="http://schemas.openxmlformats.org/officeDocument/2006/relationships/footer" Target="footer76.xml"/><Relationship Id="rId187" Type="http://schemas.openxmlformats.org/officeDocument/2006/relationships/footer" Target="footer87.xml"/><Relationship Id="rId331" Type="http://schemas.openxmlformats.org/officeDocument/2006/relationships/footer" Target="footer159.xml"/><Relationship Id="rId352" Type="http://schemas.openxmlformats.org/officeDocument/2006/relationships/footer" Target="footer169.xml"/><Relationship Id="rId373" Type="http://schemas.openxmlformats.org/officeDocument/2006/relationships/footer" Target="footer180.xml"/><Relationship Id="rId394" Type="http://schemas.openxmlformats.org/officeDocument/2006/relationships/footer" Target="footer190.xml"/><Relationship Id="rId408" Type="http://schemas.openxmlformats.org/officeDocument/2006/relationships/header" Target="header198.xml"/><Relationship Id="rId429" Type="http://schemas.openxmlformats.org/officeDocument/2006/relationships/header" Target="header208.xml"/><Relationship Id="rId1" Type="http://schemas.openxmlformats.org/officeDocument/2006/relationships/customXml" Target="../customXml/item1.xml"/><Relationship Id="rId212" Type="http://schemas.openxmlformats.org/officeDocument/2006/relationships/header" Target="header100.xml"/><Relationship Id="rId233" Type="http://schemas.openxmlformats.org/officeDocument/2006/relationships/footer" Target="footer110.xml"/><Relationship Id="rId254" Type="http://schemas.openxmlformats.org/officeDocument/2006/relationships/header" Target="header121.xml"/><Relationship Id="rId440" Type="http://schemas.openxmlformats.org/officeDocument/2006/relationships/footer" Target="footer213.xml"/><Relationship Id="rId28" Type="http://schemas.openxmlformats.org/officeDocument/2006/relationships/header" Target="header9.xml"/><Relationship Id="rId49" Type="http://schemas.openxmlformats.org/officeDocument/2006/relationships/footer" Target="footer18.xml"/><Relationship Id="rId114" Type="http://schemas.openxmlformats.org/officeDocument/2006/relationships/header" Target="header51.xml"/><Relationship Id="rId275" Type="http://schemas.openxmlformats.org/officeDocument/2006/relationships/footer" Target="footer131.xml"/><Relationship Id="rId296" Type="http://schemas.openxmlformats.org/officeDocument/2006/relationships/header" Target="header142.xml"/><Relationship Id="rId300" Type="http://schemas.openxmlformats.org/officeDocument/2006/relationships/header" Target="header144.xml"/><Relationship Id="rId60" Type="http://schemas.openxmlformats.org/officeDocument/2006/relationships/header" Target="header24.xml"/><Relationship Id="rId81" Type="http://schemas.openxmlformats.org/officeDocument/2006/relationships/header" Target="header35.xml"/><Relationship Id="rId135" Type="http://schemas.openxmlformats.org/officeDocument/2006/relationships/header" Target="header62.xml"/><Relationship Id="rId156" Type="http://schemas.openxmlformats.org/officeDocument/2006/relationships/header" Target="header72.xml"/><Relationship Id="rId177" Type="http://schemas.openxmlformats.org/officeDocument/2006/relationships/header" Target="header83.xml"/><Relationship Id="rId198" Type="http://schemas.openxmlformats.org/officeDocument/2006/relationships/header" Target="header93.xml"/><Relationship Id="rId321" Type="http://schemas.openxmlformats.org/officeDocument/2006/relationships/header" Target="header155.xml"/><Relationship Id="rId342" Type="http://schemas.openxmlformats.org/officeDocument/2006/relationships/header" Target="header165.xml"/><Relationship Id="rId363" Type="http://schemas.openxmlformats.org/officeDocument/2006/relationships/header" Target="header176.xml"/><Relationship Id="rId384" Type="http://schemas.openxmlformats.org/officeDocument/2006/relationships/header" Target="header186.xml"/><Relationship Id="rId419" Type="http://schemas.openxmlformats.org/officeDocument/2006/relationships/footer" Target="footer202.xml"/><Relationship Id="rId202" Type="http://schemas.openxmlformats.org/officeDocument/2006/relationships/footer" Target="footer94.xml"/><Relationship Id="rId223" Type="http://schemas.openxmlformats.org/officeDocument/2006/relationships/footer" Target="footer105.xml"/><Relationship Id="rId244" Type="http://schemas.openxmlformats.org/officeDocument/2006/relationships/footer" Target="footer115.xml"/><Relationship Id="rId430" Type="http://schemas.openxmlformats.org/officeDocument/2006/relationships/header" Target="header209.xml"/><Relationship Id="rId18" Type="http://schemas.openxmlformats.org/officeDocument/2006/relationships/header" Target="header4.xml"/><Relationship Id="rId39" Type="http://schemas.openxmlformats.org/officeDocument/2006/relationships/header" Target="header14.xml"/><Relationship Id="rId265" Type="http://schemas.openxmlformats.org/officeDocument/2006/relationships/footer" Target="footer126.xml"/><Relationship Id="rId286" Type="http://schemas.openxmlformats.org/officeDocument/2006/relationships/footer" Target="footer136.xml"/><Relationship Id="rId50" Type="http://schemas.openxmlformats.org/officeDocument/2006/relationships/header" Target="header19.xml"/><Relationship Id="rId104" Type="http://schemas.openxmlformats.org/officeDocument/2006/relationships/header" Target="header46.xml"/><Relationship Id="rId125" Type="http://schemas.openxmlformats.org/officeDocument/2006/relationships/footer" Target="footer56.xml"/><Relationship Id="rId146" Type="http://schemas.openxmlformats.org/officeDocument/2006/relationships/header" Target="header67.xml"/><Relationship Id="rId167" Type="http://schemas.openxmlformats.org/officeDocument/2006/relationships/footer" Target="footer77.xml"/><Relationship Id="rId188" Type="http://schemas.openxmlformats.org/officeDocument/2006/relationships/header" Target="header88.xml"/><Relationship Id="rId311" Type="http://schemas.openxmlformats.org/officeDocument/2006/relationships/footer" Target="footer149.xml"/><Relationship Id="rId332" Type="http://schemas.openxmlformats.org/officeDocument/2006/relationships/header" Target="header160.xml"/><Relationship Id="rId353" Type="http://schemas.openxmlformats.org/officeDocument/2006/relationships/footer" Target="footer170.xml"/><Relationship Id="rId374" Type="http://schemas.openxmlformats.org/officeDocument/2006/relationships/header" Target="header181.xml"/><Relationship Id="rId395" Type="http://schemas.openxmlformats.org/officeDocument/2006/relationships/footer" Target="footer191.xml"/><Relationship Id="rId409" Type="http://schemas.openxmlformats.org/officeDocument/2006/relationships/footer" Target="footer198.xml"/><Relationship Id="rId71" Type="http://schemas.openxmlformats.org/officeDocument/2006/relationships/footer" Target="footer29.xml"/><Relationship Id="rId92" Type="http://schemas.openxmlformats.org/officeDocument/2006/relationships/header" Target="header40.xml"/><Relationship Id="rId213" Type="http://schemas.openxmlformats.org/officeDocument/2006/relationships/header" Target="header101.xml"/><Relationship Id="rId234" Type="http://schemas.openxmlformats.org/officeDocument/2006/relationships/header" Target="header111.xml"/><Relationship Id="rId420" Type="http://schemas.openxmlformats.org/officeDocument/2006/relationships/footer" Target="footer203.xml"/><Relationship Id="rId2" Type="http://schemas.openxmlformats.org/officeDocument/2006/relationships/customXml" Target="../customXml/item2.xml"/><Relationship Id="rId29" Type="http://schemas.openxmlformats.org/officeDocument/2006/relationships/footer" Target="footer9.xml"/><Relationship Id="rId255" Type="http://schemas.openxmlformats.org/officeDocument/2006/relationships/header" Target="header122.xml"/><Relationship Id="rId276" Type="http://schemas.openxmlformats.org/officeDocument/2006/relationships/header" Target="header132.xml"/><Relationship Id="rId297" Type="http://schemas.openxmlformats.org/officeDocument/2006/relationships/header" Target="header143.xml"/><Relationship Id="rId441" Type="http://schemas.openxmlformats.org/officeDocument/2006/relationships/fontTable" Target="fontTable.xml"/><Relationship Id="rId40" Type="http://schemas.openxmlformats.org/officeDocument/2006/relationships/footer" Target="footer13.xml"/><Relationship Id="rId115" Type="http://schemas.openxmlformats.org/officeDocument/2006/relationships/footer" Target="footer51.xml"/><Relationship Id="rId136" Type="http://schemas.openxmlformats.org/officeDocument/2006/relationships/footer" Target="footer61.xml"/><Relationship Id="rId157" Type="http://schemas.openxmlformats.org/officeDocument/2006/relationships/footer" Target="footer72.xml"/><Relationship Id="rId178" Type="http://schemas.openxmlformats.org/officeDocument/2006/relationships/footer" Target="footer82.xml"/><Relationship Id="rId301" Type="http://schemas.openxmlformats.org/officeDocument/2006/relationships/footer" Target="footer144.xml"/><Relationship Id="rId322" Type="http://schemas.openxmlformats.org/officeDocument/2006/relationships/footer" Target="footer154.xml"/><Relationship Id="rId343" Type="http://schemas.openxmlformats.org/officeDocument/2006/relationships/footer" Target="footer165.xml"/><Relationship Id="rId364" Type="http://schemas.openxmlformats.org/officeDocument/2006/relationships/footer" Target="footer175.xml"/><Relationship Id="rId61" Type="http://schemas.openxmlformats.org/officeDocument/2006/relationships/footer" Target="footer24.xml"/><Relationship Id="rId82" Type="http://schemas.openxmlformats.org/officeDocument/2006/relationships/footer" Target="footer34.xml"/><Relationship Id="rId199" Type="http://schemas.openxmlformats.org/officeDocument/2006/relationships/footer" Target="footer93.xml"/><Relationship Id="rId203" Type="http://schemas.openxmlformats.org/officeDocument/2006/relationships/footer" Target="footer95.xml"/><Relationship Id="rId385" Type="http://schemas.openxmlformats.org/officeDocument/2006/relationships/footer" Target="footer186.xml"/><Relationship Id="rId19" Type="http://schemas.openxmlformats.org/officeDocument/2006/relationships/header" Target="header5.xml"/><Relationship Id="rId224" Type="http://schemas.openxmlformats.org/officeDocument/2006/relationships/header" Target="header106.xml"/><Relationship Id="rId245" Type="http://schemas.openxmlformats.org/officeDocument/2006/relationships/footer" Target="footer116.xml"/><Relationship Id="rId266" Type="http://schemas.openxmlformats.org/officeDocument/2006/relationships/header" Target="header127.xml"/><Relationship Id="rId287" Type="http://schemas.openxmlformats.org/officeDocument/2006/relationships/footer" Target="footer137.xml"/><Relationship Id="rId410" Type="http://schemas.openxmlformats.org/officeDocument/2006/relationships/hyperlink" Target="http://www.syllabus.gov.it" TargetMode="External"/><Relationship Id="rId431" Type="http://schemas.openxmlformats.org/officeDocument/2006/relationships/footer" Target="footer208.xml"/><Relationship Id="rId30" Type="http://schemas.openxmlformats.org/officeDocument/2006/relationships/header" Target="header10.xml"/><Relationship Id="rId105" Type="http://schemas.openxmlformats.org/officeDocument/2006/relationships/header" Target="header47.xml"/><Relationship Id="rId126" Type="http://schemas.openxmlformats.org/officeDocument/2006/relationships/header" Target="header57.xml"/><Relationship Id="rId147" Type="http://schemas.openxmlformats.org/officeDocument/2006/relationships/header" Target="header68.xml"/><Relationship Id="rId168" Type="http://schemas.openxmlformats.org/officeDocument/2006/relationships/header" Target="header78.xml"/><Relationship Id="rId312" Type="http://schemas.openxmlformats.org/officeDocument/2006/relationships/header" Target="header150.xml"/><Relationship Id="rId333" Type="http://schemas.openxmlformats.org/officeDocument/2006/relationships/header" Target="header161.xml"/><Relationship Id="rId354" Type="http://schemas.openxmlformats.org/officeDocument/2006/relationships/header" Target="header171.xml"/><Relationship Id="rId51" Type="http://schemas.openxmlformats.org/officeDocument/2006/relationships/header" Target="header20.xml"/><Relationship Id="rId72" Type="http://schemas.openxmlformats.org/officeDocument/2006/relationships/header" Target="header30.xml"/><Relationship Id="rId93" Type="http://schemas.openxmlformats.org/officeDocument/2006/relationships/header" Target="header41.xml"/><Relationship Id="rId189" Type="http://schemas.openxmlformats.org/officeDocument/2006/relationships/header" Target="header89.xml"/><Relationship Id="rId375" Type="http://schemas.openxmlformats.org/officeDocument/2006/relationships/header" Target="header182.xml"/><Relationship Id="rId396" Type="http://schemas.openxmlformats.org/officeDocument/2006/relationships/header" Target="header192.xml"/><Relationship Id="rId3" Type="http://schemas.openxmlformats.org/officeDocument/2006/relationships/customXml" Target="../customXml/item3.xml"/><Relationship Id="rId214" Type="http://schemas.openxmlformats.org/officeDocument/2006/relationships/footer" Target="footer100.xml"/><Relationship Id="rId235" Type="http://schemas.openxmlformats.org/officeDocument/2006/relationships/footer" Target="footer111.xml"/><Relationship Id="rId256" Type="http://schemas.openxmlformats.org/officeDocument/2006/relationships/footer" Target="footer121.xml"/><Relationship Id="rId277" Type="http://schemas.openxmlformats.org/officeDocument/2006/relationships/footer" Target="footer132.xml"/><Relationship Id="rId298" Type="http://schemas.openxmlformats.org/officeDocument/2006/relationships/footer" Target="footer142.xml"/><Relationship Id="rId400" Type="http://schemas.openxmlformats.org/officeDocument/2006/relationships/footer" Target="footer193.xml"/><Relationship Id="rId421" Type="http://schemas.openxmlformats.org/officeDocument/2006/relationships/header" Target="header204.xml"/><Relationship Id="rId442" Type="http://schemas.openxmlformats.org/officeDocument/2006/relationships/theme" Target="theme/theme1.xml"/><Relationship Id="rId116" Type="http://schemas.openxmlformats.org/officeDocument/2006/relationships/header" Target="header52.xml"/><Relationship Id="rId137" Type="http://schemas.openxmlformats.org/officeDocument/2006/relationships/footer" Target="footer62.xml"/><Relationship Id="rId158" Type="http://schemas.openxmlformats.org/officeDocument/2006/relationships/header" Target="header73.xml"/><Relationship Id="rId302" Type="http://schemas.openxmlformats.org/officeDocument/2006/relationships/header" Target="header145.xml"/><Relationship Id="rId323" Type="http://schemas.openxmlformats.org/officeDocument/2006/relationships/footer" Target="footer155.xml"/><Relationship Id="rId344" Type="http://schemas.openxmlformats.org/officeDocument/2006/relationships/header" Target="header166.xml"/><Relationship Id="rId20" Type="http://schemas.openxmlformats.org/officeDocument/2006/relationships/footer" Target="footer4.xml"/><Relationship Id="rId41" Type="http://schemas.openxmlformats.org/officeDocument/2006/relationships/footer" Target="footer14.xml"/><Relationship Id="rId62" Type="http://schemas.openxmlformats.org/officeDocument/2006/relationships/header" Target="header25.xml"/><Relationship Id="rId83" Type="http://schemas.openxmlformats.org/officeDocument/2006/relationships/footer" Target="footer35.xml"/><Relationship Id="rId179" Type="http://schemas.openxmlformats.org/officeDocument/2006/relationships/footer" Target="footer83.xml"/><Relationship Id="rId365" Type="http://schemas.openxmlformats.org/officeDocument/2006/relationships/footer" Target="footer176.xml"/><Relationship Id="rId386" Type="http://schemas.openxmlformats.org/officeDocument/2006/relationships/header" Target="header187.xml"/><Relationship Id="rId190" Type="http://schemas.openxmlformats.org/officeDocument/2006/relationships/footer" Target="footer88.xml"/><Relationship Id="rId204" Type="http://schemas.openxmlformats.org/officeDocument/2006/relationships/header" Target="header96.xml"/><Relationship Id="rId225" Type="http://schemas.openxmlformats.org/officeDocument/2006/relationships/header" Target="header107.xml"/><Relationship Id="rId246" Type="http://schemas.openxmlformats.org/officeDocument/2006/relationships/header" Target="header117.xml"/><Relationship Id="rId267" Type="http://schemas.openxmlformats.org/officeDocument/2006/relationships/header" Target="header128.xml"/><Relationship Id="rId288" Type="http://schemas.openxmlformats.org/officeDocument/2006/relationships/header" Target="header138.xml"/><Relationship Id="rId411" Type="http://schemas.openxmlformats.org/officeDocument/2006/relationships/header" Target="header199.xml"/><Relationship Id="rId432" Type="http://schemas.openxmlformats.org/officeDocument/2006/relationships/footer" Target="footer209.xml"/><Relationship Id="rId106" Type="http://schemas.openxmlformats.org/officeDocument/2006/relationships/footer" Target="footer46.xml"/><Relationship Id="rId127" Type="http://schemas.openxmlformats.org/officeDocument/2006/relationships/footer" Target="footer57.xml"/><Relationship Id="rId313" Type="http://schemas.openxmlformats.org/officeDocument/2006/relationships/footer" Target="footer150.xml"/><Relationship Id="rId10" Type="http://schemas.openxmlformats.org/officeDocument/2006/relationships/endnotes" Target="endnotes.xml"/><Relationship Id="rId31" Type="http://schemas.openxmlformats.org/officeDocument/2006/relationships/header" Target="header11.xml"/><Relationship Id="rId52" Type="http://schemas.openxmlformats.org/officeDocument/2006/relationships/footer" Target="footer19.xml"/><Relationship Id="rId73" Type="http://schemas.openxmlformats.org/officeDocument/2006/relationships/footer" Target="footer30.xml"/><Relationship Id="rId94" Type="http://schemas.openxmlformats.org/officeDocument/2006/relationships/footer" Target="footer40.xml"/><Relationship Id="rId148" Type="http://schemas.openxmlformats.org/officeDocument/2006/relationships/footer" Target="footer67.xml"/><Relationship Id="rId169" Type="http://schemas.openxmlformats.org/officeDocument/2006/relationships/footer" Target="footer78.xml"/><Relationship Id="rId334" Type="http://schemas.openxmlformats.org/officeDocument/2006/relationships/footer" Target="footer160.xml"/><Relationship Id="rId355" Type="http://schemas.openxmlformats.org/officeDocument/2006/relationships/footer" Target="footer171.xml"/><Relationship Id="rId376" Type="http://schemas.openxmlformats.org/officeDocument/2006/relationships/footer" Target="footer181.xml"/><Relationship Id="rId397" Type="http://schemas.openxmlformats.org/officeDocument/2006/relationships/footer" Target="footer192.xml"/><Relationship Id="rId4" Type="http://schemas.openxmlformats.org/officeDocument/2006/relationships/customXml" Target="../customXml/item4.xml"/><Relationship Id="rId180" Type="http://schemas.openxmlformats.org/officeDocument/2006/relationships/header" Target="header84.xml"/><Relationship Id="rId215" Type="http://schemas.openxmlformats.org/officeDocument/2006/relationships/footer" Target="footer101.xml"/><Relationship Id="rId236" Type="http://schemas.openxmlformats.org/officeDocument/2006/relationships/header" Target="header112.xml"/><Relationship Id="rId257" Type="http://schemas.openxmlformats.org/officeDocument/2006/relationships/footer" Target="footer122.xml"/><Relationship Id="rId278" Type="http://schemas.openxmlformats.org/officeDocument/2006/relationships/header" Target="header133.xml"/><Relationship Id="rId401" Type="http://schemas.openxmlformats.org/officeDocument/2006/relationships/footer" Target="footer194.xml"/><Relationship Id="rId422" Type="http://schemas.openxmlformats.org/officeDocument/2006/relationships/footer" Target="footer204.xml"/><Relationship Id="rId443" Type="http://schemas.microsoft.com/office/2019/05/relationships/documenttasks" Target="documenttasks/documenttasks1.xml"/><Relationship Id="rId303" Type="http://schemas.openxmlformats.org/officeDocument/2006/relationships/header" Target="header146.xml"/><Relationship Id="rId42" Type="http://schemas.openxmlformats.org/officeDocument/2006/relationships/header" Target="header15.xml"/><Relationship Id="rId84" Type="http://schemas.openxmlformats.org/officeDocument/2006/relationships/header" Target="header36.xml"/><Relationship Id="rId138" Type="http://schemas.openxmlformats.org/officeDocument/2006/relationships/header" Target="header63.xml"/><Relationship Id="rId345" Type="http://schemas.openxmlformats.org/officeDocument/2006/relationships/header" Target="header167.xml"/><Relationship Id="rId387" Type="http://schemas.openxmlformats.org/officeDocument/2006/relationships/header" Target="header188.xml"/><Relationship Id="rId191" Type="http://schemas.openxmlformats.org/officeDocument/2006/relationships/footer" Target="footer89.xml"/><Relationship Id="rId205" Type="http://schemas.openxmlformats.org/officeDocument/2006/relationships/footer" Target="footer96.xml"/><Relationship Id="rId247" Type="http://schemas.openxmlformats.org/officeDocument/2006/relationships/footer" Target="footer117.xml"/><Relationship Id="rId412" Type="http://schemas.openxmlformats.org/officeDocument/2006/relationships/header" Target="header200.xml"/><Relationship Id="rId107" Type="http://schemas.openxmlformats.org/officeDocument/2006/relationships/footer" Target="footer47.xml"/><Relationship Id="rId289" Type="http://schemas.openxmlformats.org/officeDocument/2006/relationships/footer" Target="footer138.xml"/><Relationship Id="rId11" Type="http://schemas.openxmlformats.org/officeDocument/2006/relationships/image" Target="media/image1.emf"/><Relationship Id="rId53" Type="http://schemas.openxmlformats.org/officeDocument/2006/relationships/footer" Target="footer20.xml"/><Relationship Id="rId149" Type="http://schemas.openxmlformats.org/officeDocument/2006/relationships/footer" Target="footer68.xml"/><Relationship Id="rId314" Type="http://schemas.openxmlformats.org/officeDocument/2006/relationships/header" Target="header151.xml"/><Relationship Id="rId356" Type="http://schemas.openxmlformats.org/officeDocument/2006/relationships/header" Target="header172.xml"/><Relationship Id="rId398" Type="http://schemas.openxmlformats.org/officeDocument/2006/relationships/header" Target="header193.xml"/><Relationship Id="rId95" Type="http://schemas.openxmlformats.org/officeDocument/2006/relationships/footer" Target="footer41.xml"/><Relationship Id="rId160" Type="http://schemas.openxmlformats.org/officeDocument/2006/relationships/footer" Target="footer73.xml"/><Relationship Id="rId216" Type="http://schemas.openxmlformats.org/officeDocument/2006/relationships/header" Target="header102.xml"/><Relationship Id="rId423" Type="http://schemas.openxmlformats.org/officeDocument/2006/relationships/header" Target="header205.xml"/><Relationship Id="rId258" Type="http://schemas.openxmlformats.org/officeDocument/2006/relationships/header" Target="header123.xml"/><Relationship Id="rId22" Type="http://schemas.openxmlformats.org/officeDocument/2006/relationships/header" Target="header6.xml"/><Relationship Id="rId64" Type="http://schemas.openxmlformats.org/officeDocument/2006/relationships/footer" Target="footer25.xml"/><Relationship Id="rId118" Type="http://schemas.openxmlformats.org/officeDocument/2006/relationships/footer" Target="footer52.xml"/><Relationship Id="rId325" Type="http://schemas.openxmlformats.org/officeDocument/2006/relationships/footer" Target="footer156.xml"/><Relationship Id="rId367" Type="http://schemas.openxmlformats.org/officeDocument/2006/relationships/footer" Target="footer177.xml"/><Relationship Id="rId171" Type="http://schemas.openxmlformats.org/officeDocument/2006/relationships/header" Target="header80.xml"/><Relationship Id="rId227" Type="http://schemas.openxmlformats.org/officeDocument/2006/relationships/footer" Target="footer107.xml"/><Relationship Id="rId269" Type="http://schemas.openxmlformats.org/officeDocument/2006/relationships/footer" Target="footer128.xml"/><Relationship Id="rId434" Type="http://schemas.openxmlformats.org/officeDocument/2006/relationships/footer" Target="footer210.xml"/></Relationships>
</file>

<file path=word/documenttasks/documenttasks1.xml><?xml version="1.0" encoding="utf-8"?>
<t:Tasks xmlns:t="http://schemas.microsoft.com/office/tasks/2019/documenttasks" xmlns:oel="http://schemas.microsoft.com/office/2019/extlst">
  <t:Task id="{56987377-2F68-4891-81A9-0CACE22E21E5}">
    <t:Anchor>
      <t:Comment id="698538180"/>
    </t:Anchor>
    <t:History>
      <t:Event id="{0AA41A07-C11E-469B-AE0D-D780624E105E}" time="2024-03-18T14:14:12.856Z">
        <t:Attribution userId="S::Claudia.PIFERI@ec.europa.eu::19496a8b-2d91-4010-ae9e-0b90968b4d4f" userProvider="AD" userName="PIFERI Claudia (ECFIN)"/>
        <t:Anchor>
          <t:Comment id="698538180"/>
        </t:Anchor>
        <t:Create/>
      </t:Event>
      <t:Event id="{8779EAFF-CF68-44A4-B1A0-1A8A137B160C}" time="2024-03-18T14:14:12.856Z">
        <t:Attribution userId="S::Claudia.PIFERI@ec.europa.eu::19496a8b-2d91-4010-ae9e-0b90968b4d4f" userProvider="AD" userName="PIFERI Claudia (ECFIN)"/>
        <t:Anchor>
          <t:Comment id="698538180"/>
        </t:Anchor>
        <t:Assign userId="S::Arnaud.MERCIER@ec.europa.eu::ff01f698-eaa4-4816-8c4f-755bc90ada5f" userProvider="AD" userName="MERCIER Arnaud (ECFIN)"/>
      </t:Event>
      <t:Event id="{0A2FD3C3-EB12-49F2-8348-8DEBDC6AAF92}" time="2024-03-18T14:14:12.856Z">
        <t:Attribution userId="S::Claudia.PIFERI@ec.europa.eu::19496a8b-2d91-4010-ae9e-0b90968b4d4f" userProvider="AD" userName="PIFERI Claudia (ECFIN)"/>
        <t:Anchor>
          <t:Comment id="698538180"/>
        </t:Anchor>
        <t:SetTitle title="@MERCIER Arnaud (ECFIN) can you pls check this wording? "/>
      </t:Event>
    </t:History>
  </t:Task>
  <t:Task id="{27AE463C-95FF-4948-A632-3D8057E8455F}">
    <t:Anchor>
      <t:Comment id="698537315"/>
    </t:Anchor>
    <t:History>
      <t:Event id="{DDA39B9B-3FBB-48BF-A967-AF25483B1C8E}" time="2024-03-18T13:59:47.909Z">
        <t:Attribution userId="S::Claudia.PIFERI@ec.europa.eu::19496a8b-2d91-4010-ae9e-0b90968b4d4f" userProvider="AD" userName="PIFERI Claudia (ECFIN)"/>
        <t:Anchor>
          <t:Comment id="698537315"/>
        </t:Anchor>
        <t:Create/>
      </t:Event>
      <t:Event id="{DD0EA60D-290F-4A8E-9179-6C5A452A9FB8}" time="2024-03-18T13:59:47.909Z">
        <t:Attribution userId="S::Claudia.PIFERI@ec.europa.eu::19496a8b-2d91-4010-ae9e-0b90968b4d4f" userProvider="AD" userName="PIFERI Claudia (ECFIN)"/>
        <t:Anchor>
          <t:Comment id="698537315"/>
        </t:Anchor>
        <t:Assign userId="S::Arnaud.MERCIER@ec.europa.eu::ff01f698-eaa4-4816-8c4f-755bc90ada5f" userProvider="AD" userName="MERCIER Arnaud (ECFIN)"/>
      </t:Event>
      <t:Event id="{20157B7D-49F3-48CF-B9AD-EFE0F32D1D9E}" time="2024-03-18T13:59:47.909Z">
        <t:Attribution userId="S::Claudia.PIFERI@ec.europa.eu::19496a8b-2d91-4010-ae9e-0b90968b4d4f" userProvider="AD" userName="PIFERI Claudia (ECFIN)"/>
        <t:Anchor>
          <t:Comment id="698537315"/>
        </t:Anchor>
        <t:SetTitle title="@MERCIER Arnaud (ECFIN) can you check if this reduction is fine for the climate objective "/>
      </t:Event>
    </t:History>
  </t:Task>
  <t:Task id="{56C3D66A-E0E7-46A5-B1FA-F4B8002FFEEB}">
    <t:Anchor>
      <t:Comment id="698538670"/>
    </t:Anchor>
    <t:History>
      <t:Event id="{F56CC523-B189-4D39-A33D-670FD3C02BF2}" time="2024-03-18T14:22:22.378Z">
        <t:Attribution userId="S::Claudia.PIFERI@ec.europa.eu::19496a8b-2d91-4010-ae9e-0b90968b4d4f" userProvider="AD" userName="PIFERI Claudia (ECFIN)"/>
        <t:Anchor>
          <t:Comment id="698538670"/>
        </t:Anchor>
        <t:Create/>
      </t:Event>
      <t:Event id="{CBA86F35-B00B-4174-9E21-01652CCBA396}" time="2024-03-18T14:22:22.378Z">
        <t:Attribution userId="S::Claudia.PIFERI@ec.europa.eu::19496a8b-2d91-4010-ae9e-0b90968b4d4f" userProvider="AD" userName="PIFERI Claudia (ECFIN)"/>
        <t:Anchor>
          <t:Comment id="698538670"/>
        </t:Anchor>
        <t:Assign userId="S::Daniel.BATES@ec.europa.eu::a40ed3c7-8090-4de8-b24c-63d53dfbdae8" userProvider="AD" userName="BATES Daniel (ECFIN)"/>
      </t:Event>
      <t:Event id="{9D34B26F-BBD1-4E08-A115-D52CD3DF02DE}" time="2024-03-18T14:22:22.378Z">
        <t:Attribution userId="S::Claudia.PIFERI@ec.europa.eu::19496a8b-2d91-4010-ae9e-0b90968b4d4f" userProvider="AD" userName="PIFERI Claudia (ECFIN)"/>
        <t:Anchor>
          <t:Comment id="698538670"/>
        </t:Anchor>
        <t:SetTitle title="@BATES Daniel (ECFIN) can you please check if this wording is fine? "/>
      </t:Event>
    </t:History>
  </t:Task>
  <t:Task id="{D716F20A-1591-4A58-AA8F-93C6140B2015}">
    <t:Anchor>
      <t:Comment id="698540576"/>
    </t:Anchor>
    <t:History>
      <t:Event id="{8BE2D531-F5EF-4313-99D5-CB9FCAAFC13F}" time="2024-04-03T07:32:38.95Z">
        <t:Attribution userId="S::Eugenio.DELUCCA-BOVICELLI@ec.europa.eu::0851a5e1-d19b-4e61-bb1e-9b7ee7093f5d" userProvider="AD" userName="DELUCCA BOVICELLI Eugenio (SG-RECOVER)"/>
        <t:Anchor>
          <t:Comment id="699900086"/>
        </t:Anchor>
        <t:Create/>
      </t:Event>
      <t:Event id="{A5053367-E5DA-4235-9FAE-9990649B142D}" time="2024-04-03T07:32:38.95Z">
        <t:Attribution userId="S::Eugenio.DELUCCA-BOVICELLI@ec.europa.eu::0851a5e1-d19b-4e61-bb1e-9b7ee7093f5d" userProvider="AD" userName="DELUCCA BOVICELLI Eugenio (SG-RECOVER)"/>
        <t:Anchor>
          <t:Comment id="699900086"/>
        </t:Anchor>
        <t:Assign userId="S::Barbara.BERNARDI1@ec.europa.eu::170e086e-9a17-4dad-a898-317ae746442f" userProvider="AD" userName="BERNARDI Barbara (ECFIN)"/>
      </t:Event>
      <t:Event id="{C7030224-42B0-4959-B660-E19774CC6A09}" time="2024-04-03T07:32:38.95Z">
        <t:Attribution userId="S::Eugenio.DELUCCA-BOVICELLI@ec.europa.eu::0851a5e1-d19b-4e61-bb1e-9b7ee7093f5d" userProvider="AD" userName="DELUCCA BOVICELLI Eugenio (SG-RECOVER)"/>
        <t:Anchor>
          <t:Comment id="699900086"/>
        </t:Anchor>
        <t:SetTitle title="@BERNARDI Barbara (ECFIN) @ROSSI SALVEMINI Francesco (SG-RECOVER-ROME) "/>
      </t:Event>
    </t:History>
  </t:Task>
  <t:Task id="{DE99DE3B-A25E-4EBE-8B55-6F89991748DA}">
    <t:Anchor>
      <t:Comment id="698539735"/>
    </t:Anchor>
    <t:History>
      <t:Event id="{53A1EB5E-0F9F-4627-B033-B7B9D52D7B91}" time="2024-04-03T07:52:31.325Z">
        <t:Attribution userId="S::Eugenio.DELUCCA-BOVICELLI@ec.europa.eu::0851a5e1-d19b-4e61-bb1e-9b7ee7093f5d" userProvider="AD" userName="DELUCCA BOVICELLI Eugenio (SG-RECOVER)"/>
        <t:Anchor>
          <t:Comment id="699901306"/>
        </t:Anchor>
        <t:Create/>
      </t:Event>
      <t:Event id="{EC6734E6-4D14-4A36-BD5F-C3D7F3D11C82}" time="2024-04-03T07:52:31.325Z">
        <t:Attribution userId="S::Eugenio.DELUCCA-BOVICELLI@ec.europa.eu::0851a5e1-d19b-4e61-bb1e-9b7ee7093f5d" userProvider="AD" userName="DELUCCA BOVICELLI Eugenio (SG-RECOVER)"/>
        <t:Anchor>
          <t:Comment id="699901306"/>
        </t:Anchor>
        <t:Assign userId="S::Gianluca.PAPA@ec.europa.eu::663e9b40-8cdb-4a8f-a390-2ad44aac6f4e" userProvider="AD" userName="PAPA Gianluca (ECFIN)"/>
      </t:Event>
      <t:Event id="{8943B823-66EB-471C-B346-64F6D73C251C}" time="2024-04-03T07:52:31.325Z">
        <t:Attribution userId="S::Eugenio.DELUCCA-BOVICELLI@ec.europa.eu::0851a5e1-d19b-4e61-bb1e-9b7ee7093f5d" userProvider="AD" userName="DELUCCA BOVICELLI Eugenio (SG-RECOVER)"/>
        <t:Anchor>
          <t:Comment id="699901306"/>
        </t:Anchor>
        <t:SetTitle title="@PAPA Gianluca (ECFIN) @MORANDOTTI Francesco (ECFIN) "/>
      </t:Event>
    </t:History>
  </t:Task>
  <t:Task id="{1299FA6C-A7FB-41BD-8BDB-7E254CC07707}">
    <t:Anchor>
      <t:Comment id="698540961"/>
    </t:Anchor>
    <t:History>
      <t:Event id="{B9F434ED-7F3F-47FB-869A-9620D4938C0E}" time="2024-04-03T07:37:22.102Z">
        <t:Attribution userId="S::Eugenio.DELUCCA-BOVICELLI@ec.europa.eu::0851a5e1-d19b-4e61-bb1e-9b7ee7093f5d" userProvider="AD" userName="DELUCCA BOVICELLI Eugenio (SG-RECOVER)"/>
        <t:Anchor>
          <t:Comment id="699900443"/>
        </t:Anchor>
        <t:Create/>
      </t:Event>
      <t:Event id="{80920E7D-80F5-452F-838B-0AC4037CD0DF}" time="2024-04-03T07:37:22.102Z">
        <t:Attribution userId="S::Eugenio.DELUCCA-BOVICELLI@ec.europa.eu::0851a5e1-d19b-4e61-bb1e-9b7ee7093f5d" userProvider="AD" userName="DELUCCA BOVICELLI Eugenio (SG-RECOVER)"/>
        <t:Anchor>
          <t:Comment id="699900443"/>
        </t:Anchor>
        <t:Assign userId="S::Valentina.RUSCONI@ec.europa.eu::3abaf4a9-c3a5-4883-982f-b0b52aca13db" userProvider="AD" userName="RUSCONI Valentina (SG-RECOVER)"/>
      </t:Event>
      <t:Event id="{75F9FC87-45F2-443A-BFE8-A7F0BAD45C62}" time="2024-04-03T07:37:22.102Z">
        <t:Attribution userId="S::Eugenio.DELUCCA-BOVICELLI@ec.europa.eu::0851a5e1-d19b-4e61-bb1e-9b7ee7093f5d" userProvider="AD" userName="DELUCCA BOVICELLI Eugenio (SG-RECOVER)"/>
        <t:Anchor>
          <t:Comment id="699900443"/>
        </t:Anchor>
        <t:SetTitle title="@RUSCONI Valentina (SG-RECOVER) This looks ok, tagging you for info"/>
      </t:Event>
    </t:History>
  </t:Task>
  <t:Task id="{DBABE94B-CC2C-426F-9D33-01B5723CE016}">
    <t:Anchor>
      <t:Comment id="698630896"/>
    </t:Anchor>
    <t:History>
      <t:Event id="{F4C0442E-F52B-4953-82A3-2290C979831F}" time="2024-04-03T08:49:08.262Z">
        <t:Attribution userId="S::Eugenio.DELUCCA-BOVICELLI@ec.europa.eu::0851a5e1-d19b-4e61-bb1e-9b7ee7093f5d" userProvider="AD" userName="DELUCCA BOVICELLI Eugenio (SG-RECOVER)"/>
        <t:Anchor>
          <t:Comment id="699904676"/>
        </t:Anchor>
        <t:Create/>
      </t:Event>
      <t:Event id="{47C92E88-E48D-4B1F-922B-890CD3273890}" time="2024-04-03T08:49:08.262Z">
        <t:Attribution userId="S::Eugenio.DELUCCA-BOVICELLI@ec.europa.eu::0851a5e1-d19b-4e61-bb1e-9b7ee7093f5d" userProvider="AD" userName="DELUCCA BOVICELLI Eugenio (SG-RECOVER)"/>
        <t:Anchor>
          <t:Comment id="699904676"/>
        </t:Anchor>
        <t:Assign userId="S::Olivier.COPPENS@ec.europa.eu::f35d86a1-57c7-49b3-86b4-db9ff4b1202c" userProvider="AD" userName="COPPENS Olivier (SG-RECOVER)"/>
      </t:Event>
      <t:Event id="{1EF7209C-1E5D-4B15-A055-00BB8995F93D}" time="2024-04-03T08:49:08.262Z">
        <t:Attribution userId="S::Eugenio.DELUCCA-BOVICELLI@ec.europa.eu::0851a5e1-d19b-4e61-bb1e-9b7ee7093f5d" userProvider="AD" userName="DELUCCA BOVICELLI Eugenio (SG-RECOVER)"/>
        <t:Anchor>
          <t:Comment id="699904676"/>
        </t:Anchor>
        <t:SetTitle title="@COPPENS Olivier (SG-RECOVER) @MAPELLI Marco (ECFIN) "/>
      </t:Event>
    </t:History>
  </t:Task>
  <t:Task id="{1DF3E9A7-C653-4F03-9EDE-DBAE22047BFC}">
    <t:Anchor>
      <t:Comment id="698633355"/>
    </t:Anchor>
    <t:History>
      <t:Event id="{456303D8-B901-4734-B96E-37728BAB4424}" time="2024-04-03T08:49:24.831Z">
        <t:Attribution userId="S::Eugenio.DELUCCA-BOVICELLI@ec.europa.eu::0851a5e1-d19b-4e61-bb1e-9b7ee7093f5d" userProvider="AD" userName="DELUCCA BOVICELLI Eugenio (SG-RECOVER)"/>
        <t:Anchor>
          <t:Comment id="699904692"/>
        </t:Anchor>
        <t:Create/>
      </t:Event>
      <t:Event id="{9E164575-A559-410C-B9F2-27209FCE1FE9}" time="2024-04-03T08:49:24.831Z">
        <t:Attribution userId="S::Eugenio.DELUCCA-BOVICELLI@ec.europa.eu::0851a5e1-d19b-4e61-bb1e-9b7ee7093f5d" userProvider="AD" userName="DELUCCA BOVICELLI Eugenio (SG-RECOVER)"/>
        <t:Anchor>
          <t:Comment id="699904692"/>
        </t:Anchor>
        <t:Assign userId="S::Olivier.COPPENS@ec.europa.eu::f35d86a1-57c7-49b3-86b4-db9ff4b1202c" userProvider="AD" userName="COPPENS Olivier (SG-RECOVER)"/>
      </t:Event>
      <t:Event id="{A1D0A0E2-3035-4F4F-B75B-132650217BDF}" time="2024-04-03T08:49:24.831Z">
        <t:Attribution userId="S::Eugenio.DELUCCA-BOVICELLI@ec.europa.eu::0851a5e1-d19b-4e61-bb1e-9b7ee7093f5d" userProvider="AD" userName="DELUCCA BOVICELLI Eugenio (SG-RECOVER)"/>
        <t:Anchor>
          <t:Comment id="699904692"/>
        </t:Anchor>
        <t:SetTitle title="@COPPENS Olivier (SG-RECOVER) @MAPELLI Marco (ECFIN) "/>
      </t:Event>
    </t:History>
  </t:Task>
  <t:Task id="{BD4A008E-4474-4FFC-ACED-2A040111E7B3}">
    <t:Anchor>
      <t:Comment id="698612130"/>
    </t:Anchor>
    <t:History>
      <t:Event id="{F554A944-C694-49E3-B69C-577F213569AE}" time="2024-04-03T09:05:49.868Z">
        <t:Attribution userId="S::Eugenio.DELUCCA-BOVICELLI@ec.europa.eu::0851a5e1-d19b-4e61-bb1e-9b7ee7093f5d" userProvider="AD" userName="DELUCCA BOVICELLI Eugenio (SG-RECOVER)"/>
        <t:Anchor>
          <t:Comment id="699905677"/>
        </t:Anchor>
        <t:Create/>
      </t:Event>
      <t:Event id="{A2EE4EFA-49FC-4DA9-9810-373888895FDC}" time="2024-04-03T09:05:49.868Z">
        <t:Attribution userId="S::Eugenio.DELUCCA-BOVICELLI@ec.europa.eu::0851a5e1-d19b-4e61-bb1e-9b7ee7093f5d" userProvider="AD" userName="DELUCCA BOVICELLI Eugenio (SG-RECOVER)"/>
        <t:Anchor>
          <t:Comment id="699905677"/>
        </t:Anchor>
        <t:Assign userId="S::Marco.MAPELLI@ec.europa.eu::9435c14f-c002-4e3e-a3fe-8ddeba22ee8c" userProvider="AD" userName="MAPELLI Marco (ECFIN)"/>
      </t:Event>
      <t:Event id="{410B9BF9-BC90-4B5B-8B79-07367C4F153B}" time="2024-04-03T09:05:49.868Z">
        <t:Attribution userId="S::Eugenio.DELUCCA-BOVICELLI@ec.europa.eu::0851a5e1-d19b-4e61-bb1e-9b7ee7093f5d" userProvider="AD" userName="DELUCCA BOVICELLI Eugenio (SG-RECOVER)"/>
        <t:Anchor>
          <t:Comment id="699905677"/>
        </t:Anchor>
        <t:SetTitle title="@MAPELLI Marco (ECFIN) "/>
      </t:Event>
    </t:History>
  </t:Task>
  <t:Task id="{1328BB3B-5806-4316-9D06-C8676C5B0691}">
    <t:Anchor>
      <t:Comment id="698612105"/>
    </t:Anchor>
    <t:History>
      <t:Event id="{E242B4C3-711E-4C9B-A429-E1E10B60272E}" time="2024-04-03T09:06:05.036Z">
        <t:Attribution userId="S::Eugenio.DELUCCA-BOVICELLI@ec.europa.eu::0851a5e1-d19b-4e61-bb1e-9b7ee7093f5d" userProvider="AD" userName="DELUCCA BOVICELLI Eugenio (SG-RECOVER)"/>
        <t:Anchor>
          <t:Comment id="699905693"/>
        </t:Anchor>
        <t:Create/>
      </t:Event>
      <t:Event id="{B40C6ECC-24E8-4498-B6A3-076682F9AA0E}" time="2024-04-03T09:06:05.036Z">
        <t:Attribution userId="S::Eugenio.DELUCCA-BOVICELLI@ec.europa.eu::0851a5e1-d19b-4e61-bb1e-9b7ee7093f5d" userProvider="AD" userName="DELUCCA BOVICELLI Eugenio (SG-RECOVER)"/>
        <t:Anchor>
          <t:Comment id="699905693"/>
        </t:Anchor>
        <t:Assign userId="S::Marco.MAPELLI@ec.europa.eu::9435c14f-c002-4e3e-a3fe-8ddeba22ee8c" userProvider="AD" userName="MAPELLI Marco (ECFIN)"/>
      </t:Event>
      <t:Event id="{382926AE-5FE6-42CB-ADD1-361CA9975261}" time="2024-04-03T09:06:05.036Z">
        <t:Attribution userId="S::Eugenio.DELUCCA-BOVICELLI@ec.europa.eu::0851a5e1-d19b-4e61-bb1e-9b7ee7093f5d" userProvider="AD" userName="DELUCCA BOVICELLI Eugenio (SG-RECOVER)"/>
        <t:Anchor>
          <t:Comment id="699905693"/>
        </t:Anchor>
        <t:SetTitle title="@MAPELLI Marco (ECFIN)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094E9F29D6C04F85860C631ABC812A" ma:contentTypeVersion="29" ma:contentTypeDescription="Create a new document." ma:contentTypeScope="" ma:versionID="cd73b62feeb1b339ab307b7236a6b550">
  <xsd:schema xmlns:xsd="http://www.w3.org/2001/XMLSchema" xmlns:xs="http://www.w3.org/2001/XMLSchema" xmlns:p="http://schemas.microsoft.com/office/2006/metadata/properties" xmlns:ns1="http://schemas.microsoft.com/sharepoint/v3" xmlns:ns2="1700ab43-7395-48ff-866c-657c86ba7f4e" xmlns:ns3="e6c3bc29-9e11-4027-900b-c73633d7928a" targetNamespace="http://schemas.microsoft.com/office/2006/metadata/properties" ma:root="true" ma:fieldsID="21c3afd3f7191363bd61b822ceb8aaac" ns1:_="" ns2:_="" ns3:_="">
    <xsd:import namespace="http://schemas.microsoft.com/sharepoint/v3"/>
    <xsd:import namespace="1700ab43-7395-48ff-866c-657c86ba7f4e"/>
    <xsd:import namespace="e6c3bc29-9e11-4027-900b-c73633d7928a"/>
    <xsd:element name="properties">
      <xsd:complexType>
        <xsd:sequence>
          <xsd:element name="documentManagement">
            <xsd:complexType>
              <xsd:all>
                <xsd:element ref="ns2:Status" minOccurs="0"/>
                <xsd:element ref="ns2:Deadline" minOccurs="0"/>
                <xsd:element ref="ns2:ISCreferencenumber" minOccurs="0"/>
                <xsd:element ref="ns2:Answersent" minOccurs="0"/>
                <xsd:element ref="ns2:Whoneedstoanswer" minOccurs="0"/>
                <xsd:element ref="ns2:Stage" minOccurs="0"/>
                <xsd:element ref="ns2:Level" minOccurs="0"/>
                <xsd:element ref="ns2:Scope" minOccurs="0"/>
                <xsd:element ref="ns2:Aresnumber" minOccurs="0"/>
                <xsd:element ref="ns3:SharedWithUsers" minOccurs="0"/>
                <xsd:element ref="ns3:SharedWithDetails" minOccurs="0"/>
                <xsd:element ref="ns2:MediaServiceMetadata" minOccurs="0"/>
                <xsd:element ref="ns2:MediaServiceFastMetadata" minOccurs="0"/>
                <xsd:element ref="ns2:MediaServiceAutoKeyPoints" minOccurs="0"/>
                <xsd:element ref="ns1:_ip_UnifiedCompliancePolicyProperties" minOccurs="0"/>
                <xsd:element ref="ns1:_ip_UnifiedCompliancePolicyUIAction"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ma:readOnly="false">
      <xsd:simpleType>
        <xsd:restriction base="dms:Note"/>
      </xsd:simpleType>
    </xsd:element>
    <xsd:element name="_ip_UnifiedCompliancePolicyUIAction" ma:index="24"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00ab43-7395-48ff-866c-657c86ba7f4e" elementFormDefault="qualified">
    <xsd:import namespace="http://schemas.microsoft.com/office/2006/documentManagement/types"/>
    <xsd:import namespace="http://schemas.microsoft.com/office/infopath/2007/PartnerControls"/>
    <xsd:element name="Status" ma:index="2" nillable="true" ma:displayName="Status" ma:format="Dropdown" ma:internalName="Status" ma:readOnly="false">
      <xsd:simpleType>
        <xsd:restriction base="dms:Choice">
          <xsd:enumeration value="Ongoing"/>
          <xsd:enumeration value="Closed"/>
        </xsd:restriction>
      </xsd:simpleType>
    </xsd:element>
    <xsd:element name="Deadline" ma:index="3" nillable="true" ma:displayName="Deadline" ma:format="DateOnly" ma:internalName="Deadline" ma:readOnly="false">
      <xsd:simpleType>
        <xsd:restriction base="dms:DateTime"/>
      </xsd:simpleType>
    </xsd:element>
    <xsd:element name="ISCreferencenumber" ma:index="4" nillable="true" ma:displayName="ISC reference number" ma:format="Dropdown" ma:internalName="ISCreferencenumber" ma:readOnly="false">
      <xsd:simpleType>
        <xsd:restriction base="dms:Text">
          <xsd:maxLength value="255"/>
        </xsd:restriction>
      </xsd:simpleType>
    </xsd:element>
    <xsd:element name="Answersent" ma:index="5" nillable="true" ma:displayName="Answer sent" ma:default="0" ma:format="Dropdown" ma:internalName="Answersent" ma:readOnly="false">
      <xsd:simpleType>
        <xsd:restriction base="dms:Boolean"/>
      </xsd:simpleType>
    </xsd:element>
    <xsd:element name="Whoneedstoanswer" ma:index="6" nillable="true" ma:displayName="Who needs to answer" ma:description="please indicate who received the ISC" ma:format="Dropdown" ma:internalName="Whoneedstoanswer" ma:readOnly="false">
      <xsd:simpleType>
        <xsd:restriction base="dms:Choice">
          <xsd:enumeration value="ECFIN"/>
          <xsd:enumeration value="SG RECOVER"/>
          <xsd:enumeration value="Both"/>
        </xsd:restriction>
      </xsd:simpleType>
    </xsd:element>
    <xsd:element name="Stage" ma:index="7" nillable="true" ma:displayName="Phase" ma:format="Dropdown" ma:internalName="Stage" ma:readOnly="false">
      <xsd:complexType>
        <xsd:complexContent>
          <xsd:extension base="dms:MultiChoice">
            <xsd:sequence>
              <xsd:element name="Value" maxOccurs="unbounded" minOccurs="0" nillable="true">
                <xsd:simpleType>
                  <xsd:restriction base="dms:Choice">
                    <xsd:enumeration value="Preparation"/>
                    <xsd:enumeration value="1st payment request"/>
                    <xsd:enumeration value="3rd Payment request"/>
                    <xsd:enumeration value="4th Payment request"/>
                    <xsd:enumeration value="5th Payment request"/>
                    <xsd:enumeration value="6th Payment request"/>
                    <xsd:enumeration value="2nd payment request"/>
                  </xsd:restriction>
                </xsd:simpleType>
              </xsd:element>
            </xsd:sequence>
          </xsd:extension>
        </xsd:complexContent>
      </xsd:complexType>
    </xsd:element>
    <xsd:element name="Level" ma:index="8" nillable="true" ma:displayName="Level" ma:description="depending if E&amp;D attended" ma:format="Dropdown" ma:internalName="Level" ma:readOnly="false">
      <xsd:simpleType>
        <xsd:restriction base="dms:Choice">
          <xsd:enumeration value="Principals"/>
          <xsd:enumeration value="Technical"/>
        </xsd:restriction>
      </xsd:simpleType>
    </xsd:element>
    <xsd:element name="Scope" ma:index="9" nillable="true" ma:displayName="Scope" ma:format="Dropdown" ma:internalName="Scope" ma:readOnly="false">
      <xsd:simpleType>
        <xsd:restriction base="dms:Choice">
          <xsd:enumeration value="General"/>
          <xsd:enumeration value="Thematic"/>
        </xsd:restriction>
      </xsd:simpleType>
    </xsd:element>
    <xsd:element name="Aresnumber" ma:index="10" nillable="true" ma:displayName="Ares number" ma:format="Dropdown" ma:internalName="Aresnumber"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OCR" ma:index="32" nillable="true" ma:displayName="Extracted Text" ma:hidden="true" ma:internalName="MediaServiceOCR" ma:readOnly="true">
      <xsd:simpleType>
        <xsd:restriction base="dms:Note"/>
      </xsd:simpleType>
    </xsd:element>
    <xsd:element name="MediaServiceLocation" ma:index="33" nillable="true" ma:displayName="Location" ma:hidden="true" ma:indexed="true" ma:internalName="MediaServiceLocatio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c3bc29-9e11-4027-900b-c73633d7928a"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bda955a7-c319-4d68-acea-690316db2eb1}" ma:internalName="TaxCatchAll" ma:readOnly="false" ma:showField="CatchAllData" ma:web="e6c3bc29-9e11-4027-900b-c73633d79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resnumber xmlns="1700ab43-7395-48ff-866c-657c86ba7f4e" xsi:nil="true"/>
    <_ip_UnifiedCompliancePolicyUIAction xmlns="http://schemas.microsoft.com/sharepoint/v3" xsi:nil="true"/>
    <ISCreferencenumber xmlns="1700ab43-7395-48ff-866c-657c86ba7f4e" xsi:nil="true"/>
    <Status xmlns="1700ab43-7395-48ff-866c-657c86ba7f4e" xsi:nil="true"/>
    <Whoneedstoanswer xmlns="1700ab43-7395-48ff-866c-657c86ba7f4e" xsi:nil="true"/>
    <TaxCatchAll xmlns="e6c3bc29-9e11-4027-900b-c73633d7928a" xsi:nil="true"/>
    <Stage xmlns="1700ab43-7395-48ff-866c-657c86ba7f4e" xsi:nil="true"/>
    <lcf76f155ced4ddcb4097134ff3c332f xmlns="1700ab43-7395-48ff-866c-657c86ba7f4e">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_ip_UnifiedCompliancePolicyProperties xmlns="http://schemas.microsoft.com/sharepoint/v3" xsi:nil="true"/>
    <Level xmlns="1700ab43-7395-48ff-866c-657c86ba7f4e" xsi:nil="true"/>
    <Deadline xmlns="1700ab43-7395-48ff-866c-657c86ba7f4e" xsi:nil="true"/>
    <Answersent xmlns="1700ab43-7395-48ff-866c-657c86ba7f4e">false</Answersent>
    <Scope xmlns="1700ab43-7395-48ff-866c-657c86ba7f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45C01-B2C6-4A18-A01F-834FE498C2AC}">
  <ds:schemaRefs>
    <ds:schemaRef ds:uri="http://schemas.microsoft.com/sharepoint/v3/contenttype/forms"/>
  </ds:schemaRefs>
</ds:datastoreItem>
</file>

<file path=customXml/itemProps2.xml><?xml version="1.0" encoding="utf-8"?>
<ds:datastoreItem xmlns:ds="http://schemas.openxmlformats.org/officeDocument/2006/customXml" ds:itemID="{FE4D9307-0585-4B8D-A975-EED0319C6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00ab43-7395-48ff-866c-657c86ba7f4e"/>
    <ds:schemaRef ds:uri="e6c3bc29-9e11-4027-900b-c73633d79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E831A-7C98-40EC-8D29-29ABCB98A064}">
  <ds:schemaRefs>
    <ds:schemaRef ds:uri="http://schemas.microsoft.com/office/2006/metadata/properties"/>
    <ds:schemaRef ds:uri="http://schemas.microsoft.com/office/infopath/2007/PartnerControls"/>
    <ds:schemaRef ds:uri="1700ab43-7395-48ff-866c-657c86ba7f4e"/>
    <ds:schemaRef ds:uri="http://schemas.microsoft.com/sharepoint/v3"/>
    <ds:schemaRef ds:uri="e6c3bc29-9e11-4027-900b-c73633d7928a"/>
  </ds:schemaRefs>
</ds:datastoreItem>
</file>

<file path=customXml/itemProps4.xml><?xml version="1.0" encoding="utf-8"?>
<ds:datastoreItem xmlns:ds="http://schemas.openxmlformats.org/officeDocument/2006/customXml" ds:itemID="{D039D7A5-79C5-4AB0-81A0-8B6F3300D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8</Pages>
  <Words>124760</Words>
  <Characters>711137</Characters>
  <Application>Microsoft Office Word</Application>
  <DocSecurity>0</DocSecurity>
  <Lines>5926</Lines>
  <Paragraphs>1668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834229</CharactersWithSpaces>
  <SharedDoc>false</SharedDoc>
  <HLinks>
    <vt:vector size="138" baseType="variant">
      <vt:variant>
        <vt:i4>3866668</vt:i4>
      </vt:variant>
      <vt:variant>
        <vt:i4>6</vt:i4>
      </vt:variant>
      <vt:variant>
        <vt:i4>0</vt:i4>
      </vt:variant>
      <vt:variant>
        <vt:i4>5</vt:i4>
      </vt:variant>
      <vt:variant>
        <vt:lpwstr>http://www.syllabus.gov.it/</vt:lpwstr>
      </vt:variant>
      <vt:variant>
        <vt:lpwstr/>
      </vt:variant>
      <vt:variant>
        <vt:i4>6815780</vt:i4>
      </vt:variant>
      <vt:variant>
        <vt:i4>3</vt:i4>
      </vt:variant>
      <vt:variant>
        <vt:i4>0</vt:i4>
      </vt:variant>
      <vt:variant>
        <vt:i4>5</vt:i4>
      </vt:variant>
      <vt:variant>
        <vt:lpwstr>http://www.inps.it/</vt:lpwstr>
      </vt:variant>
      <vt:variant>
        <vt:lpwstr/>
      </vt:variant>
      <vt:variant>
        <vt:i4>6815780</vt:i4>
      </vt:variant>
      <vt:variant>
        <vt:i4>0</vt:i4>
      </vt:variant>
      <vt:variant>
        <vt:i4>0</vt:i4>
      </vt:variant>
      <vt:variant>
        <vt:i4>5</vt:i4>
      </vt:variant>
      <vt:variant>
        <vt:lpwstr>http://www.inps.it/</vt:lpwstr>
      </vt:variant>
      <vt:variant>
        <vt:lpwstr/>
      </vt:variant>
      <vt:variant>
        <vt:i4>196719</vt:i4>
      </vt:variant>
      <vt:variant>
        <vt:i4>57</vt:i4>
      </vt:variant>
      <vt:variant>
        <vt:i4>0</vt:i4>
      </vt:variant>
      <vt:variant>
        <vt:i4>5</vt:i4>
      </vt:variant>
      <vt:variant>
        <vt:lpwstr>mailto:Barbara.BERNARDI1@ec.europa.eu</vt:lpwstr>
      </vt:variant>
      <vt:variant>
        <vt:lpwstr/>
      </vt:variant>
      <vt:variant>
        <vt:i4>6094897</vt:i4>
      </vt:variant>
      <vt:variant>
        <vt:i4>54</vt:i4>
      </vt:variant>
      <vt:variant>
        <vt:i4>0</vt:i4>
      </vt:variant>
      <vt:variant>
        <vt:i4>5</vt:i4>
      </vt:variant>
      <vt:variant>
        <vt:lpwstr>mailto:Francesco.ROSSI-SALVEMINI@ec.europa.eu</vt:lpwstr>
      </vt:variant>
      <vt:variant>
        <vt:lpwstr/>
      </vt:variant>
      <vt:variant>
        <vt:i4>6684753</vt:i4>
      </vt:variant>
      <vt:variant>
        <vt:i4>51</vt:i4>
      </vt:variant>
      <vt:variant>
        <vt:i4>0</vt:i4>
      </vt:variant>
      <vt:variant>
        <vt:i4>5</vt:i4>
      </vt:variant>
      <vt:variant>
        <vt:lpwstr>mailto:Elena.GIOVINAZZI@ec.europa.eu</vt:lpwstr>
      </vt:variant>
      <vt:variant>
        <vt:lpwstr/>
      </vt:variant>
      <vt:variant>
        <vt:i4>4980774</vt:i4>
      </vt:variant>
      <vt:variant>
        <vt:i4>48</vt:i4>
      </vt:variant>
      <vt:variant>
        <vt:i4>0</vt:i4>
      </vt:variant>
      <vt:variant>
        <vt:i4>5</vt:i4>
      </vt:variant>
      <vt:variant>
        <vt:lpwstr>mailto:Eugenio.DELUCCA-BOVICELLI@ec.europa.eu</vt:lpwstr>
      </vt:variant>
      <vt:variant>
        <vt:lpwstr/>
      </vt:variant>
      <vt:variant>
        <vt:i4>6684753</vt:i4>
      </vt:variant>
      <vt:variant>
        <vt:i4>45</vt:i4>
      </vt:variant>
      <vt:variant>
        <vt:i4>0</vt:i4>
      </vt:variant>
      <vt:variant>
        <vt:i4>5</vt:i4>
      </vt:variant>
      <vt:variant>
        <vt:lpwstr>mailto:Elena.GIOVINAZZI@ec.europa.eu</vt:lpwstr>
      </vt:variant>
      <vt:variant>
        <vt:lpwstr/>
      </vt:variant>
      <vt:variant>
        <vt:i4>4980774</vt:i4>
      </vt:variant>
      <vt:variant>
        <vt:i4>42</vt:i4>
      </vt:variant>
      <vt:variant>
        <vt:i4>0</vt:i4>
      </vt:variant>
      <vt:variant>
        <vt:i4>5</vt:i4>
      </vt:variant>
      <vt:variant>
        <vt:lpwstr>mailto:Eugenio.DELUCCA-BOVICELLI@ec.europa.eu</vt:lpwstr>
      </vt:variant>
      <vt:variant>
        <vt:lpwstr/>
      </vt:variant>
      <vt:variant>
        <vt:i4>6684753</vt:i4>
      </vt:variant>
      <vt:variant>
        <vt:i4>39</vt:i4>
      </vt:variant>
      <vt:variant>
        <vt:i4>0</vt:i4>
      </vt:variant>
      <vt:variant>
        <vt:i4>5</vt:i4>
      </vt:variant>
      <vt:variant>
        <vt:lpwstr>mailto:Elena.GIOVINAZZI@ec.europa.eu</vt:lpwstr>
      </vt:variant>
      <vt:variant>
        <vt:lpwstr/>
      </vt:variant>
      <vt:variant>
        <vt:i4>4980774</vt:i4>
      </vt:variant>
      <vt:variant>
        <vt:i4>36</vt:i4>
      </vt:variant>
      <vt:variant>
        <vt:i4>0</vt:i4>
      </vt:variant>
      <vt:variant>
        <vt:i4>5</vt:i4>
      </vt:variant>
      <vt:variant>
        <vt:lpwstr>mailto:Eugenio.DELUCCA-BOVICELLI@ec.europa.eu</vt:lpwstr>
      </vt:variant>
      <vt:variant>
        <vt:lpwstr/>
      </vt:variant>
      <vt:variant>
        <vt:i4>6684753</vt:i4>
      </vt:variant>
      <vt:variant>
        <vt:i4>33</vt:i4>
      </vt:variant>
      <vt:variant>
        <vt:i4>0</vt:i4>
      </vt:variant>
      <vt:variant>
        <vt:i4>5</vt:i4>
      </vt:variant>
      <vt:variant>
        <vt:lpwstr>mailto:Elena.GIOVINAZZI@ec.europa.eu</vt:lpwstr>
      </vt:variant>
      <vt:variant>
        <vt:lpwstr/>
      </vt:variant>
      <vt:variant>
        <vt:i4>4980774</vt:i4>
      </vt:variant>
      <vt:variant>
        <vt:i4>30</vt:i4>
      </vt:variant>
      <vt:variant>
        <vt:i4>0</vt:i4>
      </vt:variant>
      <vt:variant>
        <vt:i4>5</vt:i4>
      </vt:variant>
      <vt:variant>
        <vt:lpwstr>mailto:Eugenio.DELUCCA-BOVICELLI@ec.europa.eu</vt:lpwstr>
      </vt:variant>
      <vt:variant>
        <vt:lpwstr/>
      </vt:variant>
      <vt:variant>
        <vt:i4>4980774</vt:i4>
      </vt:variant>
      <vt:variant>
        <vt:i4>27</vt:i4>
      </vt:variant>
      <vt:variant>
        <vt:i4>0</vt:i4>
      </vt:variant>
      <vt:variant>
        <vt:i4>5</vt:i4>
      </vt:variant>
      <vt:variant>
        <vt:lpwstr>mailto:Eugenio.DELUCCA-BOVICELLI@ec.europa.eu</vt:lpwstr>
      </vt:variant>
      <vt:variant>
        <vt:lpwstr/>
      </vt:variant>
      <vt:variant>
        <vt:i4>5963810</vt:i4>
      </vt:variant>
      <vt:variant>
        <vt:i4>24</vt:i4>
      </vt:variant>
      <vt:variant>
        <vt:i4>0</vt:i4>
      </vt:variant>
      <vt:variant>
        <vt:i4>5</vt:i4>
      </vt:variant>
      <vt:variant>
        <vt:lpwstr>mailto:Giuseppe.MALGERI1@ec.europa.eu</vt:lpwstr>
      </vt:variant>
      <vt:variant>
        <vt:lpwstr/>
      </vt:variant>
      <vt:variant>
        <vt:i4>5308527</vt:i4>
      </vt:variant>
      <vt:variant>
        <vt:i4>21</vt:i4>
      </vt:variant>
      <vt:variant>
        <vt:i4>0</vt:i4>
      </vt:variant>
      <vt:variant>
        <vt:i4>5</vt:i4>
      </vt:variant>
      <vt:variant>
        <vt:lpwstr>mailto:Andrea.COLOMBO@ec.europa.eu</vt:lpwstr>
      </vt:variant>
      <vt:variant>
        <vt:lpwstr/>
      </vt:variant>
      <vt:variant>
        <vt:i4>4980774</vt:i4>
      </vt:variant>
      <vt:variant>
        <vt:i4>18</vt:i4>
      </vt:variant>
      <vt:variant>
        <vt:i4>0</vt:i4>
      </vt:variant>
      <vt:variant>
        <vt:i4>5</vt:i4>
      </vt:variant>
      <vt:variant>
        <vt:lpwstr>mailto:Eugenio.DELUCCA-BOVICELLI@ec.europa.eu</vt:lpwstr>
      </vt:variant>
      <vt:variant>
        <vt:lpwstr/>
      </vt:variant>
      <vt:variant>
        <vt:i4>6684753</vt:i4>
      </vt:variant>
      <vt:variant>
        <vt:i4>15</vt:i4>
      </vt:variant>
      <vt:variant>
        <vt:i4>0</vt:i4>
      </vt:variant>
      <vt:variant>
        <vt:i4>5</vt:i4>
      </vt:variant>
      <vt:variant>
        <vt:lpwstr>mailto:Elena.GIOVINAZZI@ec.europa.eu</vt:lpwstr>
      </vt:variant>
      <vt:variant>
        <vt:lpwstr/>
      </vt:variant>
      <vt:variant>
        <vt:i4>4980774</vt:i4>
      </vt:variant>
      <vt:variant>
        <vt:i4>12</vt:i4>
      </vt:variant>
      <vt:variant>
        <vt:i4>0</vt:i4>
      </vt:variant>
      <vt:variant>
        <vt:i4>5</vt:i4>
      </vt:variant>
      <vt:variant>
        <vt:lpwstr>mailto:Eugenio.DELUCCA-BOVICELLI@ec.europa.eu</vt:lpwstr>
      </vt:variant>
      <vt:variant>
        <vt:lpwstr/>
      </vt:variant>
      <vt:variant>
        <vt:i4>6684753</vt:i4>
      </vt:variant>
      <vt:variant>
        <vt:i4>9</vt:i4>
      </vt:variant>
      <vt:variant>
        <vt:i4>0</vt:i4>
      </vt:variant>
      <vt:variant>
        <vt:i4>5</vt:i4>
      </vt:variant>
      <vt:variant>
        <vt:lpwstr>mailto:Elena.GIOVINAZZI@ec.europa.eu</vt:lpwstr>
      </vt:variant>
      <vt:variant>
        <vt:lpwstr/>
      </vt:variant>
      <vt:variant>
        <vt:i4>4980774</vt:i4>
      </vt:variant>
      <vt:variant>
        <vt:i4>6</vt:i4>
      </vt:variant>
      <vt:variant>
        <vt:i4>0</vt:i4>
      </vt:variant>
      <vt:variant>
        <vt:i4>5</vt:i4>
      </vt:variant>
      <vt:variant>
        <vt:lpwstr>mailto:Eugenio.DELUCCA-BOVICELLI@ec.europa.eu</vt:lpwstr>
      </vt:variant>
      <vt:variant>
        <vt:lpwstr/>
      </vt:variant>
      <vt:variant>
        <vt:i4>6684753</vt:i4>
      </vt:variant>
      <vt:variant>
        <vt:i4>3</vt:i4>
      </vt:variant>
      <vt:variant>
        <vt:i4>0</vt:i4>
      </vt:variant>
      <vt:variant>
        <vt:i4>5</vt:i4>
      </vt:variant>
      <vt:variant>
        <vt:lpwstr>mailto:Elena.GIOVINAZZI@ec.europa.eu</vt:lpwstr>
      </vt:variant>
      <vt:variant>
        <vt:lpwstr/>
      </vt:variant>
      <vt:variant>
        <vt:i4>4980774</vt:i4>
      </vt:variant>
      <vt:variant>
        <vt:i4>0</vt:i4>
      </vt:variant>
      <vt:variant>
        <vt:i4>0</vt:i4>
      </vt:variant>
      <vt:variant>
        <vt:i4>5</vt:i4>
      </vt:variant>
      <vt:variant>
        <vt:lpwstr>mailto:Eugenio.DELUCCA-BOVICELLI@ec.europa.eu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DELUCCA BOVICELLI Eugenio (SG-RECOVER)</dc:creator>
  <cp:keywords/>
  <dc:description/>
  <cp:lastModifiedBy>EC CoDe</cp:lastModifiedBy>
  <cp:revision>12</cp:revision>
  <dcterms:created xsi:type="dcterms:W3CDTF">2024-04-28T20:15:00Z</dcterms:created>
  <dcterms:modified xsi:type="dcterms:W3CDTF">2024-04-29T10:56:00Z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2024-03-15T15:51:56Z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05e411bb-5c95-4a77-b086-ae53c9cbafaa</vt:lpwstr>
  </property>
  <property fmtid="{D5CDD505-2E9C-101B-9397-08002B2CF9AE}" pid="8" name="MSIP_Label_6bd9ddd1-4d20-43f6-abfa-fc3c07406f94_ContentBits">
    <vt:lpwstr>0</vt:lpwstr>
  </property>
  <property fmtid="{D5CDD505-2E9C-101B-9397-08002B2CF9AE}" pid="9" name="ContentTypeId">
    <vt:lpwstr>0x01010062094E9F29D6C04F85860C631ABC812A</vt:lpwstr>
  </property>
  <property fmtid="{D5CDD505-2E9C-101B-9397-08002B2CF9AE}" pid="10" name="MediaServiceImageTags">
    <vt:lpwstr/>
  </property>
  <property fmtid="{D5CDD505-2E9C-101B-9397-08002B2CF9AE}" pid="11" name="Level of sensitivity">
    <vt:lpwstr>Standard treatment</vt:lpwstr>
  </property>
  <property fmtid="{D5CDD505-2E9C-101B-9397-08002B2CF9AE}" pid="12" name="First annex">
    <vt:lpwstr>1</vt:lpwstr>
  </property>
  <property fmtid="{D5CDD505-2E9C-101B-9397-08002B2CF9AE}" pid="13" name="Last annex">
    <vt:lpwstr>1</vt:lpwstr>
  </property>
  <property fmtid="{D5CDD505-2E9C-101B-9397-08002B2CF9AE}" pid="14" name="Unique annex">
    <vt:lpwstr>1</vt:lpwstr>
  </property>
  <property fmtid="{D5CDD505-2E9C-101B-9397-08002B2CF9AE}" pid="15" name="Part">
    <vt:lpwstr>1</vt:lpwstr>
  </property>
  <property fmtid="{D5CDD505-2E9C-101B-9397-08002B2CF9AE}" pid="16" name="Total parts">
    <vt:lpwstr>1</vt:lpwstr>
  </property>
  <property fmtid="{D5CDD505-2E9C-101B-9397-08002B2CF9AE}" pid="17" name="DocStatus">
    <vt:lpwstr>Green</vt:lpwstr>
  </property>
  <property fmtid="{D5CDD505-2E9C-101B-9397-08002B2CF9AE}" pid="18" name="CPTemplateID">
    <vt:lpwstr>CP-036</vt:lpwstr>
  </property>
  <property fmtid="{D5CDD505-2E9C-101B-9397-08002B2CF9AE}" pid="19" name="Last edited using">
    <vt:lpwstr>LW 9.0, Build 20230317</vt:lpwstr>
  </property>
  <property fmtid="{D5CDD505-2E9C-101B-9397-08002B2CF9AE}" pid="20" name="Created using">
    <vt:lpwstr>LW 9.0, Build 20230317</vt:lpwstr>
  </property>
</Properties>
</file>